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528"/>
        <w:gridCol w:w="6488"/>
      </w:tblGrid>
      <w:tr w:rsidR="002A1020" w14:paraId="24FD466E" w14:textId="77777777" w:rsidTr="00F22B80">
        <w:tc>
          <w:tcPr>
            <w:tcW w:w="2528" w:type="dxa"/>
          </w:tcPr>
          <w:p w14:paraId="2ED32BB3" w14:textId="77777777" w:rsidR="002A1020" w:rsidRDefault="002A1020" w:rsidP="002A1020">
            <w:pPr>
              <w:rPr>
                <w:rFonts w:ascii="Arial" w:hAnsi="Arial" w:cs="Arial"/>
                <w:b/>
                <w:bCs/>
              </w:rPr>
            </w:pPr>
            <w:r w:rsidRPr="002A1020">
              <w:rPr>
                <w:rFonts w:ascii="Arial" w:hAnsi="Arial" w:cs="Arial"/>
                <w:b/>
                <w:bCs/>
              </w:rPr>
              <w:t>Term</w:t>
            </w:r>
          </w:p>
          <w:p w14:paraId="5E02A68D" w14:textId="59B92527" w:rsidR="002A1020" w:rsidRPr="002A1020" w:rsidRDefault="002A1020" w:rsidP="002A1020">
            <w:pPr>
              <w:rPr>
                <w:rFonts w:ascii="Arial" w:hAnsi="Arial" w:cs="Arial"/>
                <w:b/>
                <w:bCs/>
              </w:rPr>
            </w:pPr>
          </w:p>
        </w:tc>
        <w:tc>
          <w:tcPr>
            <w:tcW w:w="6488" w:type="dxa"/>
          </w:tcPr>
          <w:p w14:paraId="26BC6862" w14:textId="7AC103BB" w:rsidR="002A1020" w:rsidRPr="002A1020" w:rsidRDefault="002A1020" w:rsidP="002A1020">
            <w:pPr>
              <w:rPr>
                <w:rFonts w:ascii="Arial" w:hAnsi="Arial" w:cs="Arial"/>
                <w:b/>
                <w:bCs/>
              </w:rPr>
            </w:pPr>
            <w:r w:rsidRPr="002A1020">
              <w:rPr>
                <w:rFonts w:ascii="Arial" w:hAnsi="Arial" w:cs="Arial"/>
                <w:b/>
                <w:bCs/>
              </w:rPr>
              <w:t>Definition</w:t>
            </w:r>
          </w:p>
        </w:tc>
      </w:tr>
      <w:tr w:rsidR="002A1020" w14:paraId="7E110CFF" w14:textId="77777777" w:rsidTr="00F22B80">
        <w:tc>
          <w:tcPr>
            <w:tcW w:w="2528" w:type="dxa"/>
          </w:tcPr>
          <w:p w14:paraId="7D91C4FD" w14:textId="77777777" w:rsidR="002A1020" w:rsidRPr="00F22B80" w:rsidRDefault="002A1020" w:rsidP="002A1020">
            <w:pPr>
              <w:rPr>
                <w:rFonts w:ascii="Arial" w:eastAsia="Times New Roman" w:hAnsi="Arial" w:cs="Arial"/>
                <w:color w:val="000000"/>
              </w:rPr>
            </w:pPr>
            <w:r w:rsidRPr="00F22B80">
              <w:rPr>
                <w:rFonts w:ascii="Arial" w:hAnsi="Arial" w:cs="Arial"/>
                <w:color w:val="000000"/>
              </w:rPr>
              <w:t xml:space="preserve">Carbon emission </w:t>
            </w:r>
          </w:p>
          <w:p w14:paraId="2383A0BC" w14:textId="77777777" w:rsidR="002A1020" w:rsidRPr="00F22B80" w:rsidRDefault="002A1020">
            <w:pPr>
              <w:rPr>
                <w:rFonts w:ascii="Arial" w:hAnsi="Arial" w:cs="Arial"/>
              </w:rPr>
            </w:pPr>
          </w:p>
        </w:tc>
        <w:tc>
          <w:tcPr>
            <w:tcW w:w="6488" w:type="dxa"/>
          </w:tcPr>
          <w:p w14:paraId="0BBA1DAC" w14:textId="062BB2BA" w:rsidR="002A1020" w:rsidRPr="00F22B80" w:rsidRDefault="00984110">
            <w:pPr>
              <w:rPr>
                <w:rFonts w:ascii="Arial" w:hAnsi="Arial" w:cs="Arial"/>
              </w:rPr>
            </w:pPr>
            <w:r w:rsidRPr="00F22B80">
              <w:rPr>
                <w:rFonts w:ascii="Arial" w:hAnsi="Arial" w:cs="Arial"/>
              </w:rPr>
              <w:t>Carbon dioxide emissions are those stemming from the burning of fossil fuels and the manufacture of cement. They include carbon dioxide produced during consumption of solid, liquid, and gas fuels and gas flaring.</w:t>
            </w:r>
          </w:p>
        </w:tc>
      </w:tr>
      <w:tr w:rsidR="002A1020" w14:paraId="498675A6" w14:textId="77777777" w:rsidTr="00F22B80">
        <w:tc>
          <w:tcPr>
            <w:tcW w:w="2528" w:type="dxa"/>
          </w:tcPr>
          <w:p w14:paraId="05294BB3" w14:textId="42DA1BFA" w:rsidR="00984110" w:rsidRPr="00F22B80" w:rsidRDefault="00984110">
            <w:pPr>
              <w:rPr>
                <w:rFonts w:ascii="Arial" w:eastAsiaTheme="minorHAnsi" w:hAnsi="Arial" w:cs="Arial"/>
              </w:rPr>
            </w:pPr>
            <w:r w:rsidRPr="00F22B80">
              <w:rPr>
                <w:rFonts w:ascii="Arial" w:hAnsi="Arial" w:cs="Arial"/>
              </w:rPr>
              <w:fldChar w:fldCharType="begin"/>
            </w:r>
            <w:r w:rsidRPr="00F22B80">
              <w:rPr>
                <w:rFonts w:ascii="Arial" w:hAnsi="Arial" w:cs="Arial"/>
              </w:rPr>
              <w:instrText xml:space="preserve"> LINK Excel.Sheet.12 "Book1" "Sheet1!R4C2" \a \f 4 \h  \* MERGEFORMAT </w:instrText>
            </w:r>
            <w:r w:rsidRPr="00F22B80">
              <w:rPr>
                <w:rFonts w:ascii="Arial" w:hAnsi="Arial" w:cs="Arial"/>
              </w:rPr>
              <w:fldChar w:fldCharType="separate"/>
            </w:r>
          </w:p>
          <w:p w14:paraId="59C4E0CD" w14:textId="77777777" w:rsidR="00984110" w:rsidRPr="00F22B80" w:rsidRDefault="00984110" w:rsidP="00984110">
            <w:pPr>
              <w:rPr>
                <w:rFonts w:ascii="Arial" w:eastAsia="Times New Roman" w:hAnsi="Arial" w:cs="Arial"/>
                <w:lang w:eastAsia="en-GB"/>
              </w:rPr>
            </w:pPr>
            <w:r w:rsidRPr="00984110">
              <w:rPr>
                <w:rFonts w:ascii="Arial" w:eastAsia="Times New Roman" w:hAnsi="Arial" w:cs="Arial"/>
                <w:lang w:eastAsia="en-GB"/>
              </w:rPr>
              <w:t>Ca</w:t>
            </w:r>
            <w:r w:rsidRPr="00984110">
              <w:rPr>
                <w:rFonts w:ascii="Arial" w:hAnsi="Arial" w:cs="Arial"/>
              </w:rPr>
              <w:t>rbon reduction</w:t>
            </w:r>
          </w:p>
          <w:p w14:paraId="6F2C97B5" w14:textId="3E126901" w:rsidR="002A1020" w:rsidRPr="00F22B80" w:rsidRDefault="00984110" w:rsidP="00984110">
            <w:pPr>
              <w:rPr>
                <w:rFonts w:ascii="Arial" w:hAnsi="Arial" w:cs="Arial"/>
              </w:rPr>
            </w:pPr>
            <w:r w:rsidRPr="00F22B80">
              <w:rPr>
                <w:rFonts w:ascii="Arial" w:hAnsi="Arial" w:cs="Arial"/>
              </w:rPr>
              <w:fldChar w:fldCharType="end"/>
            </w:r>
          </w:p>
        </w:tc>
        <w:tc>
          <w:tcPr>
            <w:tcW w:w="6488" w:type="dxa"/>
          </w:tcPr>
          <w:p w14:paraId="1CC4EB60" w14:textId="39900A42" w:rsidR="002A1020" w:rsidRPr="00F22B80" w:rsidRDefault="00984110">
            <w:pPr>
              <w:rPr>
                <w:rFonts w:ascii="Arial" w:hAnsi="Arial" w:cs="Arial"/>
              </w:rPr>
            </w:pPr>
            <w:r w:rsidRPr="00F22B80">
              <w:rPr>
                <w:rFonts w:ascii="Arial" w:hAnsi="Arial" w:cs="Arial"/>
              </w:rPr>
              <w:t>Carbon reduction is the process where an organisation directly reduces greenhouse gas emissions through efficiencies </w:t>
            </w:r>
          </w:p>
        </w:tc>
      </w:tr>
      <w:tr w:rsidR="002A1020" w14:paraId="4FDB172B" w14:textId="77777777" w:rsidTr="00F22B80">
        <w:tc>
          <w:tcPr>
            <w:tcW w:w="2528" w:type="dxa"/>
          </w:tcPr>
          <w:p w14:paraId="465C4EDA" w14:textId="5F44E577" w:rsidR="002A1020" w:rsidRPr="00F22B80" w:rsidRDefault="00984110">
            <w:pPr>
              <w:rPr>
                <w:rFonts w:ascii="Arial" w:hAnsi="Arial" w:cs="Arial"/>
              </w:rPr>
            </w:pPr>
            <w:r w:rsidRPr="00F22B80">
              <w:rPr>
                <w:rFonts w:ascii="Arial" w:hAnsi="Arial" w:cs="Arial"/>
              </w:rPr>
              <w:t>Carbon/Carbon dioxide</w:t>
            </w:r>
          </w:p>
        </w:tc>
        <w:tc>
          <w:tcPr>
            <w:tcW w:w="6488" w:type="dxa"/>
          </w:tcPr>
          <w:p w14:paraId="5E49CA19" w14:textId="5EB20D22" w:rsidR="002A1020" w:rsidRPr="00F22B80" w:rsidRDefault="00984110">
            <w:pPr>
              <w:rPr>
                <w:rFonts w:ascii="Arial" w:hAnsi="Arial" w:cs="Arial"/>
              </w:rPr>
            </w:pPr>
            <w:r w:rsidRPr="00F22B80">
              <w:rPr>
                <w:rFonts w:ascii="Arial" w:hAnsi="Arial" w:cs="Arial"/>
              </w:rPr>
              <w:t>Carbon dioxide (CO</w:t>
            </w:r>
            <w:r w:rsidRPr="00F22B80">
              <w:rPr>
                <w:rFonts w:ascii="Arial" w:hAnsi="Arial" w:cs="Arial"/>
                <w:vertAlign w:val="subscript"/>
              </w:rPr>
              <w:t>2</w:t>
            </w:r>
            <w:r w:rsidRPr="00F22B80">
              <w:rPr>
                <w:rFonts w:ascii="Arial" w:hAnsi="Arial" w:cs="Arial"/>
              </w:rPr>
              <w:t>) is a naturally occurring gas fixed by photosynthesis into organic matter and is a by-product of fossil fuel combustion, land use changes and other industrial processes. CO</w:t>
            </w:r>
            <w:r w:rsidRPr="00F22B80">
              <w:rPr>
                <w:rFonts w:ascii="Arial" w:hAnsi="Arial" w:cs="Arial"/>
                <w:vertAlign w:val="subscript"/>
              </w:rPr>
              <w:t>2</w:t>
            </w:r>
            <w:r w:rsidRPr="00F22B80">
              <w:rPr>
                <w:rFonts w:ascii="Arial" w:hAnsi="Arial" w:cs="Arial"/>
              </w:rPr>
              <w:t xml:space="preserve"> is the principal greenhouse gas associated with human activity and climate change and the reference against which other greenhouse gases are measured. Unless otherwise indicated the terms ‘carbon’ or ‘carbon dioxide’ are used to refer to a combined measure of greenhouse gases (CO</w:t>
            </w:r>
            <w:r w:rsidRPr="00F22B80">
              <w:rPr>
                <w:rFonts w:ascii="Arial" w:hAnsi="Arial" w:cs="Arial"/>
                <w:vertAlign w:val="subscript"/>
              </w:rPr>
              <w:t>2</w:t>
            </w:r>
            <w:r w:rsidRPr="00F22B80">
              <w:rPr>
                <w:rFonts w:ascii="Arial" w:hAnsi="Arial" w:cs="Arial"/>
              </w:rPr>
              <w:t>e or CO</w:t>
            </w:r>
            <w:r w:rsidRPr="00F22B80">
              <w:rPr>
                <w:rFonts w:ascii="Arial" w:hAnsi="Arial" w:cs="Arial"/>
                <w:vertAlign w:val="subscript"/>
              </w:rPr>
              <w:t>2</w:t>
            </w:r>
            <w:r w:rsidRPr="00F22B80">
              <w:rPr>
                <w:rFonts w:ascii="Arial" w:hAnsi="Arial" w:cs="Arial"/>
              </w:rPr>
              <w:t xml:space="preserve"> equivalent), of which carbon dioxide is the most common.</w:t>
            </w:r>
          </w:p>
        </w:tc>
      </w:tr>
      <w:tr w:rsidR="002A1020" w14:paraId="35629EA7" w14:textId="77777777" w:rsidTr="00F22B80">
        <w:tc>
          <w:tcPr>
            <w:tcW w:w="2528" w:type="dxa"/>
          </w:tcPr>
          <w:p w14:paraId="1036100B" w14:textId="77777777" w:rsidR="00984110" w:rsidRPr="00F22B80" w:rsidRDefault="00984110" w:rsidP="00984110">
            <w:pPr>
              <w:rPr>
                <w:rFonts w:ascii="Arial" w:eastAsia="Times New Roman" w:hAnsi="Arial" w:cs="Arial"/>
              </w:rPr>
            </w:pPr>
            <w:r w:rsidRPr="00F22B80">
              <w:rPr>
                <w:rFonts w:ascii="Arial" w:hAnsi="Arial" w:cs="Arial"/>
              </w:rPr>
              <w:t>Energy efficiency</w:t>
            </w:r>
          </w:p>
          <w:p w14:paraId="2314B0A7" w14:textId="77777777" w:rsidR="002A1020" w:rsidRPr="00F22B80" w:rsidRDefault="002A1020">
            <w:pPr>
              <w:rPr>
                <w:rFonts w:ascii="Arial" w:hAnsi="Arial" w:cs="Arial"/>
              </w:rPr>
            </w:pPr>
          </w:p>
        </w:tc>
        <w:tc>
          <w:tcPr>
            <w:tcW w:w="6488" w:type="dxa"/>
          </w:tcPr>
          <w:p w14:paraId="6BC9BCF3" w14:textId="6EB2D4B0" w:rsidR="002A1020" w:rsidRPr="00F22B80" w:rsidRDefault="00984110">
            <w:pPr>
              <w:rPr>
                <w:rFonts w:ascii="Arial" w:hAnsi="Arial" w:cs="Arial"/>
              </w:rPr>
            </w:pPr>
            <w:r w:rsidRPr="00F22B80">
              <w:rPr>
                <w:rFonts w:ascii="Arial" w:hAnsi="Arial" w:cs="Arial"/>
              </w:rPr>
              <w:t>Energy efficiency is the portion of total energy input to machine or system that is consumed in useful work and not wasted as useless heat or otherwise</w:t>
            </w:r>
          </w:p>
        </w:tc>
      </w:tr>
      <w:tr w:rsidR="002A1020" w14:paraId="0086AD6B" w14:textId="77777777" w:rsidTr="00F22B80">
        <w:tc>
          <w:tcPr>
            <w:tcW w:w="2528" w:type="dxa"/>
          </w:tcPr>
          <w:p w14:paraId="7445CE69" w14:textId="77777777" w:rsidR="00984110" w:rsidRPr="00F22B80" w:rsidRDefault="00984110" w:rsidP="00984110">
            <w:pPr>
              <w:rPr>
                <w:rFonts w:ascii="Arial" w:eastAsia="Times New Roman" w:hAnsi="Arial" w:cs="Arial"/>
              </w:rPr>
            </w:pPr>
            <w:r w:rsidRPr="00F22B80">
              <w:rPr>
                <w:rFonts w:ascii="Arial" w:hAnsi="Arial" w:cs="Arial"/>
              </w:rPr>
              <w:t>Feasibility Study</w:t>
            </w:r>
          </w:p>
          <w:p w14:paraId="236D478F" w14:textId="77777777" w:rsidR="002A1020" w:rsidRPr="00F22B80" w:rsidRDefault="002A1020">
            <w:pPr>
              <w:rPr>
                <w:rFonts w:ascii="Arial" w:hAnsi="Arial" w:cs="Arial"/>
              </w:rPr>
            </w:pPr>
          </w:p>
        </w:tc>
        <w:tc>
          <w:tcPr>
            <w:tcW w:w="6488" w:type="dxa"/>
          </w:tcPr>
          <w:p w14:paraId="325EF917" w14:textId="2E090289" w:rsidR="002A1020" w:rsidRPr="00F22B80" w:rsidRDefault="00984110">
            <w:pPr>
              <w:rPr>
                <w:rFonts w:ascii="Arial" w:hAnsi="Arial" w:cs="Arial"/>
              </w:rPr>
            </w:pPr>
            <w:r w:rsidRPr="00F22B80">
              <w:rPr>
                <w:rFonts w:ascii="Arial" w:hAnsi="Arial" w:cs="Arial"/>
              </w:rPr>
              <w:t>A feasibility study is a</w:t>
            </w:r>
            <w:r w:rsidR="006A68DC">
              <w:rPr>
                <w:rFonts w:ascii="Arial" w:hAnsi="Arial" w:cs="Arial"/>
              </w:rPr>
              <w:t>n</w:t>
            </w:r>
            <w:r w:rsidRPr="00F22B80">
              <w:rPr>
                <w:rFonts w:ascii="Arial" w:hAnsi="Arial" w:cs="Arial"/>
              </w:rPr>
              <w:t xml:space="preserve"> exploration of a proposed project to determine its viability</w:t>
            </w:r>
            <w:r w:rsidR="00FA3618">
              <w:rPr>
                <w:rFonts w:ascii="Arial" w:hAnsi="Arial" w:cs="Arial"/>
              </w:rPr>
              <w:t xml:space="preserve"> and specify the </w:t>
            </w:r>
            <w:r w:rsidR="00ED6D6B">
              <w:rPr>
                <w:rFonts w:ascii="Arial" w:hAnsi="Arial" w:cs="Arial"/>
              </w:rPr>
              <w:t>delivery</w:t>
            </w:r>
            <w:r w:rsidR="001035A3">
              <w:rPr>
                <w:rFonts w:ascii="Arial" w:hAnsi="Arial" w:cs="Arial"/>
              </w:rPr>
              <w:t xml:space="preserve"> method</w:t>
            </w:r>
            <w:r w:rsidRPr="00F22B80">
              <w:rPr>
                <w:rFonts w:ascii="Arial" w:hAnsi="Arial" w:cs="Arial"/>
              </w:rPr>
              <w:t xml:space="preserve">. </w:t>
            </w:r>
            <w:r w:rsidR="001035A3">
              <w:rPr>
                <w:rFonts w:ascii="Arial" w:hAnsi="Arial" w:cs="Arial"/>
              </w:rPr>
              <w:t xml:space="preserve">This should include </w:t>
            </w:r>
            <w:r w:rsidRPr="00F22B80">
              <w:rPr>
                <w:rFonts w:ascii="Arial" w:hAnsi="Arial" w:cs="Arial"/>
              </w:rPr>
              <w:t xml:space="preserve">an independent assessment </w:t>
            </w:r>
            <w:r w:rsidR="001035A3">
              <w:rPr>
                <w:rFonts w:ascii="Arial" w:hAnsi="Arial" w:cs="Arial"/>
              </w:rPr>
              <w:t xml:space="preserve">of </w:t>
            </w:r>
            <w:r w:rsidRPr="00F22B80">
              <w:rPr>
                <w:rFonts w:ascii="Arial" w:hAnsi="Arial" w:cs="Arial"/>
              </w:rPr>
              <w:t>all aspects of a proposed project including technical, economic, financial, legal, and environmental considerations</w:t>
            </w:r>
            <w:r w:rsidR="00B25E09">
              <w:rPr>
                <w:rFonts w:ascii="Arial" w:hAnsi="Arial" w:cs="Arial"/>
              </w:rPr>
              <w:t xml:space="preserve"> with the output being a costed design for any works. </w:t>
            </w:r>
          </w:p>
        </w:tc>
      </w:tr>
      <w:tr w:rsidR="002A1020" w14:paraId="4D416783" w14:textId="77777777" w:rsidTr="00F22B80">
        <w:tc>
          <w:tcPr>
            <w:tcW w:w="2528" w:type="dxa"/>
          </w:tcPr>
          <w:p w14:paraId="57EA1C45" w14:textId="77777777" w:rsidR="00984110" w:rsidRPr="00F22B80" w:rsidRDefault="00984110" w:rsidP="00984110">
            <w:pPr>
              <w:rPr>
                <w:rFonts w:ascii="Arial" w:eastAsia="Times New Roman" w:hAnsi="Arial" w:cs="Arial"/>
              </w:rPr>
            </w:pPr>
            <w:r w:rsidRPr="00F22B80">
              <w:rPr>
                <w:rFonts w:ascii="Arial" w:hAnsi="Arial" w:cs="Arial"/>
              </w:rPr>
              <w:t>Fuel poverty</w:t>
            </w:r>
          </w:p>
          <w:p w14:paraId="49B78EFA" w14:textId="77777777" w:rsidR="002A1020" w:rsidRPr="00F22B80" w:rsidRDefault="002A1020">
            <w:pPr>
              <w:rPr>
                <w:rFonts w:ascii="Arial" w:hAnsi="Arial" w:cs="Arial"/>
              </w:rPr>
            </w:pPr>
          </w:p>
        </w:tc>
        <w:tc>
          <w:tcPr>
            <w:tcW w:w="6488" w:type="dxa"/>
          </w:tcPr>
          <w:p w14:paraId="21F4F400" w14:textId="634D4EB8" w:rsidR="002A1020" w:rsidRPr="00F22B80" w:rsidRDefault="005121A7">
            <w:pPr>
              <w:rPr>
                <w:rFonts w:ascii="Arial" w:hAnsi="Arial" w:cs="Arial"/>
              </w:rPr>
            </w:pPr>
            <w:r w:rsidRPr="00F22B80">
              <w:rPr>
                <w:rFonts w:ascii="Arial" w:hAnsi="Arial" w:cs="Arial"/>
              </w:rPr>
              <w:t>The Government’s definition of fuel poverty for England states that a household is said to be in fuel poverty if: they are living in a property with a fuel poverty energy efficiency rating of band D or below, and, when they spend the required amount to heat their home, they are left with a residual income below the official poverty line. There is a direct link between living in cold and damp conditions and poor health outcomes.</w:t>
            </w:r>
          </w:p>
        </w:tc>
      </w:tr>
      <w:tr w:rsidR="002A1020" w14:paraId="463BA419" w14:textId="77777777" w:rsidTr="00F22B80">
        <w:tc>
          <w:tcPr>
            <w:tcW w:w="2528" w:type="dxa"/>
          </w:tcPr>
          <w:p w14:paraId="25BE91C6" w14:textId="77777777" w:rsidR="005B7A6A" w:rsidRPr="00F22B80" w:rsidRDefault="005B7A6A" w:rsidP="005B7A6A">
            <w:pPr>
              <w:rPr>
                <w:rFonts w:ascii="Arial" w:eastAsia="Times New Roman" w:hAnsi="Arial" w:cs="Arial"/>
              </w:rPr>
            </w:pPr>
            <w:r w:rsidRPr="00F22B80">
              <w:rPr>
                <w:rFonts w:ascii="Arial" w:hAnsi="Arial" w:cs="Arial"/>
              </w:rPr>
              <w:t>Match Funding</w:t>
            </w:r>
          </w:p>
          <w:p w14:paraId="36502117" w14:textId="32924283" w:rsidR="002A1020" w:rsidRPr="00F22B80" w:rsidRDefault="002A1020">
            <w:pPr>
              <w:rPr>
                <w:rFonts w:ascii="Arial" w:hAnsi="Arial" w:cs="Arial"/>
              </w:rPr>
            </w:pPr>
          </w:p>
        </w:tc>
        <w:tc>
          <w:tcPr>
            <w:tcW w:w="6488" w:type="dxa"/>
          </w:tcPr>
          <w:p w14:paraId="3B12405B" w14:textId="152F9989" w:rsidR="002A1020" w:rsidRPr="00F22B80" w:rsidRDefault="005B7A6A">
            <w:pPr>
              <w:rPr>
                <w:rFonts w:ascii="Arial" w:hAnsi="Arial" w:cs="Arial"/>
              </w:rPr>
            </w:pPr>
            <w:r w:rsidRPr="00F22B80">
              <w:rPr>
                <w:rFonts w:ascii="Arial" w:hAnsi="Arial" w:cs="Arial"/>
              </w:rPr>
              <w:t xml:space="preserve">Match funding is defined as when funding is paid in proportion to funding </w:t>
            </w:r>
            <w:r w:rsidR="00AF66A7">
              <w:rPr>
                <w:rFonts w:ascii="Arial" w:hAnsi="Arial" w:cs="Arial"/>
              </w:rPr>
              <w:t xml:space="preserve">secured </w:t>
            </w:r>
            <w:r w:rsidRPr="00F22B80">
              <w:rPr>
                <w:rFonts w:ascii="Arial" w:hAnsi="Arial" w:cs="Arial"/>
              </w:rPr>
              <w:t xml:space="preserve">from other sources. </w:t>
            </w:r>
            <w:r w:rsidR="00693451">
              <w:rPr>
                <w:rFonts w:ascii="Arial" w:hAnsi="Arial" w:cs="Arial"/>
              </w:rPr>
              <w:t xml:space="preserve">This is intended to mean that where match funding is required the Community Energy Fund grant is </w:t>
            </w:r>
            <w:r w:rsidR="00730479">
              <w:rPr>
                <w:rFonts w:ascii="Arial" w:hAnsi="Arial" w:cs="Arial"/>
              </w:rPr>
              <w:t xml:space="preserve">awarded </w:t>
            </w:r>
            <w:r w:rsidRPr="00F22B80">
              <w:rPr>
                <w:rFonts w:ascii="Arial" w:hAnsi="Arial" w:cs="Arial"/>
              </w:rPr>
              <w:t xml:space="preserve">on the condition that a </w:t>
            </w:r>
            <w:r w:rsidR="00730479">
              <w:rPr>
                <w:rFonts w:ascii="Arial" w:hAnsi="Arial" w:cs="Arial"/>
              </w:rPr>
              <w:t xml:space="preserve">minimum </w:t>
            </w:r>
            <w:r w:rsidRPr="00F22B80">
              <w:rPr>
                <w:rFonts w:ascii="Arial" w:hAnsi="Arial" w:cs="Arial"/>
              </w:rPr>
              <w:t>amount of funding is also contributed</w:t>
            </w:r>
            <w:r w:rsidR="005444AC">
              <w:rPr>
                <w:rFonts w:ascii="Arial" w:hAnsi="Arial" w:cs="Arial"/>
              </w:rPr>
              <w:t xml:space="preserve"> from sources </w:t>
            </w:r>
            <w:r w:rsidR="00693451">
              <w:rPr>
                <w:rFonts w:ascii="Arial" w:hAnsi="Arial" w:cs="Arial"/>
              </w:rPr>
              <w:t xml:space="preserve">beyond the grant. </w:t>
            </w:r>
          </w:p>
        </w:tc>
      </w:tr>
      <w:tr w:rsidR="002A1020" w14:paraId="16D1E921" w14:textId="77777777" w:rsidTr="00F22B80">
        <w:tc>
          <w:tcPr>
            <w:tcW w:w="2528" w:type="dxa"/>
          </w:tcPr>
          <w:p w14:paraId="2E68A1D4" w14:textId="5CE41C98" w:rsidR="005B7A6A" w:rsidRPr="00F22B80" w:rsidRDefault="005B7A6A" w:rsidP="005B7A6A">
            <w:pPr>
              <w:rPr>
                <w:rFonts w:ascii="Arial" w:eastAsia="Times New Roman" w:hAnsi="Arial" w:cs="Arial"/>
              </w:rPr>
            </w:pPr>
            <w:r w:rsidRPr="00F22B80">
              <w:rPr>
                <w:rFonts w:ascii="Arial" w:hAnsi="Arial" w:cs="Arial"/>
              </w:rPr>
              <w:t>Pre-feasibility study</w:t>
            </w:r>
          </w:p>
          <w:p w14:paraId="79132008" w14:textId="77777777" w:rsidR="002A1020" w:rsidRPr="00F22B80" w:rsidRDefault="002A1020">
            <w:pPr>
              <w:rPr>
                <w:rFonts w:ascii="Arial" w:hAnsi="Arial" w:cs="Arial"/>
              </w:rPr>
            </w:pPr>
          </w:p>
        </w:tc>
        <w:tc>
          <w:tcPr>
            <w:tcW w:w="6488" w:type="dxa"/>
          </w:tcPr>
          <w:p w14:paraId="6DC0C1A6" w14:textId="5B4E959B" w:rsidR="002A1020" w:rsidRPr="00F22B80" w:rsidRDefault="005B7A6A">
            <w:pPr>
              <w:rPr>
                <w:rFonts w:ascii="Arial" w:hAnsi="Arial" w:cs="Arial"/>
              </w:rPr>
            </w:pPr>
            <w:r w:rsidRPr="00F22B80">
              <w:rPr>
                <w:rFonts w:ascii="Arial" w:hAnsi="Arial" w:cs="Arial"/>
              </w:rPr>
              <w:t xml:space="preserve">A pre-feasibility study </w:t>
            </w:r>
            <w:r w:rsidR="00A65C72">
              <w:rPr>
                <w:rFonts w:ascii="Arial" w:hAnsi="Arial" w:cs="Arial"/>
              </w:rPr>
              <w:t>provide</w:t>
            </w:r>
            <w:r w:rsidR="002D0E5E">
              <w:rPr>
                <w:rFonts w:ascii="Arial" w:hAnsi="Arial" w:cs="Arial"/>
              </w:rPr>
              <w:t>s</w:t>
            </w:r>
            <w:r w:rsidR="00A65C72">
              <w:rPr>
                <w:rFonts w:ascii="Arial" w:hAnsi="Arial" w:cs="Arial"/>
              </w:rPr>
              <w:t xml:space="preserve"> resources for </w:t>
            </w:r>
            <w:r w:rsidR="00651376">
              <w:rPr>
                <w:rFonts w:ascii="Arial" w:hAnsi="Arial" w:cs="Arial"/>
              </w:rPr>
              <w:t xml:space="preserve">projects that are not ready </w:t>
            </w:r>
            <w:r w:rsidR="003F7305">
              <w:rPr>
                <w:rFonts w:ascii="Arial" w:hAnsi="Arial" w:cs="Arial"/>
              </w:rPr>
              <w:t>for d</w:t>
            </w:r>
            <w:r w:rsidR="00823974">
              <w:rPr>
                <w:rFonts w:ascii="Arial" w:hAnsi="Arial" w:cs="Arial"/>
              </w:rPr>
              <w:t>etailed design</w:t>
            </w:r>
            <w:r w:rsidR="003F7305">
              <w:rPr>
                <w:rFonts w:ascii="Arial" w:hAnsi="Arial" w:cs="Arial"/>
              </w:rPr>
              <w:t xml:space="preserve">.  </w:t>
            </w:r>
            <w:r w:rsidR="00440C07">
              <w:rPr>
                <w:rFonts w:ascii="Arial" w:hAnsi="Arial" w:cs="Arial"/>
              </w:rPr>
              <w:t xml:space="preserve">This work could involve third party expert advice on options and project ideas to </w:t>
            </w:r>
            <w:r w:rsidR="0003197D">
              <w:rPr>
                <w:rFonts w:ascii="Arial" w:hAnsi="Arial" w:cs="Arial"/>
              </w:rPr>
              <w:t xml:space="preserve">identify </w:t>
            </w:r>
            <w:r w:rsidRPr="00F22B80">
              <w:rPr>
                <w:rFonts w:ascii="Arial" w:hAnsi="Arial" w:cs="Arial"/>
              </w:rPr>
              <w:t>technical, financial</w:t>
            </w:r>
            <w:r w:rsidR="0003197D">
              <w:rPr>
                <w:rFonts w:ascii="Arial" w:hAnsi="Arial" w:cs="Arial"/>
              </w:rPr>
              <w:t xml:space="preserve"> and</w:t>
            </w:r>
            <w:r w:rsidRPr="00F22B80">
              <w:rPr>
                <w:rFonts w:ascii="Arial" w:hAnsi="Arial" w:cs="Arial"/>
              </w:rPr>
              <w:t xml:space="preserve"> operational </w:t>
            </w:r>
            <w:r w:rsidR="0096538B">
              <w:rPr>
                <w:rFonts w:ascii="Arial" w:hAnsi="Arial" w:cs="Arial"/>
              </w:rPr>
              <w:t>strengths and weaknesses and any associated risk factor</w:t>
            </w:r>
            <w:r w:rsidR="00C53B64">
              <w:rPr>
                <w:rFonts w:ascii="Arial" w:hAnsi="Arial" w:cs="Arial"/>
              </w:rPr>
              <w:t xml:space="preserve">s. </w:t>
            </w:r>
          </w:p>
        </w:tc>
      </w:tr>
      <w:tr w:rsidR="002A1020" w14:paraId="4DABF1E0" w14:textId="77777777" w:rsidTr="00F22B80">
        <w:tc>
          <w:tcPr>
            <w:tcW w:w="2528" w:type="dxa"/>
          </w:tcPr>
          <w:p w14:paraId="234E6A14" w14:textId="318357D1" w:rsidR="005B7A6A" w:rsidRPr="00F22B80" w:rsidRDefault="005B7A6A" w:rsidP="005B7A6A">
            <w:pPr>
              <w:rPr>
                <w:rFonts w:ascii="Arial" w:eastAsia="Times New Roman" w:hAnsi="Arial" w:cs="Arial"/>
              </w:rPr>
            </w:pPr>
            <w:r w:rsidRPr="00F22B80">
              <w:rPr>
                <w:rFonts w:ascii="Arial" w:hAnsi="Arial" w:cs="Arial"/>
              </w:rPr>
              <w:t>Renewable/Sustainable Energy</w:t>
            </w:r>
          </w:p>
          <w:p w14:paraId="0DE95927" w14:textId="77777777" w:rsidR="002A1020" w:rsidRPr="00F22B80" w:rsidRDefault="002A1020">
            <w:pPr>
              <w:rPr>
                <w:rFonts w:ascii="Arial" w:hAnsi="Arial" w:cs="Arial"/>
              </w:rPr>
            </w:pPr>
          </w:p>
        </w:tc>
        <w:tc>
          <w:tcPr>
            <w:tcW w:w="6488" w:type="dxa"/>
          </w:tcPr>
          <w:p w14:paraId="456856FC" w14:textId="77777777" w:rsidR="002A1020" w:rsidRDefault="005B7A6A">
            <w:pPr>
              <w:rPr>
                <w:rFonts w:ascii="Arial" w:hAnsi="Arial" w:cs="Arial"/>
                <w:shd w:val="clear" w:color="auto" w:fill="FFFFFF"/>
              </w:rPr>
            </w:pPr>
            <w:r w:rsidRPr="00F22B80">
              <w:rPr>
                <w:rFonts w:ascii="Arial" w:hAnsi="Arial" w:cs="Arial"/>
              </w:rPr>
              <w:t>Renewable/Sustainable Energy is obtained from sources that are for all practical purposes are inexhaustible</w:t>
            </w:r>
            <w:r w:rsidRPr="00F22B80">
              <w:rPr>
                <w:rFonts w:ascii="Arial" w:hAnsi="Arial" w:cs="Arial"/>
                <w:shd w:val="clear" w:color="auto" w:fill="FFFFFF"/>
              </w:rPr>
              <w:t>, which includes moving water (hydroelectric power, tidal power, and wave power), thermal gradients in ocean water, biomass, geothermal energy, solar energy, and wind energy.</w:t>
            </w:r>
          </w:p>
          <w:p w14:paraId="2FA67D1B" w14:textId="11E037F2" w:rsidR="00FC5E30" w:rsidRDefault="00FC5E30">
            <w:pPr>
              <w:rPr>
                <w:rFonts w:ascii="Arial" w:hAnsi="Arial" w:cs="Arial"/>
                <w:shd w:val="clear" w:color="auto" w:fill="FFFFFF"/>
              </w:rPr>
            </w:pPr>
          </w:p>
          <w:p w14:paraId="61CF0412" w14:textId="5DDC197A" w:rsidR="009C2C2F" w:rsidRDefault="009C2C2F">
            <w:pPr>
              <w:rPr>
                <w:rFonts w:ascii="Arial" w:hAnsi="Arial" w:cs="Arial"/>
                <w:shd w:val="clear" w:color="auto" w:fill="FFFFFF"/>
              </w:rPr>
            </w:pPr>
          </w:p>
          <w:p w14:paraId="5FCA4F96" w14:textId="6F5C0767" w:rsidR="009C2C2F" w:rsidRDefault="009C2C2F">
            <w:pPr>
              <w:rPr>
                <w:rFonts w:ascii="Arial" w:hAnsi="Arial" w:cs="Arial"/>
                <w:shd w:val="clear" w:color="auto" w:fill="FFFFFF"/>
              </w:rPr>
            </w:pPr>
          </w:p>
          <w:p w14:paraId="3894F96C" w14:textId="77777777" w:rsidR="009C2C2F" w:rsidRDefault="009C2C2F">
            <w:pPr>
              <w:rPr>
                <w:rFonts w:ascii="Arial" w:hAnsi="Arial" w:cs="Arial"/>
                <w:shd w:val="clear" w:color="auto" w:fill="FFFFFF"/>
              </w:rPr>
            </w:pPr>
          </w:p>
          <w:p w14:paraId="4C0DEF8E" w14:textId="4EDDD7A4" w:rsidR="00FC5E30" w:rsidRPr="00F22B80" w:rsidRDefault="00FC5E30">
            <w:pPr>
              <w:rPr>
                <w:rFonts w:ascii="Arial" w:hAnsi="Arial" w:cs="Arial"/>
              </w:rPr>
            </w:pPr>
          </w:p>
        </w:tc>
      </w:tr>
      <w:tr w:rsidR="00F22B80" w14:paraId="533282D6" w14:textId="77777777" w:rsidTr="00F22B80">
        <w:tc>
          <w:tcPr>
            <w:tcW w:w="2528" w:type="dxa"/>
          </w:tcPr>
          <w:p w14:paraId="7DBD1DCE" w14:textId="77777777" w:rsidR="00F22B80" w:rsidRDefault="00F22B80" w:rsidP="00F22B80">
            <w:pPr>
              <w:rPr>
                <w:rFonts w:ascii="Arial" w:hAnsi="Arial" w:cs="Arial"/>
                <w:b/>
                <w:bCs/>
              </w:rPr>
            </w:pPr>
            <w:r w:rsidRPr="002A1020">
              <w:rPr>
                <w:rFonts w:ascii="Arial" w:hAnsi="Arial" w:cs="Arial"/>
                <w:b/>
                <w:bCs/>
              </w:rPr>
              <w:lastRenderedPageBreak/>
              <w:t>Term</w:t>
            </w:r>
          </w:p>
          <w:p w14:paraId="586B0FAA" w14:textId="76F13813" w:rsidR="00F22B80" w:rsidRPr="00F22B80" w:rsidRDefault="00F22B80" w:rsidP="00F22B80">
            <w:pPr>
              <w:rPr>
                <w:rFonts w:ascii="Arial" w:hAnsi="Arial" w:cs="Arial"/>
              </w:rPr>
            </w:pPr>
          </w:p>
        </w:tc>
        <w:tc>
          <w:tcPr>
            <w:tcW w:w="6488" w:type="dxa"/>
          </w:tcPr>
          <w:p w14:paraId="1E44DF2D" w14:textId="5B2D609E" w:rsidR="00F22B80" w:rsidRPr="00F22B80" w:rsidRDefault="00F22B80" w:rsidP="00F22B80">
            <w:pPr>
              <w:rPr>
                <w:rFonts w:ascii="Arial" w:hAnsi="Arial" w:cs="Arial"/>
              </w:rPr>
            </w:pPr>
            <w:r w:rsidRPr="002A1020">
              <w:rPr>
                <w:rFonts w:ascii="Arial" w:hAnsi="Arial" w:cs="Arial"/>
                <w:b/>
                <w:bCs/>
              </w:rPr>
              <w:t>Definition</w:t>
            </w:r>
          </w:p>
        </w:tc>
      </w:tr>
      <w:tr w:rsidR="00F22B80" w14:paraId="7815F1A3" w14:textId="77777777" w:rsidTr="00F22B80">
        <w:tc>
          <w:tcPr>
            <w:tcW w:w="2528" w:type="dxa"/>
          </w:tcPr>
          <w:p w14:paraId="53D21C24" w14:textId="48A57845" w:rsidR="00F22B80" w:rsidRPr="00F22B80" w:rsidRDefault="00F22B80" w:rsidP="00F22B80">
            <w:pPr>
              <w:rPr>
                <w:rFonts w:ascii="Arial" w:hAnsi="Arial" w:cs="Arial"/>
              </w:rPr>
            </w:pPr>
            <w:r w:rsidRPr="00F22B80">
              <w:rPr>
                <w:rFonts w:ascii="Arial" w:hAnsi="Arial" w:cs="Arial"/>
              </w:rPr>
              <w:t>Retrofit</w:t>
            </w:r>
          </w:p>
        </w:tc>
        <w:tc>
          <w:tcPr>
            <w:tcW w:w="6488" w:type="dxa"/>
          </w:tcPr>
          <w:p w14:paraId="3E8E6719" w14:textId="74030A68" w:rsidR="00F22B80" w:rsidRPr="00F22B80" w:rsidRDefault="00F22B80" w:rsidP="00F22B80">
            <w:pPr>
              <w:rPr>
                <w:rFonts w:ascii="Arial" w:hAnsi="Arial" w:cs="Arial"/>
              </w:rPr>
            </w:pPr>
            <w:r w:rsidRPr="00F22B80">
              <w:rPr>
                <w:rFonts w:ascii="Arial" w:hAnsi="Arial" w:cs="Arial"/>
                <w:shd w:val="clear" w:color="auto" w:fill="FFFFFF"/>
              </w:rPr>
              <w:t xml:space="preserve">Retrofit refers to any improvement work on an existing building to improve its energy efficiency, </w:t>
            </w:r>
            <w:r w:rsidR="00C52ABC">
              <w:rPr>
                <w:rFonts w:ascii="Arial" w:hAnsi="Arial" w:cs="Arial"/>
                <w:shd w:val="clear" w:color="auto" w:fill="FFFFFF"/>
              </w:rPr>
              <w:t xml:space="preserve">reducing the energy required </w:t>
            </w:r>
            <w:r w:rsidRPr="00F22B80">
              <w:rPr>
                <w:rFonts w:ascii="Arial" w:hAnsi="Arial" w:cs="Arial"/>
                <w:shd w:val="clear" w:color="auto" w:fill="FFFFFF"/>
              </w:rPr>
              <w:t>to heat</w:t>
            </w:r>
            <w:r w:rsidR="00C52ABC">
              <w:rPr>
                <w:rFonts w:ascii="Arial" w:hAnsi="Arial" w:cs="Arial"/>
                <w:shd w:val="clear" w:color="auto" w:fill="FFFFFF"/>
              </w:rPr>
              <w:t xml:space="preserve"> them</w:t>
            </w:r>
            <w:r w:rsidRPr="00F22B80">
              <w:rPr>
                <w:rFonts w:ascii="Arial" w:hAnsi="Arial" w:cs="Arial"/>
                <w:shd w:val="clear" w:color="auto" w:fill="FFFFFF"/>
              </w:rPr>
              <w:t xml:space="preserve">, </w:t>
            </w:r>
            <w:r w:rsidR="004029B0">
              <w:rPr>
                <w:rFonts w:ascii="Arial" w:hAnsi="Arial" w:cs="Arial"/>
                <w:shd w:val="clear" w:color="auto" w:fill="FFFFFF"/>
              </w:rPr>
              <w:t xml:space="preserve">increasing the </w:t>
            </w:r>
            <w:r w:rsidR="000E4830">
              <w:rPr>
                <w:rFonts w:ascii="Arial" w:hAnsi="Arial" w:cs="Arial"/>
                <w:shd w:val="clear" w:color="auto" w:fill="FFFFFF"/>
              </w:rPr>
              <w:t xml:space="preserve">time </w:t>
            </w:r>
            <w:r w:rsidRPr="00F22B80">
              <w:rPr>
                <w:rFonts w:ascii="Arial" w:hAnsi="Arial" w:cs="Arial"/>
                <w:shd w:val="clear" w:color="auto" w:fill="FFFFFF"/>
              </w:rPr>
              <w:t xml:space="preserve">heat </w:t>
            </w:r>
            <w:r w:rsidR="000E4830">
              <w:rPr>
                <w:rFonts w:ascii="Arial" w:hAnsi="Arial" w:cs="Arial"/>
                <w:shd w:val="clear" w:color="auto" w:fill="FFFFFF"/>
              </w:rPr>
              <w:t>is retained, addressing damp and mould issues</w:t>
            </w:r>
            <w:r w:rsidRPr="00F22B80">
              <w:rPr>
                <w:rFonts w:ascii="Arial" w:hAnsi="Arial" w:cs="Arial"/>
                <w:shd w:val="clear" w:color="auto" w:fill="FFFFFF"/>
              </w:rPr>
              <w:t xml:space="preserve"> and replacing fossil fuels with renewable energy.</w:t>
            </w:r>
          </w:p>
        </w:tc>
      </w:tr>
      <w:tr w:rsidR="00F22B80" w14:paraId="0878FD8E" w14:textId="77777777" w:rsidTr="00F22B80">
        <w:tc>
          <w:tcPr>
            <w:tcW w:w="2528" w:type="dxa"/>
          </w:tcPr>
          <w:p w14:paraId="1F8FBA56" w14:textId="77777777" w:rsidR="00F22B80" w:rsidRPr="00F22B80" w:rsidRDefault="00F22B80" w:rsidP="00F22B80">
            <w:pPr>
              <w:rPr>
                <w:rFonts w:ascii="Arial" w:eastAsia="Times New Roman" w:hAnsi="Arial" w:cs="Arial"/>
              </w:rPr>
            </w:pPr>
            <w:r w:rsidRPr="00F22B80">
              <w:rPr>
                <w:rFonts w:ascii="Arial" w:hAnsi="Arial" w:cs="Arial"/>
              </w:rPr>
              <w:t>Solar PV</w:t>
            </w:r>
          </w:p>
          <w:p w14:paraId="7CE3E5F5" w14:textId="0AB776B7" w:rsidR="00F22B80" w:rsidRPr="00F22B80" w:rsidRDefault="00F22B80" w:rsidP="00F22B80">
            <w:pPr>
              <w:rPr>
                <w:rFonts w:ascii="Arial" w:hAnsi="Arial" w:cs="Arial"/>
              </w:rPr>
            </w:pPr>
          </w:p>
        </w:tc>
        <w:tc>
          <w:tcPr>
            <w:tcW w:w="6488" w:type="dxa"/>
          </w:tcPr>
          <w:p w14:paraId="4DF9F000" w14:textId="67EC27F7" w:rsidR="00F22B80" w:rsidRPr="00F22B80" w:rsidRDefault="00F22B80" w:rsidP="00F22B80">
            <w:pPr>
              <w:rPr>
                <w:rFonts w:ascii="Arial" w:hAnsi="Arial" w:cs="Arial"/>
              </w:rPr>
            </w:pPr>
            <w:r w:rsidRPr="00F22B80">
              <w:rPr>
                <w:rFonts w:ascii="Arial" w:hAnsi="Arial" w:cs="Arial"/>
                <w:shd w:val="clear" w:color="auto" w:fill="FFFFFF"/>
              </w:rPr>
              <w:t>Photovoltaic (PV) cell, commonly called a solar cell, is </w:t>
            </w:r>
            <w:r w:rsidRPr="00F22B80">
              <w:rPr>
                <w:rFonts w:ascii="Arial" w:hAnsi="Arial" w:cs="Arial"/>
              </w:rPr>
              <w:t>a nonmechanical device that converts sunlight directly into electricity</w:t>
            </w:r>
            <w:r w:rsidRPr="00F22B80">
              <w:rPr>
                <w:rFonts w:ascii="Arial" w:hAnsi="Arial" w:cs="Arial"/>
                <w:shd w:val="clear" w:color="auto" w:fill="FFFFFF"/>
              </w:rPr>
              <w:t>. Some PV cells can convert artificial light into electricity.</w:t>
            </w:r>
          </w:p>
        </w:tc>
      </w:tr>
      <w:tr w:rsidR="00F22B80" w14:paraId="238C038C" w14:textId="77777777" w:rsidTr="00F22B80">
        <w:tc>
          <w:tcPr>
            <w:tcW w:w="2528" w:type="dxa"/>
          </w:tcPr>
          <w:p w14:paraId="24A3E3FD" w14:textId="69C62DCE" w:rsidR="00F22B80" w:rsidRDefault="00F22B80" w:rsidP="00F22B80">
            <w:r w:rsidRPr="00F22B80">
              <w:rPr>
                <w:rFonts w:ascii="Arial" w:hAnsi="Arial" w:cs="Arial"/>
              </w:rPr>
              <w:t xml:space="preserve">Vulnerable Communities </w:t>
            </w:r>
          </w:p>
        </w:tc>
        <w:tc>
          <w:tcPr>
            <w:tcW w:w="6488" w:type="dxa"/>
          </w:tcPr>
          <w:p w14:paraId="3E6E2B9D" w14:textId="7153A1D5" w:rsidR="00F22B80" w:rsidRDefault="00F22B80" w:rsidP="00073166">
            <w:r w:rsidRPr="00F22B80">
              <w:rPr>
                <w:rFonts w:ascii="Arial" w:hAnsi="Arial" w:cs="Arial"/>
                <w:lang w:val="en"/>
              </w:rPr>
              <w:t xml:space="preserve">Vulnerable communities </w:t>
            </w:r>
            <w:r w:rsidR="008C4E4F">
              <w:rPr>
                <w:rFonts w:ascii="Arial" w:hAnsi="Arial" w:cs="Arial"/>
                <w:lang w:val="en"/>
              </w:rPr>
              <w:t xml:space="preserve">is used </w:t>
            </w:r>
            <w:r w:rsidR="00C951B1">
              <w:rPr>
                <w:rFonts w:ascii="Arial" w:hAnsi="Arial" w:cs="Arial"/>
                <w:lang w:val="en"/>
              </w:rPr>
              <w:t xml:space="preserve">to refer to individuals who are </w:t>
            </w:r>
            <w:r w:rsidR="00DB68A5">
              <w:rPr>
                <w:rFonts w:ascii="Arial" w:hAnsi="Arial" w:cs="Arial"/>
                <w:lang w:val="en"/>
              </w:rPr>
              <w:t xml:space="preserve">at higher risk of harm from the impact of a changing climate </w:t>
            </w:r>
            <w:r w:rsidR="00802139">
              <w:rPr>
                <w:rFonts w:ascii="Arial" w:hAnsi="Arial" w:cs="Arial"/>
                <w:lang w:val="en"/>
              </w:rPr>
              <w:t xml:space="preserve">or </w:t>
            </w:r>
            <w:r w:rsidR="00070850">
              <w:rPr>
                <w:rFonts w:ascii="Arial" w:hAnsi="Arial" w:cs="Arial"/>
                <w:lang w:val="en"/>
              </w:rPr>
              <w:t xml:space="preserve">who </w:t>
            </w:r>
            <w:r w:rsidR="00C52ABC">
              <w:rPr>
                <w:rFonts w:ascii="Arial" w:hAnsi="Arial" w:cs="Arial"/>
                <w:lang w:val="en"/>
              </w:rPr>
              <w:t xml:space="preserve">struggle to </w:t>
            </w:r>
            <w:r w:rsidR="00802139">
              <w:rPr>
                <w:rFonts w:ascii="Arial" w:hAnsi="Arial" w:cs="Arial"/>
                <w:lang w:val="en"/>
              </w:rPr>
              <w:t xml:space="preserve">meet the cost of heating their home adequately. Risk factors can include </w:t>
            </w:r>
            <w:r w:rsidR="00AE57FC">
              <w:rPr>
                <w:rFonts w:ascii="Arial" w:hAnsi="Arial" w:cs="Arial"/>
                <w:lang w:val="en"/>
              </w:rPr>
              <w:t xml:space="preserve">financial disadvantage, </w:t>
            </w:r>
            <w:r w:rsidR="00A31D78">
              <w:rPr>
                <w:rFonts w:ascii="Arial" w:hAnsi="Arial" w:cs="Arial"/>
                <w:lang w:val="en"/>
              </w:rPr>
              <w:t>long term health conditions, age, digital or linguistic exclusion</w:t>
            </w:r>
            <w:r w:rsidR="00073166">
              <w:rPr>
                <w:rFonts w:ascii="Arial" w:hAnsi="Arial" w:cs="Arial"/>
                <w:lang w:val="en"/>
              </w:rPr>
              <w:t>.</w:t>
            </w:r>
          </w:p>
        </w:tc>
      </w:tr>
    </w:tbl>
    <w:p w14:paraId="25025223" w14:textId="77777777" w:rsidR="00285379" w:rsidRDefault="00000000"/>
    <w:sectPr w:rsidR="0028537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020"/>
    <w:rsid w:val="0003197D"/>
    <w:rsid w:val="00070850"/>
    <w:rsid w:val="00073166"/>
    <w:rsid w:val="0007419D"/>
    <w:rsid w:val="000E4830"/>
    <w:rsid w:val="001035A3"/>
    <w:rsid w:val="00123B54"/>
    <w:rsid w:val="002A1020"/>
    <w:rsid w:val="002D0E5E"/>
    <w:rsid w:val="003F7305"/>
    <w:rsid w:val="004029B0"/>
    <w:rsid w:val="00440C07"/>
    <w:rsid w:val="005121A7"/>
    <w:rsid w:val="005444AC"/>
    <w:rsid w:val="005B7A6A"/>
    <w:rsid w:val="00651376"/>
    <w:rsid w:val="00693451"/>
    <w:rsid w:val="006A68DC"/>
    <w:rsid w:val="006B4E19"/>
    <w:rsid w:val="00730479"/>
    <w:rsid w:val="007A71D7"/>
    <w:rsid w:val="00802139"/>
    <w:rsid w:val="00823974"/>
    <w:rsid w:val="008B22EB"/>
    <w:rsid w:val="008C4E4F"/>
    <w:rsid w:val="0096538B"/>
    <w:rsid w:val="00984110"/>
    <w:rsid w:val="009B4950"/>
    <w:rsid w:val="009C2C2F"/>
    <w:rsid w:val="00A31D78"/>
    <w:rsid w:val="00A65C72"/>
    <w:rsid w:val="00AE57FC"/>
    <w:rsid w:val="00AF66A7"/>
    <w:rsid w:val="00B25E09"/>
    <w:rsid w:val="00C52ABC"/>
    <w:rsid w:val="00C53B64"/>
    <w:rsid w:val="00C951B1"/>
    <w:rsid w:val="00DB68A5"/>
    <w:rsid w:val="00ED6D6B"/>
    <w:rsid w:val="00F22B80"/>
    <w:rsid w:val="00F51BBB"/>
    <w:rsid w:val="00FA3618"/>
    <w:rsid w:val="00FC5E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5F163C"/>
  <w15:chartTrackingRefBased/>
  <w15:docId w15:val="{0FEDEE07-4FFC-45D8-9D8B-98AC9437F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020"/>
    <w:pPr>
      <w:spacing w:after="0" w:line="240" w:lineRule="auto"/>
    </w:pPr>
    <w:rPr>
      <w:rFonts w:ascii="Calibri" w:eastAsia="Gulim"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SpacingChar">
    <w:name w:val="No Spacing Char"/>
    <w:aliases w:val="Text Char"/>
    <w:basedOn w:val="DefaultParagraphFont"/>
    <w:link w:val="NoSpacing"/>
    <w:uiPriority w:val="1"/>
    <w:locked/>
    <w:rsid w:val="002A1020"/>
    <w:rPr>
      <w:rFonts w:ascii="Arial" w:hAnsi="Arial" w:cs="Arial"/>
    </w:rPr>
  </w:style>
  <w:style w:type="paragraph" w:styleId="NoSpacing">
    <w:name w:val="No Spacing"/>
    <w:aliases w:val="Text"/>
    <w:basedOn w:val="Normal"/>
    <w:link w:val="NoSpacingChar"/>
    <w:uiPriority w:val="1"/>
    <w:qFormat/>
    <w:rsid w:val="002A1020"/>
    <w:pPr>
      <w:ind w:left="680"/>
    </w:pPr>
    <w:rPr>
      <w:rFonts w:ascii="Arial" w:eastAsiaTheme="minorHAnsi" w:hAnsi="Arial" w:cs="Arial"/>
    </w:rPr>
  </w:style>
  <w:style w:type="table" w:styleId="TableGrid">
    <w:name w:val="Table Grid"/>
    <w:basedOn w:val="TableNormal"/>
    <w:uiPriority w:val="39"/>
    <w:rsid w:val="002A10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5627">
      <w:bodyDiv w:val="1"/>
      <w:marLeft w:val="0"/>
      <w:marRight w:val="0"/>
      <w:marTop w:val="0"/>
      <w:marBottom w:val="0"/>
      <w:divBdr>
        <w:top w:val="none" w:sz="0" w:space="0" w:color="auto"/>
        <w:left w:val="none" w:sz="0" w:space="0" w:color="auto"/>
        <w:bottom w:val="none" w:sz="0" w:space="0" w:color="auto"/>
        <w:right w:val="none" w:sz="0" w:space="0" w:color="auto"/>
      </w:divBdr>
    </w:div>
    <w:div w:id="179976688">
      <w:bodyDiv w:val="1"/>
      <w:marLeft w:val="0"/>
      <w:marRight w:val="0"/>
      <w:marTop w:val="0"/>
      <w:marBottom w:val="0"/>
      <w:divBdr>
        <w:top w:val="none" w:sz="0" w:space="0" w:color="auto"/>
        <w:left w:val="none" w:sz="0" w:space="0" w:color="auto"/>
        <w:bottom w:val="none" w:sz="0" w:space="0" w:color="auto"/>
        <w:right w:val="none" w:sz="0" w:space="0" w:color="auto"/>
      </w:divBdr>
    </w:div>
    <w:div w:id="355232069">
      <w:bodyDiv w:val="1"/>
      <w:marLeft w:val="0"/>
      <w:marRight w:val="0"/>
      <w:marTop w:val="0"/>
      <w:marBottom w:val="0"/>
      <w:divBdr>
        <w:top w:val="none" w:sz="0" w:space="0" w:color="auto"/>
        <w:left w:val="none" w:sz="0" w:space="0" w:color="auto"/>
        <w:bottom w:val="none" w:sz="0" w:space="0" w:color="auto"/>
        <w:right w:val="none" w:sz="0" w:space="0" w:color="auto"/>
      </w:divBdr>
    </w:div>
    <w:div w:id="515193106">
      <w:bodyDiv w:val="1"/>
      <w:marLeft w:val="0"/>
      <w:marRight w:val="0"/>
      <w:marTop w:val="0"/>
      <w:marBottom w:val="0"/>
      <w:divBdr>
        <w:top w:val="none" w:sz="0" w:space="0" w:color="auto"/>
        <w:left w:val="none" w:sz="0" w:space="0" w:color="auto"/>
        <w:bottom w:val="none" w:sz="0" w:space="0" w:color="auto"/>
        <w:right w:val="none" w:sz="0" w:space="0" w:color="auto"/>
      </w:divBdr>
    </w:div>
    <w:div w:id="536049362">
      <w:bodyDiv w:val="1"/>
      <w:marLeft w:val="0"/>
      <w:marRight w:val="0"/>
      <w:marTop w:val="0"/>
      <w:marBottom w:val="0"/>
      <w:divBdr>
        <w:top w:val="none" w:sz="0" w:space="0" w:color="auto"/>
        <w:left w:val="none" w:sz="0" w:space="0" w:color="auto"/>
        <w:bottom w:val="none" w:sz="0" w:space="0" w:color="auto"/>
        <w:right w:val="none" w:sz="0" w:space="0" w:color="auto"/>
      </w:divBdr>
    </w:div>
    <w:div w:id="572661104">
      <w:bodyDiv w:val="1"/>
      <w:marLeft w:val="0"/>
      <w:marRight w:val="0"/>
      <w:marTop w:val="0"/>
      <w:marBottom w:val="0"/>
      <w:divBdr>
        <w:top w:val="none" w:sz="0" w:space="0" w:color="auto"/>
        <w:left w:val="none" w:sz="0" w:space="0" w:color="auto"/>
        <w:bottom w:val="none" w:sz="0" w:space="0" w:color="auto"/>
        <w:right w:val="none" w:sz="0" w:space="0" w:color="auto"/>
      </w:divBdr>
    </w:div>
    <w:div w:id="577134183">
      <w:bodyDiv w:val="1"/>
      <w:marLeft w:val="0"/>
      <w:marRight w:val="0"/>
      <w:marTop w:val="0"/>
      <w:marBottom w:val="0"/>
      <w:divBdr>
        <w:top w:val="none" w:sz="0" w:space="0" w:color="auto"/>
        <w:left w:val="none" w:sz="0" w:space="0" w:color="auto"/>
        <w:bottom w:val="none" w:sz="0" w:space="0" w:color="auto"/>
        <w:right w:val="none" w:sz="0" w:space="0" w:color="auto"/>
      </w:divBdr>
    </w:div>
    <w:div w:id="661666239">
      <w:bodyDiv w:val="1"/>
      <w:marLeft w:val="0"/>
      <w:marRight w:val="0"/>
      <w:marTop w:val="0"/>
      <w:marBottom w:val="0"/>
      <w:divBdr>
        <w:top w:val="none" w:sz="0" w:space="0" w:color="auto"/>
        <w:left w:val="none" w:sz="0" w:space="0" w:color="auto"/>
        <w:bottom w:val="none" w:sz="0" w:space="0" w:color="auto"/>
        <w:right w:val="none" w:sz="0" w:space="0" w:color="auto"/>
      </w:divBdr>
    </w:div>
    <w:div w:id="819342509">
      <w:bodyDiv w:val="1"/>
      <w:marLeft w:val="0"/>
      <w:marRight w:val="0"/>
      <w:marTop w:val="0"/>
      <w:marBottom w:val="0"/>
      <w:divBdr>
        <w:top w:val="none" w:sz="0" w:space="0" w:color="auto"/>
        <w:left w:val="none" w:sz="0" w:space="0" w:color="auto"/>
        <w:bottom w:val="none" w:sz="0" w:space="0" w:color="auto"/>
        <w:right w:val="none" w:sz="0" w:space="0" w:color="auto"/>
      </w:divBdr>
    </w:div>
    <w:div w:id="1039012753">
      <w:bodyDiv w:val="1"/>
      <w:marLeft w:val="0"/>
      <w:marRight w:val="0"/>
      <w:marTop w:val="0"/>
      <w:marBottom w:val="0"/>
      <w:divBdr>
        <w:top w:val="none" w:sz="0" w:space="0" w:color="auto"/>
        <w:left w:val="none" w:sz="0" w:space="0" w:color="auto"/>
        <w:bottom w:val="none" w:sz="0" w:space="0" w:color="auto"/>
        <w:right w:val="none" w:sz="0" w:space="0" w:color="auto"/>
      </w:divBdr>
    </w:div>
    <w:div w:id="1804346869">
      <w:bodyDiv w:val="1"/>
      <w:marLeft w:val="0"/>
      <w:marRight w:val="0"/>
      <w:marTop w:val="0"/>
      <w:marBottom w:val="0"/>
      <w:divBdr>
        <w:top w:val="none" w:sz="0" w:space="0" w:color="auto"/>
        <w:left w:val="none" w:sz="0" w:space="0" w:color="auto"/>
        <w:bottom w:val="none" w:sz="0" w:space="0" w:color="auto"/>
        <w:right w:val="none" w:sz="0" w:space="0" w:color="auto"/>
      </w:divBdr>
      <w:divsChild>
        <w:div w:id="288515654">
          <w:marLeft w:val="0"/>
          <w:marRight w:val="0"/>
          <w:marTop w:val="0"/>
          <w:marBottom w:val="0"/>
          <w:divBdr>
            <w:top w:val="none" w:sz="0" w:space="0" w:color="auto"/>
            <w:left w:val="none" w:sz="0" w:space="0" w:color="auto"/>
            <w:bottom w:val="none" w:sz="0" w:space="0" w:color="auto"/>
            <w:right w:val="none" w:sz="0" w:space="0" w:color="auto"/>
          </w:divBdr>
          <w:divsChild>
            <w:div w:id="819543368">
              <w:marLeft w:val="0"/>
              <w:marRight w:val="0"/>
              <w:marTop w:val="0"/>
              <w:marBottom w:val="0"/>
              <w:divBdr>
                <w:top w:val="none" w:sz="0" w:space="0" w:color="auto"/>
                <w:left w:val="none" w:sz="0" w:space="0" w:color="auto"/>
                <w:bottom w:val="none" w:sz="0" w:space="0" w:color="auto"/>
                <w:right w:val="none" w:sz="0" w:space="0" w:color="auto"/>
              </w:divBdr>
              <w:divsChild>
                <w:div w:id="1581719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764957978">
          <w:marLeft w:val="0"/>
          <w:marRight w:val="0"/>
          <w:marTop w:val="0"/>
          <w:marBottom w:val="0"/>
          <w:divBdr>
            <w:top w:val="none" w:sz="0" w:space="0" w:color="auto"/>
            <w:left w:val="none" w:sz="0" w:space="0" w:color="auto"/>
            <w:bottom w:val="none" w:sz="0" w:space="0" w:color="auto"/>
            <w:right w:val="none" w:sz="0" w:space="0" w:color="auto"/>
          </w:divBdr>
          <w:divsChild>
            <w:div w:id="910431855">
              <w:marLeft w:val="0"/>
              <w:marRight w:val="0"/>
              <w:marTop w:val="0"/>
              <w:marBottom w:val="0"/>
              <w:divBdr>
                <w:top w:val="none" w:sz="0" w:space="0" w:color="auto"/>
                <w:left w:val="none" w:sz="0" w:space="0" w:color="auto"/>
                <w:bottom w:val="none" w:sz="0" w:space="0" w:color="auto"/>
                <w:right w:val="none" w:sz="0" w:space="0" w:color="auto"/>
              </w:divBdr>
              <w:divsChild>
                <w:div w:id="767891863">
                  <w:marLeft w:val="0"/>
                  <w:marRight w:val="0"/>
                  <w:marTop w:val="0"/>
                  <w:marBottom w:val="0"/>
                  <w:divBdr>
                    <w:top w:val="none" w:sz="0" w:space="0" w:color="auto"/>
                    <w:left w:val="none" w:sz="0" w:space="0" w:color="auto"/>
                    <w:bottom w:val="none" w:sz="0" w:space="0" w:color="auto"/>
                    <w:right w:val="none" w:sz="0" w:space="0" w:color="auto"/>
                  </w:divBdr>
                  <w:divsChild>
                    <w:div w:id="472260344">
                      <w:marLeft w:val="0"/>
                      <w:marRight w:val="0"/>
                      <w:marTop w:val="0"/>
                      <w:marBottom w:val="0"/>
                      <w:divBdr>
                        <w:top w:val="none" w:sz="0" w:space="0" w:color="auto"/>
                        <w:left w:val="none" w:sz="0" w:space="0" w:color="auto"/>
                        <w:bottom w:val="none" w:sz="0" w:space="0" w:color="auto"/>
                        <w:right w:val="none" w:sz="0" w:space="0" w:color="auto"/>
                      </w:divBdr>
                      <w:divsChild>
                        <w:div w:id="618683296">
                          <w:marLeft w:val="0"/>
                          <w:marRight w:val="0"/>
                          <w:marTop w:val="0"/>
                          <w:marBottom w:val="0"/>
                          <w:divBdr>
                            <w:top w:val="none" w:sz="0" w:space="0" w:color="auto"/>
                            <w:left w:val="none" w:sz="0" w:space="0" w:color="auto"/>
                            <w:bottom w:val="none" w:sz="0" w:space="0" w:color="auto"/>
                            <w:right w:val="none" w:sz="0" w:space="0" w:color="auto"/>
                          </w:divBdr>
                          <w:divsChild>
                            <w:div w:id="115016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5723083">
      <w:bodyDiv w:val="1"/>
      <w:marLeft w:val="0"/>
      <w:marRight w:val="0"/>
      <w:marTop w:val="0"/>
      <w:marBottom w:val="0"/>
      <w:divBdr>
        <w:top w:val="none" w:sz="0" w:space="0" w:color="auto"/>
        <w:left w:val="none" w:sz="0" w:space="0" w:color="auto"/>
        <w:bottom w:val="none" w:sz="0" w:space="0" w:color="auto"/>
        <w:right w:val="none" w:sz="0" w:space="0" w:color="auto"/>
      </w:divBdr>
    </w:div>
    <w:div w:id="1997763804">
      <w:bodyDiv w:val="1"/>
      <w:marLeft w:val="0"/>
      <w:marRight w:val="0"/>
      <w:marTop w:val="0"/>
      <w:marBottom w:val="0"/>
      <w:divBdr>
        <w:top w:val="none" w:sz="0" w:space="0" w:color="auto"/>
        <w:left w:val="none" w:sz="0" w:space="0" w:color="auto"/>
        <w:bottom w:val="none" w:sz="0" w:space="0" w:color="auto"/>
        <w:right w:val="none" w:sz="0" w:space="0" w:color="auto"/>
      </w:divBdr>
    </w:div>
    <w:div w:id="2036076948">
      <w:bodyDiv w:val="1"/>
      <w:marLeft w:val="0"/>
      <w:marRight w:val="0"/>
      <w:marTop w:val="0"/>
      <w:marBottom w:val="0"/>
      <w:divBdr>
        <w:top w:val="none" w:sz="0" w:space="0" w:color="auto"/>
        <w:left w:val="none" w:sz="0" w:space="0" w:color="auto"/>
        <w:bottom w:val="none" w:sz="0" w:space="0" w:color="auto"/>
        <w:right w:val="none" w:sz="0" w:space="0" w:color="auto"/>
      </w:divBdr>
    </w:div>
    <w:div w:id="2115709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customXml" Target="../customXml/item5.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ecbfbc1-0ec4-49c9-a286-b322b0691eee">
      <Terms xmlns="http://schemas.microsoft.com/office/infopath/2007/PartnerControls"/>
    </lcf76f155ced4ddcb4097134ff3c332f>
    <TaxCatchAll xmlns="83a8452a-17be-4717-8a39-2318b321dfb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7931cdb5-da7d-4a5d-b523-19dbfe538874" ContentTypeId="0x01" PreviousValue="false"/>
</file>

<file path=customXml/item4.xml><?xml version="1.0" encoding="utf-8"?>
<?mso-contentType ?>
<spe:Receivers xmlns:spe="http://schemas.microsoft.com/sharepoint/events"/>
</file>

<file path=customXml/item5.xml><?xml version="1.0" encoding="utf-8"?>
<ct:contentTypeSchema xmlns:ct="http://schemas.microsoft.com/office/2006/metadata/contentType" xmlns:ma="http://schemas.microsoft.com/office/2006/metadata/properties/metaAttributes" ct:_="" ma:_="" ma:contentTypeName="Document" ma:contentTypeID="0x010100F7B0691BBDE4AD4E9B780B7CD0A0452E" ma:contentTypeVersion="301" ma:contentTypeDescription="Create a new document." ma:contentTypeScope="" ma:versionID="d14db1591daaa71d8dc76bc4e3b73e49">
  <xsd:schema xmlns:xsd="http://www.w3.org/2001/XMLSchema" xmlns:xs="http://www.w3.org/2001/XMLSchema" xmlns:p="http://schemas.microsoft.com/office/2006/metadata/properties" xmlns:ns2="0ecbfbc1-0ec4-49c9-a286-b322b0691eee" xmlns:ns3="39585b24-6ba6-49b2-81c5-ad077dc59dd7" xmlns:ns4="aed110bc-b662-408d-a381-61cd1b84d659" xmlns:ns5="83a8452a-17be-4717-8a39-2318b321dfb4" targetNamespace="http://schemas.microsoft.com/office/2006/metadata/properties" ma:root="true" ma:fieldsID="e815cab577dca4926deac7df11d7552d" ns2:_="" ns3:_="" ns4:_="" ns5:_="">
    <xsd:import namespace="0ecbfbc1-0ec4-49c9-a286-b322b0691eee"/>
    <xsd:import namespace="39585b24-6ba6-49b2-81c5-ad077dc59dd7"/>
    <xsd:import namespace="aed110bc-b662-408d-a381-61cd1b84d659"/>
    <xsd:import namespace="83a8452a-17be-4717-8a39-2318b321dfb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_dlc_DocId" minOccurs="0"/>
                <xsd:element ref="ns3:_dlc_DocIdUrl" minOccurs="0"/>
                <xsd:element ref="ns3:_dlc_DocIdPersistId" minOccurs="0"/>
                <xsd:element ref="ns4:SharedWithUsers" minOccurs="0"/>
                <xsd:element ref="ns4:SharedWithDetails" minOccurs="0"/>
                <xsd:element ref="ns2:lcf76f155ced4ddcb4097134ff3c332f" minOccurs="0"/>
                <xsd:element ref="ns5: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cbfbc1-0ec4-49c9-a286-b322b0691e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7931cdb5-da7d-4a5d-b523-19dbfe538874"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585b24-6ba6-49b2-81c5-ad077dc59dd7"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ed110bc-b662-408d-a381-61cd1b84d659"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a8452a-17be-4717-8a39-2318b321dfb4"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ef940ed7-4745-466b-b63e-293a6a1743fb}" ma:internalName="TaxCatchAll" ma:showField="CatchAllData" ma:web="39585b24-6ba6-49b2-81c5-ad077dc59dd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D6F9BC-E49D-43E8-8915-37CC044B5CE7}">
  <ds:schemaRefs>
    <ds:schemaRef ds:uri="http://schemas.microsoft.com/office/2006/metadata/properties"/>
    <ds:schemaRef ds:uri="http://schemas.microsoft.com/office/infopath/2007/PartnerControls"/>
    <ds:schemaRef ds:uri="0ecbfbc1-0ec4-49c9-a286-b322b0691eee"/>
    <ds:schemaRef ds:uri="83a8452a-17be-4717-8a39-2318b321dfb4"/>
  </ds:schemaRefs>
</ds:datastoreItem>
</file>

<file path=customXml/itemProps2.xml><?xml version="1.0" encoding="utf-8"?>
<ds:datastoreItem xmlns:ds="http://schemas.openxmlformats.org/officeDocument/2006/customXml" ds:itemID="{17492CA2-ACE8-4343-9B1C-5EE7030A2BD9}">
  <ds:schemaRefs>
    <ds:schemaRef ds:uri="http://schemas.microsoft.com/sharepoint/v3/contenttype/forms"/>
  </ds:schemaRefs>
</ds:datastoreItem>
</file>

<file path=customXml/itemProps3.xml><?xml version="1.0" encoding="utf-8"?>
<ds:datastoreItem xmlns:ds="http://schemas.openxmlformats.org/officeDocument/2006/customXml" ds:itemID="{E5823BF5-B8E8-4DCD-821C-89177553F2A5}">
  <ds:schemaRefs>
    <ds:schemaRef ds:uri="Microsoft.SharePoint.Taxonomy.ContentTypeSync"/>
  </ds:schemaRefs>
</ds:datastoreItem>
</file>

<file path=customXml/itemProps4.xml><?xml version="1.0" encoding="utf-8"?>
<ds:datastoreItem xmlns:ds="http://schemas.openxmlformats.org/officeDocument/2006/customXml" ds:itemID="{0D6F2A85-0BBB-4B07-8A89-E1E4A0809309}">
  <ds:schemaRefs>
    <ds:schemaRef ds:uri="http://schemas.microsoft.com/sharepoint/events"/>
  </ds:schemaRefs>
</ds:datastoreItem>
</file>

<file path=customXml/itemProps5.xml><?xml version="1.0" encoding="utf-8"?>
<ds:datastoreItem xmlns:ds="http://schemas.openxmlformats.org/officeDocument/2006/customXml" ds:itemID="{A7854400-9335-469C-9BCC-7605808810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cbfbc1-0ec4-49c9-a286-b322b0691eee"/>
    <ds:schemaRef ds:uri="39585b24-6ba6-49b2-81c5-ad077dc59dd7"/>
    <ds:schemaRef ds:uri="aed110bc-b662-408d-a381-61cd1b84d659"/>
    <ds:schemaRef ds:uri="83a8452a-17be-4717-8a39-2318b321df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564</Words>
  <Characters>3215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Karune, Andrew</dc:creator>
  <cp:keywords/>
  <dc:description/>
  <cp:lastModifiedBy>O'Brien, Martin</cp:lastModifiedBy>
  <cp:revision>31</cp:revision>
  <dcterms:created xsi:type="dcterms:W3CDTF">2023-09-08T05:46:00Z</dcterms:created>
  <dcterms:modified xsi:type="dcterms:W3CDTF">2023-09-21T08:37:00Z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0x010100F7B0691BBDE4AD4E9B780B7CD0A0452E</vt:lpwstr>
  </property>
  <property fmtid="{D5CDD505-2E9C-101B-9397-08002B2CF9AE}" pid="3" name="MediaServiceImageTags">
    <vt:lpwstr/>
  </property>
</Properties>
</file>