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79" w:rsidRDefault="00334079" w:rsidP="00B44BAE">
      <w:pPr>
        <w:autoSpaceDE w:val="0"/>
        <w:autoSpaceDN w:val="0"/>
        <w:adjustRightInd w:val="0"/>
        <w:spacing w:after="0" w:line="240" w:lineRule="auto"/>
        <w:rPr>
          <w:rFonts w:ascii="Arial" w:hAnsi="Arial" w:cs="Arial"/>
          <w:b/>
          <w:bCs/>
        </w:rPr>
      </w:pPr>
      <w:bookmarkStart w:id="0" w:name="_GoBack"/>
      <w:bookmarkEnd w:id="0"/>
      <w:r w:rsidRPr="00334079">
        <w:rPr>
          <w:rFonts w:ascii="Arial" w:hAnsi="Arial" w:cs="Arial"/>
          <w:b/>
          <w:bCs/>
          <w:noProof/>
          <w:lang w:eastAsia="en-GB"/>
        </w:rPr>
        <w:drawing>
          <wp:anchor distT="0" distB="0" distL="114300" distR="114300" simplePos="0" relativeHeight="251658240" behindDoc="0" locked="0" layoutInCell="1" allowOverlap="1" wp14:anchorId="20570B2E" wp14:editId="46549982">
            <wp:simplePos x="0" y="0"/>
            <wp:positionH relativeFrom="rightMargin">
              <wp:posOffset>-771525</wp:posOffset>
            </wp:positionH>
            <wp:positionV relativeFrom="paragraph">
              <wp:posOffset>-371475</wp:posOffset>
            </wp:positionV>
            <wp:extent cx="1080000" cy="1080000"/>
            <wp:effectExtent l="0" t="0" r="6350" b="6350"/>
            <wp:wrapNone/>
            <wp:docPr id="1" name="Picture 1" descr="C:\Users\henaugm\AppData\Local\Microsoft\Windows\Temporary Internet Files\Content.Outlook\ULWLFL83\Lewish%20square%20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augm\AppData\Local\Microsoft\Windows\Temporary Internet Files\Content.Outlook\ULWLFL83\Lewish%20square%20mo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079" w:rsidRDefault="00334079" w:rsidP="00B44BAE">
      <w:pPr>
        <w:autoSpaceDE w:val="0"/>
        <w:autoSpaceDN w:val="0"/>
        <w:adjustRightInd w:val="0"/>
        <w:spacing w:after="0" w:line="240" w:lineRule="auto"/>
        <w:rPr>
          <w:rFonts w:ascii="Arial" w:hAnsi="Arial" w:cs="Arial"/>
          <w:b/>
          <w:bCs/>
        </w:rPr>
      </w:pPr>
    </w:p>
    <w:p w:rsidR="00334079" w:rsidRDefault="00334079" w:rsidP="00B44BAE">
      <w:pPr>
        <w:autoSpaceDE w:val="0"/>
        <w:autoSpaceDN w:val="0"/>
        <w:adjustRightInd w:val="0"/>
        <w:spacing w:after="0" w:line="240" w:lineRule="auto"/>
        <w:rPr>
          <w:rFonts w:ascii="Arial" w:hAnsi="Arial" w:cs="Arial"/>
          <w:b/>
          <w:bCs/>
        </w:rPr>
      </w:pPr>
    </w:p>
    <w:p w:rsidR="00334079" w:rsidRDefault="00334079" w:rsidP="00B44BAE">
      <w:pPr>
        <w:autoSpaceDE w:val="0"/>
        <w:autoSpaceDN w:val="0"/>
        <w:adjustRightInd w:val="0"/>
        <w:spacing w:after="0" w:line="240" w:lineRule="auto"/>
        <w:rPr>
          <w:rFonts w:ascii="Arial" w:hAnsi="Arial" w:cs="Arial"/>
          <w:b/>
          <w:bCs/>
        </w:rPr>
      </w:pPr>
    </w:p>
    <w:p w:rsidR="00334079" w:rsidRDefault="00334079" w:rsidP="00B44BAE">
      <w:pPr>
        <w:autoSpaceDE w:val="0"/>
        <w:autoSpaceDN w:val="0"/>
        <w:adjustRightInd w:val="0"/>
        <w:spacing w:after="0" w:line="240" w:lineRule="auto"/>
        <w:rPr>
          <w:rFonts w:ascii="Arial" w:hAnsi="Arial" w:cs="Arial"/>
          <w:b/>
          <w:bCs/>
        </w:rPr>
      </w:pPr>
    </w:p>
    <w:p w:rsidR="00B44BAE" w:rsidRPr="00B42542" w:rsidRDefault="00334079" w:rsidP="005D0516">
      <w:pPr>
        <w:autoSpaceDE w:val="0"/>
        <w:autoSpaceDN w:val="0"/>
        <w:adjustRightInd w:val="0"/>
        <w:spacing w:after="0" w:line="240" w:lineRule="auto"/>
        <w:rPr>
          <w:rFonts w:ascii="Arial" w:hAnsi="Arial" w:cs="Arial"/>
          <w:b/>
          <w:bCs/>
        </w:rPr>
      </w:pPr>
      <w:r w:rsidRPr="00B42542">
        <w:rPr>
          <w:rFonts w:ascii="Arial" w:hAnsi="Arial" w:cs="Arial"/>
          <w:b/>
          <w:bCs/>
        </w:rPr>
        <w:t>PROPOSAL TO</w:t>
      </w:r>
      <w:r w:rsidR="00B44BAE" w:rsidRPr="00B42542">
        <w:rPr>
          <w:rFonts w:ascii="Arial" w:hAnsi="Arial" w:cs="Arial"/>
          <w:b/>
          <w:bCs/>
        </w:rPr>
        <w:t xml:space="preserve"> </w:t>
      </w:r>
      <w:r w:rsidR="00267900">
        <w:rPr>
          <w:rFonts w:ascii="Arial" w:hAnsi="Arial" w:cs="Arial"/>
          <w:b/>
          <w:bCs/>
        </w:rPr>
        <w:t xml:space="preserve">REVOKE DECISION TO </w:t>
      </w:r>
      <w:r w:rsidR="00B44BAE" w:rsidRPr="00B42542">
        <w:rPr>
          <w:rFonts w:ascii="Arial" w:hAnsi="Arial" w:cs="Arial"/>
          <w:b/>
          <w:bCs/>
        </w:rPr>
        <w:t>E</w:t>
      </w:r>
      <w:r w:rsidRPr="00B42542">
        <w:rPr>
          <w:rFonts w:ascii="Arial" w:hAnsi="Arial" w:cs="Arial"/>
          <w:b/>
          <w:bCs/>
        </w:rPr>
        <w:t>XPAND</w:t>
      </w:r>
      <w:r w:rsidR="00B44BAE" w:rsidRPr="00B42542">
        <w:rPr>
          <w:rFonts w:ascii="Arial" w:hAnsi="Arial" w:cs="Arial"/>
          <w:b/>
          <w:bCs/>
        </w:rPr>
        <w:t xml:space="preserve"> A</w:t>
      </w:r>
      <w:r w:rsidR="005F186E" w:rsidRPr="00B42542">
        <w:rPr>
          <w:rFonts w:ascii="Arial" w:hAnsi="Arial" w:cs="Arial"/>
          <w:b/>
          <w:bCs/>
        </w:rPr>
        <w:t>DDEY AND STANHOPE SCHOOL</w:t>
      </w:r>
    </w:p>
    <w:p w:rsidR="00B44BAE" w:rsidRPr="00B42542" w:rsidRDefault="00B44BAE" w:rsidP="005D0516">
      <w:pPr>
        <w:autoSpaceDE w:val="0"/>
        <w:autoSpaceDN w:val="0"/>
        <w:adjustRightInd w:val="0"/>
        <w:spacing w:after="0" w:line="240" w:lineRule="auto"/>
        <w:rPr>
          <w:rFonts w:ascii="Arial" w:hAnsi="Arial" w:cs="Arial"/>
        </w:rPr>
      </w:pPr>
    </w:p>
    <w:p w:rsidR="005D0516" w:rsidRPr="00B42542" w:rsidRDefault="00B44BAE" w:rsidP="005D0516">
      <w:pPr>
        <w:autoSpaceDE w:val="0"/>
        <w:autoSpaceDN w:val="0"/>
        <w:adjustRightInd w:val="0"/>
        <w:spacing w:after="0" w:line="240" w:lineRule="auto"/>
        <w:rPr>
          <w:rFonts w:ascii="Arial" w:hAnsi="Arial" w:cs="Arial"/>
        </w:rPr>
      </w:pPr>
      <w:r w:rsidRPr="00B42542">
        <w:rPr>
          <w:rFonts w:ascii="Arial" w:hAnsi="Arial" w:cs="Arial"/>
        </w:rPr>
        <w:t xml:space="preserve">Notice is given in accordance with Section 19 (1) of the Education and Inspections Act 2006 and the School Organisation (Prescribed Alterations to Maintained Schools) (England) Regulations 2013/3110 that Lewisham Council intends to </w:t>
      </w:r>
      <w:r w:rsidR="00267900">
        <w:rPr>
          <w:rFonts w:ascii="Arial" w:hAnsi="Arial" w:cs="Arial"/>
        </w:rPr>
        <w:t xml:space="preserve">revoke the decision to </w:t>
      </w:r>
      <w:r w:rsidRPr="00B42542">
        <w:rPr>
          <w:rFonts w:ascii="Arial" w:hAnsi="Arial" w:cs="Arial"/>
        </w:rPr>
        <w:t>expand the permanent capacity of Addey and Stanhope School from 4 forms of entry (120 pupils in each year) to 6 forms of entry (180 pupils per year)</w:t>
      </w:r>
      <w:r w:rsidR="00267900">
        <w:rPr>
          <w:rFonts w:ascii="Arial" w:hAnsi="Arial" w:cs="Arial"/>
        </w:rPr>
        <w:t>.</w:t>
      </w:r>
    </w:p>
    <w:p w:rsidR="005D0516" w:rsidRPr="00B42542" w:rsidRDefault="005D0516" w:rsidP="005D0516">
      <w:pPr>
        <w:autoSpaceDE w:val="0"/>
        <w:autoSpaceDN w:val="0"/>
        <w:adjustRightInd w:val="0"/>
        <w:spacing w:after="0" w:line="240" w:lineRule="auto"/>
        <w:rPr>
          <w:rFonts w:ascii="Arial" w:hAnsi="Arial" w:cs="Arial"/>
        </w:rPr>
      </w:pPr>
    </w:p>
    <w:p w:rsidR="00BC39EF" w:rsidRPr="00B42542" w:rsidRDefault="00BC39EF" w:rsidP="005D0516">
      <w:pPr>
        <w:autoSpaceDE w:val="0"/>
        <w:autoSpaceDN w:val="0"/>
        <w:adjustRightInd w:val="0"/>
        <w:spacing w:after="0" w:line="240" w:lineRule="auto"/>
        <w:rPr>
          <w:rFonts w:ascii="Arial" w:hAnsi="Arial" w:cs="Arial"/>
          <w:b/>
        </w:rPr>
      </w:pPr>
      <w:r w:rsidRPr="00B42542">
        <w:rPr>
          <w:rFonts w:ascii="Arial" w:hAnsi="Arial" w:cs="Arial"/>
          <w:b/>
        </w:rPr>
        <w:t>Name,</w:t>
      </w:r>
      <w:r w:rsidRPr="00B42542">
        <w:rPr>
          <w:rFonts w:ascii="Arial" w:hAnsi="Arial" w:cs="Arial"/>
          <w:b/>
          <w:spacing w:val="-4"/>
        </w:rPr>
        <w:t xml:space="preserve"> </w:t>
      </w:r>
      <w:r w:rsidRPr="00B42542">
        <w:rPr>
          <w:rFonts w:ascii="Arial" w:hAnsi="Arial" w:cs="Arial"/>
          <w:b/>
        </w:rPr>
        <w:t>address</w:t>
      </w:r>
      <w:r w:rsidRPr="00B42542">
        <w:rPr>
          <w:rFonts w:ascii="Arial" w:hAnsi="Arial" w:cs="Arial"/>
          <w:b/>
          <w:spacing w:val="-3"/>
        </w:rPr>
        <w:t xml:space="preserve"> </w:t>
      </w:r>
      <w:r w:rsidRPr="00B42542">
        <w:rPr>
          <w:rFonts w:ascii="Arial" w:hAnsi="Arial" w:cs="Arial"/>
          <w:b/>
        </w:rPr>
        <w:t>and</w:t>
      </w:r>
      <w:r w:rsidRPr="00B42542">
        <w:rPr>
          <w:rFonts w:ascii="Arial" w:hAnsi="Arial" w:cs="Arial"/>
          <w:b/>
          <w:spacing w:val="-4"/>
        </w:rPr>
        <w:t xml:space="preserve"> </w:t>
      </w:r>
      <w:r w:rsidRPr="00B42542">
        <w:rPr>
          <w:rFonts w:ascii="Arial" w:hAnsi="Arial" w:cs="Arial"/>
          <w:b/>
        </w:rPr>
        <w:t>contact</w:t>
      </w:r>
      <w:r w:rsidRPr="00B42542">
        <w:rPr>
          <w:rFonts w:ascii="Arial" w:hAnsi="Arial" w:cs="Arial"/>
          <w:b/>
          <w:spacing w:val="-3"/>
        </w:rPr>
        <w:t xml:space="preserve"> </w:t>
      </w:r>
      <w:r w:rsidRPr="00B42542">
        <w:rPr>
          <w:rFonts w:ascii="Arial" w:hAnsi="Arial" w:cs="Arial"/>
          <w:b/>
        </w:rPr>
        <w:t>details</w:t>
      </w:r>
      <w:r w:rsidRPr="00B42542">
        <w:rPr>
          <w:rFonts w:ascii="Arial" w:hAnsi="Arial" w:cs="Arial"/>
          <w:b/>
          <w:spacing w:val="-4"/>
        </w:rPr>
        <w:t xml:space="preserve"> </w:t>
      </w:r>
      <w:r w:rsidRPr="00B42542">
        <w:rPr>
          <w:rFonts w:ascii="Arial" w:hAnsi="Arial" w:cs="Arial"/>
          <w:b/>
        </w:rPr>
        <w:t>of</w:t>
      </w:r>
      <w:r w:rsidRPr="00B42542">
        <w:rPr>
          <w:rFonts w:ascii="Arial" w:hAnsi="Arial" w:cs="Arial"/>
          <w:b/>
          <w:spacing w:val="-3"/>
        </w:rPr>
        <w:t xml:space="preserve"> </w:t>
      </w:r>
      <w:r w:rsidRPr="00B42542">
        <w:rPr>
          <w:rFonts w:ascii="Arial" w:hAnsi="Arial" w:cs="Arial"/>
          <w:b/>
        </w:rPr>
        <w:t>proposer:</w:t>
      </w:r>
    </w:p>
    <w:p w:rsidR="005D0516" w:rsidRPr="00B42542" w:rsidRDefault="005D0516" w:rsidP="005D0516">
      <w:pPr>
        <w:pStyle w:val="BodyText"/>
        <w:tabs>
          <w:tab w:val="left" w:pos="2268"/>
          <w:tab w:val="left" w:pos="15168"/>
        </w:tabs>
        <w:ind w:left="0"/>
        <w:rPr>
          <w:rFonts w:cs="Arial"/>
          <w:sz w:val="22"/>
          <w:szCs w:val="22"/>
        </w:rPr>
      </w:pPr>
      <w:r w:rsidRPr="00B42542">
        <w:rPr>
          <w:rFonts w:cs="Arial"/>
          <w:sz w:val="22"/>
          <w:szCs w:val="22"/>
        </w:rPr>
        <w:t>Lewisham</w:t>
      </w:r>
      <w:r w:rsidR="00BC39EF" w:rsidRPr="00B42542">
        <w:rPr>
          <w:rFonts w:cs="Arial"/>
          <w:spacing w:val="-2"/>
          <w:sz w:val="22"/>
          <w:szCs w:val="22"/>
        </w:rPr>
        <w:t xml:space="preserve"> </w:t>
      </w:r>
      <w:r w:rsidR="00B42542" w:rsidRPr="00B42542">
        <w:rPr>
          <w:rFonts w:cs="Arial"/>
          <w:sz w:val="22"/>
          <w:szCs w:val="22"/>
        </w:rPr>
        <w:t>Council</w:t>
      </w:r>
      <w:r w:rsidRPr="00B42542">
        <w:rPr>
          <w:rFonts w:cs="Arial"/>
          <w:spacing w:val="-1"/>
          <w:sz w:val="22"/>
          <w:szCs w:val="22"/>
        </w:rPr>
        <w:t>, Laurence House, 1 Catford Road, London SE6 4RU</w:t>
      </w:r>
    </w:p>
    <w:p w:rsidR="005D0516" w:rsidRPr="00B42542" w:rsidRDefault="005D0516" w:rsidP="005D0516">
      <w:pPr>
        <w:pStyle w:val="BodyText"/>
        <w:tabs>
          <w:tab w:val="left" w:pos="2268"/>
          <w:tab w:val="left" w:pos="15168"/>
        </w:tabs>
        <w:ind w:left="0"/>
        <w:rPr>
          <w:rFonts w:cs="Arial"/>
          <w:sz w:val="22"/>
          <w:szCs w:val="22"/>
        </w:rPr>
      </w:pPr>
    </w:p>
    <w:p w:rsidR="00BC39EF" w:rsidRPr="00B42542" w:rsidRDefault="00BC39EF" w:rsidP="005D0516">
      <w:pPr>
        <w:pStyle w:val="BodyText"/>
        <w:tabs>
          <w:tab w:val="left" w:pos="2268"/>
          <w:tab w:val="left" w:pos="15168"/>
        </w:tabs>
        <w:ind w:left="0"/>
        <w:rPr>
          <w:rFonts w:cs="Arial"/>
          <w:b/>
          <w:sz w:val="22"/>
          <w:szCs w:val="22"/>
        </w:rPr>
      </w:pPr>
      <w:r w:rsidRPr="00B42542">
        <w:rPr>
          <w:rFonts w:cs="Arial"/>
          <w:b/>
          <w:sz w:val="22"/>
          <w:szCs w:val="22"/>
        </w:rPr>
        <w:t>Name,</w:t>
      </w:r>
      <w:r w:rsidRPr="00B42542">
        <w:rPr>
          <w:rFonts w:cs="Arial"/>
          <w:b/>
          <w:spacing w:val="-4"/>
          <w:sz w:val="22"/>
          <w:szCs w:val="22"/>
        </w:rPr>
        <w:t xml:space="preserve"> </w:t>
      </w:r>
      <w:r w:rsidRPr="00B42542">
        <w:rPr>
          <w:rFonts w:cs="Arial"/>
          <w:b/>
          <w:sz w:val="22"/>
          <w:szCs w:val="22"/>
        </w:rPr>
        <w:t>address</w:t>
      </w:r>
      <w:r w:rsidRPr="00B42542">
        <w:rPr>
          <w:rFonts w:cs="Arial"/>
          <w:b/>
          <w:spacing w:val="-3"/>
          <w:sz w:val="22"/>
          <w:szCs w:val="22"/>
        </w:rPr>
        <w:t xml:space="preserve"> </w:t>
      </w:r>
      <w:r w:rsidRPr="00B42542">
        <w:rPr>
          <w:rFonts w:cs="Arial"/>
          <w:b/>
          <w:sz w:val="22"/>
          <w:szCs w:val="22"/>
        </w:rPr>
        <w:t>and</w:t>
      </w:r>
      <w:r w:rsidRPr="00B42542">
        <w:rPr>
          <w:rFonts w:cs="Arial"/>
          <w:b/>
          <w:spacing w:val="-4"/>
          <w:sz w:val="22"/>
          <w:szCs w:val="22"/>
        </w:rPr>
        <w:t xml:space="preserve"> </w:t>
      </w:r>
      <w:r w:rsidRPr="00B42542">
        <w:rPr>
          <w:rFonts w:cs="Arial"/>
          <w:b/>
          <w:sz w:val="22"/>
          <w:szCs w:val="22"/>
        </w:rPr>
        <w:t>category</w:t>
      </w:r>
      <w:r w:rsidRPr="00B42542">
        <w:rPr>
          <w:rFonts w:cs="Arial"/>
          <w:b/>
          <w:spacing w:val="-3"/>
          <w:sz w:val="22"/>
          <w:szCs w:val="22"/>
        </w:rPr>
        <w:t xml:space="preserve"> </w:t>
      </w:r>
      <w:r w:rsidRPr="00B42542">
        <w:rPr>
          <w:rFonts w:cs="Arial"/>
          <w:b/>
          <w:sz w:val="22"/>
          <w:szCs w:val="22"/>
        </w:rPr>
        <w:t>of</w:t>
      </w:r>
      <w:r w:rsidRPr="00B42542">
        <w:rPr>
          <w:rFonts w:cs="Arial"/>
          <w:b/>
          <w:spacing w:val="-3"/>
          <w:sz w:val="22"/>
          <w:szCs w:val="22"/>
        </w:rPr>
        <w:t xml:space="preserve"> </w:t>
      </w:r>
      <w:r w:rsidRPr="00B42542">
        <w:rPr>
          <w:rFonts w:cs="Arial"/>
          <w:b/>
          <w:sz w:val="22"/>
          <w:szCs w:val="22"/>
        </w:rPr>
        <w:t>school:</w:t>
      </w:r>
    </w:p>
    <w:p w:rsidR="00BC39EF" w:rsidRPr="00B42542" w:rsidRDefault="005D0516" w:rsidP="005D0516">
      <w:pPr>
        <w:pStyle w:val="BodyText"/>
        <w:tabs>
          <w:tab w:val="left" w:pos="2268"/>
          <w:tab w:val="left" w:pos="15168"/>
        </w:tabs>
        <w:ind w:left="0"/>
        <w:rPr>
          <w:rFonts w:cs="Arial"/>
          <w:sz w:val="22"/>
          <w:szCs w:val="22"/>
        </w:rPr>
      </w:pPr>
      <w:r w:rsidRPr="00B42542">
        <w:rPr>
          <w:rFonts w:cs="Arial"/>
          <w:sz w:val="22"/>
          <w:szCs w:val="22"/>
        </w:rPr>
        <w:t xml:space="preserve">Addey and Stanhope </w:t>
      </w:r>
      <w:r w:rsidR="00BC39EF" w:rsidRPr="00B42542">
        <w:rPr>
          <w:rFonts w:cs="Arial"/>
          <w:sz w:val="22"/>
          <w:szCs w:val="22"/>
        </w:rPr>
        <w:t>School,</w:t>
      </w:r>
      <w:r w:rsidRPr="00B42542">
        <w:rPr>
          <w:rFonts w:cs="Arial"/>
          <w:sz w:val="22"/>
          <w:szCs w:val="22"/>
        </w:rPr>
        <w:t xml:space="preserve"> New Cross Road, London SE14 6TJ</w:t>
      </w:r>
    </w:p>
    <w:p w:rsidR="005D0516" w:rsidRPr="00B42542" w:rsidRDefault="00BC39EF" w:rsidP="005D0516">
      <w:pPr>
        <w:pStyle w:val="BodyText"/>
        <w:tabs>
          <w:tab w:val="left" w:pos="2268"/>
          <w:tab w:val="left" w:pos="15168"/>
        </w:tabs>
        <w:ind w:left="0"/>
        <w:rPr>
          <w:rFonts w:cs="Arial"/>
          <w:sz w:val="22"/>
          <w:szCs w:val="22"/>
        </w:rPr>
      </w:pPr>
      <w:r w:rsidRPr="00B42542">
        <w:rPr>
          <w:rFonts w:cs="Arial"/>
          <w:sz w:val="22"/>
          <w:szCs w:val="22"/>
        </w:rPr>
        <w:t>This</w:t>
      </w:r>
      <w:r w:rsidRPr="00B42542">
        <w:rPr>
          <w:rFonts w:cs="Arial"/>
          <w:spacing w:val="-2"/>
          <w:sz w:val="22"/>
          <w:szCs w:val="22"/>
        </w:rPr>
        <w:t xml:space="preserve"> </w:t>
      </w:r>
      <w:r w:rsidRPr="00B42542">
        <w:rPr>
          <w:rFonts w:cs="Arial"/>
          <w:sz w:val="22"/>
          <w:szCs w:val="22"/>
        </w:rPr>
        <w:t>is</w:t>
      </w:r>
      <w:r w:rsidRPr="00B42542">
        <w:rPr>
          <w:rFonts w:cs="Arial"/>
          <w:spacing w:val="-2"/>
          <w:sz w:val="22"/>
          <w:szCs w:val="22"/>
        </w:rPr>
        <w:t xml:space="preserve"> </w:t>
      </w:r>
      <w:r w:rsidRPr="00B42542">
        <w:rPr>
          <w:rFonts w:cs="Arial"/>
          <w:sz w:val="22"/>
          <w:szCs w:val="22"/>
        </w:rPr>
        <w:t>a</w:t>
      </w:r>
      <w:r w:rsidRPr="00B42542">
        <w:rPr>
          <w:rFonts w:cs="Arial"/>
          <w:spacing w:val="-1"/>
          <w:sz w:val="22"/>
          <w:szCs w:val="22"/>
        </w:rPr>
        <w:t xml:space="preserve"> </w:t>
      </w:r>
      <w:r w:rsidR="005D0516" w:rsidRPr="00B42542">
        <w:rPr>
          <w:rFonts w:cs="Arial"/>
          <w:spacing w:val="-1"/>
          <w:sz w:val="22"/>
          <w:szCs w:val="22"/>
        </w:rPr>
        <w:t xml:space="preserve">voluntary aided </w:t>
      </w:r>
      <w:r w:rsidRPr="00B42542">
        <w:rPr>
          <w:rFonts w:cs="Arial"/>
          <w:sz w:val="22"/>
          <w:szCs w:val="22"/>
        </w:rPr>
        <w:t>school.</w:t>
      </w:r>
    </w:p>
    <w:p w:rsidR="005D0516" w:rsidRPr="00B42542" w:rsidRDefault="005D0516" w:rsidP="005D0516">
      <w:pPr>
        <w:pStyle w:val="BodyText"/>
        <w:tabs>
          <w:tab w:val="left" w:pos="2268"/>
          <w:tab w:val="left" w:pos="15168"/>
        </w:tabs>
        <w:ind w:left="0"/>
        <w:rPr>
          <w:rFonts w:cs="Arial"/>
          <w:sz w:val="22"/>
          <w:szCs w:val="22"/>
        </w:rPr>
      </w:pPr>
    </w:p>
    <w:p w:rsidR="00BC39EF" w:rsidRPr="00B42542" w:rsidRDefault="00BC39EF" w:rsidP="005D0516">
      <w:pPr>
        <w:pStyle w:val="BodyText"/>
        <w:tabs>
          <w:tab w:val="left" w:pos="2268"/>
          <w:tab w:val="left" w:pos="15168"/>
        </w:tabs>
        <w:ind w:left="0"/>
        <w:rPr>
          <w:rFonts w:cs="Arial"/>
          <w:b/>
          <w:sz w:val="22"/>
          <w:szCs w:val="22"/>
        </w:rPr>
      </w:pPr>
      <w:r w:rsidRPr="00B42542">
        <w:rPr>
          <w:rFonts w:cs="Arial"/>
          <w:b/>
          <w:sz w:val="22"/>
          <w:szCs w:val="22"/>
        </w:rPr>
        <w:t>Description:</w:t>
      </w:r>
    </w:p>
    <w:p w:rsidR="00267900" w:rsidRDefault="00BC39EF" w:rsidP="005D0516">
      <w:pPr>
        <w:pStyle w:val="BodyText"/>
        <w:ind w:left="0"/>
        <w:rPr>
          <w:rFonts w:cs="Arial"/>
          <w:sz w:val="22"/>
          <w:szCs w:val="22"/>
        </w:rPr>
      </w:pPr>
      <w:r w:rsidRPr="00B42542">
        <w:rPr>
          <w:rFonts w:cs="Arial"/>
          <w:sz w:val="22"/>
          <w:szCs w:val="22"/>
        </w:rPr>
        <w:t>The</w:t>
      </w:r>
      <w:r w:rsidRPr="00B42542">
        <w:rPr>
          <w:rFonts w:cs="Arial"/>
          <w:spacing w:val="-2"/>
          <w:sz w:val="22"/>
          <w:szCs w:val="22"/>
        </w:rPr>
        <w:t xml:space="preserve"> </w:t>
      </w:r>
      <w:r w:rsidRPr="00B42542">
        <w:rPr>
          <w:rFonts w:cs="Arial"/>
          <w:sz w:val="22"/>
          <w:szCs w:val="22"/>
        </w:rPr>
        <w:t>Council</w:t>
      </w:r>
      <w:r w:rsidRPr="00B42542">
        <w:rPr>
          <w:rFonts w:cs="Arial"/>
          <w:spacing w:val="-2"/>
          <w:sz w:val="22"/>
          <w:szCs w:val="22"/>
        </w:rPr>
        <w:t xml:space="preserve"> </w:t>
      </w:r>
      <w:r w:rsidRPr="00B42542">
        <w:rPr>
          <w:rFonts w:cs="Arial"/>
          <w:sz w:val="22"/>
          <w:szCs w:val="22"/>
        </w:rPr>
        <w:t>proposes</w:t>
      </w:r>
      <w:r w:rsidRPr="00B42542">
        <w:rPr>
          <w:rFonts w:cs="Arial"/>
          <w:spacing w:val="-1"/>
          <w:sz w:val="22"/>
          <w:szCs w:val="22"/>
        </w:rPr>
        <w:t xml:space="preserve"> </w:t>
      </w:r>
      <w:r w:rsidRPr="00B42542">
        <w:rPr>
          <w:rFonts w:cs="Arial"/>
          <w:sz w:val="22"/>
          <w:szCs w:val="22"/>
        </w:rPr>
        <w:t>that</w:t>
      </w:r>
      <w:r w:rsidRPr="00B42542">
        <w:rPr>
          <w:rFonts w:cs="Arial"/>
          <w:spacing w:val="-2"/>
          <w:sz w:val="22"/>
          <w:szCs w:val="22"/>
        </w:rPr>
        <w:t xml:space="preserve"> </w:t>
      </w:r>
      <w:r w:rsidR="00267900">
        <w:rPr>
          <w:rFonts w:cs="Arial"/>
          <w:spacing w:val="-2"/>
          <w:sz w:val="22"/>
          <w:szCs w:val="22"/>
        </w:rPr>
        <w:t xml:space="preserve">the decision to expand </w:t>
      </w:r>
      <w:r w:rsidR="005D0516" w:rsidRPr="00B42542">
        <w:rPr>
          <w:rFonts w:cs="Arial"/>
          <w:spacing w:val="-2"/>
          <w:sz w:val="22"/>
          <w:szCs w:val="22"/>
        </w:rPr>
        <w:t xml:space="preserve">Addey and Stanhope </w:t>
      </w:r>
      <w:r w:rsidRPr="00B42542">
        <w:rPr>
          <w:rFonts w:cs="Arial"/>
          <w:spacing w:val="-1"/>
          <w:sz w:val="22"/>
          <w:szCs w:val="22"/>
        </w:rPr>
        <w:t xml:space="preserve">School’s </w:t>
      </w:r>
      <w:r w:rsidRPr="00B42542">
        <w:rPr>
          <w:rFonts w:cs="Arial"/>
          <w:sz w:val="22"/>
          <w:szCs w:val="22"/>
        </w:rPr>
        <w:t>Published</w:t>
      </w:r>
      <w:r w:rsidRPr="00B42542">
        <w:rPr>
          <w:rFonts w:cs="Arial"/>
          <w:spacing w:val="-11"/>
          <w:sz w:val="22"/>
          <w:szCs w:val="22"/>
        </w:rPr>
        <w:t xml:space="preserve"> </w:t>
      </w:r>
      <w:r w:rsidRPr="00B42542">
        <w:rPr>
          <w:rFonts w:cs="Arial"/>
          <w:sz w:val="22"/>
          <w:szCs w:val="22"/>
        </w:rPr>
        <w:t>Admission</w:t>
      </w:r>
      <w:r w:rsidRPr="00B42542">
        <w:rPr>
          <w:rFonts w:cs="Arial"/>
          <w:spacing w:val="-1"/>
          <w:sz w:val="22"/>
          <w:szCs w:val="22"/>
        </w:rPr>
        <w:t xml:space="preserve"> </w:t>
      </w:r>
      <w:r w:rsidRPr="00B42542">
        <w:rPr>
          <w:rFonts w:cs="Arial"/>
          <w:sz w:val="22"/>
          <w:szCs w:val="22"/>
        </w:rPr>
        <w:t>Number</w:t>
      </w:r>
      <w:r w:rsidRPr="00B42542">
        <w:rPr>
          <w:rFonts w:cs="Arial"/>
          <w:spacing w:val="-2"/>
          <w:sz w:val="22"/>
          <w:szCs w:val="22"/>
        </w:rPr>
        <w:t xml:space="preserve"> </w:t>
      </w:r>
      <w:r w:rsidRPr="00B42542">
        <w:rPr>
          <w:rFonts w:cs="Arial"/>
          <w:spacing w:val="-3"/>
          <w:sz w:val="22"/>
          <w:szCs w:val="22"/>
        </w:rPr>
        <w:t>(PAN)</w:t>
      </w:r>
      <w:r w:rsidRPr="00B42542">
        <w:rPr>
          <w:rFonts w:cs="Arial"/>
          <w:spacing w:val="-2"/>
          <w:sz w:val="22"/>
          <w:szCs w:val="22"/>
        </w:rPr>
        <w:t xml:space="preserve"> </w:t>
      </w:r>
      <w:r w:rsidR="00267900">
        <w:rPr>
          <w:rFonts w:cs="Arial"/>
          <w:spacing w:val="-2"/>
          <w:sz w:val="22"/>
          <w:szCs w:val="22"/>
        </w:rPr>
        <w:t>from 1</w:t>
      </w:r>
      <w:r w:rsidR="005D0516" w:rsidRPr="00B42542">
        <w:rPr>
          <w:rFonts w:cs="Arial"/>
          <w:sz w:val="22"/>
          <w:szCs w:val="22"/>
        </w:rPr>
        <w:t>20</w:t>
      </w:r>
      <w:r w:rsidRPr="00B42542">
        <w:rPr>
          <w:rFonts w:cs="Arial"/>
          <w:spacing w:val="-2"/>
          <w:sz w:val="22"/>
          <w:szCs w:val="22"/>
        </w:rPr>
        <w:t xml:space="preserve"> </w:t>
      </w:r>
      <w:r w:rsidRPr="00B42542">
        <w:rPr>
          <w:rFonts w:cs="Arial"/>
          <w:sz w:val="22"/>
          <w:szCs w:val="22"/>
        </w:rPr>
        <w:t>to</w:t>
      </w:r>
      <w:r w:rsidRPr="00B42542">
        <w:rPr>
          <w:rFonts w:cs="Arial"/>
          <w:spacing w:val="-1"/>
          <w:sz w:val="22"/>
          <w:szCs w:val="22"/>
        </w:rPr>
        <w:t xml:space="preserve"> </w:t>
      </w:r>
      <w:r w:rsidR="005D0516" w:rsidRPr="00B42542">
        <w:rPr>
          <w:rFonts w:cs="Arial"/>
          <w:sz w:val="22"/>
          <w:szCs w:val="22"/>
        </w:rPr>
        <w:t>18</w:t>
      </w:r>
      <w:r w:rsidRPr="00B42542">
        <w:rPr>
          <w:rFonts w:cs="Arial"/>
          <w:sz w:val="22"/>
          <w:szCs w:val="22"/>
        </w:rPr>
        <w:t>0</w:t>
      </w:r>
      <w:r w:rsidRPr="00B42542">
        <w:rPr>
          <w:rFonts w:cs="Arial"/>
          <w:spacing w:val="-2"/>
          <w:sz w:val="22"/>
          <w:szCs w:val="22"/>
        </w:rPr>
        <w:t xml:space="preserve"> </w:t>
      </w:r>
      <w:r w:rsidRPr="00B42542">
        <w:rPr>
          <w:rFonts w:cs="Arial"/>
          <w:sz w:val="22"/>
          <w:szCs w:val="22"/>
        </w:rPr>
        <w:t>pupils</w:t>
      </w:r>
      <w:r w:rsidR="00267900">
        <w:rPr>
          <w:rFonts w:cs="Arial"/>
          <w:sz w:val="22"/>
          <w:szCs w:val="22"/>
        </w:rPr>
        <w:t xml:space="preserve"> through the use of an additional site (The </w:t>
      </w:r>
      <w:proofErr w:type="spellStart"/>
      <w:r w:rsidR="00267900">
        <w:rPr>
          <w:rFonts w:cs="Arial"/>
          <w:sz w:val="22"/>
          <w:szCs w:val="22"/>
        </w:rPr>
        <w:t>Mornington</w:t>
      </w:r>
      <w:proofErr w:type="spellEnd"/>
      <w:r w:rsidR="00267900">
        <w:rPr>
          <w:rFonts w:cs="Arial"/>
          <w:sz w:val="22"/>
          <w:szCs w:val="22"/>
        </w:rPr>
        <w:t xml:space="preserve"> Centre, Stanley Street, London SE8 4BL) be revoked due to forecasting uncertainty regarding secondary numbers and to ensure that additional supply is not added to the system when not required.</w:t>
      </w:r>
    </w:p>
    <w:p w:rsidR="00267900" w:rsidRDefault="00267900" w:rsidP="005D0516">
      <w:pPr>
        <w:pStyle w:val="BodyText"/>
        <w:ind w:left="0"/>
        <w:rPr>
          <w:rFonts w:cs="Arial"/>
          <w:sz w:val="22"/>
          <w:szCs w:val="22"/>
        </w:rPr>
      </w:pPr>
    </w:p>
    <w:p w:rsidR="00BC39EF" w:rsidRPr="00B42542" w:rsidRDefault="00BC39EF" w:rsidP="005D0516">
      <w:pPr>
        <w:pStyle w:val="BodyText"/>
        <w:ind w:left="0"/>
        <w:rPr>
          <w:rFonts w:cs="Arial"/>
          <w:b/>
          <w:sz w:val="22"/>
          <w:szCs w:val="22"/>
        </w:rPr>
      </w:pPr>
      <w:r w:rsidRPr="00B42542">
        <w:rPr>
          <w:rFonts w:cs="Arial"/>
          <w:b/>
          <w:sz w:val="22"/>
          <w:szCs w:val="22"/>
        </w:rPr>
        <w:t>Evidence</w:t>
      </w:r>
      <w:r w:rsidR="00267900">
        <w:rPr>
          <w:rFonts w:cs="Arial"/>
          <w:b/>
          <w:sz w:val="22"/>
          <w:szCs w:val="22"/>
        </w:rPr>
        <w:t xml:space="preserve"> and reasoning</w:t>
      </w:r>
      <w:r w:rsidRPr="00B42542">
        <w:rPr>
          <w:rFonts w:cs="Arial"/>
          <w:b/>
          <w:spacing w:val="-6"/>
          <w:sz w:val="22"/>
          <w:szCs w:val="22"/>
        </w:rPr>
        <w:t xml:space="preserve"> </w:t>
      </w:r>
      <w:r w:rsidR="00267900">
        <w:rPr>
          <w:rFonts w:cs="Arial"/>
          <w:b/>
          <w:sz w:val="22"/>
          <w:szCs w:val="22"/>
        </w:rPr>
        <w:t>leading to proposed revocation</w:t>
      </w:r>
      <w:r w:rsidRPr="00B42542">
        <w:rPr>
          <w:rFonts w:cs="Arial"/>
          <w:b/>
          <w:sz w:val="22"/>
          <w:szCs w:val="22"/>
        </w:rPr>
        <w:t>:</w:t>
      </w:r>
    </w:p>
    <w:p w:rsidR="00267900" w:rsidRPr="005E5DEC" w:rsidRDefault="00267900" w:rsidP="00267900">
      <w:pPr>
        <w:autoSpaceDE w:val="0"/>
        <w:autoSpaceDN w:val="0"/>
        <w:adjustRightInd w:val="0"/>
        <w:spacing w:after="0" w:line="240" w:lineRule="auto"/>
        <w:rPr>
          <w:rFonts w:ascii="ArialMT" w:hAnsi="ArialMT" w:cs="ArialMT"/>
        </w:rPr>
      </w:pPr>
      <w:r w:rsidRPr="005E5DEC">
        <w:rPr>
          <w:rFonts w:ascii="ArialMT" w:hAnsi="ArialMT" w:cs="ArialMT"/>
        </w:rPr>
        <w:t>2017 had already seen a collective drop in school applications for both primary and secondary. Whilst there was a small dip in primary applications predicted, the scale was underestimated. It was expected however that secondary applications would rise as a result of a larger number of Lewisham children reaching secondary transition age.</w:t>
      </w:r>
    </w:p>
    <w:p w:rsidR="00267900" w:rsidRPr="005E5DEC" w:rsidRDefault="00267900" w:rsidP="00267900">
      <w:pPr>
        <w:autoSpaceDE w:val="0"/>
        <w:autoSpaceDN w:val="0"/>
        <w:adjustRightInd w:val="0"/>
        <w:spacing w:after="0" w:line="240" w:lineRule="auto"/>
        <w:ind w:left="720" w:hanging="720"/>
        <w:rPr>
          <w:rFonts w:ascii="ArialMT" w:hAnsi="ArialMT" w:cs="ArialMT"/>
        </w:rPr>
      </w:pPr>
    </w:p>
    <w:p w:rsidR="00267900" w:rsidRPr="005E5DEC" w:rsidRDefault="00267900" w:rsidP="00267900">
      <w:pPr>
        <w:autoSpaceDE w:val="0"/>
        <w:autoSpaceDN w:val="0"/>
        <w:adjustRightInd w:val="0"/>
        <w:spacing w:after="0" w:line="240" w:lineRule="auto"/>
        <w:rPr>
          <w:rFonts w:ascii="ArialMT" w:hAnsi="ArialMT" w:cs="ArialMT"/>
        </w:rPr>
      </w:pPr>
      <w:r w:rsidRPr="005E5DEC">
        <w:rPr>
          <w:rFonts w:ascii="ArialMT" w:hAnsi="ArialMT" w:cs="ArialMT"/>
        </w:rPr>
        <w:t xml:space="preserve">With regards to secondary places, original forecasting predicted that </w:t>
      </w:r>
      <w:r>
        <w:rPr>
          <w:rFonts w:ascii="ArialMT" w:hAnsi="ArialMT" w:cs="ArialMT"/>
        </w:rPr>
        <w:t xml:space="preserve">Lewisham </w:t>
      </w:r>
      <w:r w:rsidRPr="005E5DEC">
        <w:rPr>
          <w:rFonts w:ascii="ArialMT" w:hAnsi="ArialMT" w:cs="ArialMT"/>
        </w:rPr>
        <w:t xml:space="preserve">would require 2641 places for 2017/18, leaving a surplus of just 51. On national offer day a total of 2368 offers were made, leaving 324 spare places available, some of which will be used for late and in-year applicants, but the surplus places are potentially over 6 times higher than previously forecast. </w:t>
      </w:r>
    </w:p>
    <w:p w:rsidR="00267900" w:rsidRPr="005E5DEC" w:rsidRDefault="00267900" w:rsidP="00267900">
      <w:pPr>
        <w:autoSpaceDE w:val="0"/>
        <w:autoSpaceDN w:val="0"/>
        <w:adjustRightInd w:val="0"/>
        <w:spacing w:after="0" w:line="240" w:lineRule="auto"/>
        <w:ind w:left="720" w:hanging="720"/>
        <w:rPr>
          <w:rFonts w:ascii="ArialMT" w:hAnsi="ArialMT" w:cs="ArialMT"/>
        </w:rPr>
      </w:pPr>
    </w:p>
    <w:p w:rsidR="00267900" w:rsidRPr="005E5DEC" w:rsidRDefault="00267900" w:rsidP="00267900">
      <w:pPr>
        <w:autoSpaceDE w:val="0"/>
        <w:autoSpaceDN w:val="0"/>
        <w:adjustRightInd w:val="0"/>
        <w:spacing w:after="0" w:line="240" w:lineRule="auto"/>
        <w:rPr>
          <w:rFonts w:ascii="ArialMT" w:hAnsi="ArialMT" w:cs="ArialMT"/>
        </w:rPr>
      </w:pPr>
      <w:r w:rsidRPr="005E5DEC">
        <w:rPr>
          <w:rFonts w:ascii="ArialMT" w:hAnsi="ArialMT" w:cs="ArialMT"/>
        </w:rPr>
        <w:t>New G</w:t>
      </w:r>
      <w:r>
        <w:rPr>
          <w:rFonts w:ascii="ArialMT" w:hAnsi="ArialMT" w:cs="ArialMT"/>
        </w:rPr>
        <w:t>reater London Authority</w:t>
      </w:r>
      <w:r w:rsidRPr="005E5DEC">
        <w:rPr>
          <w:rFonts w:ascii="ArialMT" w:hAnsi="ArialMT" w:cs="ArialMT"/>
        </w:rPr>
        <w:t xml:space="preserve"> forecasting data received in late spring suggested that just 2414 places would be required in 2017 - which implied 46 of the surplus places would be taken up during the year, which still leaves us 227 places below previous forecasts. This uncertainty exists across London and not just in Lewisham.</w:t>
      </w:r>
    </w:p>
    <w:p w:rsidR="00267900" w:rsidRPr="005E5DEC" w:rsidRDefault="00267900" w:rsidP="00267900">
      <w:pPr>
        <w:autoSpaceDE w:val="0"/>
        <w:autoSpaceDN w:val="0"/>
        <w:adjustRightInd w:val="0"/>
        <w:spacing w:after="0" w:line="240" w:lineRule="auto"/>
        <w:ind w:left="720" w:hanging="720"/>
        <w:rPr>
          <w:rFonts w:ascii="ArialMT" w:hAnsi="ArialMT" w:cs="ArialMT"/>
        </w:rPr>
      </w:pPr>
    </w:p>
    <w:p w:rsidR="00267900" w:rsidRPr="005E5DEC" w:rsidRDefault="00267900" w:rsidP="00267900">
      <w:pPr>
        <w:autoSpaceDE w:val="0"/>
        <w:autoSpaceDN w:val="0"/>
        <w:adjustRightInd w:val="0"/>
        <w:spacing w:after="0" w:line="240" w:lineRule="auto"/>
        <w:rPr>
          <w:rFonts w:ascii="ArialMT" w:hAnsi="ArialMT" w:cs="ArialMT"/>
        </w:rPr>
      </w:pPr>
      <w:r w:rsidRPr="005E5DEC">
        <w:rPr>
          <w:rFonts w:ascii="ArialMT" w:hAnsi="ArialMT" w:cs="ArialMT"/>
        </w:rPr>
        <w:t>This was in spite having the highest cohort of primary pupils moving through to transition than ever before as a result of the prolonged increase in birth rate and demand for primary education in Lewisham.</w:t>
      </w:r>
    </w:p>
    <w:p w:rsidR="00267900" w:rsidRPr="005E5DEC" w:rsidRDefault="00267900" w:rsidP="00267900">
      <w:pPr>
        <w:autoSpaceDE w:val="0"/>
        <w:autoSpaceDN w:val="0"/>
        <w:adjustRightInd w:val="0"/>
        <w:spacing w:after="0" w:line="240" w:lineRule="auto"/>
        <w:ind w:left="720" w:hanging="720"/>
        <w:rPr>
          <w:rFonts w:ascii="ArialMT" w:hAnsi="ArialMT" w:cs="ArialMT"/>
        </w:rPr>
      </w:pPr>
    </w:p>
    <w:p w:rsidR="00267900" w:rsidRPr="005E5DEC" w:rsidRDefault="00267900" w:rsidP="00267900">
      <w:pPr>
        <w:autoSpaceDE w:val="0"/>
        <w:autoSpaceDN w:val="0"/>
        <w:adjustRightInd w:val="0"/>
        <w:spacing w:after="0" w:line="240" w:lineRule="auto"/>
        <w:rPr>
          <w:rFonts w:ascii="ArialMT" w:hAnsi="ArialMT" w:cs="ArialMT"/>
        </w:rPr>
      </w:pPr>
      <w:r w:rsidRPr="005E5DEC">
        <w:rPr>
          <w:rFonts w:ascii="ArialMT" w:hAnsi="ArialMT" w:cs="ArialMT"/>
        </w:rPr>
        <w:t xml:space="preserve">It is believed that some of this unpredictability can be attributed to the impact of the </w:t>
      </w:r>
      <w:proofErr w:type="spellStart"/>
      <w:r w:rsidRPr="005E5DEC">
        <w:rPr>
          <w:rFonts w:ascii="ArialMT" w:hAnsi="ArialMT" w:cs="ArialMT"/>
        </w:rPr>
        <w:t>Brexit</w:t>
      </w:r>
      <w:proofErr w:type="spellEnd"/>
      <w:r w:rsidRPr="005E5DEC">
        <w:rPr>
          <w:rFonts w:ascii="ArialMT" w:hAnsi="ArialMT" w:cs="ArialMT"/>
        </w:rPr>
        <w:t xml:space="preserve"> vote which has caused an outflow of families from London (certainly registered births are not transitioning into reception applications) and also the impact of one of our Secondary schools being subject to an academy order (the results of which are out of our control) as this is having an adverse impact on the public perception of Lewisham secondary schools leading to an even greater ‘net-export’ rate for year 7 places. Whilst the Secondary Challenge work will help to change public perception over time, the fact that one of our </w:t>
      </w:r>
      <w:r w:rsidRPr="005E5DEC">
        <w:rPr>
          <w:rFonts w:ascii="ArialMT" w:hAnsi="ArialMT" w:cs="ArialMT"/>
        </w:rPr>
        <w:lastRenderedPageBreak/>
        <w:t>schools is in Special Measures currently has negative connotations that are impacting across the Lewisham secondary system.</w:t>
      </w:r>
      <w:r w:rsidRPr="005E5DEC" w:rsidDel="00DC4FA3">
        <w:rPr>
          <w:rFonts w:ascii="ArialMT" w:hAnsi="ArialMT" w:cs="ArialMT"/>
        </w:rPr>
        <w:t xml:space="preserve"> </w:t>
      </w:r>
    </w:p>
    <w:p w:rsidR="00267900" w:rsidRPr="005E5DEC" w:rsidRDefault="00267900" w:rsidP="00267900">
      <w:pPr>
        <w:autoSpaceDE w:val="0"/>
        <w:autoSpaceDN w:val="0"/>
        <w:adjustRightInd w:val="0"/>
        <w:spacing w:after="0" w:line="240" w:lineRule="auto"/>
        <w:ind w:left="720" w:hanging="720"/>
        <w:rPr>
          <w:rFonts w:ascii="ArialMT" w:hAnsi="ArialMT" w:cs="ArialMT"/>
        </w:rPr>
      </w:pPr>
    </w:p>
    <w:p w:rsidR="00267900" w:rsidRPr="005E5DEC" w:rsidRDefault="00267900" w:rsidP="00267900">
      <w:pPr>
        <w:autoSpaceDE w:val="0"/>
        <w:autoSpaceDN w:val="0"/>
        <w:adjustRightInd w:val="0"/>
        <w:spacing w:after="0" w:line="240" w:lineRule="auto"/>
        <w:rPr>
          <w:rFonts w:ascii="ArialMT" w:hAnsi="ArialMT" w:cs="ArialMT"/>
        </w:rPr>
      </w:pPr>
      <w:r w:rsidRPr="005E5DEC">
        <w:rPr>
          <w:rFonts w:ascii="ArialMT" w:hAnsi="ArialMT" w:cs="ArialMT"/>
        </w:rPr>
        <w:t>This means that the future is uncertain, and demand for secondary places is not rising as previously expected.  These fluctuations are occurring in many London boroughs.</w:t>
      </w:r>
    </w:p>
    <w:p w:rsidR="00267900" w:rsidRPr="005E5DEC" w:rsidRDefault="00267900" w:rsidP="00267900">
      <w:pPr>
        <w:autoSpaceDE w:val="0"/>
        <w:autoSpaceDN w:val="0"/>
        <w:adjustRightInd w:val="0"/>
        <w:spacing w:after="0" w:line="240" w:lineRule="auto"/>
        <w:ind w:left="720" w:hanging="720"/>
        <w:rPr>
          <w:rFonts w:ascii="ArialMT" w:hAnsi="ArialMT" w:cs="ArialMT"/>
        </w:rPr>
      </w:pPr>
    </w:p>
    <w:p w:rsidR="00267900" w:rsidRPr="005E5DEC" w:rsidRDefault="00267900" w:rsidP="00267900">
      <w:pPr>
        <w:autoSpaceDE w:val="0"/>
        <w:autoSpaceDN w:val="0"/>
        <w:adjustRightInd w:val="0"/>
        <w:spacing w:after="0" w:line="240" w:lineRule="auto"/>
        <w:rPr>
          <w:rFonts w:ascii="ArialMT" w:hAnsi="ArialMT" w:cs="ArialMT"/>
        </w:rPr>
      </w:pPr>
      <w:r>
        <w:rPr>
          <w:rFonts w:ascii="ArialMT" w:hAnsi="ArialMT" w:cs="ArialMT"/>
        </w:rPr>
        <w:t xml:space="preserve">Since the time of the </w:t>
      </w:r>
      <w:r w:rsidRPr="005E5DEC">
        <w:rPr>
          <w:rFonts w:ascii="ArialMT" w:hAnsi="ArialMT" w:cs="ArialMT"/>
        </w:rPr>
        <w:t>Mayor and Cabinet decision to delay implementation of the proposed expansion we have received further forecasting information and also the results of the Autumn Schools Census.</w:t>
      </w:r>
    </w:p>
    <w:p w:rsidR="00267900" w:rsidRPr="005E5DEC" w:rsidRDefault="00267900" w:rsidP="00267900">
      <w:pPr>
        <w:autoSpaceDE w:val="0"/>
        <w:autoSpaceDN w:val="0"/>
        <w:adjustRightInd w:val="0"/>
        <w:spacing w:after="0" w:line="240" w:lineRule="auto"/>
        <w:ind w:left="720" w:hanging="720"/>
        <w:rPr>
          <w:rFonts w:ascii="ArialMT" w:hAnsi="ArialMT" w:cs="ArialMT"/>
        </w:rPr>
      </w:pPr>
    </w:p>
    <w:p w:rsidR="00267900" w:rsidRPr="005E5DEC" w:rsidRDefault="00267900" w:rsidP="00267900">
      <w:pPr>
        <w:autoSpaceDE w:val="0"/>
        <w:autoSpaceDN w:val="0"/>
        <w:adjustRightInd w:val="0"/>
        <w:spacing w:after="0" w:line="240" w:lineRule="auto"/>
        <w:rPr>
          <w:rFonts w:ascii="ArialMT" w:hAnsi="ArialMT" w:cs="ArialMT"/>
        </w:rPr>
      </w:pPr>
      <w:r w:rsidRPr="005E5DEC">
        <w:rPr>
          <w:rFonts w:ascii="ArialMT" w:hAnsi="ArialMT" w:cs="ArialMT"/>
        </w:rPr>
        <w:t>The revised forecasting data continues to suggest a lower than expected requirement for Secondary places over the coming 5 year period. Indeed this is borne out by the Autu</w:t>
      </w:r>
      <w:r>
        <w:rPr>
          <w:rFonts w:ascii="ArialMT" w:hAnsi="ArialMT" w:cs="ArialMT"/>
        </w:rPr>
        <w:t>mn Census data which showed 2238</w:t>
      </w:r>
      <w:r w:rsidRPr="005E5DEC">
        <w:rPr>
          <w:rFonts w:ascii="ArialMT" w:hAnsi="ArialMT" w:cs="ArialMT"/>
        </w:rPr>
        <w:t xml:space="preserve"> pupils in Year 7 within our Secondary schools, </w:t>
      </w:r>
      <w:r>
        <w:rPr>
          <w:rFonts w:ascii="ArialMT" w:hAnsi="ArialMT" w:cs="ArialMT"/>
        </w:rPr>
        <w:t>a further 130</w:t>
      </w:r>
      <w:r w:rsidRPr="005E5DEC">
        <w:rPr>
          <w:rFonts w:ascii="ArialMT" w:hAnsi="ArialMT" w:cs="ArialMT"/>
        </w:rPr>
        <w:t xml:space="preserve"> places fewer than were offered on National Offer Day. In addition, preliminary analysis of 2018 Secondary applications suggests that there will be further stagnation in secondary pupil numbers for next year. </w:t>
      </w:r>
    </w:p>
    <w:p w:rsidR="00267900" w:rsidRPr="005E5DEC" w:rsidRDefault="00267900" w:rsidP="00267900">
      <w:pPr>
        <w:autoSpaceDE w:val="0"/>
        <w:autoSpaceDN w:val="0"/>
        <w:adjustRightInd w:val="0"/>
        <w:spacing w:after="0" w:line="240" w:lineRule="auto"/>
        <w:ind w:left="720" w:hanging="720"/>
        <w:rPr>
          <w:rFonts w:ascii="ArialMT" w:hAnsi="ArialMT" w:cs="ArialMT"/>
        </w:rPr>
      </w:pPr>
    </w:p>
    <w:p w:rsidR="00267900" w:rsidRDefault="00267900" w:rsidP="00267900">
      <w:pPr>
        <w:autoSpaceDE w:val="0"/>
        <w:autoSpaceDN w:val="0"/>
        <w:adjustRightInd w:val="0"/>
        <w:spacing w:after="0" w:line="240" w:lineRule="auto"/>
        <w:rPr>
          <w:rFonts w:ascii="ArialMT" w:hAnsi="ArialMT" w:cs="ArialMT"/>
        </w:rPr>
      </w:pPr>
      <w:r w:rsidRPr="005E5DEC">
        <w:rPr>
          <w:rFonts w:ascii="ArialMT" w:hAnsi="ArialMT" w:cs="ArialMT"/>
        </w:rPr>
        <w:t xml:space="preserve">Given that the impact of vacant places on individual schools finances </w:t>
      </w:r>
      <w:r>
        <w:rPr>
          <w:rFonts w:ascii="ArialMT" w:hAnsi="ArialMT" w:cs="ArialMT"/>
        </w:rPr>
        <w:t xml:space="preserve">is exacerbated as a </w:t>
      </w:r>
      <w:r w:rsidRPr="005E5DEC">
        <w:rPr>
          <w:rFonts w:ascii="ArialMT" w:hAnsi="ArialMT" w:cs="ArialMT"/>
        </w:rPr>
        <w:t>result of further revenue pressures it is imperative that we attempt to keep control of oversupply within the system. Therefore, given the new data available and the initial analysis of applications for 2018/19 it is</w:t>
      </w:r>
      <w:r>
        <w:rPr>
          <w:rFonts w:ascii="ArialMT" w:hAnsi="ArialMT" w:cs="ArialMT"/>
        </w:rPr>
        <w:t xml:space="preserve"> recommended</w:t>
      </w:r>
      <w:r w:rsidRPr="005E5DEC">
        <w:rPr>
          <w:rFonts w:ascii="ArialMT" w:hAnsi="ArialMT" w:cs="ArialMT"/>
        </w:rPr>
        <w:t xml:space="preserve"> to revoke the decision to expand Addey and Stanhope School. </w:t>
      </w:r>
    </w:p>
    <w:p w:rsidR="00267900" w:rsidRDefault="00267900" w:rsidP="00267900">
      <w:pPr>
        <w:autoSpaceDE w:val="0"/>
        <w:autoSpaceDN w:val="0"/>
        <w:adjustRightInd w:val="0"/>
        <w:spacing w:after="0" w:line="240" w:lineRule="auto"/>
        <w:rPr>
          <w:rFonts w:ascii="ArialMT" w:hAnsi="ArialMT" w:cs="ArialMT"/>
        </w:rPr>
      </w:pPr>
    </w:p>
    <w:p w:rsidR="00267900" w:rsidRPr="005E5DEC" w:rsidRDefault="00267900" w:rsidP="00267900">
      <w:pPr>
        <w:autoSpaceDE w:val="0"/>
        <w:autoSpaceDN w:val="0"/>
        <w:adjustRightInd w:val="0"/>
        <w:spacing w:after="0" w:line="240" w:lineRule="auto"/>
        <w:rPr>
          <w:rFonts w:ascii="ArialMT" w:hAnsi="ArialMT" w:cs="ArialMT"/>
        </w:rPr>
      </w:pPr>
      <w:r w:rsidRPr="005E5DEC">
        <w:rPr>
          <w:rFonts w:ascii="ArialMT" w:hAnsi="ArialMT" w:cs="ArialMT"/>
        </w:rPr>
        <w:t xml:space="preserve">This recommendation is supported by the Governing Body of Addey and Stanhope School.  </w:t>
      </w:r>
    </w:p>
    <w:p w:rsidR="005D0516" w:rsidRPr="00B42542" w:rsidRDefault="005D0516" w:rsidP="005D0516">
      <w:pPr>
        <w:pStyle w:val="BodyText"/>
        <w:ind w:left="0" w:hanging="1"/>
        <w:rPr>
          <w:rFonts w:cs="Arial"/>
          <w:sz w:val="22"/>
          <w:szCs w:val="22"/>
        </w:rPr>
      </w:pPr>
    </w:p>
    <w:p w:rsidR="00BC39EF" w:rsidRPr="00B42542" w:rsidRDefault="00BC39EF" w:rsidP="005D0516">
      <w:pPr>
        <w:pStyle w:val="BodyText"/>
        <w:ind w:left="0" w:hanging="1"/>
        <w:rPr>
          <w:rFonts w:cs="Arial"/>
          <w:b/>
          <w:sz w:val="22"/>
          <w:szCs w:val="22"/>
        </w:rPr>
      </w:pPr>
      <w:r w:rsidRPr="00B42542">
        <w:rPr>
          <w:rFonts w:cs="Arial"/>
          <w:b/>
          <w:sz w:val="22"/>
          <w:szCs w:val="22"/>
        </w:rPr>
        <w:t>Effect</w:t>
      </w:r>
      <w:r w:rsidRPr="00B42542">
        <w:rPr>
          <w:rFonts w:cs="Arial"/>
          <w:b/>
          <w:spacing w:val="-4"/>
          <w:sz w:val="22"/>
          <w:szCs w:val="22"/>
        </w:rPr>
        <w:t xml:space="preserve"> </w:t>
      </w:r>
      <w:r w:rsidRPr="00B42542">
        <w:rPr>
          <w:rFonts w:cs="Arial"/>
          <w:b/>
          <w:sz w:val="22"/>
          <w:szCs w:val="22"/>
        </w:rPr>
        <w:t>on</w:t>
      </w:r>
      <w:r w:rsidRPr="00B42542">
        <w:rPr>
          <w:rFonts w:cs="Arial"/>
          <w:b/>
          <w:spacing w:val="-4"/>
          <w:sz w:val="22"/>
          <w:szCs w:val="22"/>
        </w:rPr>
        <w:t xml:space="preserve"> </w:t>
      </w:r>
      <w:r w:rsidRPr="00B42542">
        <w:rPr>
          <w:rFonts w:cs="Arial"/>
          <w:b/>
          <w:sz w:val="22"/>
          <w:szCs w:val="22"/>
        </w:rPr>
        <w:t>other</w:t>
      </w:r>
      <w:r w:rsidRPr="00B42542">
        <w:rPr>
          <w:rFonts w:cs="Arial"/>
          <w:b/>
          <w:spacing w:val="-4"/>
          <w:sz w:val="22"/>
          <w:szCs w:val="22"/>
        </w:rPr>
        <w:t xml:space="preserve"> </w:t>
      </w:r>
      <w:r w:rsidRPr="00B42542">
        <w:rPr>
          <w:rFonts w:cs="Arial"/>
          <w:b/>
          <w:sz w:val="22"/>
          <w:szCs w:val="22"/>
        </w:rPr>
        <w:t>educational</w:t>
      </w:r>
      <w:r w:rsidRPr="00B42542">
        <w:rPr>
          <w:rFonts w:cs="Arial"/>
          <w:b/>
          <w:spacing w:val="-4"/>
          <w:sz w:val="22"/>
          <w:szCs w:val="22"/>
        </w:rPr>
        <w:t xml:space="preserve"> </w:t>
      </w:r>
      <w:r w:rsidRPr="00B42542">
        <w:rPr>
          <w:rFonts w:cs="Arial"/>
          <w:b/>
          <w:sz w:val="22"/>
          <w:szCs w:val="22"/>
        </w:rPr>
        <w:t>institutions</w:t>
      </w:r>
      <w:r w:rsidRPr="00B42542">
        <w:rPr>
          <w:rFonts w:cs="Arial"/>
          <w:b/>
          <w:spacing w:val="-3"/>
          <w:sz w:val="22"/>
          <w:szCs w:val="22"/>
        </w:rPr>
        <w:t xml:space="preserve"> </w:t>
      </w:r>
      <w:r w:rsidRPr="00B42542">
        <w:rPr>
          <w:rFonts w:cs="Arial"/>
          <w:b/>
          <w:sz w:val="22"/>
          <w:szCs w:val="22"/>
        </w:rPr>
        <w:t>in</w:t>
      </w:r>
      <w:r w:rsidRPr="00B42542">
        <w:rPr>
          <w:rFonts w:cs="Arial"/>
          <w:b/>
          <w:spacing w:val="-4"/>
          <w:sz w:val="22"/>
          <w:szCs w:val="22"/>
        </w:rPr>
        <w:t xml:space="preserve"> </w:t>
      </w:r>
      <w:r w:rsidRPr="00B42542">
        <w:rPr>
          <w:rFonts w:cs="Arial"/>
          <w:b/>
          <w:sz w:val="22"/>
          <w:szCs w:val="22"/>
        </w:rPr>
        <w:t>the</w:t>
      </w:r>
      <w:r w:rsidRPr="00B42542">
        <w:rPr>
          <w:rFonts w:cs="Arial"/>
          <w:b/>
          <w:spacing w:val="-4"/>
          <w:sz w:val="22"/>
          <w:szCs w:val="22"/>
        </w:rPr>
        <w:t xml:space="preserve"> </w:t>
      </w:r>
      <w:r w:rsidRPr="00B42542">
        <w:rPr>
          <w:rFonts w:cs="Arial"/>
          <w:b/>
          <w:sz w:val="22"/>
          <w:szCs w:val="22"/>
        </w:rPr>
        <w:t>area:</w:t>
      </w:r>
    </w:p>
    <w:p w:rsidR="00267900" w:rsidRDefault="00267900" w:rsidP="005D0516">
      <w:pPr>
        <w:pStyle w:val="BodyText"/>
        <w:ind w:left="0" w:hanging="1"/>
        <w:rPr>
          <w:rFonts w:cs="Arial"/>
          <w:sz w:val="22"/>
          <w:szCs w:val="22"/>
        </w:rPr>
      </w:pPr>
      <w:r>
        <w:rPr>
          <w:rFonts w:cs="Arial"/>
          <w:sz w:val="22"/>
          <w:szCs w:val="22"/>
        </w:rPr>
        <w:t>This revocation proposal will have a positive impact on local secondary schools as it will present an oversupply issue, that would reduce roll numbers and thus have a financial impact on the schools concerned.</w:t>
      </w:r>
    </w:p>
    <w:p w:rsidR="00267900" w:rsidRDefault="00267900" w:rsidP="005D0516">
      <w:pPr>
        <w:pStyle w:val="BodyText"/>
        <w:ind w:left="0" w:hanging="1"/>
        <w:rPr>
          <w:rFonts w:cs="Arial"/>
          <w:sz w:val="22"/>
          <w:szCs w:val="22"/>
        </w:rPr>
      </w:pPr>
    </w:p>
    <w:p w:rsidR="00BC39EF" w:rsidRPr="00B42542" w:rsidRDefault="00BC39EF" w:rsidP="005D0516">
      <w:pPr>
        <w:pStyle w:val="BodyText"/>
        <w:ind w:left="0"/>
        <w:rPr>
          <w:rFonts w:cs="Arial"/>
          <w:b/>
          <w:sz w:val="22"/>
          <w:szCs w:val="22"/>
        </w:rPr>
      </w:pPr>
      <w:r w:rsidRPr="00B42542">
        <w:rPr>
          <w:rFonts w:cs="Arial"/>
          <w:b/>
          <w:sz w:val="22"/>
          <w:szCs w:val="22"/>
        </w:rPr>
        <w:t>Commenting on the proposal:</w:t>
      </w:r>
    </w:p>
    <w:p w:rsidR="00334079" w:rsidRPr="005D0516" w:rsidRDefault="00B44BAE" w:rsidP="005D0516">
      <w:pPr>
        <w:autoSpaceDE w:val="0"/>
        <w:autoSpaceDN w:val="0"/>
        <w:adjustRightInd w:val="0"/>
        <w:spacing w:after="0" w:line="240" w:lineRule="auto"/>
        <w:rPr>
          <w:rFonts w:ascii="Arial" w:hAnsi="Arial" w:cs="Arial"/>
          <w:color w:val="000000"/>
        </w:rPr>
      </w:pPr>
      <w:r w:rsidRPr="005D0516">
        <w:rPr>
          <w:rFonts w:ascii="Arial" w:hAnsi="Arial" w:cs="Arial"/>
          <w:color w:val="000000"/>
        </w:rPr>
        <w:t xml:space="preserve">Within four weeks from </w:t>
      </w:r>
      <w:r w:rsidR="00645A5E" w:rsidRPr="005D0516">
        <w:rPr>
          <w:rFonts w:ascii="Arial" w:hAnsi="Arial" w:cs="Arial"/>
          <w:color w:val="000000"/>
        </w:rPr>
        <w:t>the date of publication of this proposal</w:t>
      </w:r>
      <w:r w:rsidR="00267900">
        <w:rPr>
          <w:rFonts w:ascii="Arial" w:hAnsi="Arial" w:cs="Arial"/>
          <w:color w:val="000000"/>
        </w:rPr>
        <w:t xml:space="preserve"> (by 12 noon, 2 March 2018</w:t>
      </w:r>
      <w:r w:rsidR="00BC39EF" w:rsidRPr="005D0516">
        <w:rPr>
          <w:rFonts w:ascii="Arial" w:hAnsi="Arial" w:cs="Arial"/>
          <w:color w:val="000000"/>
        </w:rPr>
        <w:t>)</w:t>
      </w:r>
      <w:r w:rsidRPr="005D0516">
        <w:rPr>
          <w:rFonts w:ascii="Arial" w:hAnsi="Arial" w:cs="Arial"/>
          <w:color w:val="000000"/>
        </w:rPr>
        <w:t xml:space="preserve">, any person may comment on, support, or object to </w:t>
      </w:r>
      <w:r w:rsidR="00334079" w:rsidRPr="005D0516">
        <w:rPr>
          <w:rFonts w:ascii="Arial" w:hAnsi="Arial" w:cs="Arial"/>
          <w:color w:val="000000"/>
        </w:rPr>
        <w:t xml:space="preserve">the proposal via the Lewisham Consultation Portal </w:t>
      </w:r>
      <w:hyperlink r:id="rId6" w:history="1">
        <w:r w:rsidR="00334079" w:rsidRPr="005D0516">
          <w:rPr>
            <w:rStyle w:val="Hyperlink"/>
            <w:rFonts w:ascii="Arial" w:hAnsi="Arial" w:cs="Arial"/>
          </w:rPr>
          <w:t>www.lewisham.gov.uk/consultation</w:t>
        </w:r>
      </w:hyperlink>
      <w:r w:rsidR="00334079" w:rsidRPr="005D0516">
        <w:rPr>
          <w:rFonts w:ascii="Arial" w:hAnsi="Arial" w:cs="Arial"/>
          <w:color w:val="000000"/>
        </w:rPr>
        <w:t xml:space="preserve"> </w:t>
      </w:r>
      <w:r w:rsidR="00230B07">
        <w:rPr>
          <w:rFonts w:ascii="Arial" w:hAnsi="Arial" w:cs="Arial"/>
          <w:color w:val="000000"/>
        </w:rPr>
        <w:t xml:space="preserve">or in writing to </w:t>
      </w:r>
      <w:r w:rsidR="00BC39EF" w:rsidRPr="005D0516">
        <w:rPr>
          <w:rFonts w:ascii="Arial" w:hAnsi="Arial" w:cs="Arial"/>
          <w:color w:val="000000"/>
        </w:rPr>
        <w:t>Matt Henaughan, S</w:t>
      </w:r>
      <w:r w:rsidR="00267900">
        <w:rPr>
          <w:rFonts w:ascii="Arial" w:hAnsi="Arial" w:cs="Arial"/>
          <w:color w:val="000000"/>
        </w:rPr>
        <w:t>trategic Service</w:t>
      </w:r>
      <w:r w:rsidR="00BC39EF" w:rsidRPr="005D0516">
        <w:rPr>
          <w:rFonts w:ascii="Arial" w:hAnsi="Arial" w:cs="Arial"/>
          <w:color w:val="000000"/>
        </w:rPr>
        <w:t xml:space="preserve"> Planning</w:t>
      </w:r>
      <w:r w:rsidR="00267900">
        <w:rPr>
          <w:rFonts w:ascii="Arial" w:hAnsi="Arial" w:cs="Arial"/>
          <w:color w:val="000000"/>
        </w:rPr>
        <w:t xml:space="preserve"> and Business Change</w:t>
      </w:r>
      <w:r w:rsidR="00BC39EF" w:rsidRPr="005D0516">
        <w:rPr>
          <w:rFonts w:ascii="Arial" w:hAnsi="Arial" w:cs="Arial"/>
          <w:color w:val="000000"/>
        </w:rPr>
        <w:t>, 3</w:t>
      </w:r>
      <w:r w:rsidR="00BC39EF" w:rsidRPr="005D0516">
        <w:rPr>
          <w:rFonts w:ascii="Arial" w:hAnsi="Arial" w:cs="Arial"/>
          <w:color w:val="000000"/>
          <w:vertAlign w:val="superscript"/>
        </w:rPr>
        <w:t>rd</w:t>
      </w:r>
      <w:r w:rsidR="00BC39EF" w:rsidRPr="005D0516">
        <w:rPr>
          <w:rFonts w:ascii="Arial" w:hAnsi="Arial" w:cs="Arial"/>
          <w:color w:val="000000"/>
        </w:rPr>
        <w:t xml:space="preserve"> Floor Laurence House, 1 Catford Road, London SE6 4RU, </w:t>
      </w:r>
      <w:hyperlink r:id="rId7" w:history="1">
        <w:r w:rsidR="00BC39EF" w:rsidRPr="005D0516">
          <w:rPr>
            <w:rStyle w:val="Hyperlink"/>
            <w:rFonts w:ascii="Arial" w:hAnsi="Arial" w:cs="Arial"/>
          </w:rPr>
          <w:t>matt.henaughan@lewisham.gov.uk</w:t>
        </w:r>
      </w:hyperlink>
    </w:p>
    <w:p w:rsidR="00334079" w:rsidRPr="005D0516" w:rsidRDefault="00334079" w:rsidP="005D0516">
      <w:pPr>
        <w:autoSpaceDE w:val="0"/>
        <w:autoSpaceDN w:val="0"/>
        <w:adjustRightInd w:val="0"/>
        <w:spacing w:after="0" w:line="240" w:lineRule="auto"/>
        <w:rPr>
          <w:rFonts w:ascii="Arial" w:hAnsi="Arial" w:cs="Arial"/>
          <w:color w:val="000000"/>
        </w:rPr>
      </w:pPr>
    </w:p>
    <w:p w:rsidR="00334079" w:rsidRPr="005D0516" w:rsidRDefault="00334079" w:rsidP="005D0516">
      <w:pPr>
        <w:autoSpaceDE w:val="0"/>
        <w:autoSpaceDN w:val="0"/>
        <w:adjustRightInd w:val="0"/>
        <w:spacing w:after="0" w:line="240" w:lineRule="auto"/>
        <w:rPr>
          <w:rFonts w:ascii="Arial" w:hAnsi="Arial" w:cs="Arial"/>
          <w:color w:val="000000"/>
        </w:rPr>
      </w:pPr>
      <w:r w:rsidRPr="005D0516">
        <w:rPr>
          <w:rFonts w:ascii="Arial" w:hAnsi="Arial" w:cs="Arial"/>
          <w:color w:val="000000"/>
        </w:rPr>
        <w:t>Signed:</w:t>
      </w:r>
      <w:r w:rsidR="00645A5E" w:rsidRPr="005D0516">
        <w:rPr>
          <w:rFonts w:ascii="Arial" w:hAnsi="Arial" w:cs="Arial"/>
          <w:color w:val="000000"/>
        </w:rPr>
        <w:t xml:space="preserve"> Matt Henaughan</w:t>
      </w:r>
      <w:r w:rsidRPr="005D0516">
        <w:rPr>
          <w:rFonts w:ascii="Arial" w:hAnsi="Arial" w:cs="Arial"/>
          <w:color w:val="000000"/>
        </w:rPr>
        <w:t>, S</w:t>
      </w:r>
      <w:r w:rsidR="00267900">
        <w:rPr>
          <w:rFonts w:ascii="Arial" w:hAnsi="Arial" w:cs="Arial"/>
          <w:color w:val="000000"/>
        </w:rPr>
        <w:t xml:space="preserve">trategic Service </w:t>
      </w:r>
      <w:r w:rsidRPr="005D0516">
        <w:rPr>
          <w:rFonts w:ascii="Arial" w:hAnsi="Arial" w:cs="Arial"/>
          <w:color w:val="000000"/>
        </w:rPr>
        <w:t>Planning</w:t>
      </w:r>
      <w:r w:rsidR="00267900">
        <w:rPr>
          <w:rFonts w:ascii="Arial" w:hAnsi="Arial" w:cs="Arial"/>
          <w:color w:val="000000"/>
        </w:rPr>
        <w:t xml:space="preserve"> and Business Change</w:t>
      </w:r>
      <w:r w:rsidRPr="005D0516">
        <w:rPr>
          <w:rFonts w:ascii="Arial" w:hAnsi="Arial" w:cs="Arial"/>
          <w:color w:val="000000"/>
        </w:rPr>
        <w:t>, Children and Young People’s Services</w:t>
      </w:r>
    </w:p>
    <w:p w:rsidR="005D0516" w:rsidRPr="005D0516" w:rsidRDefault="00267900" w:rsidP="005D0516">
      <w:pPr>
        <w:autoSpaceDE w:val="0"/>
        <w:autoSpaceDN w:val="0"/>
        <w:adjustRightInd w:val="0"/>
        <w:spacing w:after="0" w:line="240" w:lineRule="auto"/>
        <w:rPr>
          <w:rFonts w:ascii="Arial" w:hAnsi="Arial" w:cs="Arial"/>
          <w:color w:val="000000"/>
        </w:rPr>
      </w:pPr>
      <w:r>
        <w:rPr>
          <w:rFonts w:ascii="Arial" w:hAnsi="Arial" w:cs="Arial"/>
          <w:color w:val="000000"/>
        </w:rPr>
        <w:t>Publication date: 2 February 2018</w:t>
      </w:r>
    </w:p>
    <w:sectPr w:rsidR="005D0516" w:rsidRPr="005D0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7597F"/>
    <w:multiLevelType w:val="hybridMultilevel"/>
    <w:tmpl w:val="0650A4C8"/>
    <w:lvl w:ilvl="0" w:tplc="1D2217EC">
      <w:start w:val="1"/>
      <w:numFmt w:val="decimal"/>
      <w:lvlText w:val="%1."/>
      <w:lvlJc w:val="left"/>
      <w:pPr>
        <w:ind w:left="316" w:hanging="201"/>
      </w:pPr>
      <w:rPr>
        <w:rFonts w:ascii="Arial" w:eastAsia="Arial" w:hAnsi="Arial" w:hint="default"/>
        <w:b/>
        <w:bCs/>
        <w:color w:val="231F20"/>
        <w:sz w:val="22"/>
        <w:szCs w:val="18"/>
      </w:rPr>
    </w:lvl>
    <w:lvl w:ilvl="1" w:tplc="E48EC41E">
      <w:start w:val="1"/>
      <w:numFmt w:val="bullet"/>
      <w:lvlText w:val="•"/>
      <w:lvlJc w:val="left"/>
      <w:pPr>
        <w:ind w:left="1754" w:hanging="201"/>
      </w:pPr>
      <w:rPr>
        <w:rFonts w:hint="default"/>
      </w:rPr>
    </w:lvl>
    <w:lvl w:ilvl="2" w:tplc="2C88C87A">
      <w:start w:val="1"/>
      <w:numFmt w:val="bullet"/>
      <w:lvlText w:val="•"/>
      <w:lvlJc w:val="left"/>
      <w:pPr>
        <w:ind w:left="3192" w:hanging="201"/>
      </w:pPr>
      <w:rPr>
        <w:rFonts w:hint="default"/>
      </w:rPr>
    </w:lvl>
    <w:lvl w:ilvl="3" w:tplc="A65C8F9E">
      <w:start w:val="1"/>
      <w:numFmt w:val="bullet"/>
      <w:lvlText w:val="•"/>
      <w:lvlJc w:val="left"/>
      <w:pPr>
        <w:ind w:left="4630" w:hanging="201"/>
      </w:pPr>
      <w:rPr>
        <w:rFonts w:hint="default"/>
      </w:rPr>
    </w:lvl>
    <w:lvl w:ilvl="4" w:tplc="0E400E92">
      <w:start w:val="1"/>
      <w:numFmt w:val="bullet"/>
      <w:lvlText w:val="•"/>
      <w:lvlJc w:val="left"/>
      <w:pPr>
        <w:ind w:left="6069" w:hanging="201"/>
      </w:pPr>
      <w:rPr>
        <w:rFonts w:hint="default"/>
      </w:rPr>
    </w:lvl>
    <w:lvl w:ilvl="5" w:tplc="3B9082DA">
      <w:start w:val="1"/>
      <w:numFmt w:val="bullet"/>
      <w:lvlText w:val="•"/>
      <w:lvlJc w:val="left"/>
      <w:pPr>
        <w:ind w:left="7507" w:hanging="201"/>
      </w:pPr>
      <w:rPr>
        <w:rFonts w:hint="default"/>
      </w:rPr>
    </w:lvl>
    <w:lvl w:ilvl="6" w:tplc="56A2E4EA">
      <w:start w:val="1"/>
      <w:numFmt w:val="bullet"/>
      <w:lvlText w:val="•"/>
      <w:lvlJc w:val="left"/>
      <w:pPr>
        <w:ind w:left="8945" w:hanging="201"/>
      </w:pPr>
      <w:rPr>
        <w:rFonts w:hint="default"/>
      </w:rPr>
    </w:lvl>
    <w:lvl w:ilvl="7" w:tplc="8CFC2A70">
      <w:start w:val="1"/>
      <w:numFmt w:val="bullet"/>
      <w:lvlText w:val="•"/>
      <w:lvlJc w:val="left"/>
      <w:pPr>
        <w:ind w:left="10383" w:hanging="201"/>
      </w:pPr>
      <w:rPr>
        <w:rFonts w:hint="default"/>
      </w:rPr>
    </w:lvl>
    <w:lvl w:ilvl="8" w:tplc="950462EE">
      <w:start w:val="1"/>
      <w:numFmt w:val="bullet"/>
      <w:lvlText w:val="•"/>
      <w:lvlJc w:val="left"/>
      <w:pPr>
        <w:ind w:left="11821"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E"/>
    <w:rsid w:val="00210A5E"/>
    <w:rsid w:val="00230B07"/>
    <w:rsid w:val="00267900"/>
    <w:rsid w:val="00272EC4"/>
    <w:rsid w:val="00307982"/>
    <w:rsid w:val="00334079"/>
    <w:rsid w:val="00465467"/>
    <w:rsid w:val="005D0516"/>
    <w:rsid w:val="005F186E"/>
    <w:rsid w:val="00645A5E"/>
    <w:rsid w:val="006711C9"/>
    <w:rsid w:val="0079628E"/>
    <w:rsid w:val="00B42542"/>
    <w:rsid w:val="00B44BAE"/>
    <w:rsid w:val="00BA7B94"/>
    <w:rsid w:val="00BC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AA25-ED83-4B73-92DD-D743B400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C39EF"/>
    <w:pPr>
      <w:widowControl w:val="0"/>
      <w:spacing w:before="155" w:after="0" w:line="240" w:lineRule="auto"/>
      <w:ind w:left="316" w:hanging="200"/>
      <w:outlineLvl w:val="0"/>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BAE"/>
    <w:rPr>
      <w:color w:val="0563C1" w:themeColor="hyperlink"/>
      <w:u w:val="single"/>
    </w:rPr>
  </w:style>
  <w:style w:type="character" w:customStyle="1" w:styleId="Heading1Char">
    <w:name w:val="Heading 1 Char"/>
    <w:basedOn w:val="DefaultParagraphFont"/>
    <w:link w:val="Heading1"/>
    <w:uiPriority w:val="1"/>
    <w:rsid w:val="00BC39EF"/>
    <w:rPr>
      <w:rFonts w:ascii="Arial" w:eastAsia="Arial" w:hAnsi="Arial"/>
      <w:b/>
      <w:bCs/>
      <w:sz w:val="18"/>
      <w:szCs w:val="18"/>
      <w:lang w:val="en-US"/>
    </w:rPr>
  </w:style>
  <w:style w:type="paragraph" w:styleId="BodyText">
    <w:name w:val="Body Text"/>
    <w:basedOn w:val="Normal"/>
    <w:link w:val="BodyTextChar"/>
    <w:uiPriority w:val="1"/>
    <w:qFormat/>
    <w:rsid w:val="00BC39EF"/>
    <w:pPr>
      <w:widowControl w:val="0"/>
      <w:spacing w:after="0" w:line="240" w:lineRule="auto"/>
      <w:ind w:left="116"/>
    </w:pPr>
    <w:rPr>
      <w:rFonts w:ascii="Arial" w:eastAsia="Arial" w:hAnsi="Arial"/>
      <w:sz w:val="18"/>
      <w:szCs w:val="18"/>
      <w:lang w:val="en-US"/>
    </w:rPr>
  </w:style>
  <w:style w:type="character" w:customStyle="1" w:styleId="BodyTextChar">
    <w:name w:val="Body Text Char"/>
    <w:basedOn w:val="DefaultParagraphFont"/>
    <w:link w:val="BodyText"/>
    <w:uiPriority w:val="1"/>
    <w:rsid w:val="00BC39EF"/>
    <w:rPr>
      <w:rFonts w:ascii="Arial" w:eastAsia="Arial" w:hAnsi="Arial"/>
      <w:sz w:val="18"/>
      <w:szCs w:val="18"/>
      <w:lang w:val="en-US"/>
    </w:rPr>
  </w:style>
  <w:style w:type="paragraph" w:styleId="ListParagraph">
    <w:name w:val="List Paragraph"/>
    <w:basedOn w:val="Normal"/>
    <w:uiPriority w:val="1"/>
    <w:qFormat/>
    <w:rsid w:val="00BC39EF"/>
    <w:pPr>
      <w:widowControl w:val="0"/>
      <w:spacing w:after="0" w:line="240" w:lineRule="auto"/>
    </w:pPr>
    <w:rPr>
      <w:lang w:val="en-US"/>
    </w:rPr>
  </w:style>
  <w:style w:type="paragraph" w:customStyle="1" w:styleId="TableParagraph">
    <w:name w:val="Table Paragraph"/>
    <w:basedOn w:val="Normal"/>
    <w:uiPriority w:val="1"/>
    <w:qFormat/>
    <w:rsid w:val="00BC39EF"/>
    <w:pPr>
      <w:widowControl w:val="0"/>
      <w:spacing w:after="0" w:line="240" w:lineRule="auto"/>
    </w:pPr>
    <w:rPr>
      <w:lang w:val="en-US"/>
    </w:rPr>
  </w:style>
  <w:style w:type="paragraph" w:styleId="Header">
    <w:name w:val="header"/>
    <w:basedOn w:val="Normal"/>
    <w:link w:val="HeaderChar"/>
    <w:uiPriority w:val="99"/>
    <w:unhideWhenUsed/>
    <w:rsid w:val="00BC39EF"/>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C39EF"/>
    <w:rPr>
      <w:lang w:val="en-US"/>
    </w:rPr>
  </w:style>
  <w:style w:type="paragraph" w:styleId="Footer">
    <w:name w:val="footer"/>
    <w:basedOn w:val="Normal"/>
    <w:link w:val="FooterChar"/>
    <w:uiPriority w:val="99"/>
    <w:unhideWhenUsed/>
    <w:rsid w:val="00BC39EF"/>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C39EF"/>
    <w:rPr>
      <w:lang w:val="en-US"/>
    </w:rPr>
  </w:style>
  <w:style w:type="paragraph" w:styleId="BalloonText">
    <w:name w:val="Balloon Text"/>
    <w:basedOn w:val="Normal"/>
    <w:link w:val="BalloonTextChar"/>
    <w:uiPriority w:val="99"/>
    <w:semiHidden/>
    <w:unhideWhenUsed/>
    <w:rsid w:val="00BC39EF"/>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C39E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att.henaughan@lewisham.gov.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wisham.gov.uk/consultation"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ct:contentTypeSchema xmlns:ct="http://schemas.microsoft.com/office/2006/metadata/contentType" xmlns:ma="http://schemas.microsoft.com/office/2006/metadata/properties/metaAttributes" ct:_="" ma:_="" ma:contentTypeName="LBL Document" ma:contentTypeID="0x010100ACC6958D13AA7C4BAEDB1389080A0C5F001827662FB84DAA40BCC3C367D875CE1A" ma:contentTypeVersion="33" ma:contentTypeDescription="Base content type for all documents stored on the Lewisham website" ma:contentTypeScope="" ma:versionID="19ed5d1d91a702508e78734f81008deb">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771c91297a21034769e65213a646fd6"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AD43730A-C28E-4BEB-9EE3-C474B965102F}"/>
</file>

<file path=customXml/itemProps2.xml><?xml version="1.0" encoding="utf-8"?>
<ds:datastoreItem xmlns:ds="http://schemas.openxmlformats.org/officeDocument/2006/customXml" ds:itemID="{A9E7E419-9CC7-43CE-AC7D-A1EC1EEAE71A}"/>
</file>

<file path=customXml/itemProps3.xml><?xml version="1.0" encoding="utf-8"?>
<ds:datastoreItem xmlns:ds="http://schemas.openxmlformats.org/officeDocument/2006/customXml" ds:itemID="{5CF7CD79-F75B-465E-8DC6-2B343EE8E511}"/>
</file>

<file path=customXml/itemProps4.xml><?xml version="1.0" encoding="utf-8"?>
<ds:datastoreItem xmlns:ds="http://schemas.openxmlformats.org/officeDocument/2006/customXml" ds:itemID="{A58D2296-9CEF-4985-B749-4FB1CA4AD9AC}"/>
</file>

<file path=docProps/app.xml><?xml version="1.0" encoding="utf-8"?>
<Properties xmlns="http://schemas.openxmlformats.org/officeDocument/2006/extended-properties" xmlns:vt="http://schemas.openxmlformats.org/officeDocument/2006/docPropsVTypes">
  <Template>EA0F9089</Template>
  <TotalTime>1</TotalTime>
  <Pages>2</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revoke decision to expand Addey and Stanhope school</dc:title>
  <dc:subject/>
  <dc:creator>Henaughan, Matthew</dc:creator>
  <cp:keywords/>
  <dc:description/>
  <cp:lastModifiedBy>De, Ella</cp:lastModifiedBy>
  <cp:revision>2</cp:revision>
  <dcterms:created xsi:type="dcterms:W3CDTF">2018-02-02T10:36:00Z</dcterms:created>
  <dcterms:modified xsi:type="dcterms:W3CDTF">2018-02-02T10:36:00Z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0x010100ACC6958D13AA7C4BAEDB1389080A0C5F001827662FB84DAA40BCC3C367D875CE1A</vt:lpwstr>
  </property>
</Properties>
</file>