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charts/chart3.xml" ContentType="application/vnd.openxmlformats-officedocument.drawingml.chart+xml"/>
  <Override PartName="/word/header13.xml" ContentType="application/vnd.openxmlformats-officedocument.wordprocessingml.header+xml"/>
  <Override PartName="/word/footer14.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10E40" w14:textId="77777777" w:rsidR="00A47418" w:rsidRPr="0067297E" w:rsidRDefault="00AB7546" w:rsidP="00FA273F">
      <w:pPr>
        <w:pStyle w:val="BodyText"/>
        <w:jc w:val="center"/>
        <w:rPr>
          <w:rFonts w:asciiTheme="minorHAnsi" w:hAnsiTheme="minorHAnsi" w:cs="Calibri"/>
          <w:b/>
          <w:bCs/>
          <w:color w:val="009999"/>
          <w:sz w:val="40"/>
          <w:szCs w:val="40"/>
          <w:lang w:val="en-GB"/>
        </w:rPr>
      </w:pPr>
      <w:bookmarkStart w:id="0" w:name="_Hlk505081927"/>
      <w:bookmarkStart w:id="1" w:name="_GoBack"/>
      <w:bookmarkEnd w:id="0"/>
      <w:bookmarkEnd w:id="1"/>
      <w:r w:rsidRPr="0067297E">
        <w:rPr>
          <w:rFonts w:asciiTheme="minorHAnsi" w:hAnsiTheme="minorHAnsi" w:cs="Calibri"/>
          <w:b/>
          <w:bCs/>
          <w:color w:val="009999"/>
          <w:sz w:val="40"/>
          <w:szCs w:val="40"/>
          <w:lang w:val="en-GB"/>
        </w:rPr>
        <w:t xml:space="preserve">London </w:t>
      </w:r>
      <w:r w:rsidR="006F038F" w:rsidRPr="0067297E">
        <w:rPr>
          <w:rFonts w:asciiTheme="minorHAnsi" w:hAnsiTheme="minorHAnsi" w:cs="Calibri"/>
          <w:b/>
          <w:bCs/>
          <w:color w:val="009999"/>
          <w:sz w:val="40"/>
          <w:szCs w:val="40"/>
          <w:lang w:val="en-GB"/>
        </w:rPr>
        <w:t xml:space="preserve">Borough of </w:t>
      </w:r>
      <w:r w:rsidR="00F92C3B" w:rsidRPr="0067297E">
        <w:rPr>
          <w:rFonts w:asciiTheme="minorHAnsi" w:hAnsiTheme="minorHAnsi" w:cs="Calibri"/>
          <w:b/>
          <w:bCs/>
          <w:color w:val="009999"/>
          <w:sz w:val="40"/>
          <w:szCs w:val="40"/>
          <w:lang w:val="en-GB"/>
        </w:rPr>
        <w:t>Lewisham</w:t>
      </w:r>
    </w:p>
    <w:p w14:paraId="295C54D0" w14:textId="63E21915" w:rsidR="002E2A63" w:rsidRPr="0067297E" w:rsidRDefault="00AB7546" w:rsidP="00FA273F">
      <w:pPr>
        <w:pStyle w:val="BodyText"/>
        <w:jc w:val="center"/>
        <w:rPr>
          <w:rFonts w:asciiTheme="minorHAnsi" w:hAnsiTheme="minorHAnsi" w:cs="Calibri"/>
          <w:b/>
          <w:bCs/>
          <w:color w:val="009999"/>
          <w:sz w:val="40"/>
          <w:szCs w:val="40"/>
          <w:lang w:val="en-GB"/>
        </w:rPr>
      </w:pPr>
      <w:r w:rsidRPr="0067297E">
        <w:rPr>
          <w:rFonts w:asciiTheme="minorHAnsi" w:hAnsiTheme="minorHAnsi" w:cs="Calibri"/>
          <w:b/>
          <w:bCs/>
          <w:color w:val="009999"/>
          <w:sz w:val="40"/>
          <w:szCs w:val="40"/>
          <w:lang w:val="en-GB"/>
        </w:rPr>
        <w:t>Strategic Housing Market Assessment</w:t>
      </w:r>
      <w:r w:rsidR="00FC386C" w:rsidRPr="0067297E">
        <w:rPr>
          <w:rFonts w:asciiTheme="minorHAnsi" w:hAnsiTheme="minorHAnsi" w:cs="Calibri"/>
          <w:b/>
          <w:bCs/>
          <w:color w:val="009999"/>
          <w:sz w:val="40"/>
          <w:szCs w:val="40"/>
          <w:lang w:val="en-GB"/>
        </w:rPr>
        <w:t xml:space="preserve"> 201</w:t>
      </w:r>
      <w:r w:rsidR="00F9239E" w:rsidRPr="0067297E">
        <w:rPr>
          <w:rFonts w:asciiTheme="minorHAnsi" w:hAnsiTheme="minorHAnsi" w:cs="Calibri"/>
          <w:b/>
          <w:bCs/>
          <w:color w:val="009999"/>
          <w:sz w:val="40"/>
          <w:szCs w:val="40"/>
          <w:lang w:val="en-GB"/>
        </w:rPr>
        <w:t>9</w:t>
      </w:r>
    </w:p>
    <w:p w14:paraId="562E85CE" w14:textId="77777777" w:rsidR="00D6146E" w:rsidRPr="0067297E" w:rsidRDefault="00D6146E" w:rsidP="00543A76">
      <w:pPr>
        <w:pStyle w:val="BodyText"/>
        <w:pBdr>
          <w:top w:val="single" w:sz="18" w:space="1" w:color="0D5F5D"/>
        </w:pBdr>
        <w:rPr>
          <w:rFonts w:asciiTheme="minorHAnsi" w:hAnsiTheme="minorHAnsi" w:cs="Calibri"/>
          <w:bCs/>
          <w:color w:val="009999"/>
          <w:sz w:val="40"/>
          <w:szCs w:val="40"/>
        </w:rPr>
      </w:pPr>
    </w:p>
    <w:p w14:paraId="51D019EF" w14:textId="77777777" w:rsidR="00D25568" w:rsidRPr="0067297E" w:rsidRDefault="00D25568" w:rsidP="00543A76">
      <w:pPr>
        <w:pStyle w:val="BodyText"/>
        <w:jc w:val="center"/>
        <w:rPr>
          <w:rFonts w:asciiTheme="minorHAnsi" w:hAnsiTheme="minorHAnsi" w:cs="Calibri"/>
          <w:bCs/>
          <w:color w:val="009999"/>
          <w:sz w:val="40"/>
          <w:szCs w:val="40"/>
        </w:rPr>
      </w:pPr>
    </w:p>
    <w:p w14:paraId="377FC775" w14:textId="77777777" w:rsidR="00D25568" w:rsidRPr="0067297E" w:rsidRDefault="00D25568" w:rsidP="00543A76">
      <w:pPr>
        <w:pStyle w:val="BodyText"/>
        <w:jc w:val="center"/>
        <w:rPr>
          <w:rFonts w:asciiTheme="minorHAnsi" w:hAnsiTheme="minorHAnsi" w:cs="Calibri"/>
          <w:bCs/>
          <w:color w:val="009999"/>
          <w:sz w:val="40"/>
          <w:szCs w:val="40"/>
        </w:rPr>
      </w:pPr>
    </w:p>
    <w:p w14:paraId="3C13A0FB" w14:textId="77777777" w:rsidR="003310A8" w:rsidRPr="0067297E" w:rsidRDefault="003310A8" w:rsidP="00543A76">
      <w:pPr>
        <w:pStyle w:val="BodyText"/>
        <w:jc w:val="center"/>
        <w:rPr>
          <w:rFonts w:asciiTheme="minorHAnsi" w:hAnsiTheme="minorHAnsi" w:cs="Calibri"/>
          <w:bCs/>
          <w:color w:val="009999"/>
          <w:sz w:val="40"/>
          <w:szCs w:val="40"/>
        </w:rPr>
      </w:pPr>
    </w:p>
    <w:p w14:paraId="58138FFA" w14:textId="77777777" w:rsidR="00D25568" w:rsidRPr="0067297E" w:rsidRDefault="00D25568" w:rsidP="00543A76">
      <w:pPr>
        <w:pStyle w:val="BodyText"/>
        <w:jc w:val="center"/>
        <w:rPr>
          <w:rFonts w:asciiTheme="minorHAnsi" w:hAnsiTheme="minorHAnsi" w:cs="Calibri"/>
          <w:bCs/>
          <w:color w:val="009999"/>
          <w:sz w:val="40"/>
          <w:szCs w:val="40"/>
        </w:rPr>
      </w:pPr>
    </w:p>
    <w:p w14:paraId="01875F03" w14:textId="77777777" w:rsidR="0030292C" w:rsidRPr="0067297E" w:rsidRDefault="00AB7546" w:rsidP="00543A76">
      <w:pPr>
        <w:pStyle w:val="BodyText"/>
        <w:jc w:val="center"/>
        <w:rPr>
          <w:rFonts w:asciiTheme="minorHAnsi" w:hAnsiTheme="minorHAnsi" w:cs="Calibri"/>
          <w:bCs/>
          <w:color w:val="009999"/>
          <w:sz w:val="40"/>
          <w:szCs w:val="40"/>
        </w:rPr>
      </w:pPr>
      <w:r w:rsidRPr="0067297E">
        <w:rPr>
          <w:rFonts w:asciiTheme="minorHAnsi" w:hAnsiTheme="minorHAnsi" w:cs="Calibri"/>
          <w:bCs/>
          <w:color w:val="009999"/>
          <w:sz w:val="40"/>
          <w:szCs w:val="40"/>
          <w:lang w:val="en-GB"/>
        </w:rPr>
        <w:t xml:space="preserve">London Borough of </w:t>
      </w:r>
      <w:r w:rsidR="00F92C3B" w:rsidRPr="0067297E">
        <w:rPr>
          <w:rFonts w:asciiTheme="minorHAnsi" w:hAnsiTheme="minorHAnsi" w:cs="Calibri"/>
          <w:bCs/>
          <w:color w:val="009999"/>
          <w:sz w:val="40"/>
          <w:szCs w:val="40"/>
          <w:lang w:val="en-GB"/>
        </w:rPr>
        <w:t>Lewisham</w:t>
      </w:r>
      <w:r w:rsidRPr="0067297E">
        <w:rPr>
          <w:rFonts w:asciiTheme="minorHAnsi" w:hAnsiTheme="minorHAnsi" w:cs="Calibri"/>
          <w:bCs/>
          <w:color w:val="009999"/>
          <w:sz w:val="40"/>
          <w:szCs w:val="40"/>
          <w:lang w:val="en-GB"/>
        </w:rPr>
        <w:t xml:space="preserve"> Council</w:t>
      </w:r>
    </w:p>
    <w:p w14:paraId="4154ACDD" w14:textId="77777777" w:rsidR="0030292C" w:rsidRPr="0067297E" w:rsidRDefault="0030292C" w:rsidP="00543A76">
      <w:pPr>
        <w:pStyle w:val="BodyText"/>
        <w:jc w:val="center"/>
        <w:rPr>
          <w:rFonts w:asciiTheme="minorHAnsi" w:hAnsiTheme="minorHAnsi" w:cs="Calibri"/>
          <w:bCs/>
          <w:color w:val="009999"/>
          <w:sz w:val="40"/>
          <w:szCs w:val="40"/>
        </w:rPr>
      </w:pPr>
    </w:p>
    <w:p w14:paraId="68786BA8" w14:textId="77777777" w:rsidR="003310A8" w:rsidRPr="0067297E" w:rsidRDefault="003310A8" w:rsidP="00543A76">
      <w:pPr>
        <w:pStyle w:val="BodyText"/>
        <w:jc w:val="center"/>
        <w:rPr>
          <w:rFonts w:asciiTheme="minorHAnsi" w:hAnsiTheme="minorHAnsi" w:cs="Calibri"/>
          <w:bCs/>
          <w:color w:val="009999"/>
          <w:sz w:val="40"/>
          <w:szCs w:val="40"/>
        </w:rPr>
      </w:pPr>
    </w:p>
    <w:p w14:paraId="6EC6FB5F" w14:textId="77777777" w:rsidR="0030292C" w:rsidRPr="0067297E" w:rsidRDefault="0030292C" w:rsidP="00543A76">
      <w:pPr>
        <w:pStyle w:val="BodyText"/>
        <w:jc w:val="center"/>
        <w:rPr>
          <w:rFonts w:asciiTheme="minorHAnsi" w:hAnsiTheme="minorHAnsi" w:cs="Calibri"/>
          <w:bCs/>
          <w:color w:val="009999"/>
          <w:sz w:val="40"/>
          <w:szCs w:val="40"/>
        </w:rPr>
      </w:pPr>
    </w:p>
    <w:p w14:paraId="62A66891" w14:textId="77777777" w:rsidR="0030292C" w:rsidRPr="0067297E" w:rsidRDefault="0030292C" w:rsidP="00543A76">
      <w:pPr>
        <w:pStyle w:val="BodyText"/>
        <w:jc w:val="center"/>
        <w:rPr>
          <w:rFonts w:asciiTheme="minorHAnsi" w:hAnsiTheme="minorHAnsi" w:cs="Calibri"/>
          <w:bCs/>
          <w:color w:val="009999"/>
          <w:sz w:val="40"/>
          <w:szCs w:val="40"/>
        </w:rPr>
      </w:pPr>
    </w:p>
    <w:p w14:paraId="250662A9" w14:textId="0770BE64" w:rsidR="00EA7FD7" w:rsidRPr="0067297E" w:rsidRDefault="00DE6A36" w:rsidP="00543A76">
      <w:pPr>
        <w:pStyle w:val="BodyText"/>
        <w:jc w:val="center"/>
        <w:rPr>
          <w:rFonts w:asciiTheme="minorHAnsi" w:hAnsiTheme="minorHAnsi" w:cs="Calibri"/>
          <w:bCs/>
          <w:color w:val="009999"/>
          <w:sz w:val="40"/>
          <w:szCs w:val="40"/>
        </w:rPr>
      </w:pPr>
      <w:r w:rsidRPr="0067297E">
        <w:rPr>
          <w:rFonts w:asciiTheme="minorHAnsi" w:hAnsiTheme="minorHAnsi" w:cs="Calibri"/>
          <w:bCs/>
          <w:color w:val="009999"/>
          <w:sz w:val="40"/>
          <w:szCs w:val="40"/>
          <w:lang w:val="en-GB"/>
        </w:rPr>
        <w:t xml:space="preserve">Final </w:t>
      </w:r>
      <w:r w:rsidR="0037041D" w:rsidRPr="0067297E">
        <w:rPr>
          <w:rFonts w:asciiTheme="minorHAnsi" w:hAnsiTheme="minorHAnsi" w:cs="Calibri"/>
          <w:bCs/>
          <w:color w:val="009999"/>
          <w:sz w:val="40"/>
          <w:szCs w:val="40"/>
        </w:rPr>
        <w:t>Report</w:t>
      </w:r>
    </w:p>
    <w:p w14:paraId="0103BB06" w14:textId="6C17FDC5" w:rsidR="00D219B2" w:rsidRPr="0067297E" w:rsidRDefault="006852BE" w:rsidP="00543A76">
      <w:pPr>
        <w:pStyle w:val="BodyText"/>
        <w:jc w:val="center"/>
        <w:rPr>
          <w:rFonts w:asciiTheme="minorHAnsi" w:hAnsiTheme="minorHAnsi" w:cs="Calibri"/>
          <w:bCs/>
          <w:color w:val="009999"/>
          <w:sz w:val="32"/>
          <w:szCs w:val="40"/>
        </w:rPr>
      </w:pPr>
      <w:r>
        <w:rPr>
          <w:rFonts w:asciiTheme="minorHAnsi" w:hAnsiTheme="minorHAnsi" w:cs="Calibri"/>
          <w:bCs/>
          <w:color w:val="009999"/>
          <w:sz w:val="32"/>
          <w:szCs w:val="40"/>
          <w:lang w:val="en-GB"/>
        </w:rPr>
        <w:t xml:space="preserve">October </w:t>
      </w:r>
      <w:r w:rsidR="00F25BBF" w:rsidRPr="0067297E">
        <w:rPr>
          <w:rFonts w:asciiTheme="minorHAnsi" w:hAnsiTheme="minorHAnsi" w:cs="Calibri"/>
          <w:bCs/>
          <w:color w:val="009999"/>
          <w:sz w:val="32"/>
          <w:szCs w:val="40"/>
          <w:lang w:val="en-GB"/>
        </w:rPr>
        <w:t>2019</w:t>
      </w:r>
    </w:p>
    <w:p w14:paraId="072A8F8D" w14:textId="6D7C7A88" w:rsidR="00EA7FD7" w:rsidRDefault="00EA7FD7" w:rsidP="00543A76">
      <w:pPr>
        <w:pStyle w:val="BodyText"/>
        <w:jc w:val="center"/>
        <w:rPr>
          <w:rFonts w:asciiTheme="minorHAnsi" w:hAnsiTheme="minorHAnsi" w:cs="Calibri"/>
          <w:bCs/>
          <w:color w:val="009999"/>
          <w:sz w:val="40"/>
          <w:szCs w:val="40"/>
        </w:rPr>
      </w:pPr>
    </w:p>
    <w:p w14:paraId="5B759663" w14:textId="77777777" w:rsidR="00794144" w:rsidRPr="0067297E" w:rsidRDefault="00794144" w:rsidP="00543A76">
      <w:pPr>
        <w:pStyle w:val="BodyText"/>
        <w:jc w:val="center"/>
        <w:rPr>
          <w:rFonts w:asciiTheme="minorHAnsi" w:hAnsiTheme="minorHAnsi" w:cs="Calibri"/>
          <w:bCs/>
          <w:color w:val="009999"/>
          <w:sz w:val="40"/>
          <w:szCs w:val="40"/>
        </w:rPr>
      </w:pPr>
    </w:p>
    <w:p w14:paraId="06D1DACF" w14:textId="77777777" w:rsidR="00F42F28" w:rsidRPr="0067297E" w:rsidRDefault="00F42F28" w:rsidP="00543A76">
      <w:pPr>
        <w:rPr>
          <w:rFonts w:asciiTheme="minorHAnsi" w:hAnsiTheme="minorHAnsi" w:cs="Calibri"/>
          <w:color w:val="009999"/>
        </w:rPr>
      </w:pPr>
    </w:p>
    <w:p w14:paraId="3BC3FA39" w14:textId="77777777" w:rsidR="009E1EC9" w:rsidRPr="0067297E" w:rsidRDefault="009E1EC9" w:rsidP="000256AC">
      <w:pPr>
        <w:rPr>
          <w:rFonts w:asciiTheme="minorHAnsi" w:hAnsiTheme="minorHAnsi" w:cs="Calibri"/>
          <w:color w:val="009999"/>
          <w:sz w:val="28"/>
          <w:szCs w:val="28"/>
        </w:rPr>
      </w:pPr>
    </w:p>
    <w:p w14:paraId="686335AF" w14:textId="77777777" w:rsidR="001259C4" w:rsidRPr="0067297E" w:rsidRDefault="001259C4" w:rsidP="006C722F">
      <w:pPr>
        <w:rPr>
          <w:rFonts w:asciiTheme="minorHAnsi" w:hAnsiTheme="minorHAnsi" w:cs="Calibri"/>
          <w:color w:val="009999"/>
          <w:sz w:val="28"/>
          <w:szCs w:val="28"/>
        </w:rPr>
      </w:pPr>
    </w:p>
    <w:p w14:paraId="410F5BFB" w14:textId="77777777" w:rsidR="001259C4" w:rsidRPr="0067297E" w:rsidRDefault="001259C4" w:rsidP="006C722F">
      <w:pPr>
        <w:rPr>
          <w:rFonts w:asciiTheme="minorHAnsi" w:hAnsiTheme="minorHAnsi" w:cs="Calibri"/>
          <w:color w:val="009999"/>
          <w:sz w:val="28"/>
          <w:szCs w:val="28"/>
        </w:rPr>
      </w:pPr>
    </w:p>
    <w:p w14:paraId="05488B1F" w14:textId="77777777" w:rsidR="009E1EC9" w:rsidRPr="0067297E" w:rsidRDefault="009E1EC9" w:rsidP="006C722F">
      <w:pPr>
        <w:pBdr>
          <w:bottom w:val="single" w:sz="18" w:space="1" w:color="008080"/>
        </w:pBdr>
        <w:rPr>
          <w:rFonts w:asciiTheme="minorHAnsi" w:hAnsiTheme="minorHAnsi" w:cs="Calibri"/>
          <w:color w:val="009999"/>
        </w:rPr>
      </w:pPr>
    </w:p>
    <w:p w14:paraId="4B0DDD0F" w14:textId="77777777" w:rsidR="00EA7FD7" w:rsidRPr="0067297E" w:rsidRDefault="00841978" w:rsidP="00145A6E">
      <w:pPr>
        <w:tabs>
          <w:tab w:val="left" w:pos="1843"/>
        </w:tabs>
        <w:spacing w:after="60"/>
        <w:rPr>
          <w:rFonts w:asciiTheme="minorHAnsi" w:hAnsiTheme="minorHAnsi" w:cs="Calibri"/>
          <w:b/>
          <w:color w:val="009999"/>
        </w:rPr>
      </w:pPr>
      <w:r w:rsidRPr="0067297E">
        <w:rPr>
          <w:rFonts w:asciiTheme="minorHAnsi" w:hAnsiTheme="minorHAnsi" w:cs="Calibri"/>
          <w:noProof/>
          <w:color w:val="009999"/>
          <w:lang w:eastAsia="en-GB"/>
        </w:rPr>
        <w:drawing>
          <wp:anchor distT="0" distB="0" distL="114300" distR="114300" simplePos="0" relativeHeight="251632640" behindDoc="1" locked="1" layoutInCell="0" allowOverlap="1" wp14:anchorId="032259C0" wp14:editId="33B28E09">
            <wp:simplePos x="0" y="0"/>
            <wp:positionH relativeFrom="margin">
              <wp:align>right</wp:align>
            </wp:positionH>
            <wp:positionV relativeFrom="page">
              <wp:posOffset>8317865</wp:posOffset>
            </wp:positionV>
            <wp:extent cx="1745615" cy="1011555"/>
            <wp:effectExtent l="0" t="0" r="6985" b="0"/>
            <wp:wrapThrough wrapText="bothSides">
              <wp:wrapPolygon edited="0">
                <wp:start x="12493" y="0"/>
                <wp:lineTo x="9193" y="2034"/>
                <wp:lineTo x="9429" y="3661"/>
                <wp:lineTo x="19801" y="6508"/>
                <wp:lineTo x="0" y="7729"/>
                <wp:lineTo x="0" y="19525"/>
                <wp:lineTo x="18858" y="19525"/>
                <wp:lineTo x="18151" y="21153"/>
                <wp:lineTo x="19329" y="21153"/>
                <wp:lineTo x="20272" y="19525"/>
                <wp:lineTo x="21451" y="15458"/>
                <wp:lineTo x="21451" y="5288"/>
                <wp:lineTo x="18858" y="1220"/>
                <wp:lineTo x="17208" y="0"/>
                <wp:lineTo x="12493" y="0"/>
              </wp:wrapPolygon>
            </wp:wrapThrough>
            <wp:docPr id="1" name="Picture 1" descr="C:\Users\Sandie Brand\Documents\ARC4\Logos\Various File Formats\PNG\Logo.pn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PNG\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615" cy="1011555"/>
                    </a:xfrm>
                    <a:prstGeom prst="rect">
                      <a:avLst/>
                    </a:prstGeom>
                    <a:noFill/>
                    <a:ln>
                      <a:noFill/>
                    </a:ln>
                  </pic:spPr>
                </pic:pic>
              </a:graphicData>
            </a:graphic>
          </wp:anchor>
        </w:drawing>
      </w:r>
      <w:r w:rsidR="00F30939" w:rsidRPr="0067297E">
        <w:rPr>
          <w:rFonts w:asciiTheme="minorHAnsi" w:hAnsiTheme="minorHAnsi" w:cs="Calibri"/>
          <w:b/>
          <w:color w:val="009999"/>
        </w:rPr>
        <w:t>Main Contact:</w:t>
      </w:r>
      <w:r w:rsidR="00F30939" w:rsidRPr="0067297E">
        <w:rPr>
          <w:rFonts w:asciiTheme="minorHAnsi" w:hAnsiTheme="minorHAnsi" w:cs="Calibri"/>
          <w:b/>
          <w:color w:val="009999"/>
        </w:rPr>
        <w:tab/>
      </w:r>
      <w:r w:rsidR="00B732CE" w:rsidRPr="0067297E">
        <w:rPr>
          <w:rFonts w:asciiTheme="minorHAnsi" w:hAnsiTheme="minorHAnsi" w:cs="Calibri"/>
          <w:b/>
          <w:color w:val="009999"/>
        </w:rPr>
        <w:t xml:space="preserve">Dr </w:t>
      </w:r>
      <w:r w:rsidR="00076019" w:rsidRPr="0067297E">
        <w:rPr>
          <w:rFonts w:asciiTheme="minorHAnsi" w:hAnsiTheme="minorHAnsi" w:cs="Calibri"/>
          <w:b/>
          <w:color w:val="009999"/>
        </w:rPr>
        <w:t>Michael Bullock</w:t>
      </w:r>
    </w:p>
    <w:p w14:paraId="6DE65626" w14:textId="77777777" w:rsidR="003A6F13" w:rsidRPr="00785D71" w:rsidRDefault="003A6F13" w:rsidP="00145A6E">
      <w:pPr>
        <w:tabs>
          <w:tab w:val="left" w:pos="1843"/>
        </w:tabs>
        <w:spacing w:before="60" w:after="60"/>
        <w:rPr>
          <w:rFonts w:asciiTheme="minorHAnsi" w:hAnsiTheme="minorHAnsi" w:cs="Calibri"/>
          <w:b/>
          <w:color w:val="009999"/>
        </w:rPr>
      </w:pPr>
      <w:r w:rsidRPr="00785D71">
        <w:rPr>
          <w:rFonts w:asciiTheme="minorHAnsi" w:hAnsiTheme="minorHAnsi" w:cs="Calibri"/>
          <w:b/>
          <w:color w:val="009999"/>
        </w:rPr>
        <w:t xml:space="preserve">Email:  </w:t>
      </w:r>
      <w:r w:rsidR="00F30939" w:rsidRPr="00785D71">
        <w:rPr>
          <w:rFonts w:asciiTheme="minorHAnsi" w:hAnsiTheme="minorHAnsi" w:cs="Calibri"/>
          <w:b/>
          <w:color w:val="009999"/>
        </w:rPr>
        <w:tab/>
      </w:r>
      <w:r w:rsidR="00D915D9" w:rsidRPr="00785D71">
        <w:rPr>
          <w:rFonts w:asciiTheme="minorHAnsi" w:hAnsiTheme="minorHAnsi" w:cs="Calibri"/>
          <w:b/>
          <w:color w:val="009999"/>
        </w:rPr>
        <w:t>m</w:t>
      </w:r>
      <w:r w:rsidR="00076019" w:rsidRPr="00785D71">
        <w:rPr>
          <w:rFonts w:asciiTheme="minorHAnsi" w:hAnsiTheme="minorHAnsi" w:cs="Calibri"/>
          <w:b/>
          <w:color w:val="009999"/>
        </w:rPr>
        <w:t>ichael.bullock</w:t>
      </w:r>
      <w:r w:rsidR="00EA7FD7" w:rsidRPr="00785D71">
        <w:rPr>
          <w:rFonts w:asciiTheme="minorHAnsi" w:hAnsiTheme="minorHAnsi" w:cs="Calibri"/>
          <w:b/>
          <w:color w:val="009999"/>
        </w:rPr>
        <w:t>@</w:t>
      </w:r>
      <w:r w:rsidR="00F30939" w:rsidRPr="00785D71">
        <w:rPr>
          <w:rFonts w:asciiTheme="minorHAnsi" w:hAnsiTheme="minorHAnsi" w:cs="Calibri"/>
          <w:b/>
          <w:color w:val="009999"/>
        </w:rPr>
        <w:t>arc4.co.uk</w:t>
      </w:r>
      <w:r w:rsidRPr="00785D71">
        <w:rPr>
          <w:rFonts w:asciiTheme="minorHAnsi" w:hAnsiTheme="minorHAnsi" w:cs="Calibri"/>
          <w:b/>
          <w:color w:val="009999"/>
        </w:rPr>
        <w:t xml:space="preserve">  </w:t>
      </w:r>
    </w:p>
    <w:p w14:paraId="3883D782" w14:textId="77777777" w:rsidR="00EA7FD7" w:rsidRPr="0067297E" w:rsidRDefault="00F30939" w:rsidP="00145A6E">
      <w:pPr>
        <w:tabs>
          <w:tab w:val="left" w:pos="1843"/>
        </w:tabs>
        <w:spacing w:before="60" w:after="60"/>
        <w:rPr>
          <w:rFonts w:asciiTheme="minorHAnsi" w:hAnsiTheme="minorHAnsi" w:cs="Calibri"/>
          <w:b/>
          <w:color w:val="009999"/>
        </w:rPr>
      </w:pPr>
      <w:r w:rsidRPr="0067297E">
        <w:rPr>
          <w:rFonts w:asciiTheme="minorHAnsi" w:hAnsiTheme="minorHAnsi" w:cs="Calibri"/>
          <w:b/>
          <w:bCs/>
          <w:color w:val="009999"/>
        </w:rPr>
        <w:t>Telephone:</w:t>
      </w:r>
      <w:r w:rsidRPr="0067297E">
        <w:rPr>
          <w:rFonts w:asciiTheme="minorHAnsi" w:hAnsiTheme="minorHAnsi" w:cs="Calibri"/>
          <w:b/>
          <w:bCs/>
          <w:color w:val="009999"/>
        </w:rPr>
        <w:tab/>
      </w:r>
      <w:r w:rsidR="00F042CF" w:rsidRPr="0067297E">
        <w:rPr>
          <w:rFonts w:asciiTheme="minorHAnsi" w:hAnsiTheme="minorHAnsi" w:cs="Calibri"/>
          <w:b/>
          <w:color w:val="009999"/>
        </w:rPr>
        <w:t>0800 612 9133</w:t>
      </w:r>
    </w:p>
    <w:p w14:paraId="34EF58B0" w14:textId="47720330" w:rsidR="003A6F13" w:rsidRPr="0067297E" w:rsidRDefault="003A6F13" w:rsidP="00145A6E">
      <w:pPr>
        <w:tabs>
          <w:tab w:val="left" w:pos="1843"/>
        </w:tabs>
        <w:spacing w:before="60" w:after="60"/>
        <w:rPr>
          <w:rFonts w:asciiTheme="minorHAnsi" w:hAnsiTheme="minorHAnsi" w:cs="Calibri"/>
          <w:b/>
          <w:bCs/>
          <w:color w:val="009999"/>
        </w:rPr>
      </w:pPr>
      <w:r w:rsidRPr="0067297E">
        <w:rPr>
          <w:rFonts w:asciiTheme="minorHAnsi" w:hAnsiTheme="minorHAnsi" w:cs="Calibri"/>
          <w:b/>
          <w:bCs/>
          <w:color w:val="009999"/>
        </w:rPr>
        <w:t xml:space="preserve">Website:  </w:t>
      </w:r>
      <w:r w:rsidR="00F30939" w:rsidRPr="0067297E">
        <w:rPr>
          <w:rFonts w:asciiTheme="minorHAnsi" w:hAnsiTheme="minorHAnsi" w:cs="Calibri"/>
          <w:b/>
          <w:bCs/>
          <w:color w:val="009999"/>
        </w:rPr>
        <w:tab/>
      </w:r>
      <w:hyperlink r:id="rId9" w:history="1">
        <w:r w:rsidR="009643F5">
          <w:rPr>
            <w:rFonts w:asciiTheme="minorHAnsi" w:hAnsiTheme="minorHAnsi" w:cs="Calibri"/>
            <w:b/>
            <w:bCs/>
            <w:color w:val="009999"/>
            <w:u w:val="single"/>
          </w:rPr>
          <w:t>arc4 Website</w:t>
        </w:r>
      </w:hyperlink>
      <w:r w:rsidRPr="0067297E">
        <w:rPr>
          <w:rFonts w:asciiTheme="minorHAnsi" w:hAnsiTheme="minorHAnsi" w:cs="Calibri"/>
          <w:b/>
          <w:bCs/>
          <w:color w:val="009999"/>
        </w:rPr>
        <w:t xml:space="preserve"> </w:t>
      </w:r>
    </w:p>
    <w:p w14:paraId="5D2A3632" w14:textId="2119687F" w:rsidR="0043323F" w:rsidRPr="0067297E" w:rsidRDefault="007D408C" w:rsidP="00FA273F">
      <w:pPr>
        <w:pStyle w:val="NormalWeb"/>
        <w:shd w:val="clear" w:color="auto" w:fill="FFFFFF"/>
        <w:spacing w:after="120" w:afterAutospacing="0"/>
        <w:rPr>
          <w:rFonts w:asciiTheme="minorHAnsi" w:hAnsiTheme="minorHAnsi" w:cs="Calibri"/>
          <w:i/>
          <w:iCs/>
          <w:color w:val="009999"/>
          <w:sz w:val="18"/>
          <w:szCs w:val="20"/>
        </w:rPr>
      </w:pPr>
      <w:r w:rsidRPr="0067297E">
        <w:rPr>
          <w:rFonts w:asciiTheme="minorHAnsi" w:hAnsiTheme="minorHAnsi" w:cs="Calibri"/>
          <w:i/>
          <w:iCs/>
          <w:color w:val="009999"/>
          <w:sz w:val="18"/>
          <w:szCs w:val="20"/>
        </w:rPr>
        <w:t>©</w:t>
      </w:r>
      <w:r w:rsidR="0002439B" w:rsidRPr="0067297E">
        <w:rPr>
          <w:rFonts w:asciiTheme="minorHAnsi" w:hAnsiTheme="minorHAnsi" w:cs="Calibri"/>
          <w:i/>
          <w:iCs/>
          <w:color w:val="009999"/>
          <w:sz w:val="18"/>
          <w:szCs w:val="20"/>
        </w:rPr>
        <w:t xml:space="preserve"> 201</w:t>
      </w:r>
      <w:r w:rsidR="00F25BBF" w:rsidRPr="0067297E">
        <w:rPr>
          <w:rFonts w:asciiTheme="minorHAnsi" w:hAnsiTheme="minorHAnsi" w:cs="Calibri"/>
          <w:i/>
          <w:iCs/>
          <w:color w:val="009999"/>
          <w:sz w:val="18"/>
          <w:szCs w:val="20"/>
        </w:rPr>
        <w:t>9</w:t>
      </w:r>
      <w:r w:rsidR="00D915D9" w:rsidRPr="0067297E">
        <w:rPr>
          <w:rFonts w:asciiTheme="minorHAnsi" w:hAnsiTheme="minorHAnsi" w:cs="Calibri"/>
          <w:i/>
          <w:iCs/>
          <w:color w:val="009999"/>
          <w:sz w:val="18"/>
          <w:szCs w:val="20"/>
        </w:rPr>
        <w:t xml:space="preserve"> </w:t>
      </w:r>
      <w:r w:rsidRPr="0067297E">
        <w:rPr>
          <w:rFonts w:asciiTheme="minorHAnsi" w:hAnsiTheme="minorHAnsi" w:cs="Calibri"/>
          <w:i/>
          <w:iCs/>
          <w:color w:val="009999"/>
          <w:sz w:val="18"/>
          <w:szCs w:val="20"/>
        </w:rPr>
        <w:t>arc</w:t>
      </w:r>
      <w:r w:rsidRPr="0067297E">
        <w:rPr>
          <w:rFonts w:asciiTheme="minorHAnsi" w:hAnsiTheme="minorHAnsi" w:cs="Calibri"/>
          <w:i/>
          <w:iCs/>
          <w:color w:val="009999"/>
          <w:sz w:val="18"/>
          <w:szCs w:val="20"/>
          <w:vertAlign w:val="superscript"/>
        </w:rPr>
        <w:t>4</w:t>
      </w:r>
      <w:r w:rsidRPr="0067297E">
        <w:rPr>
          <w:rFonts w:asciiTheme="minorHAnsi" w:hAnsiTheme="minorHAnsi" w:cs="Calibri"/>
          <w:i/>
          <w:iCs/>
          <w:color w:val="009999"/>
          <w:sz w:val="18"/>
          <w:szCs w:val="20"/>
        </w:rPr>
        <w:t xml:space="preserve"> Limited (Company No. 06205180)</w:t>
      </w:r>
    </w:p>
    <w:p w14:paraId="376E0956" w14:textId="77777777" w:rsidR="007F6E31" w:rsidRPr="0067297E" w:rsidRDefault="007F6E31">
      <w:pPr>
        <w:rPr>
          <w:rFonts w:asciiTheme="minorHAnsi" w:hAnsiTheme="minorHAnsi" w:cs="Calibri"/>
          <w:i/>
          <w:iCs/>
          <w:color w:val="009999"/>
          <w:sz w:val="18"/>
          <w:szCs w:val="20"/>
        </w:rPr>
        <w:sectPr w:rsidR="007F6E31" w:rsidRPr="0067297E" w:rsidSect="007F6E31">
          <w:headerReference w:type="default" r:id="rId10"/>
          <w:footerReference w:type="default" r:id="rId11"/>
          <w:pgSz w:w="11906" w:h="16838" w:code="9"/>
          <w:pgMar w:top="1440" w:right="1440" w:bottom="1134" w:left="1440" w:header="709" w:footer="567" w:gutter="0"/>
          <w:cols w:space="708"/>
          <w:titlePg/>
          <w:docGrid w:linePitch="360"/>
        </w:sectPr>
      </w:pPr>
    </w:p>
    <w:p w14:paraId="1368F4AC" w14:textId="77777777" w:rsidR="003A6F13" w:rsidRPr="0067297E" w:rsidRDefault="001D1198">
      <w:pPr>
        <w:pStyle w:val="TOCHeading1"/>
        <w:rPr>
          <w:rFonts w:asciiTheme="minorHAnsi" w:hAnsiTheme="minorHAnsi" w:cs="Calibri"/>
        </w:rPr>
      </w:pPr>
      <w:r w:rsidRPr="0067297E">
        <w:rPr>
          <w:rFonts w:asciiTheme="minorHAnsi" w:hAnsiTheme="minorHAnsi" w:cs="Calibri"/>
        </w:rPr>
        <w:lastRenderedPageBreak/>
        <w:t xml:space="preserve">Table of </w:t>
      </w:r>
      <w:r w:rsidR="001B249B" w:rsidRPr="0067297E">
        <w:rPr>
          <w:rFonts w:asciiTheme="minorHAnsi" w:hAnsiTheme="minorHAnsi" w:cs="Calibri"/>
        </w:rPr>
        <w:t>Contents</w:t>
      </w:r>
    </w:p>
    <w:bookmarkStart w:id="2" w:name="_Toc99359406"/>
    <w:p w14:paraId="01A9FA06" w14:textId="2649CCBC" w:rsidR="002132D8" w:rsidRDefault="00C074F9">
      <w:pPr>
        <w:pStyle w:val="TOC1"/>
        <w:rPr>
          <w:rFonts w:asciiTheme="minorHAnsi" w:eastAsiaTheme="minorEastAsia" w:hAnsiTheme="minorHAnsi" w:cstheme="minorBidi"/>
          <w:b w:val="0"/>
          <w:bCs w:val="0"/>
          <w:sz w:val="22"/>
          <w:szCs w:val="22"/>
          <w:lang w:eastAsia="en-GB"/>
        </w:rPr>
      </w:pPr>
      <w:r w:rsidRPr="0067297E">
        <w:rPr>
          <w:rFonts w:asciiTheme="minorHAnsi" w:hAnsiTheme="minorHAnsi"/>
        </w:rPr>
        <w:fldChar w:fldCharType="begin"/>
      </w:r>
      <w:r w:rsidRPr="0067297E">
        <w:rPr>
          <w:rFonts w:asciiTheme="minorHAnsi" w:hAnsiTheme="minorHAnsi"/>
        </w:rPr>
        <w:instrText xml:space="preserve"> TOC \o "1-2" \h \z \u </w:instrText>
      </w:r>
      <w:r w:rsidRPr="0067297E">
        <w:rPr>
          <w:rFonts w:asciiTheme="minorHAnsi" w:hAnsiTheme="minorHAnsi"/>
        </w:rPr>
        <w:fldChar w:fldCharType="separate"/>
      </w:r>
      <w:hyperlink w:anchor="_Toc23151039" w:history="1">
        <w:r w:rsidR="002132D8" w:rsidRPr="00692950">
          <w:rPr>
            <w:rStyle w:val="Hyperlink"/>
            <w:rFonts w:cs="Calibri"/>
            <w:lang w:val="en-US"/>
          </w:rPr>
          <w:t>Executive Summary</w:t>
        </w:r>
        <w:r w:rsidR="002132D8">
          <w:rPr>
            <w:webHidden/>
          </w:rPr>
          <w:tab/>
        </w:r>
        <w:r w:rsidR="002132D8">
          <w:rPr>
            <w:webHidden/>
          </w:rPr>
          <w:fldChar w:fldCharType="begin"/>
        </w:r>
        <w:r w:rsidR="002132D8">
          <w:rPr>
            <w:webHidden/>
          </w:rPr>
          <w:instrText xml:space="preserve"> PAGEREF _Toc23151039 \h </w:instrText>
        </w:r>
        <w:r w:rsidR="002132D8">
          <w:rPr>
            <w:webHidden/>
          </w:rPr>
        </w:r>
        <w:r w:rsidR="002132D8">
          <w:rPr>
            <w:webHidden/>
          </w:rPr>
          <w:fldChar w:fldCharType="separate"/>
        </w:r>
        <w:r w:rsidR="00BF1349">
          <w:rPr>
            <w:webHidden/>
          </w:rPr>
          <w:t>10</w:t>
        </w:r>
        <w:r w:rsidR="002132D8">
          <w:rPr>
            <w:webHidden/>
          </w:rPr>
          <w:fldChar w:fldCharType="end"/>
        </w:r>
      </w:hyperlink>
    </w:p>
    <w:p w14:paraId="70E95D87" w14:textId="1AC16E32" w:rsidR="002132D8" w:rsidRDefault="00C632F2">
      <w:pPr>
        <w:pStyle w:val="TOC2"/>
        <w:rPr>
          <w:rFonts w:asciiTheme="minorHAnsi" w:eastAsiaTheme="minorEastAsia" w:hAnsiTheme="minorHAnsi" w:cstheme="minorBidi"/>
          <w:bCs w:val="0"/>
          <w:noProof/>
          <w:sz w:val="22"/>
          <w:szCs w:val="22"/>
          <w:lang w:eastAsia="en-GB"/>
        </w:rPr>
      </w:pPr>
      <w:hyperlink w:anchor="_Toc23151040" w:history="1">
        <w:r w:rsidR="002132D8" w:rsidRPr="00692950">
          <w:rPr>
            <w:rStyle w:val="Hyperlink"/>
            <w:rFonts w:cs="Calibri"/>
            <w:noProof/>
          </w:rPr>
          <w:t>Introduction</w:t>
        </w:r>
        <w:r w:rsidR="002132D8">
          <w:rPr>
            <w:noProof/>
            <w:webHidden/>
          </w:rPr>
          <w:tab/>
        </w:r>
        <w:r w:rsidR="002132D8">
          <w:rPr>
            <w:noProof/>
            <w:webHidden/>
          </w:rPr>
          <w:fldChar w:fldCharType="begin"/>
        </w:r>
        <w:r w:rsidR="002132D8">
          <w:rPr>
            <w:noProof/>
            <w:webHidden/>
          </w:rPr>
          <w:instrText xml:space="preserve"> PAGEREF _Toc23151040 \h </w:instrText>
        </w:r>
        <w:r w:rsidR="002132D8">
          <w:rPr>
            <w:noProof/>
            <w:webHidden/>
          </w:rPr>
        </w:r>
        <w:r w:rsidR="002132D8">
          <w:rPr>
            <w:noProof/>
            <w:webHidden/>
          </w:rPr>
          <w:fldChar w:fldCharType="separate"/>
        </w:r>
        <w:r w:rsidR="00BF1349">
          <w:rPr>
            <w:noProof/>
            <w:webHidden/>
          </w:rPr>
          <w:t>10</w:t>
        </w:r>
        <w:r w:rsidR="002132D8">
          <w:rPr>
            <w:noProof/>
            <w:webHidden/>
          </w:rPr>
          <w:fldChar w:fldCharType="end"/>
        </w:r>
      </w:hyperlink>
    </w:p>
    <w:p w14:paraId="43B60615" w14:textId="54633E67" w:rsidR="002132D8" w:rsidRDefault="00C632F2">
      <w:pPr>
        <w:pStyle w:val="TOC2"/>
        <w:rPr>
          <w:rFonts w:asciiTheme="minorHAnsi" w:eastAsiaTheme="minorEastAsia" w:hAnsiTheme="minorHAnsi" w:cstheme="minorBidi"/>
          <w:bCs w:val="0"/>
          <w:noProof/>
          <w:sz w:val="22"/>
          <w:szCs w:val="22"/>
          <w:lang w:eastAsia="en-GB"/>
        </w:rPr>
      </w:pPr>
      <w:hyperlink w:anchor="_Toc23151041" w:history="1">
        <w:r w:rsidR="002132D8" w:rsidRPr="00692950">
          <w:rPr>
            <w:rStyle w:val="Hyperlink"/>
            <w:rFonts w:cs="Calibri"/>
            <w:noProof/>
          </w:rPr>
          <w:t>The findings from the study provide an up-to-date, robust and defensible evidence base for policy development, in accordance with Government policy and guidance.</w:t>
        </w:r>
        <w:r w:rsidR="002132D8">
          <w:rPr>
            <w:noProof/>
            <w:webHidden/>
          </w:rPr>
          <w:tab/>
        </w:r>
        <w:r w:rsidR="002132D8">
          <w:rPr>
            <w:noProof/>
            <w:webHidden/>
          </w:rPr>
          <w:fldChar w:fldCharType="begin"/>
        </w:r>
        <w:r w:rsidR="002132D8">
          <w:rPr>
            <w:noProof/>
            <w:webHidden/>
          </w:rPr>
          <w:instrText xml:space="preserve"> PAGEREF _Toc23151041 \h </w:instrText>
        </w:r>
        <w:r w:rsidR="002132D8">
          <w:rPr>
            <w:noProof/>
            <w:webHidden/>
          </w:rPr>
        </w:r>
        <w:r w:rsidR="002132D8">
          <w:rPr>
            <w:noProof/>
            <w:webHidden/>
          </w:rPr>
          <w:fldChar w:fldCharType="separate"/>
        </w:r>
        <w:r w:rsidR="00BF1349">
          <w:rPr>
            <w:noProof/>
            <w:webHidden/>
          </w:rPr>
          <w:t>10</w:t>
        </w:r>
        <w:r w:rsidR="002132D8">
          <w:rPr>
            <w:noProof/>
            <w:webHidden/>
          </w:rPr>
          <w:fldChar w:fldCharType="end"/>
        </w:r>
      </w:hyperlink>
    </w:p>
    <w:p w14:paraId="39142EF8" w14:textId="70D65DC8" w:rsidR="002132D8" w:rsidRDefault="00C632F2">
      <w:pPr>
        <w:pStyle w:val="TOC2"/>
        <w:rPr>
          <w:rFonts w:asciiTheme="minorHAnsi" w:eastAsiaTheme="minorEastAsia" w:hAnsiTheme="minorHAnsi" w:cstheme="minorBidi"/>
          <w:bCs w:val="0"/>
          <w:noProof/>
          <w:sz w:val="22"/>
          <w:szCs w:val="22"/>
          <w:lang w:eastAsia="en-GB"/>
        </w:rPr>
      </w:pPr>
      <w:hyperlink w:anchor="_Toc23151042" w:history="1">
        <w:r w:rsidR="002132D8" w:rsidRPr="00692950">
          <w:rPr>
            <w:rStyle w:val="Hyperlink"/>
            <w:rFonts w:cs="Calibri"/>
            <w:noProof/>
          </w:rPr>
          <w:t>Housing market context</w:t>
        </w:r>
        <w:r w:rsidR="002132D8">
          <w:rPr>
            <w:noProof/>
            <w:webHidden/>
          </w:rPr>
          <w:tab/>
        </w:r>
        <w:r w:rsidR="002132D8">
          <w:rPr>
            <w:noProof/>
            <w:webHidden/>
          </w:rPr>
          <w:fldChar w:fldCharType="begin"/>
        </w:r>
        <w:r w:rsidR="002132D8">
          <w:rPr>
            <w:noProof/>
            <w:webHidden/>
          </w:rPr>
          <w:instrText xml:space="preserve"> PAGEREF _Toc23151042 \h </w:instrText>
        </w:r>
        <w:r w:rsidR="002132D8">
          <w:rPr>
            <w:noProof/>
            <w:webHidden/>
          </w:rPr>
        </w:r>
        <w:r w:rsidR="002132D8">
          <w:rPr>
            <w:noProof/>
            <w:webHidden/>
          </w:rPr>
          <w:fldChar w:fldCharType="separate"/>
        </w:r>
        <w:r w:rsidR="00BF1349">
          <w:rPr>
            <w:noProof/>
            <w:webHidden/>
          </w:rPr>
          <w:t>10</w:t>
        </w:r>
        <w:r w:rsidR="002132D8">
          <w:rPr>
            <w:noProof/>
            <w:webHidden/>
          </w:rPr>
          <w:fldChar w:fldCharType="end"/>
        </w:r>
      </w:hyperlink>
    </w:p>
    <w:p w14:paraId="565AA3AE" w14:textId="1863E8BE" w:rsidR="002132D8" w:rsidRDefault="00C632F2">
      <w:pPr>
        <w:pStyle w:val="TOC2"/>
        <w:rPr>
          <w:rFonts w:asciiTheme="minorHAnsi" w:eastAsiaTheme="minorEastAsia" w:hAnsiTheme="minorHAnsi" w:cstheme="minorBidi"/>
          <w:bCs w:val="0"/>
          <w:noProof/>
          <w:sz w:val="22"/>
          <w:szCs w:val="22"/>
          <w:lang w:eastAsia="en-GB"/>
        </w:rPr>
      </w:pPr>
      <w:hyperlink w:anchor="_Toc23151043" w:history="1">
        <w:r w:rsidR="002132D8" w:rsidRPr="00692950">
          <w:rPr>
            <w:rStyle w:val="Hyperlink"/>
            <w:rFonts w:cs="Calibri"/>
            <w:noProof/>
          </w:rPr>
          <w:t>Dwelling need, type and mix</w:t>
        </w:r>
        <w:r w:rsidR="002132D8">
          <w:rPr>
            <w:noProof/>
            <w:webHidden/>
          </w:rPr>
          <w:tab/>
        </w:r>
        <w:r w:rsidR="002132D8">
          <w:rPr>
            <w:noProof/>
            <w:webHidden/>
          </w:rPr>
          <w:fldChar w:fldCharType="begin"/>
        </w:r>
        <w:r w:rsidR="002132D8">
          <w:rPr>
            <w:noProof/>
            <w:webHidden/>
          </w:rPr>
          <w:instrText xml:space="preserve"> PAGEREF _Toc23151043 \h </w:instrText>
        </w:r>
        <w:r w:rsidR="002132D8">
          <w:rPr>
            <w:noProof/>
            <w:webHidden/>
          </w:rPr>
        </w:r>
        <w:r w:rsidR="002132D8">
          <w:rPr>
            <w:noProof/>
            <w:webHidden/>
          </w:rPr>
          <w:fldChar w:fldCharType="separate"/>
        </w:r>
        <w:r w:rsidR="00BF1349">
          <w:rPr>
            <w:noProof/>
            <w:webHidden/>
          </w:rPr>
          <w:t>12</w:t>
        </w:r>
        <w:r w:rsidR="002132D8">
          <w:rPr>
            <w:noProof/>
            <w:webHidden/>
          </w:rPr>
          <w:fldChar w:fldCharType="end"/>
        </w:r>
      </w:hyperlink>
    </w:p>
    <w:p w14:paraId="6E461DE7" w14:textId="15B52B6B" w:rsidR="002132D8" w:rsidRDefault="00C632F2">
      <w:pPr>
        <w:pStyle w:val="TOC1"/>
        <w:rPr>
          <w:rFonts w:asciiTheme="minorHAnsi" w:eastAsiaTheme="minorEastAsia" w:hAnsiTheme="minorHAnsi" w:cstheme="minorBidi"/>
          <w:b w:val="0"/>
          <w:bCs w:val="0"/>
          <w:sz w:val="22"/>
          <w:szCs w:val="22"/>
          <w:lang w:eastAsia="en-GB"/>
        </w:rPr>
      </w:pPr>
      <w:hyperlink w:anchor="_Toc23151044" w:history="1">
        <w:r w:rsidR="002132D8" w:rsidRPr="00692950">
          <w:rPr>
            <w:rStyle w:val="Hyperlink"/>
            <w:rFonts w:cs="Calibri"/>
          </w:rPr>
          <w:t>1.</w:t>
        </w:r>
        <w:r w:rsidR="002132D8">
          <w:rPr>
            <w:rFonts w:asciiTheme="minorHAnsi" w:eastAsiaTheme="minorEastAsia" w:hAnsiTheme="minorHAnsi" w:cstheme="minorBidi"/>
            <w:b w:val="0"/>
            <w:bCs w:val="0"/>
            <w:sz w:val="22"/>
            <w:szCs w:val="22"/>
            <w:lang w:eastAsia="en-GB"/>
          </w:rPr>
          <w:tab/>
        </w:r>
        <w:r w:rsidR="002132D8" w:rsidRPr="00692950">
          <w:rPr>
            <w:rStyle w:val="Hyperlink"/>
            <w:rFonts w:cs="Calibri"/>
          </w:rPr>
          <w:t>Introduction</w:t>
        </w:r>
        <w:r w:rsidR="002132D8">
          <w:rPr>
            <w:webHidden/>
          </w:rPr>
          <w:tab/>
        </w:r>
        <w:r w:rsidR="002132D8">
          <w:rPr>
            <w:webHidden/>
          </w:rPr>
          <w:fldChar w:fldCharType="begin"/>
        </w:r>
        <w:r w:rsidR="002132D8">
          <w:rPr>
            <w:webHidden/>
          </w:rPr>
          <w:instrText xml:space="preserve"> PAGEREF _Toc23151044 \h </w:instrText>
        </w:r>
        <w:r w:rsidR="002132D8">
          <w:rPr>
            <w:webHidden/>
          </w:rPr>
        </w:r>
        <w:r w:rsidR="002132D8">
          <w:rPr>
            <w:webHidden/>
          </w:rPr>
          <w:fldChar w:fldCharType="separate"/>
        </w:r>
        <w:r w:rsidR="00BF1349">
          <w:rPr>
            <w:webHidden/>
          </w:rPr>
          <w:t>16</w:t>
        </w:r>
        <w:r w:rsidR="002132D8">
          <w:rPr>
            <w:webHidden/>
          </w:rPr>
          <w:fldChar w:fldCharType="end"/>
        </w:r>
      </w:hyperlink>
    </w:p>
    <w:p w14:paraId="12F62301" w14:textId="1975F6BF" w:rsidR="002132D8" w:rsidRDefault="00C632F2">
      <w:pPr>
        <w:pStyle w:val="TOC2"/>
        <w:rPr>
          <w:rFonts w:asciiTheme="minorHAnsi" w:eastAsiaTheme="minorEastAsia" w:hAnsiTheme="minorHAnsi" w:cstheme="minorBidi"/>
          <w:bCs w:val="0"/>
          <w:noProof/>
          <w:sz w:val="22"/>
          <w:szCs w:val="22"/>
          <w:lang w:eastAsia="en-GB"/>
        </w:rPr>
      </w:pPr>
      <w:hyperlink w:anchor="_Toc23151045" w:history="1">
        <w:r w:rsidR="002132D8" w:rsidRPr="00692950">
          <w:rPr>
            <w:rStyle w:val="Hyperlink"/>
            <w:rFonts w:cs="Calibri"/>
            <w:noProof/>
          </w:rPr>
          <w:t>Background and objectives</w:t>
        </w:r>
        <w:r w:rsidR="002132D8">
          <w:rPr>
            <w:noProof/>
            <w:webHidden/>
          </w:rPr>
          <w:tab/>
        </w:r>
        <w:r w:rsidR="002132D8">
          <w:rPr>
            <w:noProof/>
            <w:webHidden/>
          </w:rPr>
          <w:fldChar w:fldCharType="begin"/>
        </w:r>
        <w:r w:rsidR="002132D8">
          <w:rPr>
            <w:noProof/>
            <w:webHidden/>
          </w:rPr>
          <w:instrText xml:space="preserve"> PAGEREF _Toc23151045 \h </w:instrText>
        </w:r>
        <w:r w:rsidR="002132D8">
          <w:rPr>
            <w:noProof/>
            <w:webHidden/>
          </w:rPr>
        </w:r>
        <w:r w:rsidR="002132D8">
          <w:rPr>
            <w:noProof/>
            <w:webHidden/>
          </w:rPr>
          <w:fldChar w:fldCharType="separate"/>
        </w:r>
        <w:r w:rsidR="00BF1349">
          <w:rPr>
            <w:noProof/>
            <w:webHidden/>
          </w:rPr>
          <w:t>16</w:t>
        </w:r>
        <w:r w:rsidR="002132D8">
          <w:rPr>
            <w:noProof/>
            <w:webHidden/>
          </w:rPr>
          <w:fldChar w:fldCharType="end"/>
        </w:r>
      </w:hyperlink>
    </w:p>
    <w:p w14:paraId="07A9890D" w14:textId="3E0B2CBF" w:rsidR="002132D8" w:rsidRDefault="00C632F2">
      <w:pPr>
        <w:pStyle w:val="TOC2"/>
        <w:rPr>
          <w:rFonts w:asciiTheme="minorHAnsi" w:eastAsiaTheme="minorEastAsia" w:hAnsiTheme="minorHAnsi" w:cstheme="minorBidi"/>
          <w:bCs w:val="0"/>
          <w:noProof/>
          <w:sz w:val="22"/>
          <w:szCs w:val="22"/>
          <w:lang w:eastAsia="en-GB"/>
        </w:rPr>
      </w:pPr>
      <w:hyperlink w:anchor="_Toc23151046" w:history="1">
        <w:r w:rsidR="002132D8" w:rsidRPr="00692950">
          <w:rPr>
            <w:rStyle w:val="Hyperlink"/>
            <w:rFonts w:cs="Calibri"/>
            <w:noProof/>
          </w:rPr>
          <w:t>Government policy and guidance</w:t>
        </w:r>
        <w:r w:rsidR="002132D8">
          <w:rPr>
            <w:noProof/>
            <w:webHidden/>
          </w:rPr>
          <w:tab/>
        </w:r>
        <w:r w:rsidR="002132D8">
          <w:rPr>
            <w:noProof/>
            <w:webHidden/>
          </w:rPr>
          <w:fldChar w:fldCharType="begin"/>
        </w:r>
        <w:r w:rsidR="002132D8">
          <w:rPr>
            <w:noProof/>
            <w:webHidden/>
          </w:rPr>
          <w:instrText xml:space="preserve"> PAGEREF _Toc23151046 \h </w:instrText>
        </w:r>
        <w:r w:rsidR="002132D8">
          <w:rPr>
            <w:noProof/>
            <w:webHidden/>
          </w:rPr>
        </w:r>
        <w:r w:rsidR="002132D8">
          <w:rPr>
            <w:noProof/>
            <w:webHidden/>
          </w:rPr>
          <w:fldChar w:fldCharType="separate"/>
        </w:r>
        <w:r w:rsidR="00BF1349">
          <w:rPr>
            <w:noProof/>
            <w:webHidden/>
          </w:rPr>
          <w:t>16</w:t>
        </w:r>
        <w:r w:rsidR="002132D8">
          <w:rPr>
            <w:noProof/>
            <w:webHidden/>
          </w:rPr>
          <w:fldChar w:fldCharType="end"/>
        </w:r>
      </w:hyperlink>
    </w:p>
    <w:p w14:paraId="0DFB673B" w14:textId="68336836" w:rsidR="002132D8" w:rsidRDefault="00C632F2">
      <w:pPr>
        <w:pStyle w:val="TOC2"/>
        <w:rPr>
          <w:rFonts w:asciiTheme="minorHAnsi" w:eastAsiaTheme="minorEastAsia" w:hAnsiTheme="minorHAnsi" w:cstheme="minorBidi"/>
          <w:bCs w:val="0"/>
          <w:noProof/>
          <w:sz w:val="22"/>
          <w:szCs w:val="22"/>
          <w:lang w:eastAsia="en-GB"/>
        </w:rPr>
      </w:pPr>
      <w:hyperlink w:anchor="_Toc23151047" w:history="1">
        <w:r w:rsidR="002132D8" w:rsidRPr="00692950">
          <w:rPr>
            <w:rStyle w:val="Hyperlink"/>
            <w:rFonts w:cs="Calibri"/>
            <w:noProof/>
          </w:rPr>
          <w:t>Definitions</w:t>
        </w:r>
        <w:r w:rsidR="002132D8">
          <w:rPr>
            <w:noProof/>
            <w:webHidden/>
          </w:rPr>
          <w:tab/>
        </w:r>
        <w:r w:rsidR="002132D8">
          <w:rPr>
            <w:noProof/>
            <w:webHidden/>
          </w:rPr>
          <w:fldChar w:fldCharType="begin"/>
        </w:r>
        <w:r w:rsidR="002132D8">
          <w:rPr>
            <w:noProof/>
            <w:webHidden/>
          </w:rPr>
          <w:instrText xml:space="preserve"> PAGEREF _Toc23151047 \h </w:instrText>
        </w:r>
        <w:r w:rsidR="002132D8">
          <w:rPr>
            <w:noProof/>
            <w:webHidden/>
          </w:rPr>
        </w:r>
        <w:r w:rsidR="002132D8">
          <w:rPr>
            <w:noProof/>
            <w:webHidden/>
          </w:rPr>
          <w:fldChar w:fldCharType="separate"/>
        </w:r>
        <w:r w:rsidR="00BF1349">
          <w:rPr>
            <w:noProof/>
            <w:webHidden/>
          </w:rPr>
          <w:t>17</w:t>
        </w:r>
        <w:r w:rsidR="002132D8">
          <w:rPr>
            <w:noProof/>
            <w:webHidden/>
          </w:rPr>
          <w:fldChar w:fldCharType="end"/>
        </w:r>
      </w:hyperlink>
    </w:p>
    <w:p w14:paraId="00B3FC0F" w14:textId="6B427C8D" w:rsidR="002132D8" w:rsidRDefault="00C632F2">
      <w:pPr>
        <w:pStyle w:val="TOC2"/>
        <w:rPr>
          <w:rFonts w:asciiTheme="minorHAnsi" w:eastAsiaTheme="minorEastAsia" w:hAnsiTheme="minorHAnsi" w:cstheme="minorBidi"/>
          <w:bCs w:val="0"/>
          <w:noProof/>
          <w:sz w:val="22"/>
          <w:szCs w:val="22"/>
          <w:lang w:eastAsia="en-GB"/>
        </w:rPr>
      </w:pPr>
      <w:hyperlink w:anchor="_Toc23151048" w:history="1">
        <w:r w:rsidR="002132D8" w:rsidRPr="00692950">
          <w:rPr>
            <w:rStyle w:val="Hyperlink"/>
            <w:rFonts w:cs="Calibri"/>
            <w:noProof/>
          </w:rPr>
          <w:t>Geography</w:t>
        </w:r>
        <w:r w:rsidR="002132D8">
          <w:rPr>
            <w:noProof/>
            <w:webHidden/>
          </w:rPr>
          <w:tab/>
        </w:r>
        <w:r w:rsidR="002132D8">
          <w:rPr>
            <w:noProof/>
            <w:webHidden/>
          </w:rPr>
          <w:fldChar w:fldCharType="begin"/>
        </w:r>
        <w:r w:rsidR="002132D8">
          <w:rPr>
            <w:noProof/>
            <w:webHidden/>
          </w:rPr>
          <w:instrText xml:space="preserve"> PAGEREF _Toc23151048 \h </w:instrText>
        </w:r>
        <w:r w:rsidR="002132D8">
          <w:rPr>
            <w:noProof/>
            <w:webHidden/>
          </w:rPr>
        </w:r>
        <w:r w:rsidR="002132D8">
          <w:rPr>
            <w:noProof/>
            <w:webHidden/>
          </w:rPr>
          <w:fldChar w:fldCharType="separate"/>
        </w:r>
        <w:r w:rsidR="00BF1349">
          <w:rPr>
            <w:noProof/>
            <w:webHidden/>
          </w:rPr>
          <w:t>19</w:t>
        </w:r>
        <w:r w:rsidR="002132D8">
          <w:rPr>
            <w:noProof/>
            <w:webHidden/>
          </w:rPr>
          <w:fldChar w:fldCharType="end"/>
        </w:r>
      </w:hyperlink>
    </w:p>
    <w:p w14:paraId="13D972B7" w14:textId="55656028" w:rsidR="002132D8" w:rsidRDefault="00C632F2">
      <w:pPr>
        <w:pStyle w:val="TOC2"/>
        <w:rPr>
          <w:rFonts w:asciiTheme="minorHAnsi" w:eastAsiaTheme="minorEastAsia" w:hAnsiTheme="minorHAnsi" w:cstheme="minorBidi"/>
          <w:bCs w:val="0"/>
          <w:noProof/>
          <w:sz w:val="22"/>
          <w:szCs w:val="22"/>
          <w:lang w:eastAsia="en-GB"/>
        </w:rPr>
      </w:pPr>
      <w:hyperlink w:anchor="_Toc23151049" w:history="1">
        <w:r w:rsidR="002132D8" w:rsidRPr="00692950">
          <w:rPr>
            <w:rStyle w:val="Hyperlink"/>
            <w:noProof/>
          </w:rPr>
          <w:t>Research methodology</w:t>
        </w:r>
        <w:r w:rsidR="002132D8">
          <w:rPr>
            <w:noProof/>
            <w:webHidden/>
          </w:rPr>
          <w:tab/>
        </w:r>
        <w:r w:rsidR="002132D8">
          <w:rPr>
            <w:noProof/>
            <w:webHidden/>
          </w:rPr>
          <w:fldChar w:fldCharType="begin"/>
        </w:r>
        <w:r w:rsidR="002132D8">
          <w:rPr>
            <w:noProof/>
            <w:webHidden/>
          </w:rPr>
          <w:instrText xml:space="preserve"> PAGEREF _Toc23151049 \h </w:instrText>
        </w:r>
        <w:r w:rsidR="002132D8">
          <w:rPr>
            <w:noProof/>
            <w:webHidden/>
          </w:rPr>
        </w:r>
        <w:r w:rsidR="002132D8">
          <w:rPr>
            <w:noProof/>
            <w:webHidden/>
          </w:rPr>
          <w:fldChar w:fldCharType="separate"/>
        </w:r>
        <w:r w:rsidR="00BF1349">
          <w:rPr>
            <w:noProof/>
            <w:webHidden/>
          </w:rPr>
          <w:t>21</w:t>
        </w:r>
        <w:r w:rsidR="002132D8">
          <w:rPr>
            <w:noProof/>
            <w:webHidden/>
          </w:rPr>
          <w:fldChar w:fldCharType="end"/>
        </w:r>
      </w:hyperlink>
    </w:p>
    <w:p w14:paraId="181290DB" w14:textId="44EB7E9C" w:rsidR="002132D8" w:rsidRDefault="00C632F2">
      <w:pPr>
        <w:pStyle w:val="TOC2"/>
        <w:rPr>
          <w:rFonts w:asciiTheme="minorHAnsi" w:eastAsiaTheme="minorEastAsia" w:hAnsiTheme="minorHAnsi" w:cstheme="minorBidi"/>
          <w:bCs w:val="0"/>
          <w:noProof/>
          <w:sz w:val="22"/>
          <w:szCs w:val="22"/>
          <w:lang w:eastAsia="en-GB"/>
        </w:rPr>
      </w:pPr>
      <w:hyperlink w:anchor="_Toc23151050" w:history="1">
        <w:r w:rsidR="002132D8" w:rsidRPr="00692950">
          <w:rPr>
            <w:rStyle w:val="Hyperlink"/>
            <w:rFonts w:cs="Calibri"/>
            <w:noProof/>
          </w:rPr>
          <w:t>Report structure</w:t>
        </w:r>
        <w:r w:rsidR="002132D8">
          <w:rPr>
            <w:noProof/>
            <w:webHidden/>
          </w:rPr>
          <w:tab/>
        </w:r>
        <w:r w:rsidR="002132D8">
          <w:rPr>
            <w:noProof/>
            <w:webHidden/>
          </w:rPr>
          <w:fldChar w:fldCharType="begin"/>
        </w:r>
        <w:r w:rsidR="002132D8">
          <w:rPr>
            <w:noProof/>
            <w:webHidden/>
          </w:rPr>
          <w:instrText xml:space="preserve"> PAGEREF _Toc23151050 \h </w:instrText>
        </w:r>
        <w:r w:rsidR="002132D8">
          <w:rPr>
            <w:noProof/>
            <w:webHidden/>
          </w:rPr>
        </w:r>
        <w:r w:rsidR="002132D8">
          <w:rPr>
            <w:noProof/>
            <w:webHidden/>
          </w:rPr>
          <w:fldChar w:fldCharType="separate"/>
        </w:r>
        <w:r w:rsidR="00BF1349">
          <w:rPr>
            <w:noProof/>
            <w:webHidden/>
          </w:rPr>
          <w:t>22</w:t>
        </w:r>
        <w:r w:rsidR="002132D8">
          <w:rPr>
            <w:noProof/>
            <w:webHidden/>
          </w:rPr>
          <w:fldChar w:fldCharType="end"/>
        </w:r>
      </w:hyperlink>
    </w:p>
    <w:p w14:paraId="1B4BCD48" w14:textId="537DEB80" w:rsidR="002132D8" w:rsidRDefault="00C632F2">
      <w:pPr>
        <w:pStyle w:val="TOC1"/>
        <w:rPr>
          <w:rFonts w:asciiTheme="minorHAnsi" w:eastAsiaTheme="minorEastAsia" w:hAnsiTheme="minorHAnsi" w:cstheme="minorBidi"/>
          <w:b w:val="0"/>
          <w:bCs w:val="0"/>
          <w:sz w:val="22"/>
          <w:szCs w:val="22"/>
          <w:lang w:eastAsia="en-GB"/>
        </w:rPr>
      </w:pPr>
      <w:hyperlink w:anchor="_Toc23151051" w:history="1">
        <w:r w:rsidR="002132D8" w:rsidRPr="00692950">
          <w:rPr>
            <w:rStyle w:val="Hyperlink"/>
            <w:rFonts w:cs="Calibri"/>
          </w:rPr>
          <w:t>2.</w:t>
        </w:r>
        <w:r w:rsidR="002132D8">
          <w:rPr>
            <w:rFonts w:asciiTheme="minorHAnsi" w:eastAsiaTheme="minorEastAsia" w:hAnsiTheme="minorHAnsi" w:cstheme="minorBidi"/>
            <w:b w:val="0"/>
            <w:bCs w:val="0"/>
            <w:sz w:val="22"/>
            <w:szCs w:val="22"/>
            <w:lang w:eastAsia="en-GB"/>
          </w:rPr>
          <w:tab/>
        </w:r>
        <w:r w:rsidR="002132D8" w:rsidRPr="00692950">
          <w:rPr>
            <w:rStyle w:val="Hyperlink"/>
            <w:rFonts w:cs="Calibri"/>
          </w:rPr>
          <w:t>Policy and strategic review</w:t>
        </w:r>
        <w:r w:rsidR="002132D8">
          <w:rPr>
            <w:webHidden/>
          </w:rPr>
          <w:tab/>
        </w:r>
        <w:r w:rsidR="002132D8">
          <w:rPr>
            <w:webHidden/>
          </w:rPr>
          <w:fldChar w:fldCharType="begin"/>
        </w:r>
        <w:r w:rsidR="002132D8">
          <w:rPr>
            <w:webHidden/>
          </w:rPr>
          <w:instrText xml:space="preserve"> PAGEREF _Toc23151051 \h </w:instrText>
        </w:r>
        <w:r w:rsidR="002132D8">
          <w:rPr>
            <w:webHidden/>
          </w:rPr>
        </w:r>
        <w:r w:rsidR="002132D8">
          <w:rPr>
            <w:webHidden/>
          </w:rPr>
          <w:fldChar w:fldCharType="separate"/>
        </w:r>
        <w:r w:rsidR="00BF1349">
          <w:rPr>
            <w:webHidden/>
          </w:rPr>
          <w:t>23</w:t>
        </w:r>
        <w:r w:rsidR="002132D8">
          <w:rPr>
            <w:webHidden/>
          </w:rPr>
          <w:fldChar w:fldCharType="end"/>
        </w:r>
      </w:hyperlink>
    </w:p>
    <w:p w14:paraId="460F0954" w14:textId="13686254" w:rsidR="002132D8" w:rsidRDefault="00C632F2">
      <w:pPr>
        <w:pStyle w:val="TOC2"/>
        <w:rPr>
          <w:rFonts w:asciiTheme="minorHAnsi" w:eastAsiaTheme="minorEastAsia" w:hAnsiTheme="minorHAnsi" w:cstheme="minorBidi"/>
          <w:bCs w:val="0"/>
          <w:noProof/>
          <w:sz w:val="22"/>
          <w:szCs w:val="22"/>
          <w:lang w:eastAsia="en-GB"/>
        </w:rPr>
      </w:pPr>
      <w:hyperlink w:anchor="_Toc23151052" w:history="1">
        <w:r w:rsidR="002132D8" w:rsidRPr="00692950">
          <w:rPr>
            <w:rStyle w:val="Hyperlink"/>
            <w:rFonts w:cs="Calibri"/>
            <w:noProof/>
          </w:rPr>
          <w:t>Introduction</w:t>
        </w:r>
        <w:r w:rsidR="002132D8">
          <w:rPr>
            <w:noProof/>
            <w:webHidden/>
          </w:rPr>
          <w:tab/>
        </w:r>
        <w:r w:rsidR="002132D8">
          <w:rPr>
            <w:noProof/>
            <w:webHidden/>
          </w:rPr>
          <w:fldChar w:fldCharType="begin"/>
        </w:r>
        <w:r w:rsidR="002132D8">
          <w:rPr>
            <w:noProof/>
            <w:webHidden/>
          </w:rPr>
          <w:instrText xml:space="preserve"> PAGEREF _Toc23151052 \h </w:instrText>
        </w:r>
        <w:r w:rsidR="002132D8">
          <w:rPr>
            <w:noProof/>
            <w:webHidden/>
          </w:rPr>
        </w:r>
        <w:r w:rsidR="002132D8">
          <w:rPr>
            <w:noProof/>
            <w:webHidden/>
          </w:rPr>
          <w:fldChar w:fldCharType="separate"/>
        </w:r>
        <w:r w:rsidR="00BF1349">
          <w:rPr>
            <w:noProof/>
            <w:webHidden/>
          </w:rPr>
          <w:t>23</w:t>
        </w:r>
        <w:r w:rsidR="002132D8">
          <w:rPr>
            <w:noProof/>
            <w:webHidden/>
          </w:rPr>
          <w:fldChar w:fldCharType="end"/>
        </w:r>
      </w:hyperlink>
    </w:p>
    <w:p w14:paraId="49E5A642" w14:textId="203F50AC" w:rsidR="002132D8" w:rsidRDefault="00C632F2">
      <w:pPr>
        <w:pStyle w:val="TOC2"/>
        <w:rPr>
          <w:rFonts w:asciiTheme="minorHAnsi" w:eastAsiaTheme="minorEastAsia" w:hAnsiTheme="minorHAnsi" w:cstheme="minorBidi"/>
          <w:bCs w:val="0"/>
          <w:noProof/>
          <w:sz w:val="22"/>
          <w:szCs w:val="22"/>
          <w:lang w:eastAsia="en-GB"/>
        </w:rPr>
      </w:pPr>
      <w:hyperlink w:anchor="_Toc23151053" w:history="1">
        <w:r w:rsidR="002132D8" w:rsidRPr="00692950">
          <w:rPr>
            <w:rStyle w:val="Hyperlink"/>
            <w:rFonts w:cs="Calibri"/>
            <w:noProof/>
          </w:rPr>
          <w:t>National context</w:t>
        </w:r>
        <w:r w:rsidR="002132D8">
          <w:rPr>
            <w:noProof/>
            <w:webHidden/>
          </w:rPr>
          <w:tab/>
        </w:r>
        <w:r w:rsidR="002132D8">
          <w:rPr>
            <w:noProof/>
            <w:webHidden/>
          </w:rPr>
          <w:fldChar w:fldCharType="begin"/>
        </w:r>
        <w:r w:rsidR="002132D8">
          <w:rPr>
            <w:noProof/>
            <w:webHidden/>
          </w:rPr>
          <w:instrText xml:space="preserve"> PAGEREF _Toc23151053 \h </w:instrText>
        </w:r>
        <w:r w:rsidR="002132D8">
          <w:rPr>
            <w:noProof/>
            <w:webHidden/>
          </w:rPr>
        </w:r>
        <w:r w:rsidR="002132D8">
          <w:rPr>
            <w:noProof/>
            <w:webHidden/>
          </w:rPr>
          <w:fldChar w:fldCharType="separate"/>
        </w:r>
        <w:r w:rsidR="00BF1349">
          <w:rPr>
            <w:noProof/>
            <w:webHidden/>
          </w:rPr>
          <w:t>23</w:t>
        </w:r>
        <w:r w:rsidR="002132D8">
          <w:rPr>
            <w:noProof/>
            <w:webHidden/>
          </w:rPr>
          <w:fldChar w:fldCharType="end"/>
        </w:r>
      </w:hyperlink>
    </w:p>
    <w:p w14:paraId="0A27FFC1" w14:textId="6E8E2C89" w:rsidR="002132D8" w:rsidRDefault="00C632F2">
      <w:pPr>
        <w:pStyle w:val="TOC2"/>
        <w:rPr>
          <w:rFonts w:asciiTheme="minorHAnsi" w:eastAsiaTheme="minorEastAsia" w:hAnsiTheme="minorHAnsi" w:cstheme="minorBidi"/>
          <w:bCs w:val="0"/>
          <w:noProof/>
          <w:sz w:val="22"/>
          <w:szCs w:val="22"/>
          <w:lang w:eastAsia="en-GB"/>
        </w:rPr>
      </w:pPr>
      <w:hyperlink w:anchor="_Toc23151054" w:history="1">
        <w:r w:rsidR="002132D8" w:rsidRPr="00692950">
          <w:rPr>
            <w:rStyle w:val="Hyperlink"/>
            <w:rFonts w:cs="Calibri"/>
            <w:noProof/>
          </w:rPr>
          <w:t>Strategic context</w:t>
        </w:r>
        <w:r w:rsidR="002132D8">
          <w:rPr>
            <w:noProof/>
            <w:webHidden/>
          </w:rPr>
          <w:tab/>
        </w:r>
        <w:r w:rsidR="002132D8">
          <w:rPr>
            <w:noProof/>
            <w:webHidden/>
          </w:rPr>
          <w:fldChar w:fldCharType="begin"/>
        </w:r>
        <w:r w:rsidR="002132D8">
          <w:rPr>
            <w:noProof/>
            <w:webHidden/>
          </w:rPr>
          <w:instrText xml:space="preserve"> PAGEREF _Toc23151054 \h </w:instrText>
        </w:r>
        <w:r w:rsidR="002132D8">
          <w:rPr>
            <w:noProof/>
            <w:webHidden/>
          </w:rPr>
        </w:r>
        <w:r w:rsidR="002132D8">
          <w:rPr>
            <w:noProof/>
            <w:webHidden/>
          </w:rPr>
          <w:fldChar w:fldCharType="separate"/>
        </w:r>
        <w:r w:rsidR="00BF1349">
          <w:rPr>
            <w:noProof/>
            <w:webHidden/>
          </w:rPr>
          <w:t>24</w:t>
        </w:r>
        <w:r w:rsidR="002132D8">
          <w:rPr>
            <w:noProof/>
            <w:webHidden/>
          </w:rPr>
          <w:fldChar w:fldCharType="end"/>
        </w:r>
      </w:hyperlink>
    </w:p>
    <w:p w14:paraId="3B8B576B" w14:textId="0722493E" w:rsidR="002132D8" w:rsidRDefault="00C632F2">
      <w:pPr>
        <w:pStyle w:val="TOC2"/>
        <w:rPr>
          <w:rFonts w:asciiTheme="minorHAnsi" w:eastAsiaTheme="minorEastAsia" w:hAnsiTheme="minorHAnsi" w:cstheme="minorBidi"/>
          <w:bCs w:val="0"/>
          <w:noProof/>
          <w:sz w:val="22"/>
          <w:szCs w:val="22"/>
          <w:lang w:eastAsia="en-GB"/>
        </w:rPr>
      </w:pPr>
      <w:hyperlink w:anchor="_Toc23151055" w:history="1">
        <w:r w:rsidR="002132D8" w:rsidRPr="00692950">
          <w:rPr>
            <w:rStyle w:val="Hyperlink"/>
            <w:rFonts w:cs="Calibri"/>
            <w:noProof/>
          </w:rPr>
          <w:t>Local context</w:t>
        </w:r>
        <w:r w:rsidR="002132D8">
          <w:rPr>
            <w:noProof/>
            <w:webHidden/>
          </w:rPr>
          <w:tab/>
        </w:r>
        <w:r w:rsidR="002132D8">
          <w:rPr>
            <w:noProof/>
            <w:webHidden/>
          </w:rPr>
          <w:fldChar w:fldCharType="begin"/>
        </w:r>
        <w:r w:rsidR="002132D8">
          <w:rPr>
            <w:noProof/>
            <w:webHidden/>
          </w:rPr>
          <w:instrText xml:space="preserve"> PAGEREF _Toc23151055 \h </w:instrText>
        </w:r>
        <w:r w:rsidR="002132D8">
          <w:rPr>
            <w:noProof/>
            <w:webHidden/>
          </w:rPr>
        </w:r>
        <w:r w:rsidR="002132D8">
          <w:rPr>
            <w:noProof/>
            <w:webHidden/>
          </w:rPr>
          <w:fldChar w:fldCharType="separate"/>
        </w:r>
        <w:r w:rsidR="00BF1349">
          <w:rPr>
            <w:noProof/>
            <w:webHidden/>
          </w:rPr>
          <w:t>25</w:t>
        </w:r>
        <w:r w:rsidR="002132D8">
          <w:rPr>
            <w:noProof/>
            <w:webHidden/>
          </w:rPr>
          <w:fldChar w:fldCharType="end"/>
        </w:r>
      </w:hyperlink>
    </w:p>
    <w:p w14:paraId="6BA58893" w14:textId="195FE837" w:rsidR="002132D8" w:rsidRDefault="00C632F2">
      <w:pPr>
        <w:pStyle w:val="TOC2"/>
        <w:rPr>
          <w:rFonts w:asciiTheme="minorHAnsi" w:eastAsiaTheme="minorEastAsia" w:hAnsiTheme="minorHAnsi" w:cstheme="minorBidi"/>
          <w:bCs w:val="0"/>
          <w:noProof/>
          <w:sz w:val="22"/>
          <w:szCs w:val="22"/>
          <w:lang w:eastAsia="en-GB"/>
        </w:rPr>
      </w:pPr>
      <w:hyperlink w:anchor="_Toc23151056" w:history="1">
        <w:r w:rsidR="002132D8" w:rsidRPr="00692950">
          <w:rPr>
            <w:rStyle w:val="Hyperlink"/>
            <w:noProof/>
          </w:rPr>
          <w:t>Lewisham Corporate Strategy 2018-2022</w:t>
        </w:r>
        <w:r w:rsidR="002132D8">
          <w:rPr>
            <w:noProof/>
            <w:webHidden/>
          </w:rPr>
          <w:tab/>
        </w:r>
        <w:r w:rsidR="002132D8">
          <w:rPr>
            <w:noProof/>
            <w:webHidden/>
          </w:rPr>
          <w:fldChar w:fldCharType="begin"/>
        </w:r>
        <w:r w:rsidR="002132D8">
          <w:rPr>
            <w:noProof/>
            <w:webHidden/>
          </w:rPr>
          <w:instrText xml:space="preserve"> PAGEREF _Toc23151056 \h </w:instrText>
        </w:r>
        <w:r w:rsidR="002132D8">
          <w:rPr>
            <w:noProof/>
            <w:webHidden/>
          </w:rPr>
        </w:r>
        <w:r w:rsidR="002132D8">
          <w:rPr>
            <w:noProof/>
            <w:webHidden/>
          </w:rPr>
          <w:fldChar w:fldCharType="separate"/>
        </w:r>
        <w:r w:rsidR="00BF1349">
          <w:rPr>
            <w:noProof/>
            <w:webHidden/>
          </w:rPr>
          <w:t>25</w:t>
        </w:r>
        <w:r w:rsidR="002132D8">
          <w:rPr>
            <w:noProof/>
            <w:webHidden/>
          </w:rPr>
          <w:fldChar w:fldCharType="end"/>
        </w:r>
      </w:hyperlink>
    </w:p>
    <w:p w14:paraId="48754E09" w14:textId="603A6D7E" w:rsidR="002132D8" w:rsidRDefault="00C632F2">
      <w:pPr>
        <w:pStyle w:val="TOC2"/>
        <w:rPr>
          <w:rFonts w:asciiTheme="minorHAnsi" w:eastAsiaTheme="minorEastAsia" w:hAnsiTheme="minorHAnsi" w:cstheme="minorBidi"/>
          <w:bCs w:val="0"/>
          <w:noProof/>
          <w:sz w:val="22"/>
          <w:szCs w:val="22"/>
          <w:lang w:eastAsia="en-GB"/>
        </w:rPr>
      </w:pPr>
      <w:hyperlink w:anchor="_Toc23151057" w:history="1">
        <w:r w:rsidR="002132D8" w:rsidRPr="00692950">
          <w:rPr>
            <w:rStyle w:val="Hyperlink"/>
            <w:rFonts w:cs="Calibri"/>
            <w:noProof/>
          </w:rPr>
          <w:t>Concluding comments</w:t>
        </w:r>
        <w:r w:rsidR="002132D8">
          <w:rPr>
            <w:noProof/>
            <w:webHidden/>
          </w:rPr>
          <w:tab/>
        </w:r>
        <w:r w:rsidR="002132D8">
          <w:rPr>
            <w:noProof/>
            <w:webHidden/>
          </w:rPr>
          <w:fldChar w:fldCharType="begin"/>
        </w:r>
        <w:r w:rsidR="002132D8">
          <w:rPr>
            <w:noProof/>
            <w:webHidden/>
          </w:rPr>
          <w:instrText xml:space="preserve"> PAGEREF _Toc23151057 \h </w:instrText>
        </w:r>
        <w:r w:rsidR="002132D8">
          <w:rPr>
            <w:noProof/>
            <w:webHidden/>
          </w:rPr>
        </w:r>
        <w:r w:rsidR="002132D8">
          <w:rPr>
            <w:noProof/>
            <w:webHidden/>
          </w:rPr>
          <w:fldChar w:fldCharType="separate"/>
        </w:r>
        <w:r w:rsidR="00BF1349">
          <w:rPr>
            <w:noProof/>
            <w:webHidden/>
          </w:rPr>
          <w:t>26</w:t>
        </w:r>
        <w:r w:rsidR="002132D8">
          <w:rPr>
            <w:noProof/>
            <w:webHidden/>
          </w:rPr>
          <w:fldChar w:fldCharType="end"/>
        </w:r>
      </w:hyperlink>
    </w:p>
    <w:p w14:paraId="573F98FE" w14:textId="322CD586" w:rsidR="002132D8" w:rsidRDefault="00C632F2">
      <w:pPr>
        <w:pStyle w:val="TOC1"/>
        <w:rPr>
          <w:rFonts w:asciiTheme="minorHAnsi" w:eastAsiaTheme="minorEastAsia" w:hAnsiTheme="minorHAnsi" w:cstheme="minorBidi"/>
          <w:b w:val="0"/>
          <w:bCs w:val="0"/>
          <w:sz w:val="22"/>
          <w:szCs w:val="22"/>
          <w:lang w:eastAsia="en-GB"/>
        </w:rPr>
      </w:pPr>
      <w:hyperlink w:anchor="_Toc23151058" w:history="1">
        <w:r w:rsidR="002132D8" w:rsidRPr="00692950">
          <w:rPr>
            <w:rStyle w:val="Hyperlink"/>
            <w:rFonts w:cs="Calibri"/>
          </w:rPr>
          <w:t>3.</w:t>
        </w:r>
        <w:r w:rsidR="002132D8">
          <w:rPr>
            <w:rFonts w:asciiTheme="minorHAnsi" w:eastAsiaTheme="minorEastAsia" w:hAnsiTheme="minorHAnsi" w:cstheme="minorBidi"/>
            <w:b w:val="0"/>
            <w:bCs w:val="0"/>
            <w:sz w:val="22"/>
            <w:szCs w:val="22"/>
            <w:lang w:eastAsia="en-GB"/>
          </w:rPr>
          <w:tab/>
        </w:r>
        <w:r w:rsidR="002132D8" w:rsidRPr="00692950">
          <w:rPr>
            <w:rStyle w:val="Hyperlink"/>
            <w:rFonts w:cs="Calibri"/>
          </w:rPr>
          <w:t>Understanding the housing market dynamics</w:t>
        </w:r>
        <w:r w:rsidR="002132D8">
          <w:rPr>
            <w:webHidden/>
          </w:rPr>
          <w:tab/>
        </w:r>
        <w:r w:rsidR="002132D8">
          <w:rPr>
            <w:webHidden/>
          </w:rPr>
          <w:fldChar w:fldCharType="begin"/>
        </w:r>
        <w:r w:rsidR="002132D8">
          <w:rPr>
            <w:webHidden/>
          </w:rPr>
          <w:instrText xml:space="preserve"> PAGEREF _Toc23151058 \h </w:instrText>
        </w:r>
        <w:r w:rsidR="002132D8">
          <w:rPr>
            <w:webHidden/>
          </w:rPr>
        </w:r>
        <w:r w:rsidR="002132D8">
          <w:rPr>
            <w:webHidden/>
          </w:rPr>
          <w:fldChar w:fldCharType="separate"/>
        </w:r>
        <w:r w:rsidR="00BF1349">
          <w:rPr>
            <w:webHidden/>
          </w:rPr>
          <w:t>27</w:t>
        </w:r>
        <w:r w:rsidR="002132D8">
          <w:rPr>
            <w:webHidden/>
          </w:rPr>
          <w:fldChar w:fldCharType="end"/>
        </w:r>
      </w:hyperlink>
    </w:p>
    <w:p w14:paraId="3DDD2D6D" w14:textId="3FA6781B" w:rsidR="002132D8" w:rsidRDefault="00C632F2">
      <w:pPr>
        <w:pStyle w:val="TOC2"/>
        <w:rPr>
          <w:rFonts w:asciiTheme="minorHAnsi" w:eastAsiaTheme="minorEastAsia" w:hAnsiTheme="minorHAnsi" w:cstheme="minorBidi"/>
          <w:bCs w:val="0"/>
          <w:noProof/>
          <w:sz w:val="22"/>
          <w:szCs w:val="22"/>
          <w:lang w:eastAsia="en-GB"/>
        </w:rPr>
      </w:pPr>
      <w:hyperlink w:anchor="_Toc23151059" w:history="1">
        <w:r w:rsidR="002132D8" w:rsidRPr="00692950">
          <w:rPr>
            <w:rStyle w:val="Hyperlink"/>
            <w:rFonts w:cs="Calibri"/>
            <w:noProof/>
          </w:rPr>
          <w:t>Introduction</w:t>
        </w:r>
        <w:r w:rsidR="002132D8">
          <w:rPr>
            <w:noProof/>
            <w:webHidden/>
          </w:rPr>
          <w:tab/>
        </w:r>
        <w:r w:rsidR="002132D8">
          <w:rPr>
            <w:noProof/>
            <w:webHidden/>
          </w:rPr>
          <w:fldChar w:fldCharType="begin"/>
        </w:r>
        <w:r w:rsidR="002132D8">
          <w:rPr>
            <w:noProof/>
            <w:webHidden/>
          </w:rPr>
          <w:instrText xml:space="preserve"> PAGEREF _Toc23151059 \h </w:instrText>
        </w:r>
        <w:r w:rsidR="002132D8">
          <w:rPr>
            <w:noProof/>
            <w:webHidden/>
          </w:rPr>
        </w:r>
        <w:r w:rsidR="002132D8">
          <w:rPr>
            <w:noProof/>
            <w:webHidden/>
          </w:rPr>
          <w:fldChar w:fldCharType="separate"/>
        </w:r>
        <w:r w:rsidR="00BF1349">
          <w:rPr>
            <w:noProof/>
            <w:webHidden/>
          </w:rPr>
          <w:t>27</w:t>
        </w:r>
        <w:r w:rsidR="002132D8">
          <w:rPr>
            <w:noProof/>
            <w:webHidden/>
          </w:rPr>
          <w:fldChar w:fldCharType="end"/>
        </w:r>
      </w:hyperlink>
    </w:p>
    <w:p w14:paraId="692490AD" w14:textId="598AA6E0" w:rsidR="002132D8" w:rsidRDefault="00C632F2">
      <w:pPr>
        <w:pStyle w:val="TOC2"/>
        <w:rPr>
          <w:rFonts w:asciiTheme="minorHAnsi" w:eastAsiaTheme="minorEastAsia" w:hAnsiTheme="minorHAnsi" w:cstheme="minorBidi"/>
          <w:bCs w:val="0"/>
          <w:noProof/>
          <w:sz w:val="22"/>
          <w:szCs w:val="22"/>
          <w:lang w:eastAsia="en-GB"/>
        </w:rPr>
      </w:pPr>
      <w:hyperlink w:anchor="_Toc23151060" w:history="1">
        <w:r w:rsidR="002132D8" w:rsidRPr="00692950">
          <w:rPr>
            <w:rStyle w:val="Hyperlink"/>
            <w:rFonts w:cs="Calibri"/>
            <w:noProof/>
          </w:rPr>
          <w:t>House price trends</w:t>
        </w:r>
        <w:r w:rsidR="002132D8">
          <w:rPr>
            <w:noProof/>
            <w:webHidden/>
          </w:rPr>
          <w:tab/>
        </w:r>
        <w:r w:rsidR="002132D8">
          <w:rPr>
            <w:noProof/>
            <w:webHidden/>
          </w:rPr>
          <w:fldChar w:fldCharType="begin"/>
        </w:r>
        <w:r w:rsidR="002132D8">
          <w:rPr>
            <w:noProof/>
            <w:webHidden/>
          </w:rPr>
          <w:instrText xml:space="preserve"> PAGEREF _Toc23151060 \h </w:instrText>
        </w:r>
        <w:r w:rsidR="002132D8">
          <w:rPr>
            <w:noProof/>
            <w:webHidden/>
          </w:rPr>
        </w:r>
        <w:r w:rsidR="002132D8">
          <w:rPr>
            <w:noProof/>
            <w:webHidden/>
          </w:rPr>
          <w:fldChar w:fldCharType="separate"/>
        </w:r>
        <w:r w:rsidR="00BF1349">
          <w:rPr>
            <w:noProof/>
            <w:webHidden/>
          </w:rPr>
          <w:t>27</w:t>
        </w:r>
        <w:r w:rsidR="002132D8">
          <w:rPr>
            <w:noProof/>
            <w:webHidden/>
          </w:rPr>
          <w:fldChar w:fldCharType="end"/>
        </w:r>
      </w:hyperlink>
    </w:p>
    <w:p w14:paraId="3ACF3422" w14:textId="62864CED" w:rsidR="002132D8" w:rsidRDefault="00C632F2">
      <w:pPr>
        <w:pStyle w:val="TOC2"/>
        <w:rPr>
          <w:rFonts w:asciiTheme="minorHAnsi" w:eastAsiaTheme="minorEastAsia" w:hAnsiTheme="minorHAnsi" w:cstheme="minorBidi"/>
          <w:bCs w:val="0"/>
          <w:noProof/>
          <w:sz w:val="22"/>
          <w:szCs w:val="22"/>
          <w:lang w:eastAsia="en-GB"/>
        </w:rPr>
      </w:pPr>
      <w:hyperlink w:anchor="_Toc23151061" w:history="1">
        <w:r w:rsidR="002132D8" w:rsidRPr="00692950">
          <w:rPr>
            <w:rStyle w:val="Hyperlink"/>
            <w:rFonts w:cs="Calibri"/>
            <w:noProof/>
          </w:rPr>
          <w:t>Relative affordability</w:t>
        </w:r>
        <w:r w:rsidR="002132D8">
          <w:rPr>
            <w:noProof/>
            <w:webHidden/>
          </w:rPr>
          <w:tab/>
        </w:r>
        <w:r w:rsidR="002132D8">
          <w:rPr>
            <w:noProof/>
            <w:webHidden/>
          </w:rPr>
          <w:fldChar w:fldCharType="begin"/>
        </w:r>
        <w:r w:rsidR="002132D8">
          <w:rPr>
            <w:noProof/>
            <w:webHidden/>
          </w:rPr>
          <w:instrText xml:space="preserve"> PAGEREF _Toc23151061 \h </w:instrText>
        </w:r>
        <w:r w:rsidR="002132D8">
          <w:rPr>
            <w:noProof/>
            <w:webHidden/>
          </w:rPr>
        </w:r>
        <w:r w:rsidR="002132D8">
          <w:rPr>
            <w:noProof/>
            <w:webHidden/>
          </w:rPr>
          <w:fldChar w:fldCharType="separate"/>
        </w:r>
        <w:r w:rsidR="00BF1349">
          <w:rPr>
            <w:noProof/>
            <w:webHidden/>
          </w:rPr>
          <w:t>34</w:t>
        </w:r>
        <w:r w:rsidR="002132D8">
          <w:rPr>
            <w:noProof/>
            <w:webHidden/>
          </w:rPr>
          <w:fldChar w:fldCharType="end"/>
        </w:r>
      </w:hyperlink>
    </w:p>
    <w:p w14:paraId="3A0FDCC9" w14:textId="6414C4B2" w:rsidR="002132D8" w:rsidRDefault="00C632F2">
      <w:pPr>
        <w:pStyle w:val="TOC2"/>
        <w:rPr>
          <w:rFonts w:asciiTheme="minorHAnsi" w:eastAsiaTheme="minorEastAsia" w:hAnsiTheme="minorHAnsi" w:cstheme="minorBidi"/>
          <w:bCs w:val="0"/>
          <w:noProof/>
          <w:sz w:val="22"/>
          <w:szCs w:val="22"/>
          <w:lang w:eastAsia="en-GB"/>
        </w:rPr>
      </w:pPr>
      <w:hyperlink w:anchor="_Toc23151062" w:history="1">
        <w:r w:rsidR="002132D8" w:rsidRPr="00692950">
          <w:rPr>
            <w:rStyle w:val="Hyperlink"/>
            <w:rFonts w:cs="Calibri"/>
            <w:noProof/>
          </w:rPr>
          <w:t>Household migration</w:t>
        </w:r>
        <w:r w:rsidR="002132D8">
          <w:rPr>
            <w:noProof/>
            <w:webHidden/>
          </w:rPr>
          <w:tab/>
        </w:r>
        <w:r w:rsidR="002132D8">
          <w:rPr>
            <w:noProof/>
            <w:webHidden/>
          </w:rPr>
          <w:fldChar w:fldCharType="begin"/>
        </w:r>
        <w:r w:rsidR="002132D8">
          <w:rPr>
            <w:noProof/>
            <w:webHidden/>
          </w:rPr>
          <w:instrText xml:space="preserve"> PAGEREF _Toc23151062 \h </w:instrText>
        </w:r>
        <w:r w:rsidR="002132D8">
          <w:rPr>
            <w:noProof/>
            <w:webHidden/>
          </w:rPr>
        </w:r>
        <w:r w:rsidR="002132D8">
          <w:rPr>
            <w:noProof/>
            <w:webHidden/>
          </w:rPr>
          <w:fldChar w:fldCharType="separate"/>
        </w:r>
        <w:r w:rsidR="00BF1349">
          <w:rPr>
            <w:noProof/>
            <w:webHidden/>
          </w:rPr>
          <w:t>35</w:t>
        </w:r>
        <w:r w:rsidR="002132D8">
          <w:rPr>
            <w:noProof/>
            <w:webHidden/>
          </w:rPr>
          <w:fldChar w:fldCharType="end"/>
        </w:r>
      </w:hyperlink>
    </w:p>
    <w:p w14:paraId="0D95DC18" w14:textId="7E4D16E8" w:rsidR="002132D8" w:rsidRDefault="00C632F2">
      <w:pPr>
        <w:pStyle w:val="TOC2"/>
        <w:rPr>
          <w:rFonts w:asciiTheme="minorHAnsi" w:eastAsiaTheme="minorEastAsia" w:hAnsiTheme="minorHAnsi" w:cstheme="minorBidi"/>
          <w:bCs w:val="0"/>
          <w:noProof/>
          <w:sz w:val="22"/>
          <w:szCs w:val="22"/>
          <w:lang w:eastAsia="en-GB"/>
        </w:rPr>
      </w:pPr>
      <w:hyperlink w:anchor="_Toc23151063" w:history="1">
        <w:r w:rsidR="002132D8" w:rsidRPr="00692950">
          <w:rPr>
            <w:rStyle w:val="Hyperlink"/>
            <w:rFonts w:cs="Calibri"/>
            <w:noProof/>
          </w:rPr>
          <w:t>Travel to work trends</w:t>
        </w:r>
        <w:r w:rsidR="002132D8">
          <w:rPr>
            <w:noProof/>
            <w:webHidden/>
          </w:rPr>
          <w:tab/>
        </w:r>
        <w:r w:rsidR="002132D8">
          <w:rPr>
            <w:noProof/>
            <w:webHidden/>
          </w:rPr>
          <w:fldChar w:fldCharType="begin"/>
        </w:r>
        <w:r w:rsidR="002132D8">
          <w:rPr>
            <w:noProof/>
            <w:webHidden/>
          </w:rPr>
          <w:instrText xml:space="preserve"> PAGEREF _Toc23151063 \h </w:instrText>
        </w:r>
        <w:r w:rsidR="002132D8">
          <w:rPr>
            <w:noProof/>
            <w:webHidden/>
          </w:rPr>
        </w:r>
        <w:r w:rsidR="002132D8">
          <w:rPr>
            <w:noProof/>
            <w:webHidden/>
          </w:rPr>
          <w:fldChar w:fldCharType="separate"/>
        </w:r>
        <w:r w:rsidR="00BF1349">
          <w:rPr>
            <w:noProof/>
            <w:webHidden/>
          </w:rPr>
          <w:t>36</w:t>
        </w:r>
        <w:r w:rsidR="002132D8">
          <w:rPr>
            <w:noProof/>
            <w:webHidden/>
          </w:rPr>
          <w:fldChar w:fldCharType="end"/>
        </w:r>
      </w:hyperlink>
    </w:p>
    <w:p w14:paraId="49294CB9" w14:textId="10AC1CEB" w:rsidR="002132D8" w:rsidRDefault="00C632F2">
      <w:pPr>
        <w:pStyle w:val="TOC2"/>
        <w:rPr>
          <w:rFonts w:asciiTheme="minorHAnsi" w:eastAsiaTheme="minorEastAsia" w:hAnsiTheme="minorHAnsi" w:cstheme="minorBidi"/>
          <w:bCs w:val="0"/>
          <w:noProof/>
          <w:sz w:val="22"/>
          <w:szCs w:val="22"/>
          <w:lang w:eastAsia="en-GB"/>
        </w:rPr>
      </w:pPr>
      <w:hyperlink w:anchor="_Toc23151064" w:history="1">
        <w:r w:rsidR="002132D8" w:rsidRPr="00692950">
          <w:rPr>
            <w:rStyle w:val="Hyperlink"/>
            <w:rFonts w:cs="Calibri"/>
            <w:noProof/>
          </w:rPr>
          <w:t>Housing development (past and planned)</w:t>
        </w:r>
        <w:r w:rsidR="002132D8">
          <w:rPr>
            <w:noProof/>
            <w:webHidden/>
          </w:rPr>
          <w:tab/>
        </w:r>
        <w:r w:rsidR="002132D8">
          <w:rPr>
            <w:noProof/>
            <w:webHidden/>
          </w:rPr>
          <w:fldChar w:fldCharType="begin"/>
        </w:r>
        <w:r w:rsidR="002132D8">
          <w:rPr>
            <w:noProof/>
            <w:webHidden/>
          </w:rPr>
          <w:instrText xml:space="preserve"> PAGEREF _Toc23151064 \h </w:instrText>
        </w:r>
        <w:r w:rsidR="002132D8">
          <w:rPr>
            <w:noProof/>
            <w:webHidden/>
          </w:rPr>
        </w:r>
        <w:r w:rsidR="002132D8">
          <w:rPr>
            <w:noProof/>
            <w:webHidden/>
          </w:rPr>
          <w:fldChar w:fldCharType="separate"/>
        </w:r>
        <w:r w:rsidR="00BF1349">
          <w:rPr>
            <w:noProof/>
            <w:webHidden/>
          </w:rPr>
          <w:t>36</w:t>
        </w:r>
        <w:r w:rsidR="002132D8">
          <w:rPr>
            <w:noProof/>
            <w:webHidden/>
          </w:rPr>
          <w:fldChar w:fldCharType="end"/>
        </w:r>
      </w:hyperlink>
    </w:p>
    <w:p w14:paraId="50714466" w14:textId="23D497DE" w:rsidR="002132D8" w:rsidRDefault="00C632F2">
      <w:pPr>
        <w:pStyle w:val="TOC2"/>
        <w:rPr>
          <w:rFonts w:asciiTheme="minorHAnsi" w:eastAsiaTheme="minorEastAsia" w:hAnsiTheme="minorHAnsi" w:cstheme="minorBidi"/>
          <w:bCs w:val="0"/>
          <w:noProof/>
          <w:sz w:val="22"/>
          <w:szCs w:val="22"/>
          <w:lang w:eastAsia="en-GB"/>
        </w:rPr>
      </w:pPr>
      <w:hyperlink w:anchor="_Toc23151065" w:history="1">
        <w:r w:rsidR="002132D8" w:rsidRPr="00692950">
          <w:rPr>
            <w:rStyle w:val="Hyperlink"/>
            <w:noProof/>
          </w:rPr>
          <w:t>A qualitative perspective on housing market dynamics and drivers</w:t>
        </w:r>
        <w:r w:rsidR="002132D8">
          <w:rPr>
            <w:noProof/>
            <w:webHidden/>
          </w:rPr>
          <w:tab/>
        </w:r>
        <w:r w:rsidR="002132D8">
          <w:rPr>
            <w:noProof/>
            <w:webHidden/>
          </w:rPr>
          <w:fldChar w:fldCharType="begin"/>
        </w:r>
        <w:r w:rsidR="002132D8">
          <w:rPr>
            <w:noProof/>
            <w:webHidden/>
          </w:rPr>
          <w:instrText xml:space="preserve"> PAGEREF _Toc23151065 \h </w:instrText>
        </w:r>
        <w:r w:rsidR="002132D8">
          <w:rPr>
            <w:noProof/>
            <w:webHidden/>
          </w:rPr>
        </w:r>
        <w:r w:rsidR="002132D8">
          <w:rPr>
            <w:noProof/>
            <w:webHidden/>
          </w:rPr>
          <w:fldChar w:fldCharType="separate"/>
        </w:r>
        <w:r w:rsidR="00BF1349">
          <w:rPr>
            <w:noProof/>
            <w:webHidden/>
          </w:rPr>
          <w:t>38</w:t>
        </w:r>
        <w:r w:rsidR="002132D8">
          <w:rPr>
            <w:noProof/>
            <w:webHidden/>
          </w:rPr>
          <w:fldChar w:fldCharType="end"/>
        </w:r>
      </w:hyperlink>
    </w:p>
    <w:p w14:paraId="2459EC2D" w14:textId="10781092" w:rsidR="002132D8" w:rsidRDefault="00C632F2">
      <w:pPr>
        <w:pStyle w:val="TOC2"/>
        <w:rPr>
          <w:rFonts w:asciiTheme="minorHAnsi" w:eastAsiaTheme="minorEastAsia" w:hAnsiTheme="minorHAnsi" w:cstheme="minorBidi"/>
          <w:bCs w:val="0"/>
          <w:noProof/>
          <w:sz w:val="22"/>
          <w:szCs w:val="22"/>
          <w:lang w:eastAsia="en-GB"/>
        </w:rPr>
      </w:pPr>
      <w:hyperlink w:anchor="_Toc23151066" w:history="1">
        <w:r w:rsidR="002132D8" w:rsidRPr="00692950">
          <w:rPr>
            <w:rStyle w:val="Hyperlink"/>
            <w:rFonts w:cs="Calibri"/>
            <w:noProof/>
          </w:rPr>
          <w:t>Concluding comments</w:t>
        </w:r>
        <w:r w:rsidR="002132D8">
          <w:rPr>
            <w:noProof/>
            <w:webHidden/>
          </w:rPr>
          <w:tab/>
        </w:r>
        <w:r w:rsidR="002132D8">
          <w:rPr>
            <w:noProof/>
            <w:webHidden/>
          </w:rPr>
          <w:fldChar w:fldCharType="begin"/>
        </w:r>
        <w:r w:rsidR="002132D8">
          <w:rPr>
            <w:noProof/>
            <w:webHidden/>
          </w:rPr>
          <w:instrText xml:space="preserve"> PAGEREF _Toc23151066 \h </w:instrText>
        </w:r>
        <w:r w:rsidR="002132D8">
          <w:rPr>
            <w:noProof/>
            <w:webHidden/>
          </w:rPr>
        </w:r>
        <w:r w:rsidR="002132D8">
          <w:rPr>
            <w:noProof/>
            <w:webHidden/>
          </w:rPr>
          <w:fldChar w:fldCharType="separate"/>
        </w:r>
        <w:r w:rsidR="00BF1349">
          <w:rPr>
            <w:noProof/>
            <w:webHidden/>
          </w:rPr>
          <w:t>42</w:t>
        </w:r>
        <w:r w:rsidR="002132D8">
          <w:rPr>
            <w:noProof/>
            <w:webHidden/>
          </w:rPr>
          <w:fldChar w:fldCharType="end"/>
        </w:r>
      </w:hyperlink>
    </w:p>
    <w:p w14:paraId="28C63C23" w14:textId="1AD9AC56" w:rsidR="002132D8" w:rsidRDefault="00C632F2">
      <w:pPr>
        <w:pStyle w:val="TOC1"/>
        <w:rPr>
          <w:rFonts w:asciiTheme="minorHAnsi" w:eastAsiaTheme="minorEastAsia" w:hAnsiTheme="minorHAnsi" w:cstheme="minorBidi"/>
          <w:b w:val="0"/>
          <w:bCs w:val="0"/>
          <w:sz w:val="22"/>
          <w:szCs w:val="22"/>
          <w:lang w:eastAsia="en-GB"/>
        </w:rPr>
      </w:pPr>
      <w:hyperlink w:anchor="_Toc23151067" w:history="1">
        <w:r w:rsidR="002132D8" w:rsidRPr="00692950">
          <w:rPr>
            <w:rStyle w:val="Hyperlink"/>
            <w:rFonts w:cs="Calibri"/>
          </w:rPr>
          <w:t>4.</w:t>
        </w:r>
        <w:r w:rsidR="002132D8">
          <w:rPr>
            <w:rFonts w:asciiTheme="minorHAnsi" w:eastAsiaTheme="minorEastAsia" w:hAnsiTheme="minorHAnsi" w:cstheme="minorBidi"/>
            <w:b w:val="0"/>
            <w:bCs w:val="0"/>
            <w:sz w:val="22"/>
            <w:szCs w:val="22"/>
            <w:lang w:eastAsia="en-GB"/>
          </w:rPr>
          <w:tab/>
        </w:r>
        <w:r w:rsidR="002132D8" w:rsidRPr="00692950">
          <w:rPr>
            <w:rStyle w:val="Hyperlink"/>
            <w:rFonts w:cs="Calibri"/>
          </w:rPr>
          <w:t>Housing stock review</w:t>
        </w:r>
        <w:r w:rsidR="002132D8">
          <w:rPr>
            <w:webHidden/>
          </w:rPr>
          <w:tab/>
        </w:r>
        <w:r w:rsidR="002132D8">
          <w:rPr>
            <w:webHidden/>
          </w:rPr>
          <w:fldChar w:fldCharType="begin"/>
        </w:r>
        <w:r w:rsidR="002132D8">
          <w:rPr>
            <w:webHidden/>
          </w:rPr>
          <w:instrText xml:space="preserve"> PAGEREF _Toc23151067 \h </w:instrText>
        </w:r>
        <w:r w:rsidR="002132D8">
          <w:rPr>
            <w:webHidden/>
          </w:rPr>
        </w:r>
        <w:r w:rsidR="002132D8">
          <w:rPr>
            <w:webHidden/>
          </w:rPr>
          <w:fldChar w:fldCharType="separate"/>
        </w:r>
        <w:r w:rsidR="00BF1349">
          <w:rPr>
            <w:webHidden/>
          </w:rPr>
          <w:t>43</w:t>
        </w:r>
        <w:r w:rsidR="002132D8">
          <w:rPr>
            <w:webHidden/>
          </w:rPr>
          <w:fldChar w:fldCharType="end"/>
        </w:r>
      </w:hyperlink>
    </w:p>
    <w:p w14:paraId="57FDD09F" w14:textId="5C1D7434" w:rsidR="002132D8" w:rsidRDefault="00C632F2">
      <w:pPr>
        <w:pStyle w:val="TOC2"/>
        <w:rPr>
          <w:rFonts w:asciiTheme="minorHAnsi" w:eastAsiaTheme="minorEastAsia" w:hAnsiTheme="minorHAnsi" w:cstheme="minorBidi"/>
          <w:bCs w:val="0"/>
          <w:noProof/>
          <w:sz w:val="22"/>
          <w:szCs w:val="22"/>
          <w:lang w:eastAsia="en-GB"/>
        </w:rPr>
      </w:pPr>
      <w:hyperlink w:anchor="_Toc23151068" w:history="1">
        <w:r w:rsidR="002132D8" w:rsidRPr="00692950">
          <w:rPr>
            <w:rStyle w:val="Hyperlink"/>
            <w:rFonts w:cs="Calibri"/>
            <w:noProof/>
          </w:rPr>
          <w:t>Introduction</w:t>
        </w:r>
        <w:r w:rsidR="002132D8">
          <w:rPr>
            <w:noProof/>
            <w:webHidden/>
          </w:rPr>
          <w:tab/>
        </w:r>
        <w:r w:rsidR="002132D8">
          <w:rPr>
            <w:noProof/>
            <w:webHidden/>
          </w:rPr>
          <w:fldChar w:fldCharType="begin"/>
        </w:r>
        <w:r w:rsidR="002132D8">
          <w:rPr>
            <w:noProof/>
            <w:webHidden/>
          </w:rPr>
          <w:instrText xml:space="preserve"> PAGEREF _Toc23151068 \h </w:instrText>
        </w:r>
        <w:r w:rsidR="002132D8">
          <w:rPr>
            <w:noProof/>
            <w:webHidden/>
          </w:rPr>
        </w:r>
        <w:r w:rsidR="002132D8">
          <w:rPr>
            <w:noProof/>
            <w:webHidden/>
          </w:rPr>
          <w:fldChar w:fldCharType="separate"/>
        </w:r>
        <w:r w:rsidR="00BF1349">
          <w:rPr>
            <w:noProof/>
            <w:webHidden/>
          </w:rPr>
          <w:t>43</w:t>
        </w:r>
        <w:r w:rsidR="002132D8">
          <w:rPr>
            <w:noProof/>
            <w:webHidden/>
          </w:rPr>
          <w:fldChar w:fldCharType="end"/>
        </w:r>
      </w:hyperlink>
    </w:p>
    <w:p w14:paraId="3F394FA9" w14:textId="23E09046" w:rsidR="002132D8" w:rsidRDefault="00C632F2">
      <w:pPr>
        <w:pStyle w:val="TOC2"/>
        <w:rPr>
          <w:rFonts w:asciiTheme="minorHAnsi" w:eastAsiaTheme="minorEastAsia" w:hAnsiTheme="minorHAnsi" w:cstheme="minorBidi"/>
          <w:bCs w:val="0"/>
          <w:noProof/>
          <w:sz w:val="22"/>
          <w:szCs w:val="22"/>
          <w:lang w:eastAsia="en-GB"/>
        </w:rPr>
      </w:pPr>
      <w:hyperlink w:anchor="_Toc23151069" w:history="1">
        <w:r w:rsidR="002132D8" w:rsidRPr="00692950">
          <w:rPr>
            <w:rStyle w:val="Hyperlink"/>
            <w:rFonts w:cs="Calibri"/>
            <w:noProof/>
          </w:rPr>
          <w:t>Estimates of current dwellings in terms of size, type, condition, tenure</w:t>
        </w:r>
        <w:r w:rsidR="002132D8">
          <w:rPr>
            <w:noProof/>
            <w:webHidden/>
          </w:rPr>
          <w:tab/>
        </w:r>
        <w:r w:rsidR="002132D8">
          <w:rPr>
            <w:noProof/>
            <w:webHidden/>
          </w:rPr>
          <w:fldChar w:fldCharType="begin"/>
        </w:r>
        <w:r w:rsidR="002132D8">
          <w:rPr>
            <w:noProof/>
            <w:webHidden/>
          </w:rPr>
          <w:instrText xml:space="preserve"> PAGEREF _Toc23151069 \h </w:instrText>
        </w:r>
        <w:r w:rsidR="002132D8">
          <w:rPr>
            <w:noProof/>
            <w:webHidden/>
          </w:rPr>
        </w:r>
        <w:r w:rsidR="002132D8">
          <w:rPr>
            <w:noProof/>
            <w:webHidden/>
          </w:rPr>
          <w:fldChar w:fldCharType="separate"/>
        </w:r>
        <w:r w:rsidR="00BF1349">
          <w:rPr>
            <w:noProof/>
            <w:webHidden/>
          </w:rPr>
          <w:t>43</w:t>
        </w:r>
        <w:r w:rsidR="002132D8">
          <w:rPr>
            <w:noProof/>
            <w:webHidden/>
          </w:rPr>
          <w:fldChar w:fldCharType="end"/>
        </w:r>
      </w:hyperlink>
    </w:p>
    <w:p w14:paraId="14B1CF74" w14:textId="4D39E977" w:rsidR="002132D8" w:rsidRDefault="00C632F2">
      <w:pPr>
        <w:pStyle w:val="TOC2"/>
        <w:rPr>
          <w:rFonts w:asciiTheme="minorHAnsi" w:eastAsiaTheme="minorEastAsia" w:hAnsiTheme="minorHAnsi" w:cstheme="minorBidi"/>
          <w:bCs w:val="0"/>
          <w:noProof/>
          <w:sz w:val="22"/>
          <w:szCs w:val="22"/>
          <w:lang w:eastAsia="en-GB"/>
        </w:rPr>
      </w:pPr>
      <w:hyperlink w:anchor="_Toc23151070" w:history="1">
        <w:r w:rsidR="002132D8" w:rsidRPr="00692950">
          <w:rPr>
            <w:rStyle w:val="Hyperlink"/>
            <w:rFonts w:cs="Calibri"/>
            <w:noProof/>
          </w:rPr>
          <w:t>Owner-occupied sector</w:t>
        </w:r>
        <w:r w:rsidR="002132D8">
          <w:rPr>
            <w:noProof/>
            <w:webHidden/>
          </w:rPr>
          <w:tab/>
        </w:r>
        <w:r w:rsidR="002132D8">
          <w:rPr>
            <w:noProof/>
            <w:webHidden/>
          </w:rPr>
          <w:fldChar w:fldCharType="begin"/>
        </w:r>
        <w:r w:rsidR="002132D8">
          <w:rPr>
            <w:noProof/>
            <w:webHidden/>
          </w:rPr>
          <w:instrText xml:space="preserve"> PAGEREF _Toc23151070 \h </w:instrText>
        </w:r>
        <w:r w:rsidR="002132D8">
          <w:rPr>
            <w:noProof/>
            <w:webHidden/>
          </w:rPr>
        </w:r>
        <w:r w:rsidR="002132D8">
          <w:rPr>
            <w:noProof/>
            <w:webHidden/>
          </w:rPr>
          <w:fldChar w:fldCharType="separate"/>
        </w:r>
        <w:r w:rsidR="00BF1349">
          <w:rPr>
            <w:noProof/>
            <w:webHidden/>
          </w:rPr>
          <w:t>54</w:t>
        </w:r>
        <w:r w:rsidR="002132D8">
          <w:rPr>
            <w:noProof/>
            <w:webHidden/>
          </w:rPr>
          <w:fldChar w:fldCharType="end"/>
        </w:r>
      </w:hyperlink>
    </w:p>
    <w:p w14:paraId="04704C71" w14:textId="3DE585A0" w:rsidR="002132D8" w:rsidRDefault="00C632F2">
      <w:pPr>
        <w:pStyle w:val="TOC2"/>
        <w:rPr>
          <w:rFonts w:asciiTheme="minorHAnsi" w:eastAsiaTheme="minorEastAsia" w:hAnsiTheme="minorHAnsi" w:cstheme="minorBidi"/>
          <w:bCs w:val="0"/>
          <w:noProof/>
          <w:sz w:val="22"/>
          <w:szCs w:val="22"/>
          <w:lang w:eastAsia="en-GB"/>
        </w:rPr>
      </w:pPr>
      <w:hyperlink w:anchor="_Toc23151071" w:history="1">
        <w:r w:rsidR="002132D8" w:rsidRPr="00692950">
          <w:rPr>
            <w:rStyle w:val="Hyperlink"/>
            <w:rFonts w:cs="Calibri"/>
            <w:noProof/>
          </w:rPr>
          <w:t>Private rented sector</w:t>
        </w:r>
        <w:r w:rsidR="002132D8">
          <w:rPr>
            <w:noProof/>
            <w:webHidden/>
          </w:rPr>
          <w:tab/>
        </w:r>
        <w:r w:rsidR="002132D8">
          <w:rPr>
            <w:noProof/>
            <w:webHidden/>
          </w:rPr>
          <w:fldChar w:fldCharType="begin"/>
        </w:r>
        <w:r w:rsidR="002132D8">
          <w:rPr>
            <w:noProof/>
            <w:webHidden/>
          </w:rPr>
          <w:instrText xml:space="preserve"> PAGEREF _Toc23151071 \h </w:instrText>
        </w:r>
        <w:r w:rsidR="002132D8">
          <w:rPr>
            <w:noProof/>
            <w:webHidden/>
          </w:rPr>
        </w:r>
        <w:r w:rsidR="002132D8">
          <w:rPr>
            <w:noProof/>
            <w:webHidden/>
          </w:rPr>
          <w:fldChar w:fldCharType="separate"/>
        </w:r>
        <w:r w:rsidR="00BF1349">
          <w:rPr>
            <w:noProof/>
            <w:webHidden/>
          </w:rPr>
          <w:t>56</w:t>
        </w:r>
        <w:r w:rsidR="002132D8">
          <w:rPr>
            <w:noProof/>
            <w:webHidden/>
          </w:rPr>
          <w:fldChar w:fldCharType="end"/>
        </w:r>
      </w:hyperlink>
    </w:p>
    <w:p w14:paraId="63314079" w14:textId="355F3402" w:rsidR="002132D8" w:rsidRDefault="00C632F2">
      <w:pPr>
        <w:pStyle w:val="TOC2"/>
        <w:rPr>
          <w:rFonts w:asciiTheme="minorHAnsi" w:eastAsiaTheme="minorEastAsia" w:hAnsiTheme="minorHAnsi" w:cstheme="minorBidi"/>
          <w:bCs w:val="0"/>
          <w:noProof/>
          <w:sz w:val="22"/>
          <w:szCs w:val="22"/>
          <w:lang w:eastAsia="en-GB"/>
        </w:rPr>
      </w:pPr>
      <w:hyperlink w:anchor="_Toc23151072" w:history="1">
        <w:r w:rsidR="002132D8" w:rsidRPr="00692950">
          <w:rPr>
            <w:rStyle w:val="Hyperlink"/>
            <w:rFonts w:cs="Calibri"/>
            <w:noProof/>
          </w:rPr>
          <w:t>Affordable sector</w:t>
        </w:r>
        <w:r w:rsidR="002132D8">
          <w:rPr>
            <w:noProof/>
            <w:webHidden/>
          </w:rPr>
          <w:tab/>
        </w:r>
        <w:r w:rsidR="002132D8">
          <w:rPr>
            <w:noProof/>
            <w:webHidden/>
          </w:rPr>
          <w:fldChar w:fldCharType="begin"/>
        </w:r>
        <w:r w:rsidR="002132D8">
          <w:rPr>
            <w:noProof/>
            <w:webHidden/>
          </w:rPr>
          <w:instrText xml:space="preserve"> PAGEREF _Toc23151072 \h </w:instrText>
        </w:r>
        <w:r w:rsidR="002132D8">
          <w:rPr>
            <w:noProof/>
            <w:webHidden/>
          </w:rPr>
        </w:r>
        <w:r w:rsidR="002132D8">
          <w:rPr>
            <w:noProof/>
            <w:webHidden/>
          </w:rPr>
          <w:fldChar w:fldCharType="separate"/>
        </w:r>
        <w:r w:rsidR="00BF1349">
          <w:rPr>
            <w:noProof/>
            <w:webHidden/>
          </w:rPr>
          <w:t>62</w:t>
        </w:r>
        <w:r w:rsidR="002132D8">
          <w:rPr>
            <w:noProof/>
            <w:webHidden/>
          </w:rPr>
          <w:fldChar w:fldCharType="end"/>
        </w:r>
      </w:hyperlink>
    </w:p>
    <w:p w14:paraId="73834F59" w14:textId="5E863BCC" w:rsidR="002132D8" w:rsidRDefault="00C632F2">
      <w:pPr>
        <w:pStyle w:val="TOC2"/>
        <w:rPr>
          <w:rFonts w:asciiTheme="minorHAnsi" w:eastAsiaTheme="minorEastAsia" w:hAnsiTheme="minorHAnsi" w:cstheme="minorBidi"/>
          <w:bCs w:val="0"/>
          <w:noProof/>
          <w:sz w:val="22"/>
          <w:szCs w:val="22"/>
          <w:lang w:eastAsia="en-GB"/>
        </w:rPr>
      </w:pPr>
      <w:hyperlink w:anchor="_Toc23151073" w:history="1">
        <w:r w:rsidR="002132D8" w:rsidRPr="00692950">
          <w:rPr>
            <w:rStyle w:val="Hyperlink"/>
            <w:rFonts w:cs="Calibri"/>
            <w:noProof/>
          </w:rPr>
          <w:t>Relative affordability of housing tenure options</w:t>
        </w:r>
        <w:r w:rsidR="002132D8" w:rsidRPr="00692950">
          <w:rPr>
            <w:rStyle w:val="Hyperlink"/>
            <w:rFonts w:cs="Calibri"/>
            <w:noProof/>
            <w:lang w:val="en-US"/>
          </w:rPr>
          <w:t xml:space="preserve"> and defining genuinely affordable housing</w:t>
        </w:r>
        <w:r w:rsidR="002132D8">
          <w:rPr>
            <w:noProof/>
            <w:webHidden/>
          </w:rPr>
          <w:tab/>
        </w:r>
        <w:r w:rsidR="002132D8">
          <w:rPr>
            <w:noProof/>
            <w:webHidden/>
          </w:rPr>
          <w:fldChar w:fldCharType="begin"/>
        </w:r>
        <w:r w:rsidR="002132D8">
          <w:rPr>
            <w:noProof/>
            <w:webHidden/>
          </w:rPr>
          <w:instrText xml:space="preserve"> PAGEREF _Toc23151073 \h </w:instrText>
        </w:r>
        <w:r w:rsidR="002132D8">
          <w:rPr>
            <w:noProof/>
            <w:webHidden/>
          </w:rPr>
        </w:r>
        <w:r w:rsidR="002132D8">
          <w:rPr>
            <w:noProof/>
            <w:webHidden/>
          </w:rPr>
          <w:fldChar w:fldCharType="separate"/>
        </w:r>
        <w:r w:rsidR="00BF1349">
          <w:rPr>
            <w:noProof/>
            <w:webHidden/>
          </w:rPr>
          <w:t>63</w:t>
        </w:r>
        <w:r w:rsidR="002132D8">
          <w:rPr>
            <w:noProof/>
            <w:webHidden/>
          </w:rPr>
          <w:fldChar w:fldCharType="end"/>
        </w:r>
      </w:hyperlink>
    </w:p>
    <w:p w14:paraId="0F881108" w14:textId="42B82358" w:rsidR="002132D8" w:rsidRDefault="00C632F2">
      <w:pPr>
        <w:pStyle w:val="TOC2"/>
        <w:rPr>
          <w:rFonts w:asciiTheme="minorHAnsi" w:eastAsiaTheme="minorEastAsia" w:hAnsiTheme="minorHAnsi" w:cstheme="minorBidi"/>
          <w:bCs w:val="0"/>
          <w:noProof/>
          <w:sz w:val="22"/>
          <w:szCs w:val="22"/>
          <w:lang w:eastAsia="en-GB"/>
        </w:rPr>
      </w:pPr>
      <w:hyperlink w:anchor="_Toc23151074" w:history="1">
        <w:r w:rsidR="002132D8" w:rsidRPr="00692950">
          <w:rPr>
            <w:rStyle w:val="Hyperlink"/>
            <w:rFonts w:cs="Calibri"/>
            <w:noProof/>
          </w:rPr>
          <w:t>Concluding comments</w:t>
        </w:r>
        <w:r w:rsidR="002132D8">
          <w:rPr>
            <w:noProof/>
            <w:webHidden/>
          </w:rPr>
          <w:tab/>
        </w:r>
        <w:r w:rsidR="002132D8">
          <w:rPr>
            <w:noProof/>
            <w:webHidden/>
          </w:rPr>
          <w:fldChar w:fldCharType="begin"/>
        </w:r>
        <w:r w:rsidR="002132D8">
          <w:rPr>
            <w:noProof/>
            <w:webHidden/>
          </w:rPr>
          <w:instrText xml:space="preserve"> PAGEREF _Toc23151074 \h </w:instrText>
        </w:r>
        <w:r w:rsidR="002132D8">
          <w:rPr>
            <w:noProof/>
            <w:webHidden/>
          </w:rPr>
        </w:r>
        <w:r w:rsidR="002132D8">
          <w:rPr>
            <w:noProof/>
            <w:webHidden/>
          </w:rPr>
          <w:fldChar w:fldCharType="separate"/>
        </w:r>
        <w:r w:rsidR="00BF1349">
          <w:rPr>
            <w:noProof/>
            <w:webHidden/>
          </w:rPr>
          <w:t>80</w:t>
        </w:r>
        <w:r w:rsidR="002132D8">
          <w:rPr>
            <w:noProof/>
            <w:webHidden/>
          </w:rPr>
          <w:fldChar w:fldCharType="end"/>
        </w:r>
      </w:hyperlink>
    </w:p>
    <w:p w14:paraId="72021195" w14:textId="436A0AF9" w:rsidR="002132D8" w:rsidRDefault="00C632F2">
      <w:pPr>
        <w:pStyle w:val="TOC1"/>
        <w:rPr>
          <w:rFonts w:asciiTheme="minorHAnsi" w:eastAsiaTheme="minorEastAsia" w:hAnsiTheme="minorHAnsi" w:cstheme="minorBidi"/>
          <w:b w:val="0"/>
          <w:bCs w:val="0"/>
          <w:sz w:val="22"/>
          <w:szCs w:val="22"/>
          <w:lang w:eastAsia="en-GB"/>
        </w:rPr>
      </w:pPr>
      <w:hyperlink w:anchor="_Toc23151075" w:history="1">
        <w:r w:rsidR="002132D8" w:rsidRPr="00692950">
          <w:rPr>
            <w:rStyle w:val="Hyperlink"/>
            <w:rFonts w:cs="Calibri"/>
          </w:rPr>
          <w:t>5.</w:t>
        </w:r>
        <w:r w:rsidR="002132D8">
          <w:rPr>
            <w:rFonts w:asciiTheme="minorHAnsi" w:eastAsiaTheme="minorEastAsia" w:hAnsiTheme="minorHAnsi" w:cstheme="minorBidi"/>
            <w:b w:val="0"/>
            <w:bCs w:val="0"/>
            <w:sz w:val="22"/>
            <w:szCs w:val="22"/>
            <w:lang w:eastAsia="en-GB"/>
          </w:rPr>
          <w:tab/>
        </w:r>
        <w:r w:rsidR="002132D8" w:rsidRPr="00692950">
          <w:rPr>
            <w:rStyle w:val="Hyperlink"/>
          </w:rPr>
          <w:t>Housing need in the Borough of Lewisham</w:t>
        </w:r>
        <w:r w:rsidR="002132D8">
          <w:rPr>
            <w:webHidden/>
          </w:rPr>
          <w:tab/>
        </w:r>
        <w:r w:rsidR="002132D8">
          <w:rPr>
            <w:webHidden/>
          </w:rPr>
          <w:fldChar w:fldCharType="begin"/>
        </w:r>
        <w:r w:rsidR="002132D8">
          <w:rPr>
            <w:webHidden/>
          </w:rPr>
          <w:instrText xml:space="preserve"> PAGEREF _Toc23151075 \h </w:instrText>
        </w:r>
        <w:r w:rsidR="002132D8">
          <w:rPr>
            <w:webHidden/>
          </w:rPr>
        </w:r>
        <w:r w:rsidR="002132D8">
          <w:rPr>
            <w:webHidden/>
          </w:rPr>
          <w:fldChar w:fldCharType="separate"/>
        </w:r>
        <w:r w:rsidR="00BF1349">
          <w:rPr>
            <w:webHidden/>
          </w:rPr>
          <w:t>82</w:t>
        </w:r>
        <w:r w:rsidR="002132D8">
          <w:rPr>
            <w:webHidden/>
          </w:rPr>
          <w:fldChar w:fldCharType="end"/>
        </w:r>
      </w:hyperlink>
    </w:p>
    <w:p w14:paraId="54696B60" w14:textId="1CCC8A4D" w:rsidR="002132D8" w:rsidRDefault="00C632F2">
      <w:pPr>
        <w:pStyle w:val="TOC2"/>
        <w:rPr>
          <w:rFonts w:asciiTheme="minorHAnsi" w:eastAsiaTheme="minorEastAsia" w:hAnsiTheme="minorHAnsi" w:cstheme="minorBidi"/>
          <w:bCs w:val="0"/>
          <w:noProof/>
          <w:sz w:val="22"/>
          <w:szCs w:val="22"/>
          <w:lang w:eastAsia="en-GB"/>
        </w:rPr>
      </w:pPr>
      <w:hyperlink w:anchor="_Toc23151076" w:history="1">
        <w:r w:rsidR="002132D8" w:rsidRPr="00692950">
          <w:rPr>
            <w:rStyle w:val="Hyperlink"/>
            <w:noProof/>
          </w:rPr>
          <w:t>Introduction</w:t>
        </w:r>
        <w:r w:rsidR="002132D8">
          <w:rPr>
            <w:noProof/>
            <w:webHidden/>
          </w:rPr>
          <w:tab/>
        </w:r>
        <w:r w:rsidR="002132D8">
          <w:rPr>
            <w:noProof/>
            <w:webHidden/>
          </w:rPr>
          <w:fldChar w:fldCharType="begin"/>
        </w:r>
        <w:r w:rsidR="002132D8">
          <w:rPr>
            <w:noProof/>
            <w:webHidden/>
          </w:rPr>
          <w:instrText xml:space="preserve"> PAGEREF _Toc23151076 \h </w:instrText>
        </w:r>
        <w:r w:rsidR="002132D8">
          <w:rPr>
            <w:noProof/>
            <w:webHidden/>
          </w:rPr>
        </w:r>
        <w:r w:rsidR="002132D8">
          <w:rPr>
            <w:noProof/>
            <w:webHidden/>
          </w:rPr>
          <w:fldChar w:fldCharType="separate"/>
        </w:r>
        <w:r w:rsidR="00BF1349">
          <w:rPr>
            <w:noProof/>
            <w:webHidden/>
          </w:rPr>
          <w:t>82</w:t>
        </w:r>
        <w:r w:rsidR="002132D8">
          <w:rPr>
            <w:noProof/>
            <w:webHidden/>
          </w:rPr>
          <w:fldChar w:fldCharType="end"/>
        </w:r>
      </w:hyperlink>
    </w:p>
    <w:p w14:paraId="6B493197" w14:textId="21888409" w:rsidR="002132D8" w:rsidRDefault="00C632F2">
      <w:pPr>
        <w:pStyle w:val="TOC2"/>
        <w:rPr>
          <w:rFonts w:asciiTheme="minorHAnsi" w:eastAsiaTheme="minorEastAsia" w:hAnsiTheme="minorHAnsi" w:cstheme="minorBidi"/>
          <w:bCs w:val="0"/>
          <w:noProof/>
          <w:sz w:val="22"/>
          <w:szCs w:val="22"/>
          <w:lang w:eastAsia="en-GB"/>
        </w:rPr>
      </w:pPr>
      <w:hyperlink w:anchor="_Toc23151077" w:history="1">
        <w:r w:rsidR="002132D8" w:rsidRPr="00692950">
          <w:rPr>
            <w:rStyle w:val="Hyperlink"/>
            <w:noProof/>
          </w:rPr>
          <w:t>Establishing housing need using the standard methodology</w:t>
        </w:r>
        <w:r w:rsidR="002132D8">
          <w:rPr>
            <w:noProof/>
            <w:webHidden/>
          </w:rPr>
          <w:tab/>
        </w:r>
        <w:r w:rsidR="002132D8">
          <w:rPr>
            <w:noProof/>
            <w:webHidden/>
          </w:rPr>
          <w:fldChar w:fldCharType="begin"/>
        </w:r>
        <w:r w:rsidR="002132D8">
          <w:rPr>
            <w:noProof/>
            <w:webHidden/>
          </w:rPr>
          <w:instrText xml:space="preserve"> PAGEREF _Toc23151077 \h </w:instrText>
        </w:r>
        <w:r w:rsidR="002132D8">
          <w:rPr>
            <w:noProof/>
            <w:webHidden/>
          </w:rPr>
        </w:r>
        <w:r w:rsidR="002132D8">
          <w:rPr>
            <w:noProof/>
            <w:webHidden/>
          </w:rPr>
          <w:fldChar w:fldCharType="separate"/>
        </w:r>
        <w:r w:rsidR="00BF1349">
          <w:rPr>
            <w:noProof/>
            <w:webHidden/>
          </w:rPr>
          <w:t>82</w:t>
        </w:r>
        <w:r w:rsidR="002132D8">
          <w:rPr>
            <w:noProof/>
            <w:webHidden/>
          </w:rPr>
          <w:fldChar w:fldCharType="end"/>
        </w:r>
      </w:hyperlink>
    </w:p>
    <w:p w14:paraId="72006763" w14:textId="2297C40E" w:rsidR="002132D8" w:rsidRDefault="00C632F2">
      <w:pPr>
        <w:pStyle w:val="TOC2"/>
        <w:rPr>
          <w:rFonts w:asciiTheme="minorHAnsi" w:eastAsiaTheme="minorEastAsia" w:hAnsiTheme="minorHAnsi" w:cstheme="minorBidi"/>
          <w:bCs w:val="0"/>
          <w:noProof/>
          <w:sz w:val="22"/>
          <w:szCs w:val="22"/>
          <w:lang w:eastAsia="en-GB"/>
        </w:rPr>
      </w:pPr>
      <w:hyperlink w:anchor="_Toc23151078" w:history="1">
        <w:r w:rsidR="002132D8" w:rsidRPr="00692950">
          <w:rPr>
            <w:rStyle w:val="Hyperlink"/>
            <w:noProof/>
          </w:rPr>
          <w:t>Potential adjustments to the evidence base</w:t>
        </w:r>
        <w:r w:rsidR="002132D8">
          <w:rPr>
            <w:noProof/>
            <w:webHidden/>
          </w:rPr>
          <w:tab/>
        </w:r>
        <w:r w:rsidR="002132D8">
          <w:rPr>
            <w:noProof/>
            <w:webHidden/>
          </w:rPr>
          <w:fldChar w:fldCharType="begin"/>
        </w:r>
        <w:r w:rsidR="002132D8">
          <w:rPr>
            <w:noProof/>
            <w:webHidden/>
          </w:rPr>
          <w:instrText xml:space="preserve"> PAGEREF _Toc23151078 \h </w:instrText>
        </w:r>
        <w:r w:rsidR="002132D8">
          <w:rPr>
            <w:noProof/>
            <w:webHidden/>
          </w:rPr>
        </w:r>
        <w:r w:rsidR="002132D8">
          <w:rPr>
            <w:noProof/>
            <w:webHidden/>
          </w:rPr>
          <w:fldChar w:fldCharType="separate"/>
        </w:r>
        <w:r w:rsidR="00BF1349">
          <w:rPr>
            <w:noProof/>
            <w:webHidden/>
          </w:rPr>
          <w:t>86</w:t>
        </w:r>
        <w:r w:rsidR="002132D8">
          <w:rPr>
            <w:noProof/>
            <w:webHidden/>
          </w:rPr>
          <w:fldChar w:fldCharType="end"/>
        </w:r>
      </w:hyperlink>
    </w:p>
    <w:p w14:paraId="148B32C9" w14:textId="16227DE5" w:rsidR="002132D8" w:rsidRDefault="00C632F2">
      <w:pPr>
        <w:pStyle w:val="TOC2"/>
        <w:rPr>
          <w:rFonts w:asciiTheme="minorHAnsi" w:eastAsiaTheme="minorEastAsia" w:hAnsiTheme="minorHAnsi" w:cstheme="minorBidi"/>
          <w:bCs w:val="0"/>
          <w:noProof/>
          <w:sz w:val="22"/>
          <w:szCs w:val="22"/>
          <w:lang w:eastAsia="en-GB"/>
        </w:rPr>
      </w:pPr>
      <w:hyperlink w:anchor="_Toc23151079" w:history="1">
        <w:r w:rsidR="002132D8" w:rsidRPr="00692950">
          <w:rPr>
            <w:rStyle w:val="Hyperlink"/>
            <w:noProof/>
          </w:rPr>
          <w:t>Concluding comments</w:t>
        </w:r>
        <w:r w:rsidR="002132D8">
          <w:rPr>
            <w:noProof/>
            <w:webHidden/>
          </w:rPr>
          <w:tab/>
        </w:r>
        <w:r w:rsidR="002132D8">
          <w:rPr>
            <w:noProof/>
            <w:webHidden/>
          </w:rPr>
          <w:fldChar w:fldCharType="begin"/>
        </w:r>
        <w:r w:rsidR="002132D8">
          <w:rPr>
            <w:noProof/>
            <w:webHidden/>
          </w:rPr>
          <w:instrText xml:space="preserve"> PAGEREF _Toc23151079 \h </w:instrText>
        </w:r>
        <w:r w:rsidR="002132D8">
          <w:rPr>
            <w:noProof/>
            <w:webHidden/>
          </w:rPr>
        </w:r>
        <w:r w:rsidR="002132D8">
          <w:rPr>
            <w:noProof/>
            <w:webHidden/>
          </w:rPr>
          <w:fldChar w:fldCharType="separate"/>
        </w:r>
        <w:r w:rsidR="00BF1349">
          <w:rPr>
            <w:noProof/>
            <w:webHidden/>
          </w:rPr>
          <w:t>87</w:t>
        </w:r>
        <w:r w:rsidR="002132D8">
          <w:rPr>
            <w:noProof/>
            <w:webHidden/>
          </w:rPr>
          <w:fldChar w:fldCharType="end"/>
        </w:r>
      </w:hyperlink>
    </w:p>
    <w:p w14:paraId="3B27F933" w14:textId="1423DD46" w:rsidR="002132D8" w:rsidRDefault="00C632F2">
      <w:pPr>
        <w:pStyle w:val="TOC1"/>
        <w:rPr>
          <w:rFonts w:asciiTheme="minorHAnsi" w:eastAsiaTheme="minorEastAsia" w:hAnsiTheme="minorHAnsi" w:cstheme="minorBidi"/>
          <w:b w:val="0"/>
          <w:bCs w:val="0"/>
          <w:sz w:val="22"/>
          <w:szCs w:val="22"/>
          <w:lang w:eastAsia="en-GB"/>
        </w:rPr>
      </w:pPr>
      <w:hyperlink w:anchor="_Toc23151080" w:history="1">
        <w:r w:rsidR="002132D8" w:rsidRPr="00692950">
          <w:rPr>
            <w:rStyle w:val="Hyperlink"/>
            <w:rFonts w:cs="Calibri"/>
          </w:rPr>
          <w:t>6.</w:t>
        </w:r>
        <w:r w:rsidR="002132D8">
          <w:rPr>
            <w:rFonts w:asciiTheme="minorHAnsi" w:eastAsiaTheme="minorEastAsia" w:hAnsiTheme="minorHAnsi" w:cstheme="minorBidi"/>
            <w:b w:val="0"/>
            <w:bCs w:val="0"/>
            <w:sz w:val="22"/>
            <w:szCs w:val="22"/>
            <w:lang w:eastAsia="en-GB"/>
          </w:rPr>
          <w:tab/>
        </w:r>
        <w:r w:rsidR="002132D8" w:rsidRPr="00692950">
          <w:rPr>
            <w:rStyle w:val="Hyperlink"/>
            <w:rFonts w:cs="Calibri"/>
          </w:rPr>
          <w:t>The need for different types of housing</w:t>
        </w:r>
        <w:r w:rsidR="002132D8">
          <w:rPr>
            <w:webHidden/>
          </w:rPr>
          <w:tab/>
        </w:r>
        <w:r w:rsidR="002132D8">
          <w:rPr>
            <w:webHidden/>
          </w:rPr>
          <w:fldChar w:fldCharType="begin"/>
        </w:r>
        <w:r w:rsidR="002132D8">
          <w:rPr>
            <w:webHidden/>
          </w:rPr>
          <w:instrText xml:space="preserve"> PAGEREF _Toc23151080 \h </w:instrText>
        </w:r>
        <w:r w:rsidR="002132D8">
          <w:rPr>
            <w:webHidden/>
          </w:rPr>
        </w:r>
        <w:r w:rsidR="002132D8">
          <w:rPr>
            <w:webHidden/>
          </w:rPr>
          <w:fldChar w:fldCharType="separate"/>
        </w:r>
        <w:r w:rsidR="00BF1349">
          <w:rPr>
            <w:webHidden/>
          </w:rPr>
          <w:t>88</w:t>
        </w:r>
        <w:r w:rsidR="002132D8">
          <w:rPr>
            <w:webHidden/>
          </w:rPr>
          <w:fldChar w:fldCharType="end"/>
        </w:r>
      </w:hyperlink>
    </w:p>
    <w:p w14:paraId="078FEB81" w14:textId="12103F51" w:rsidR="002132D8" w:rsidRDefault="00C632F2">
      <w:pPr>
        <w:pStyle w:val="TOC2"/>
        <w:rPr>
          <w:rFonts w:asciiTheme="minorHAnsi" w:eastAsiaTheme="minorEastAsia" w:hAnsiTheme="minorHAnsi" w:cstheme="minorBidi"/>
          <w:bCs w:val="0"/>
          <w:noProof/>
          <w:sz w:val="22"/>
          <w:szCs w:val="22"/>
          <w:lang w:eastAsia="en-GB"/>
        </w:rPr>
      </w:pPr>
      <w:hyperlink w:anchor="_Toc23151081" w:history="1">
        <w:r w:rsidR="002132D8" w:rsidRPr="00692950">
          <w:rPr>
            <w:rStyle w:val="Hyperlink"/>
            <w:rFonts w:cs="Calibri"/>
            <w:noProof/>
          </w:rPr>
          <w:t>Introduction</w:t>
        </w:r>
        <w:r w:rsidR="002132D8">
          <w:rPr>
            <w:noProof/>
            <w:webHidden/>
          </w:rPr>
          <w:tab/>
        </w:r>
        <w:r w:rsidR="002132D8">
          <w:rPr>
            <w:noProof/>
            <w:webHidden/>
          </w:rPr>
          <w:fldChar w:fldCharType="begin"/>
        </w:r>
        <w:r w:rsidR="002132D8">
          <w:rPr>
            <w:noProof/>
            <w:webHidden/>
          </w:rPr>
          <w:instrText xml:space="preserve"> PAGEREF _Toc23151081 \h </w:instrText>
        </w:r>
        <w:r w:rsidR="002132D8">
          <w:rPr>
            <w:noProof/>
            <w:webHidden/>
          </w:rPr>
        </w:r>
        <w:r w:rsidR="002132D8">
          <w:rPr>
            <w:noProof/>
            <w:webHidden/>
          </w:rPr>
          <w:fldChar w:fldCharType="separate"/>
        </w:r>
        <w:r w:rsidR="00BF1349">
          <w:rPr>
            <w:noProof/>
            <w:webHidden/>
          </w:rPr>
          <w:t>88</w:t>
        </w:r>
        <w:r w:rsidR="002132D8">
          <w:rPr>
            <w:noProof/>
            <w:webHidden/>
          </w:rPr>
          <w:fldChar w:fldCharType="end"/>
        </w:r>
      </w:hyperlink>
    </w:p>
    <w:p w14:paraId="374A5C66" w14:textId="53150F61" w:rsidR="002132D8" w:rsidRDefault="00C632F2">
      <w:pPr>
        <w:pStyle w:val="TOC2"/>
        <w:rPr>
          <w:rFonts w:asciiTheme="minorHAnsi" w:eastAsiaTheme="minorEastAsia" w:hAnsiTheme="minorHAnsi" w:cstheme="minorBidi"/>
          <w:bCs w:val="0"/>
          <w:noProof/>
          <w:sz w:val="22"/>
          <w:szCs w:val="22"/>
          <w:lang w:eastAsia="en-GB"/>
        </w:rPr>
      </w:pPr>
      <w:hyperlink w:anchor="_Toc23151082" w:history="1">
        <w:r w:rsidR="002132D8" w:rsidRPr="00692950">
          <w:rPr>
            <w:rStyle w:val="Hyperlink"/>
            <w:noProof/>
          </w:rPr>
          <w:t>Affordable Housing Needs Assessment</w:t>
        </w:r>
        <w:r w:rsidR="002132D8">
          <w:rPr>
            <w:noProof/>
            <w:webHidden/>
          </w:rPr>
          <w:tab/>
        </w:r>
        <w:r w:rsidR="002132D8">
          <w:rPr>
            <w:noProof/>
            <w:webHidden/>
          </w:rPr>
          <w:fldChar w:fldCharType="begin"/>
        </w:r>
        <w:r w:rsidR="002132D8">
          <w:rPr>
            <w:noProof/>
            <w:webHidden/>
          </w:rPr>
          <w:instrText xml:space="preserve"> PAGEREF _Toc23151082 \h </w:instrText>
        </w:r>
        <w:r w:rsidR="002132D8">
          <w:rPr>
            <w:noProof/>
            <w:webHidden/>
          </w:rPr>
        </w:r>
        <w:r w:rsidR="002132D8">
          <w:rPr>
            <w:noProof/>
            <w:webHidden/>
          </w:rPr>
          <w:fldChar w:fldCharType="separate"/>
        </w:r>
        <w:r w:rsidR="00BF1349">
          <w:rPr>
            <w:noProof/>
            <w:webHidden/>
          </w:rPr>
          <w:t>89</w:t>
        </w:r>
        <w:r w:rsidR="002132D8">
          <w:rPr>
            <w:noProof/>
            <w:webHidden/>
          </w:rPr>
          <w:fldChar w:fldCharType="end"/>
        </w:r>
      </w:hyperlink>
    </w:p>
    <w:p w14:paraId="3AC79929" w14:textId="7F72B65D" w:rsidR="002132D8" w:rsidRDefault="00C632F2">
      <w:pPr>
        <w:pStyle w:val="TOC2"/>
        <w:rPr>
          <w:rFonts w:asciiTheme="minorHAnsi" w:eastAsiaTheme="minorEastAsia" w:hAnsiTheme="minorHAnsi" w:cstheme="minorBidi"/>
          <w:bCs w:val="0"/>
          <w:noProof/>
          <w:sz w:val="22"/>
          <w:szCs w:val="22"/>
          <w:lang w:eastAsia="en-GB"/>
        </w:rPr>
      </w:pPr>
      <w:hyperlink w:anchor="_Toc23151083" w:history="1">
        <w:r w:rsidR="002132D8" w:rsidRPr="00692950">
          <w:rPr>
            <w:rStyle w:val="Hyperlink"/>
            <w:noProof/>
          </w:rPr>
          <w:t>Tenure split</w:t>
        </w:r>
        <w:r w:rsidR="002132D8">
          <w:rPr>
            <w:noProof/>
            <w:webHidden/>
          </w:rPr>
          <w:tab/>
        </w:r>
        <w:r w:rsidR="002132D8">
          <w:rPr>
            <w:noProof/>
            <w:webHidden/>
          </w:rPr>
          <w:fldChar w:fldCharType="begin"/>
        </w:r>
        <w:r w:rsidR="002132D8">
          <w:rPr>
            <w:noProof/>
            <w:webHidden/>
          </w:rPr>
          <w:instrText xml:space="preserve"> PAGEREF _Toc23151083 \h </w:instrText>
        </w:r>
        <w:r w:rsidR="002132D8">
          <w:rPr>
            <w:noProof/>
            <w:webHidden/>
          </w:rPr>
        </w:r>
        <w:r w:rsidR="002132D8">
          <w:rPr>
            <w:noProof/>
            <w:webHidden/>
          </w:rPr>
          <w:fldChar w:fldCharType="separate"/>
        </w:r>
        <w:r w:rsidR="00BF1349">
          <w:rPr>
            <w:noProof/>
            <w:webHidden/>
          </w:rPr>
          <w:t>91</w:t>
        </w:r>
        <w:r w:rsidR="002132D8">
          <w:rPr>
            <w:noProof/>
            <w:webHidden/>
          </w:rPr>
          <w:fldChar w:fldCharType="end"/>
        </w:r>
      </w:hyperlink>
    </w:p>
    <w:p w14:paraId="164B8726" w14:textId="7C779097" w:rsidR="002132D8" w:rsidRDefault="00C632F2">
      <w:pPr>
        <w:pStyle w:val="TOC2"/>
        <w:rPr>
          <w:rFonts w:asciiTheme="minorHAnsi" w:eastAsiaTheme="minorEastAsia" w:hAnsiTheme="minorHAnsi" w:cstheme="minorBidi"/>
          <w:bCs w:val="0"/>
          <w:noProof/>
          <w:sz w:val="22"/>
          <w:szCs w:val="22"/>
          <w:lang w:eastAsia="en-GB"/>
        </w:rPr>
      </w:pPr>
      <w:hyperlink w:anchor="_Toc23151084" w:history="1">
        <w:r w:rsidR="002132D8" w:rsidRPr="00692950">
          <w:rPr>
            <w:rStyle w:val="Hyperlink"/>
            <w:rFonts w:cs="Calibri"/>
            <w:noProof/>
          </w:rPr>
          <w:t>Identifying the need for different types of housing</w:t>
        </w:r>
        <w:r w:rsidR="002132D8">
          <w:rPr>
            <w:noProof/>
            <w:webHidden/>
          </w:rPr>
          <w:tab/>
        </w:r>
        <w:r w:rsidR="002132D8">
          <w:rPr>
            <w:noProof/>
            <w:webHidden/>
          </w:rPr>
          <w:fldChar w:fldCharType="begin"/>
        </w:r>
        <w:r w:rsidR="002132D8">
          <w:rPr>
            <w:noProof/>
            <w:webHidden/>
          </w:rPr>
          <w:instrText xml:space="preserve"> PAGEREF _Toc23151084 \h </w:instrText>
        </w:r>
        <w:r w:rsidR="002132D8">
          <w:rPr>
            <w:noProof/>
            <w:webHidden/>
          </w:rPr>
        </w:r>
        <w:r w:rsidR="002132D8">
          <w:rPr>
            <w:noProof/>
            <w:webHidden/>
          </w:rPr>
          <w:fldChar w:fldCharType="separate"/>
        </w:r>
        <w:r w:rsidR="00BF1349">
          <w:rPr>
            <w:noProof/>
            <w:webHidden/>
          </w:rPr>
          <w:t>92</w:t>
        </w:r>
        <w:r w:rsidR="002132D8">
          <w:rPr>
            <w:noProof/>
            <w:webHidden/>
          </w:rPr>
          <w:fldChar w:fldCharType="end"/>
        </w:r>
      </w:hyperlink>
    </w:p>
    <w:p w14:paraId="6A8C7AB1" w14:textId="2C7EC795" w:rsidR="002132D8" w:rsidRDefault="00C632F2">
      <w:pPr>
        <w:pStyle w:val="TOC2"/>
        <w:rPr>
          <w:rFonts w:asciiTheme="minorHAnsi" w:eastAsiaTheme="minorEastAsia" w:hAnsiTheme="minorHAnsi" w:cstheme="minorBidi"/>
          <w:bCs w:val="0"/>
          <w:noProof/>
          <w:sz w:val="22"/>
          <w:szCs w:val="22"/>
          <w:lang w:eastAsia="en-GB"/>
        </w:rPr>
      </w:pPr>
      <w:hyperlink w:anchor="_Toc23151085" w:history="1">
        <w:r w:rsidR="002132D8" w:rsidRPr="00692950">
          <w:rPr>
            <w:rStyle w:val="Hyperlink"/>
            <w:noProof/>
          </w:rPr>
          <w:t>Housing for older people</w:t>
        </w:r>
        <w:r w:rsidR="002132D8">
          <w:rPr>
            <w:noProof/>
            <w:webHidden/>
          </w:rPr>
          <w:tab/>
        </w:r>
        <w:r w:rsidR="002132D8">
          <w:rPr>
            <w:noProof/>
            <w:webHidden/>
          </w:rPr>
          <w:fldChar w:fldCharType="begin"/>
        </w:r>
        <w:r w:rsidR="002132D8">
          <w:rPr>
            <w:noProof/>
            <w:webHidden/>
          </w:rPr>
          <w:instrText xml:space="preserve"> PAGEREF _Toc23151085 \h </w:instrText>
        </w:r>
        <w:r w:rsidR="002132D8">
          <w:rPr>
            <w:noProof/>
            <w:webHidden/>
          </w:rPr>
        </w:r>
        <w:r w:rsidR="002132D8">
          <w:rPr>
            <w:noProof/>
            <w:webHidden/>
          </w:rPr>
          <w:fldChar w:fldCharType="separate"/>
        </w:r>
        <w:r w:rsidR="00BF1349">
          <w:rPr>
            <w:noProof/>
            <w:webHidden/>
          </w:rPr>
          <w:t>93</w:t>
        </w:r>
        <w:r w:rsidR="002132D8">
          <w:rPr>
            <w:noProof/>
            <w:webHidden/>
          </w:rPr>
          <w:fldChar w:fldCharType="end"/>
        </w:r>
      </w:hyperlink>
    </w:p>
    <w:p w14:paraId="2A4BD9DA" w14:textId="2E7ED1E6" w:rsidR="002132D8" w:rsidRDefault="00C632F2">
      <w:pPr>
        <w:pStyle w:val="TOC2"/>
        <w:rPr>
          <w:rFonts w:asciiTheme="minorHAnsi" w:eastAsiaTheme="minorEastAsia" w:hAnsiTheme="minorHAnsi" w:cstheme="minorBidi"/>
          <w:bCs w:val="0"/>
          <w:noProof/>
          <w:sz w:val="22"/>
          <w:szCs w:val="22"/>
          <w:lang w:eastAsia="en-GB"/>
        </w:rPr>
      </w:pPr>
      <w:hyperlink w:anchor="_Toc23151086" w:history="1">
        <w:r w:rsidR="002132D8" w:rsidRPr="00692950">
          <w:rPr>
            <w:rStyle w:val="Hyperlink"/>
            <w:noProof/>
          </w:rPr>
          <w:t>People with disabilities</w:t>
        </w:r>
        <w:r w:rsidR="002132D8">
          <w:rPr>
            <w:noProof/>
            <w:webHidden/>
          </w:rPr>
          <w:tab/>
        </w:r>
        <w:r w:rsidR="002132D8">
          <w:rPr>
            <w:noProof/>
            <w:webHidden/>
          </w:rPr>
          <w:fldChar w:fldCharType="begin"/>
        </w:r>
        <w:r w:rsidR="002132D8">
          <w:rPr>
            <w:noProof/>
            <w:webHidden/>
          </w:rPr>
          <w:instrText xml:space="preserve"> PAGEREF _Toc23151086 \h </w:instrText>
        </w:r>
        <w:r w:rsidR="002132D8">
          <w:rPr>
            <w:noProof/>
            <w:webHidden/>
          </w:rPr>
        </w:r>
        <w:r w:rsidR="002132D8">
          <w:rPr>
            <w:noProof/>
            <w:webHidden/>
          </w:rPr>
          <w:fldChar w:fldCharType="separate"/>
        </w:r>
        <w:r w:rsidR="00BF1349">
          <w:rPr>
            <w:noProof/>
            <w:webHidden/>
          </w:rPr>
          <w:t>97</w:t>
        </w:r>
        <w:r w:rsidR="002132D8">
          <w:rPr>
            <w:noProof/>
            <w:webHidden/>
          </w:rPr>
          <w:fldChar w:fldCharType="end"/>
        </w:r>
      </w:hyperlink>
    </w:p>
    <w:p w14:paraId="3AF15C35" w14:textId="124B5934" w:rsidR="002132D8" w:rsidRDefault="00C632F2">
      <w:pPr>
        <w:pStyle w:val="TOC2"/>
        <w:rPr>
          <w:rFonts w:asciiTheme="minorHAnsi" w:eastAsiaTheme="minorEastAsia" w:hAnsiTheme="minorHAnsi" w:cstheme="minorBidi"/>
          <w:bCs w:val="0"/>
          <w:noProof/>
          <w:sz w:val="22"/>
          <w:szCs w:val="22"/>
          <w:lang w:eastAsia="en-GB"/>
        </w:rPr>
      </w:pPr>
      <w:hyperlink w:anchor="_Toc23151087" w:history="1">
        <w:r w:rsidR="002132D8" w:rsidRPr="00692950">
          <w:rPr>
            <w:rStyle w:val="Hyperlink"/>
            <w:noProof/>
          </w:rPr>
          <w:t>Benefit claimants - disability living allowance (DLA) by disabling condition</w:t>
        </w:r>
        <w:r w:rsidR="002132D8">
          <w:rPr>
            <w:noProof/>
            <w:webHidden/>
          </w:rPr>
          <w:tab/>
        </w:r>
        <w:r w:rsidR="002132D8">
          <w:rPr>
            <w:noProof/>
            <w:webHidden/>
          </w:rPr>
          <w:fldChar w:fldCharType="begin"/>
        </w:r>
        <w:r w:rsidR="002132D8">
          <w:rPr>
            <w:noProof/>
            <w:webHidden/>
          </w:rPr>
          <w:instrText xml:space="preserve"> PAGEREF _Toc23151087 \h </w:instrText>
        </w:r>
        <w:r w:rsidR="002132D8">
          <w:rPr>
            <w:noProof/>
            <w:webHidden/>
          </w:rPr>
        </w:r>
        <w:r w:rsidR="002132D8">
          <w:rPr>
            <w:noProof/>
            <w:webHidden/>
          </w:rPr>
          <w:fldChar w:fldCharType="separate"/>
        </w:r>
        <w:r w:rsidR="00BF1349">
          <w:rPr>
            <w:noProof/>
            <w:webHidden/>
          </w:rPr>
          <w:t>99</w:t>
        </w:r>
        <w:r w:rsidR="002132D8">
          <w:rPr>
            <w:noProof/>
            <w:webHidden/>
          </w:rPr>
          <w:fldChar w:fldCharType="end"/>
        </w:r>
      </w:hyperlink>
    </w:p>
    <w:p w14:paraId="586B3931" w14:textId="613E2D65" w:rsidR="002132D8" w:rsidRDefault="00C632F2">
      <w:pPr>
        <w:pStyle w:val="TOC2"/>
        <w:rPr>
          <w:rFonts w:asciiTheme="minorHAnsi" w:eastAsiaTheme="minorEastAsia" w:hAnsiTheme="minorHAnsi" w:cstheme="minorBidi"/>
          <w:bCs w:val="0"/>
          <w:noProof/>
          <w:sz w:val="22"/>
          <w:szCs w:val="22"/>
          <w:lang w:eastAsia="en-GB"/>
        </w:rPr>
      </w:pPr>
      <w:hyperlink w:anchor="_Toc23151088" w:history="1">
        <w:r w:rsidR="002132D8" w:rsidRPr="00692950">
          <w:rPr>
            <w:rStyle w:val="Hyperlink"/>
            <w:noProof/>
          </w:rPr>
          <w:t>Recommendations for optional accessible building standards</w:t>
        </w:r>
        <w:r w:rsidR="002132D8">
          <w:rPr>
            <w:noProof/>
            <w:webHidden/>
          </w:rPr>
          <w:tab/>
        </w:r>
        <w:r w:rsidR="002132D8">
          <w:rPr>
            <w:noProof/>
            <w:webHidden/>
          </w:rPr>
          <w:fldChar w:fldCharType="begin"/>
        </w:r>
        <w:r w:rsidR="002132D8">
          <w:rPr>
            <w:noProof/>
            <w:webHidden/>
          </w:rPr>
          <w:instrText xml:space="preserve"> PAGEREF _Toc23151088 \h </w:instrText>
        </w:r>
        <w:r w:rsidR="002132D8">
          <w:rPr>
            <w:noProof/>
            <w:webHidden/>
          </w:rPr>
        </w:r>
        <w:r w:rsidR="002132D8">
          <w:rPr>
            <w:noProof/>
            <w:webHidden/>
          </w:rPr>
          <w:fldChar w:fldCharType="separate"/>
        </w:r>
        <w:r w:rsidR="00BF1349">
          <w:rPr>
            <w:noProof/>
            <w:webHidden/>
          </w:rPr>
          <w:t>100</w:t>
        </w:r>
        <w:r w:rsidR="002132D8">
          <w:rPr>
            <w:noProof/>
            <w:webHidden/>
          </w:rPr>
          <w:fldChar w:fldCharType="end"/>
        </w:r>
      </w:hyperlink>
    </w:p>
    <w:p w14:paraId="247DE1C5" w14:textId="74641E89" w:rsidR="002132D8" w:rsidRDefault="00C632F2">
      <w:pPr>
        <w:pStyle w:val="TOC2"/>
        <w:rPr>
          <w:rFonts w:asciiTheme="minorHAnsi" w:eastAsiaTheme="minorEastAsia" w:hAnsiTheme="minorHAnsi" w:cstheme="minorBidi"/>
          <w:bCs w:val="0"/>
          <w:noProof/>
          <w:sz w:val="22"/>
          <w:szCs w:val="22"/>
          <w:lang w:eastAsia="en-GB"/>
        </w:rPr>
      </w:pPr>
      <w:hyperlink w:anchor="_Toc23151089" w:history="1">
        <w:r w:rsidR="002132D8" w:rsidRPr="00692950">
          <w:rPr>
            <w:rStyle w:val="Hyperlink"/>
            <w:noProof/>
          </w:rPr>
          <w:t>The private rented sector</w:t>
        </w:r>
        <w:r w:rsidR="002132D8">
          <w:rPr>
            <w:noProof/>
            <w:webHidden/>
          </w:rPr>
          <w:tab/>
        </w:r>
        <w:r w:rsidR="002132D8">
          <w:rPr>
            <w:noProof/>
            <w:webHidden/>
          </w:rPr>
          <w:fldChar w:fldCharType="begin"/>
        </w:r>
        <w:r w:rsidR="002132D8">
          <w:rPr>
            <w:noProof/>
            <w:webHidden/>
          </w:rPr>
          <w:instrText xml:space="preserve"> PAGEREF _Toc23151089 \h </w:instrText>
        </w:r>
        <w:r w:rsidR="002132D8">
          <w:rPr>
            <w:noProof/>
            <w:webHidden/>
          </w:rPr>
        </w:r>
        <w:r w:rsidR="002132D8">
          <w:rPr>
            <w:noProof/>
            <w:webHidden/>
          </w:rPr>
          <w:fldChar w:fldCharType="separate"/>
        </w:r>
        <w:r w:rsidR="00BF1349">
          <w:rPr>
            <w:noProof/>
            <w:webHidden/>
          </w:rPr>
          <w:t>102</w:t>
        </w:r>
        <w:r w:rsidR="002132D8">
          <w:rPr>
            <w:noProof/>
            <w:webHidden/>
          </w:rPr>
          <w:fldChar w:fldCharType="end"/>
        </w:r>
      </w:hyperlink>
    </w:p>
    <w:p w14:paraId="0C4B1BA9" w14:textId="1C62DB47" w:rsidR="002132D8" w:rsidRDefault="00C632F2">
      <w:pPr>
        <w:pStyle w:val="TOC2"/>
        <w:rPr>
          <w:rFonts w:asciiTheme="minorHAnsi" w:eastAsiaTheme="minorEastAsia" w:hAnsiTheme="minorHAnsi" w:cstheme="minorBidi"/>
          <w:bCs w:val="0"/>
          <w:noProof/>
          <w:sz w:val="22"/>
          <w:szCs w:val="22"/>
          <w:lang w:eastAsia="en-GB"/>
        </w:rPr>
      </w:pPr>
      <w:hyperlink w:anchor="_Toc23151090" w:history="1">
        <w:r w:rsidR="002132D8" w:rsidRPr="00692950">
          <w:rPr>
            <w:rStyle w:val="Hyperlink"/>
            <w:noProof/>
          </w:rPr>
          <w:t>Demand for self and custom housebuilding</w:t>
        </w:r>
        <w:r w:rsidR="002132D8">
          <w:rPr>
            <w:noProof/>
            <w:webHidden/>
          </w:rPr>
          <w:tab/>
        </w:r>
        <w:r w:rsidR="002132D8">
          <w:rPr>
            <w:noProof/>
            <w:webHidden/>
          </w:rPr>
          <w:fldChar w:fldCharType="begin"/>
        </w:r>
        <w:r w:rsidR="002132D8">
          <w:rPr>
            <w:noProof/>
            <w:webHidden/>
          </w:rPr>
          <w:instrText xml:space="preserve"> PAGEREF _Toc23151090 \h </w:instrText>
        </w:r>
        <w:r w:rsidR="002132D8">
          <w:rPr>
            <w:noProof/>
            <w:webHidden/>
          </w:rPr>
        </w:r>
        <w:r w:rsidR="002132D8">
          <w:rPr>
            <w:noProof/>
            <w:webHidden/>
          </w:rPr>
          <w:fldChar w:fldCharType="separate"/>
        </w:r>
        <w:r w:rsidR="00BF1349">
          <w:rPr>
            <w:noProof/>
            <w:webHidden/>
          </w:rPr>
          <w:t>102</w:t>
        </w:r>
        <w:r w:rsidR="002132D8">
          <w:rPr>
            <w:noProof/>
            <w:webHidden/>
          </w:rPr>
          <w:fldChar w:fldCharType="end"/>
        </w:r>
      </w:hyperlink>
    </w:p>
    <w:p w14:paraId="3870D4BF" w14:textId="1871A112" w:rsidR="002132D8" w:rsidRDefault="00C632F2">
      <w:pPr>
        <w:pStyle w:val="TOC2"/>
        <w:rPr>
          <w:rFonts w:asciiTheme="minorHAnsi" w:eastAsiaTheme="minorEastAsia" w:hAnsiTheme="minorHAnsi" w:cstheme="minorBidi"/>
          <w:bCs w:val="0"/>
          <w:noProof/>
          <w:sz w:val="22"/>
          <w:szCs w:val="22"/>
          <w:lang w:eastAsia="en-GB"/>
        </w:rPr>
      </w:pPr>
      <w:hyperlink w:anchor="_Toc23151091" w:history="1">
        <w:r w:rsidR="002132D8" w:rsidRPr="00692950">
          <w:rPr>
            <w:rStyle w:val="Hyperlink"/>
            <w:noProof/>
          </w:rPr>
          <w:t>Houses in multiple occupation</w:t>
        </w:r>
        <w:r w:rsidR="002132D8">
          <w:rPr>
            <w:noProof/>
            <w:webHidden/>
          </w:rPr>
          <w:tab/>
        </w:r>
        <w:r w:rsidR="002132D8">
          <w:rPr>
            <w:noProof/>
            <w:webHidden/>
          </w:rPr>
          <w:fldChar w:fldCharType="begin"/>
        </w:r>
        <w:r w:rsidR="002132D8">
          <w:rPr>
            <w:noProof/>
            <w:webHidden/>
          </w:rPr>
          <w:instrText xml:space="preserve"> PAGEREF _Toc23151091 \h </w:instrText>
        </w:r>
        <w:r w:rsidR="002132D8">
          <w:rPr>
            <w:noProof/>
            <w:webHidden/>
          </w:rPr>
        </w:r>
        <w:r w:rsidR="002132D8">
          <w:rPr>
            <w:noProof/>
            <w:webHidden/>
          </w:rPr>
          <w:fldChar w:fldCharType="separate"/>
        </w:r>
        <w:r w:rsidR="00BF1349">
          <w:rPr>
            <w:noProof/>
            <w:webHidden/>
          </w:rPr>
          <w:t>104</w:t>
        </w:r>
        <w:r w:rsidR="002132D8">
          <w:rPr>
            <w:noProof/>
            <w:webHidden/>
          </w:rPr>
          <w:fldChar w:fldCharType="end"/>
        </w:r>
      </w:hyperlink>
    </w:p>
    <w:p w14:paraId="5B9E7F9F" w14:textId="6F36A718" w:rsidR="002132D8" w:rsidRDefault="00C632F2">
      <w:pPr>
        <w:pStyle w:val="TOC2"/>
        <w:rPr>
          <w:rFonts w:asciiTheme="minorHAnsi" w:eastAsiaTheme="minorEastAsia" w:hAnsiTheme="minorHAnsi" w:cstheme="minorBidi"/>
          <w:bCs w:val="0"/>
          <w:noProof/>
          <w:sz w:val="22"/>
          <w:szCs w:val="22"/>
          <w:lang w:eastAsia="en-GB"/>
        </w:rPr>
      </w:pPr>
      <w:hyperlink w:anchor="_Toc23151092" w:history="1">
        <w:r w:rsidR="002132D8" w:rsidRPr="00692950">
          <w:rPr>
            <w:rStyle w:val="Hyperlink"/>
            <w:noProof/>
          </w:rPr>
          <w:t>Homeless and previously homeless households</w:t>
        </w:r>
        <w:r w:rsidR="002132D8">
          <w:rPr>
            <w:noProof/>
            <w:webHidden/>
          </w:rPr>
          <w:tab/>
        </w:r>
        <w:r w:rsidR="002132D8">
          <w:rPr>
            <w:noProof/>
            <w:webHidden/>
          </w:rPr>
          <w:fldChar w:fldCharType="begin"/>
        </w:r>
        <w:r w:rsidR="002132D8">
          <w:rPr>
            <w:noProof/>
            <w:webHidden/>
          </w:rPr>
          <w:instrText xml:space="preserve"> PAGEREF _Toc23151092 \h </w:instrText>
        </w:r>
        <w:r w:rsidR="002132D8">
          <w:rPr>
            <w:noProof/>
            <w:webHidden/>
          </w:rPr>
        </w:r>
        <w:r w:rsidR="002132D8">
          <w:rPr>
            <w:noProof/>
            <w:webHidden/>
          </w:rPr>
          <w:fldChar w:fldCharType="separate"/>
        </w:r>
        <w:r w:rsidR="00BF1349">
          <w:rPr>
            <w:noProof/>
            <w:webHidden/>
          </w:rPr>
          <w:t>104</w:t>
        </w:r>
        <w:r w:rsidR="002132D8">
          <w:rPr>
            <w:noProof/>
            <w:webHidden/>
          </w:rPr>
          <w:fldChar w:fldCharType="end"/>
        </w:r>
      </w:hyperlink>
    </w:p>
    <w:p w14:paraId="6A92E79A" w14:textId="28524535" w:rsidR="002132D8" w:rsidRDefault="00C632F2">
      <w:pPr>
        <w:pStyle w:val="TOC2"/>
        <w:rPr>
          <w:rFonts w:asciiTheme="minorHAnsi" w:eastAsiaTheme="minorEastAsia" w:hAnsiTheme="minorHAnsi" w:cstheme="minorBidi"/>
          <w:bCs w:val="0"/>
          <w:noProof/>
          <w:sz w:val="22"/>
          <w:szCs w:val="22"/>
          <w:lang w:eastAsia="en-GB"/>
        </w:rPr>
      </w:pPr>
      <w:hyperlink w:anchor="_Toc23151093" w:history="1">
        <w:r w:rsidR="002132D8" w:rsidRPr="00692950">
          <w:rPr>
            <w:rStyle w:val="Hyperlink"/>
            <w:noProof/>
          </w:rPr>
          <w:t>Key workers</w:t>
        </w:r>
        <w:r w:rsidR="002132D8">
          <w:rPr>
            <w:noProof/>
            <w:webHidden/>
          </w:rPr>
          <w:tab/>
        </w:r>
        <w:r w:rsidR="002132D8">
          <w:rPr>
            <w:noProof/>
            <w:webHidden/>
          </w:rPr>
          <w:fldChar w:fldCharType="begin"/>
        </w:r>
        <w:r w:rsidR="002132D8">
          <w:rPr>
            <w:noProof/>
            <w:webHidden/>
          </w:rPr>
          <w:instrText xml:space="preserve"> PAGEREF _Toc23151093 \h </w:instrText>
        </w:r>
        <w:r w:rsidR="002132D8">
          <w:rPr>
            <w:noProof/>
            <w:webHidden/>
          </w:rPr>
        </w:r>
        <w:r w:rsidR="002132D8">
          <w:rPr>
            <w:noProof/>
            <w:webHidden/>
          </w:rPr>
          <w:fldChar w:fldCharType="separate"/>
        </w:r>
        <w:r w:rsidR="00BF1349">
          <w:rPr>
            <w:noProof/>
            <w:webHidden/>
          </w:rPr>
          <w:t>105</w:t>
        </w:r>
        <w:r w:rsidR="002132D8">
          <w:rPr>
            <w:noProof/>
            <w:webHidden/>
          </w:rPr>
          <w:fldChar w:fldCharType="end"/>
        </w:r>
      </w:hyperlink>
    </w:p>
    <w:p w14:paraId="20CBEDEB" w14:textId="673282EF" w:rsidR="002132D8" w:rsidRDefault="00C632F2">
      <w:pPr>
        <w:pStyle w:val="TOC2"/>
        <w:rPr>
          <w:rFonts w:asciiTheme="minorHAnsi" w:eastAsiaTheme="minorEastAsia" w:hAnsiTheme="minorHAnsi" w:cstheme="minorBidi"/>
          <w:bCs w:val="0"/>
          <w:noProof/>
          <w:sz w:val="22"/>
          <w:szCs w:val="22"/>
          <w:lang w:eastAsia="en-GB"/>
        </w:rPr>
      </w:pPr>
      <w:hyperlink w:anchor="_Toc23151094" w:history="1">
        <w:r w:rsidR="002132D8" w:rsidRPr="00692950">
          <w:rPr>
            <w:rStyle w:val="Hyperlink"/>
            <w:noProof/>
          </w:rPr>
          <w:t>Gypsy and Travellers</w:t>
        </w:r>
        <w:r w:rsidR="002132D8">
          <w:rPr>
            <w:noProof/>
            <w:webHidden/>
          </w:rPr>
          <w:tab/>
        </w:r>
        <w:r w:rsidR="002132D8">
          <w:rPr>
            <w:noProof/>
            <w:webHidden/>
          </w:rPr>
          <w:fldChar w:fldCharType="begin"/>
        </w:r>
        <w:r w:rsidR="002132D8">
          <w:rPr>
            <w:noProof/>
            <w:webHidden/>
          </w:rPr>
          <w:instrText xml:space="preserve"> PAGEREF _Toc23151094 \h </w:instrText>
        </w:r>
        <w:r w:rsidR="002132D8">
          <w:rPr>
            <w:noProof/>
            <w:webHidden/>
          </w:rPr>
        </w:r>
        <w:r w:rsidR="002132D8">
          <w:rPr>
            <w:noProof/>
            <w:webHidden/>
          </w:rPr>
          <w:fldChar w:fldCharType="separate"/>
        </w:r>
        <w:r w:rsidR="00BF1349">
          <w:rPr>
            <w:noProof/>
            <w:webHidden/>
          </w:rPr>
          <w:t>105</w:t>
        </w:r>
        <w:r w:rsidR="002132D8">
          <w:rPr>
            <w:noProof/>
            <w:webHidden/>
          </w:rPr>
          <w:fldChar w:fldCharType="end"/>
        </w:r>
      </w:hyperlink>
    </w:p>
    <w:p w14:paraId="4A730439" w14:textId="060DC446" w:rsidR="002132D8" w:rsidRDefault="00C632F2">
      <w:pPr>
        <w:pStyle w:val="TOC2"/>
        <w:rPr>
          <w:rFonts w:asciiTheme="minorHAnsi" w:eastAsiaTheme="minorEastAsia" w:hAnsiTheme="minorHAnsi" w:cstheme="minorBidi"/>
          <w:bCs w:val="0"/>
          <w:noProof/>
          <w:sz w:val="22"/>
          <w:szCs w:val="22"/>
          <w:lang w:eastAsia="en-GB"/>
        </w:rPr>
      </w:pPr>
      <w:hyperlink w:anchor="_Toc23151095" w:history="1">
        <w:r w:rsidR="002132D8" w:rsidRPr="00692950">
          <w:rPr>
            <w:rStyle w:val="Hyperlink"/>
            <w:noProof/>
          </w:rPr>
          <w:t>Armed forces personnel</w:t>
        </w:r>
        <w:r w:rsidR="002132D8">
          <w:rPr>
            <w:noProof/>
            <w:webHidden/>
          </w:rPr>
          <w:tab/>
        </w:r>
        <w:r w:rsidR="002132D8">
          <w:rPr>
            <w:noProof/>
            <w:webHidden/>
          </w:rPr>
          <w:fldChar w:fldCharType="begin"/>
        </w:r>
        <w:r w:rsidR="002132D8">
          <w:rPr>
            <w:noProof/>
            <w:webHidden/>
          </w:rPr>
          <w:instrText xml:space="preserve"> PAGEREF _Toc23151095 \h </w:instrText>
        </w:r>
        <w:r w:rsidR="002132D8">
          <w:rPr>
            <w:noProof/>
            <w:webHidden/>
          </w:rPr>
        </w:r>
        <w:r w:rsidR="002132D8">
          <w:rPr>
            <w:noProof/>
            <w:webHidden/>
          </w:rPr>
          <w:fldChar w:fldCharType="separate"/>
        </w:r>
        <w:r w:rsidR="00BF1349">
          <w:rPr>
            <w:noProof/>
            <w:webHidden/>
          </w:rPr>
          <w:t>105</w:t>
        </w:r>
        <w:r w:rsidR="002132D8">
          <w:rPr>
            <w:noProof/>
            <w:webHidden/>
          </w:rPr>
          <w:fldChar w:fldCharType="end"/>
        </w:r>
      </w:hyperlink>
    </w:p>
    <w:p w14:paraId="3975CCDC" w14:textId="0CB74D81" w:rsidR="002132D8" w:rsidRDefault="00C632F2">
      <w:pPr>
        <w:pStyle w:val="TOC2"/>
        <w:rPr>
          <w:rFonts w:asciiTheme="minorHAnsi" w:eastAsiaTheme="minorEastAsia" w:hAnsiTheme="minorHAnsi" w:cstheme="minorBidi"/>
          <w:bCs w:val="0"/>
          <w:noProof/>
          <w:sz w:val="22"/>
          <w:szCs w:val="22"/>
          <w:lang w:eastAsia="en-GB"/>
        </w:rPr>
      </w:pPr>
      <w:hyperlink w:anchor="_Toc23151096" w:history="1">
        <w:r w:rsidR="002132D8" w:rsidRPr="00692950">
          <w:rPr>
            <w:rStyle w:val="Hyperlink"/>
            <w:noProof/>
          </w:rPr>
          <w:t>Black, Minority, Ethnic Households</w:t>
        </w:r>
        <w:r w:rsidR="002132D8">
          <w:rPr>
            <w:noProof/>
            <w:webHidden/>
          </w:rPr>
          <w:tab/>
        </w:r>
        <w:r w:rsidR="002132D8">
          <w:rPr>
            <w:noProof/>
            <w:webHidden/>
          </w:rPr>
          <w:fldChar w:fldCharType="begin"/>
        </w:r>
        <w:r w:rsidR="002132D8">
          <w:rPr>
            <w:noProof/>
            <w:webHidden/>
          </w:rPr>
          <w:instrText xml:space="preserve"> PAGEREF _Toc23151096 \h </w:instrText>
        </w:r>
        <w:r w:rsidR="002132D8">
          <w:rPr>
            <w:noProof/>
            <w:webHidden/>
          </w:rPr>
        </w:r>
        <w:r w:rsidR="002132D8">
          <w:rPr>
            <w:noProof/>
            <w:webHidden/>
          </w:rPr>
          <w:fldChar w:fldCharType="separate"/>
        </w:r>
        <w:r w:rsidR="00BF1349">
          <w:rPr>
            <w:noProof/>
            <w:webHidden/>
          </w:rPr>
          <w:t>105</w:t>
        </w:r>
        <w:r w:rsidR="002132D8">
          <w:rPr>
            <w:noProof/>
            <w:webHidden/>
          </w:rPr>
          <w:fldChar w:fldCharType="end"/>
        </w:r>
      </w:hyperlink>
    </w:p>
    <w:p w14:paraId="7740D8B4" w14:textId="7BBC60BD" w:rsidR="002132D8" w:rsidRDefault="00C632F2">
      <w:pPr>
        <w:pStyle w:val="TOC2"/>
        <w:rPr>
          <w:rFonts w:asciiTheme="minorHAnsi" w:eastAsiaTheme="minorEastAsia" w:hAnsiTheme="minorHAnsi" w:cstheme="minorBidi"/>
          <w:bCs w:val="0"/>
          <w:noProof/>
          <w:sz w:val="22"/>
          <w:szCs w:val="22"/>
          <w:lang w:eastAsia="en-GB"/>
        </w:rPr>
      </w:pPr>
      <w:hyperlink w:anchor="_Toc23151097" w:history="1">
        <w:r w:rsidR="002132D8" w:rsidRPr="00692950">
          <w:rPr>
            <w:rStyle w:val="Hyperlink"/>
            <w:noProof/>
          </w:rPr>
          <w:t>Overcrowding/under-occupancy</w:t>
        </w:r>
        <w:r w:rsidR="002132D8">
          <w:rPr>
            <w:noProof/>
            <w:webHidden/>
          </w:rPr>
          <w:tab/>
        </w:r>
        <w:r w:rsidR="002132D8">
          <w:rPr>
            <w:noProof/>
            <w:webHidden/>
          </w:rPr>
          <w:fldChar w:fldCharType="begin"/>
        </w:r>
        <w:r w:rsidR="002132D8">
          <w:rPr>
            <w:noProof/>
            <w:webHidden/>
          </w:rPr>
          <w:instrText xml:space="preserve"> PAGEREF _Toc23151097 \h </w:instrText>
        </w:r>
        <w:r w:rsidR="002132D8">
          <w:rPr>
            <w:noProof/>
            <w:webHidden/>
          </w:rPr>
        </w:r>
        <w:r w:rsidR="002132D8">
          <w:rPr>
            <w:noProof/>
            <w:webHidden/>
          </w:rPr>
          <w:fldChar w:fldCharType="separate"/>
        </w:r>
        <w:r w:rsidR="00BF1349">
          <w:rPr>
            <w:noProof/>
            <w:webHidden/>
          </w:rPr>
          <w:t>108</w:t>
        </w:r>
        <w:r w:rsidR="002132D8">
          <w:rPr>
            <w:noProof/>
            <w:webHidden/>
          </w:rPr>
          <w:fldChar w:fldCharType="end"/>
        </w:r>
      </w:hyperlink>
    </w:p>
    <w:p w14:paraId="0DC667DB" w14:textId="71E83F46" w:rsidR="002132D8" w:rsidRDefault="00C632F2">
      <w:pPr>
        <w:pStyle w:val="TOC2"/>
        <w:rPr>
          <w:rFonts w:asciiTheme="minorHAnsi" w:eastAsiaTheme="minorEastAsia" w:hAnsiTheme="minorHAnsi" w:cstheme="minorBidi"/>
          <w:bCs w:val="0"/>
          <w:noProof/>
          <w:sz w:val="22"/>
          <w:szCs w:val="22"/>
          <w:lang w:eastAsia="en-GB"/>
        </w:rPr>
      </w:pPr>
      <w:hyperlink w:anchor="_Toc23151098" w:history="1">
        <w:r w:rsidR="002132D8" w:rsidRPr="00692950">
          <w:rPr>
            <w:rStyle w:val="Hyperlink"/>
            <w:noProof/>
          </w:rPr>
          <w:t>Students in Lewisham</w:t>
        </w:r>
        <w:r w:rsidR="002132D8">
          <w:rPr>
            <w:noProof/>
            <w:webHidden/>
          </w:rPr>
          <w:tab/>
        </w:r>
        <w:r w:rsidR="002132D8">
          <w:rPr>
            <w:noProof/>
            <w:webHidden/>
          </w:rPr>
          <w:fldChar w:fldCharType="begin"/>
        </w:r>
        <w:r w:rsidR="002132D8">
          <w:rPr>
            <w:noProof/>
            <w:webHidden/>
          </w:rPr>
          <w:instrText xml:space="preserve"> PAGEREF _Toc23151098 \h </w:instrText>
        </w:r>
        <w:r w:rsidR="002132D8">
          <w:rPr>
            <w:noProof/>
            <w:webHidden/>
          </w:rPr>
        </w:r>
        <w:r w:rsidR="002132D8">
          <w:rPr>
            <w:noProof/>
            <w:webHidden/>
          </w:rPr>
          <w:fldChar w:fldCharType="separate"/>
        </w:r>
        <w:r w:rsidR="00BF1349">
          <w:rPr>
            <w:noProof/>
            <w:webHidden/>
          </w:rPr>
          <w:t>109</w:t>
        </w:r>
        <w:r w:rsidR="002132D8">
          <w:rPr>
            <w:noProof/>
            <w:webHidden/>
          </w:rPr>
          <w:fldChar w:fldCharType="end"/>
        </w:r>
      </w:hyperlink>
    </w:p>
    <w:p w14:paraId="0F8AF6C8" w14:textId="56B6118F" w:rsidR="002132D8" w:rsidRDefault="00C632F2">
      <w:pPr>
        <w:pStyle w:val="TOC2"/>
        <w:rPr>
          <w:rFonts w:asciiTheme="minorHAnsi" w:eastAsiaTheme="minorEastAsia" w:hAnsiTheme="minorHAnsi" w:cstheme="minorBidi"/>
          <w:bCs w:val="0"/>
          <w:noProof/>
          <w:sz w:val="22"/>
          <w:szCs w:val="22"/>
          <w:lang w:eastAsia="en-GB"/>
        </w:rPr>
      </w:pPr>
      <w:hyperlink w:anchor="_Toc23151099" w:history="1">
        <w:r w:rsidR="002132D8" w:rsidRPr="00692950">
          <w:rPr>
            <w:rStyle w:val="Hyperlink"/>
            <w:noProof/>
          </w:rPr>
          <w:t>Concluding comments</w:t>
        </w:r>
        <w:r w:rsidR="002132D8">
          <w:rPr>
            <w:noProof/>
            <w:webHidden/>
          </w:rPr>
          <w:tab/>
        </w:r>
        <w:r w:rsidR="002132D8">
          <w:rPr>
            <w:noProof/>
            <w:webHidden/>
          </w:rPr>
          <w:fldChar w:fldCharType="begin"/>
        </w:r>
        <w:r w:rsidR="002132D8">
          <w:rPr>
            <w:noProof/>
            <w:webHidden/>
          </w:rPr>
          <w:instrText xml:space="preserve"> PAGEREF _Toc23151099 \h </w:instrText>
        </w:r>
        <w:r w:rsidR="002132D8">
          <w:rPr>
            <w:noProof/>
            <w:webHidden/>
          </w:rPr>
        </w:r>
        <w:r w:rsidR="002132D8">
          <w:rPr>
            <w:noProof/>
            <w:webHidden/>
          </w:rPr>
          <w:fldChar w:fldCharType="separate"/>
        </w:r>
        <w:r w:rsidR="00BF1349">
          <w:rPr>
            <w:noProof/>
            <w:webHidden/>
          </w:rPr>
          <w:t>113</w:t>
        </w:r>
        <w:r w:rsidR="002132D8">
          <w:rPr>
            <w:noProof/>
            <w:webHidden/>
          </w:rPr>
          <w:fldChar w:fldCharType="end"/>
        </w:r>
      </w:hyperlink>
    </w:p>
    <w:p w14:paraId="612A0F4D" w14:textId="3E389D92" w:rsidR="002132D8" w:rsidRDefault="00C632F2">
      <w:pPr>
        <w:pStyle w:val="TOC1"/>
        <w:rPr>
          <w:rFonts w:asciiTheme="minorHAnsi" w:eastAsiaTheme="minorEastAsia" w:hAnsiTheme="minorHAnsi" w:cstheme="minorBidi"/>
          <w:b w:val="0"/>
          <w:bCs w:val="0"/>
          <w:sz w:val="22"/>
          <w:szCs w:val="22"/>
          <w:lang w:eastAsia="en-GB"/>
        </w:rPr>
      </w:pPr>
      <w:hyperlink w:anchor="_Toc23151100" w:history="1">
        <w:r w:rsidR="002132D8" w:rsidRPr="00692950">
          <w:rPr>
            <w:rStyle w:val="Hyperlink"/>
            <w:rFonts w:cs="Calibri"/>
          </w:rPr>
          <w:t>7.</w:t>
        </w:r>
        <w:r w:rsidR="002132D8">
          <w:rPr>
            <w:rFonts w:asciiTheme="minorHAnsi" w:eastAsiaTheme="minorEastAsia" w:hAnsiTheme="minorHAnsi" w:cstheme="minorBidi"/>
            <w:b w:val="0"/>
            <w:bCs w:val="0"/>
            <w:sz w:val="22"/>
            <w:szCs w:val="22"/>
            <w:lang w:eastAsia="en-GB"/>
          </w:rPr>
          <w:tab/>
        </w:r>
        <w:r w:rsidR="002132D8" w:rsidRPr="00692950">
          <w:rPr>
            <w:rStyle w:val="Hyperlink"/>
            <w:rFonts w:cs="Calibri"/>
          </w:rPr>
          <w:t>Dwelling type and mix</w:t>
        </w:r>
        <w:r w:rsidR="002132D8">
          <w:rPr>
            <w:webHidden/>
          </w:rPr>
          <w:tab/>
        </w:r>
        <w:r w:rsidR="002132D8">
          <w:rPr>
            <w:webHidden/>
          </w:rPr>
          <w:fldChar w:fldCharType="begin"/>
        </w:r>
        <w:r w:rsidR="002132D8">
          <w:rPr>
            <w:webHidden/>
          </w:rPr>
          <w:instrText xml:space="preserve"> PAGEREF _Toc23151100 \h </w:instrText>
        </w:r>
        <w:r w:rsidR="002132D8">
          <w:rPr>
            <w:webHidden/>
          </w:rPr>
        </w:r>
        <w:r w:rsidR="002132D8">
          <w:rPr>
            <w:webHidden/>
          </w:rPr>
          <w:fldChar w:fldCharType="separate"/>
        </w:r>
        <w:r w:rsidR="00BF1349">
          <w:rPr>
            <w:webHidden/>
          </w:rPr>
          <w:t>114</w:t>
        </w:r>
        <w:r w:rsidR="002132D8">
          <w:rPr>
            <w:webHidden/>
          </w:rPr>
          <w:fldChar w:fldCharType="end"/>
        </w:r>
      </w:hyperlink>
    </w:p>
    <w:p w14:paraId="2599E31A" w14:textId="64DEC1C6" w:rsidR="002132D8" w:rsidRDefault="00C632F2">
      <w:pPr>
        <w:pStyle w:val="TOC2"/>
        <w:rPr>
          <w:rFonts w:asciiTheme="minorHAnsi" w:eastAsiaTheme="minorEastAsia" w:hAnsiTheme="minorHAnsi" w:cstheme="minorBidi"/>
          <w:bCs w:val="0"/>
          <w:noProof/>
          <w:sz w:val="22"/>
          <w:szCs w:val="22"/>
          <w:lang w:eastAsia="en-GB"/>
        </w:rPr>
      </w:pPr>
      <w:hyperlink w:anchor="_Toc23151101" w:history="1">
        <w:r w:rsidR="002132D8" w:rsidRPr="00692950">
          <w:rPr>
            <w:rStyle w:val="Hyperlink"/>
            <w:noProof/>
          </w:rPr>
          <w:t>Introduction</w:t>
        </w:r>
        <w:r w:rsidR="002132D8">
          <w:rPr>
            <w:noProof/>
            <w:webHidden/>
          </w:rPr>
          <w:tab/>
        </w:r>
        <w:r w:rsidR="002132D8">
          <w:rPr>
            <w:noProof/>
            <w:webHidden/>
          </w:rPr>
          <w:fldChar w:fldCharType="begin"/>
        </w:r>
        <w:r w:rsidR="002132D8">
          <w:rPr>
            <w:noProof/>
            <w:webHidden/>
          </w:rPr>
          <w:instrText xml:space="preserve"> PAGEREF _Toc23151101 \h </w:instrText>
        </w:r>
        <w:r w:rsidR="002132D8">
          <w:rPr>
            <w:noProof/>
            <w:webHidden/>
          </w:rPr>
        </w:r>
        <w:r w:rsidR="002132D8">
          <w:rPr>
            <w:noProof/>
            <w:webHidden/>
          </w:rPr>
          <w:fldChar w:fldCharType="separate"/>
        </w:r>
        <w:r w:rsidR="00BF1349">
          <w:rPr>
            <w:noProof/>
            <w:webHidden/>
          </w:rPr>
          <w:t>114</w:t>
        </w:r>
        <w:r w:rsidR="002132D8">
          <w:rPr>
            <w:noProof/>
            <w:webHidden/>
          </w:rPr>
          <w:fldChar w:fldCharType="end"/>
        </w:r>
      </w:hyperlink>
    </w:p>
    <w:p w14:paraId="1BAA2607" w14:textId="73C802AE" w:rsidR="002132D8" w:rsidRDefault="00C632F2">
      <w:pPr>
        <w:pStyle w:val="TOC2"/>
        <w:rPr>
          <w:rFonts w:asciiTheme="minorHAnsi" w:eastAsiaTheme="minorEastAsia" w:hAnsiTheme="minorHAnsi" w:cstheme="minorBidi"/>
          <w:bCs w:val="0"/>
          <w:noProof/>
          <w:sz w:val="22"/>
          <w:szCs w:val="22"/>
          <w:lang w:eastAsia="en-GB"/>
        </w:rPr>
      </w:pPr>
      <w:hyperlink w:anchor="_Toc23151102" w:history="1">
        <w:r w:rsidR="002132D8" w:rsidRPr="00692950">
          <w:rPr>
            <w:rStyle w:val="Hyperlink"/>
            <w:noProof/>
          </w:rPr>
          <w:t>Concluding comments</w:t>
        </w:r>
        <w:r w:rsidR="002132D8">
          <w:rPr>
            <w:noProof/>
            <w:webHidden/>
          </w:rPr>
          <w:tab/>
        </w:r>
        <w:r w:rsidR="002132D8">
          <w:rPr>
            <w:noProof/>
            <w:webHidden/>
          </w:rPr>
          <w:fldChar w:fldCharType="begin"/>
        </w:r>
        <w:r w:rsidR="002132D8">
          <w:rPr>
            <w:noProof/>
            <w:webHidden/>
          </w:rPr>
          <w:instrText xml:space="preserve"> PAGEREF _Toc23151102 \h </w:instrText>
        </w:r>
        <w:r w:rsidR="002132D8">
          <w:rPr>
            <w:noProof/>
            <w:webHidden/>
          </w:rPr>
        </w:r>
        <w:r w:rsidR="002132D8">
          <w:rPr>
            <w:noProof/>
            <w:webHidden/>
          </w:rPr>
          <w:fldChar w:fldCharType="separate"/>
        </w:r>
        <w:r w:rsidR="00BF1349">
          <w:rPr>
            <w:noProof/>
            <w:webHidden/>
          </w:rPr>
          <w:t>119</w:t>
        </w:r>
        <w:r w:rsidR="002132D8">
          <w:rPr>
            <w:noProof/>
            <w:webHidden/>
          </w:rPr>
          <w:fldChar w:fldCharType="end"/>
        </w:r>
      </w:hyperlink>
    </w:p>
    <w:p w14:paraId="69819C41" w14:textId="50B61A85" w:rsidR="002132D8" w:rsidRDefault="00C632F2">
      <w:pPr>
        <w:pStyle w:val="TOC1"/>
        <w:rPr>
          <w:rFonts w:asciiTheme="minorHAnsi" w:eastAsiaTheme="minorEastAsia" w:hAnsiTheme="minorHAnsi" w:cstheme="minorBidi"/>
          <w:b w:val="0"/>
          <w:bCs w:val="0"/>
          <w:sz w:val="22"/>
          <w:szCs w:val="22"/>
          <w:lang w:eastAsia="en-GB"/>
        </w:rPr>
      </w:pPr>
      <w:hyperlink w:anchor="_Toc23151103" w:history="1">
        <w:r w:rsidR="002132D8" w:rsidRPr="00692950">
          <w:rPr>
            <w:rStyle w:val="Hyperlink"/>
            <w:rFonts w:cs="Calibri"/>
            <w:lang w:eastAsia="en-GB"/>
          </w:rPr>
          <w:t>8.</w:t>
        </w:r>
        <w:r w:rsidR="002132D8">
          <w:rPr>
            <w:rFonts w:asciiTheme="minorHAnsi" w:eastAsiaTheme="minorEastAsia" w:hAnsiTheme="minorHAnsi" w:cstheme="minorBidi"/>
            <w:b w:val="0"/>
            <w:bCs w:val="0"/>
            <w:sz w:val="22"/>
            <w:szCs w:val="22"/>
            <w:lang w:eastAsia="en-GB"/>
          </w:rPr>
          <w:tab/>
        </w:r>
        <w:r w:rsidR="002132D8" w:rsidRPr="00692950">
          <w:rPr>
            <w:rStyle w:val="Hyperlink"/>
            <w:rFonts w:cs="Calibri"/>
          </w:rPr>
          <w:t>Conclusion: policy and strategic issues</w:t>
        </w:r>
        <w:r w:rsidR="002132D8">
          <w:rPr>
            <w:webHidden/>
          </w:rPr>
          <w:tab/>
        </w:r>
        <w:r w:rsidR="002132D8">
          <w:rPr>
            <w:webHidden/>
          </w:rPr>
          <w:fldChar w:fldCharType="begin"/>
        </w:r>
        <w:r w:rsidR="002132D8">
          <w:rPr>
            <w:webHidden/>
          </w:rPr>
          <w:instrText xml:space="preserve"> PAGEREF _Toc23151103 \h </w:instrText>
        </w:r>
        <w:r w:rsidR="002132D8">
          <w:rPr>
            <w:webHidden/>
          </w:rPr>
        </w:r>
        <w:r w:rsidR="002132D8">
          <w:rPr>
            <w:webHidden/>
          </w:rPr>
          <w:fldChar w:fldCharType="separate"/>
        </w:r>
        <w:r w:rsidR="00BF1349">
          <w:rPr>
            <w:webHidden/>
          </w:rPr>
          <w:t>120</w:t>
        </w:r>
        <w:r w:rsidR="002132D8">
          <w:rPr>
            <w:webHidden/>
          </w:rPr>
          <w:fldChar w:fldCharType="end"/>
        </w:r>
      </w:hyperlink>
    </w:p>
    <w:p w14:paraId="2C544EEB" w14:textId="0881D199" w:rsidR="002132D8" w:rsidRDefault="00C632F2">
      <w:pPr>
        <w:pStyle w:val="TOC2"/>
        <w:rPr>
          <w:rFonts w:asciiTheme="minorHAnsi" w:eastAsiaTheme="minorEastAsia" w:hAnsiTheme="minorHAnsi" w:cstheme="minorBidi"/>
          <w:bCs w:val="0"/>
          <w:noProof/>
          <w:sz w:val="22"/>
          <w:szCs w:val="22"/>
          <w:lang w:eastAsia="en-GB"/>
        </w:rPr>
      </w:pPr>
      <w:hyperlink w:anchor="_Toc23151104" w:history="1">
        <w:r w:rsidR="002132D8" w:rsidRPr="00692950">
          <w:rPr>
            <w:rStyle w:val="Hyperlink"/>
            <w:noProof/>
          </w:rPr>
          <w:t>The borough context</w:t>
        </w:r>
        <w:r w:rsidR="002132D8">
          <w:rPr>
            <w:noProof/>
            <w:webHidden/>
          </w:rPr>
          <w:tab/>
        </w:r>
        <w:r w:rsidR="002132D8">
          <w:rPr>
            <w:noProof/>
            <w:webHidden/>
          </w:rPr>
          <w:fldChar w:fldCharType="begin"/>
        </w:r>
        <w:r w:rsidR="002132D8">
          <w:rPr>
            <w:noProof/>
            <w:webHidden/>
          </w:rPr>
          <w:instrText xml:space="preserve"> PAGEREF _Toc23151104 \h </w:instrText>
        </w:r>
        <w:r w:rsidR="002132D8">
          <w:rPr>
            <w:noProof/>
            <w:webHidden/>
          </w:rPr>
        </w:r>
        <w:r w:rsidR="002132D8">
          <w:rPr>
            <w:noProof/>
            <w:webHidden/>
          </w:rPr>
          <w:fldChar w:fldCharType="separate"/>
        </w:r>
        <w:r w:rsidR="00BF1349">
          <w:rPr>
            <w:noProof/>
            <w:webHidden/>
          </w:rPr>
          <w:t>120</w:t>
        </w:r>
        <w:r w:rsidR="002132D8">
          <w:rPr>
            <w:noProof/>
            <w:webHidden/>
          </w:rPr>
          <w:fldChar w:fldCharType="end"/>
        </w:r>
      </w:hyperlink>
    </w:p>
    <w:p w14:paraId="39645707" w14:textId="33D33620" w:rsidR="002132D8" w:rsidRDefault="00C632F2">
      <w:pPr>
        <w:pStyle w:val="TOC2"/>
        <w:rPr>
          <w:rFonts w:asciiTheme="minorHAnsi" w:eastAsiaTheme="minorEastAsia" w:hAnsiTheme="minorHAnsi" w:cstheme="minorBidi"/>
          <w:bCs w:val="0"/>
          <w:noProof/>
          <w:sz w:val="22"/>
          <w:szCs w:val="22"/>
          <w:lang w:eastAsia="en-GB"/>
        </w:rPr>
      </w:pPr>
      <w:hyperlink w:anchor="_Toc23151105" w:history="1">
        <w:r w:rsidR="002132D8" w:rsidRPr="00692950">
          <w:rPr>
            <w:rStyle w:val="Hyperlink"/>
            <w:noProof/>
          </w:rPr>
          <w:t>Future housing need</w:t>
        </w:r>
        <w:r w:rsidR="002132D8">
          <w:rPr>
            <w:noProof/>
            <w:webHidden/>
          </w:rPr>
          <w:tab/>
        </w:r>
        <w:r w:rsidR="002132D8">
          <w:rPr>
            <w:noProof/>
            <w:webHidden/>
          </w:rPr>
          <w:fldChar w:fldCharType="begin"/>
        </w:r>
        <w:r w:rsidR="002132D8">
          <w:rPr>
            <w:noProof/>
            <w:webHidden/>
          </w:rPr>
          <w:instrText xml:space="preserve"> PAGEREF _Toc23151105 \h </w:instrText>
        </w:r>
        <w:r w:rsidR="002132D8">
          <w:rPr>
            <w:noProof/>
            <w:webHidden/>
          </w:rPr>
        </w:r>
        <w:r w:rsidR="002132D8">
          <w:rPr>
            <w:noProof/>
            <w:webHidden/>
          </w:rPr>
          <w:fldChar w:fldCharType="separate"/>
        </w:r>
        <w:r w:rsidR="00BF1349">
          <w:rPr>
            <w:noProof/>
            <w:webHidden/>
          </w:rPr>
          <w:t>121</w:t>
        </w:r>
        <w:r w:rsidR="002132D8">
          <w:rPr>
            <w:noProof/>
            <w:webHidden/>
          </w:rPr>
          <w:fldChar w:fldCharType="end"/>
        </w:r>
      </w:hyperlink>
    </w:p>
    <w:p w14:paraId="596B7039" w14:textId="7594221C" w:rsidR="002132D8" w:rsidRDefault="00C632F2">
      <w:pPr>
        <w:pStyle w:val="TOC2"/>
        <w:rPr>
          <w:rFonts w:asciiTheme="minorHAnsi" w:eastAsiaTheme="minorEastAsia" w:hAnsiTheme="minorHAnsi" w:cstheme="minorBidi"/>
          <w:bCs w:val="0"/>
          <w:noProof/>
          <w:sz w:val="22"/>
          <w:szCs w:val="22"/>
          <w:lang w:eastAsia="en-GB"/>
        </w:rPr>
      </w:pPr>
      <w:hyperlink w:anchor="_Toc23151106" w:history="1">
        <w:r w:rsidR="002132D8" w:rsidRPr="00692950">
          <w:rPr>
            <w:rStyle w:val="Hyperlink"/>
            <w:noProof/>
            <w:lang w:val="en-US"/>
          </w:rPr>
          <w:t>Type and mix of housing needed in the future</w:t>
        </w:r>
        <w:r w:rsidR="002132D8">
          <w:rPr>
            <w:noProof/>
            <w:webHidden/>
          </w:rPr>
          <w:tab/>
        </w:r>
        <w:r w:rsidR="002132D8">
          <w:rPr>
            <w:noProof/>
            <w:webHidden/>
          </w:rPr>
          <w:fldChar w:fldCharType="begin"/>
        </w:r>
        <w:r w:rsidR="002132D8">
          <w:rPr>
            <w:noProof/>
            <w:webHidden/>
          </w:rPr>
          <w:instrText xml:space="preserve"> PAGEREF _Toc23151106 \h </w:instrText>
        </w:r>
        <w:r w:rsidR="002132D8">
          <w:rPr>
            <w:noProof/>
            <w:webHidden/>
          </w:rPr>
        </w:r>
        <w:r w:rsidR="002132D8">
          <w:rPr>
            <w:noProof/>
            <w:webHidden/>
          </w:rPr>
          <w:fldChar w:fldCharType="separate"/>
        </w:r>
        <w:r w:rsidR="00BF1349">
          <w:rPr>
            <w:noProof/>
            <w:webHidden/>
          </w:rPr>
          <w:t>121</w:t>
        </w:r>
        <w:r w:rsidR="002132D8">
          <w:rPr>
            <w:noProof/>
            <w:webHidden/>
          </w:rPr>
          <w:fldChar w:fldCharType="end"/>
        </w:r>
      </w:hyperlink>
    </w:p>
    <w:p w14:paraId="09BD1BE5" w14:textId="0A90CC3A" w:rsidR="002132D8" w:rsidRDefault="00C632F2">
      <w:pPr>
        <w:pStyle w:val="TOC2"/>
        <w:rPr>
          <w:rFonts w:asciiTheme="minorHAnsi" w:eastAsiaTheme="minorEastAsia" w:hAnsiTheme="minorHAnsi" w:cstheme="minorBidi"/>
          <w:bCs w:val="0"/>
          <w:noProof/>
          <w:sz w:val="22"/>
          <w:szCs w:val="22"/>
          <w:lang w:eastAsia="en-GB"/>
        </w:rPr>
      </w:pPr>
      <w:hyperlink w:anchor="_Toc23151107" w:history="1">
        <w:r w:rsidR="002132D8" w:rsidRPr="00692950">
          <w:rPr>
            <w:rStyle w:val="Hyperlink"/>
            <w:noProof/>
          </w:rPr>
          <w:t>Meeting the needs of different groups including older people and those with disabilities</w:t>
        </w:r>
        <w:r w:rsidR="002132D8">
          <w:rPr>
            <w:noProof/>
            <w:webHidden/>
          </w:rPr>
          <w:tab/>
        </w:r>
        <w:r w:rsidR="002132D8">
          <w:rPr>
            <w:noProof/>
            <w:webHidden/>
          </w:rPr>
          <w:fldChar w:fldCharType="begin"/>
        </w:r>
        <w:r w:rsidR="002132D8">
          <w:rPr>
            <w:noProof/>
            <w:webHidden/>
          </w:rPr>
          <w:instrText xml:space="preserve"> PAGEREF _Toc23151107 \h </w:instrText>
        </w:r>
        <w:r w:rsidR="002132D8">
          <w:rPr>
            <w:noProof/>
            <w:webHidden/>
          </w:rPr>
        </w:r>
        <w:r w:rsidR="002132D8">
          <w:rPr>
            <w:noProof/>
            <w:webHidden/>
          </w:rPr>
          <w:fldChar w:fldCharType="separate"/>
        </w:r>
        <w:r w:rsidR="00BF1349">
          <w:rPr>
            <w:noProof/>
            <w:webHidden/>
          </w:rPr>
          <w:t>122</w:t>
        </w:r>
        <w:r w:rsidR="002132D8">
          <w:rPr>
            <w:noProof/>
            <w:webHidden/>
          </w:rPr>
          <w:fldChar w:fldCharType="end"/>
        </w:r>
      </w:hyperlink>
    </w:p>
    <w:p w14:paraId="36E3C3DC" w14:textId="08050A43" w:rsidR="002132D8" w:rsidRDefault="00C632F2">
      <w:pPr>
        <w:pStyle w:val="TOC2"/>
        <w:rPr>
          <w:rFonts w:asciiTheme="minorHAnsi" w:eastAsiaTheme="minorEastAsia" w:hAnsiTheme="minorHAnsi" w:cstheme="minorBidi"/>
          <w:bCs w:val="0"/>
          <w:noProof/>
          <w:sz w:val="22"/>
          <w:szCs w:val="22"/>
          <w:lang w:eastAsia="en-GB"/>
        </w:rPr>
      </w:pPr>
      <w:hyperlink w:anchor="_Toc23151108" w:history="1">
        <w:r w:rsidR="002132D8" w:rsidRPr="00692950">
          <w:rPr>
            <w:rStyle w:val="Hyperlink"/>
            <w:noProof/>
          </w:rPr>
          <w:t>Final comments</w:t>
        </w:r>
        <w:r w:rsidR="002132D8">
          <w:rPr>
            <w:noProof/>
            <w:webHidden/>
          </w:rPr>
          <w:tab/>
        </w:r>
        <w:r w:rsidR="002132D8">
          <w:rPr>
            <w:noProof/>
            <w:webHidden/>
          </w:rPr>
          <w:fldChar w:fldCharType="begin"/>
        </w:r>
        <w:r w:rsidR="002132D8">
          <w:rPr>
            <w:noProof/>
            <w:webHidden/>
          </w:rPr>
          <w:instrText xml:space="preserve"> PAGEREF _Toc23151108 \h </w:instrText>
        </w:r>
        <w:r w:rsidR="002132D8">
          <w:rPr>
            <w:noProof/>
            <w:webHidden/>
          </w:rPr>
        </w:r>
        <w:r w:rsidR="002132D8">
          <w:rPr>
            <w:noProof/>
            <w:webHidden/>
          </w:rPr>
          <w:fldChar w:fldCharType="separate"/>
        </w:r>
        <w:r w:rsidR="00BF1349">
          <w:rPr>
            <w:noProof/>
            <w:webHidden/>
          </w:rPr>
          <w:t>123</w:t>
        </w:r>
        <w:r w:rsidR="002132D8">
          <w:rPr>
            <w:noProof/>
            <w:webHidden/>
          </w:rPr>
          <w:fldChar w:fldCharType="end"/>
        </w:r>
      </w:hyperlink>
    </w:p>
    <w:p w14:paraId="5ADD9414" w14:textId="4FD603F0" w:rsidR="002132D8" w:rsidRDefault="00C632F2">
      <w:pPr>
        <w:pStyle w:val="TOC1"/>
        <w:rPr>
          <w:rFonts w:asciiTheme="minorHAnsi" w:eastAsiaTheme="minorEastAsia" w:hAnsiTheme="minorHAnsi" w:cstheme="minorBidi"/>
          <w:b w:val="0"/>
          <w:bCs w:val="0"/>
          <w:sz w:val="22"/>
          <w:szCs w:val="22"/>
          <w:lang w:eastAsia="en-GB"/>
        </w:rPr>
      </w:pPr>
      <w:hyperlink w:anchor="_Toc23151109" w:history="1">
        <w:r w:rsidR="002132D8" w:rsidRPr="00692950">
          <w:rPr>
            <w:rStyle w:val="Hyperlink"/>
            <w:rFonts w:cs="Calibri"/>
          </w:rPr>
          <w:t>Introduction to Technical Appendices</w:t>
        </w:r>
        <w:r w:rsidR="002132D8">
          <w:rPr>
            <w:webHidden/>
          </w:rPr>
          <w:tab/>
        </w:r>
        <w:r w:rsidR="002132D8">
          <w:rPr>
            <w:webHidden/>
          </w:rPr>
          <w:fldChar w:fldCharType="begin"/>
        </w:r>
        <w:r w:rsidR="002132D8">
          <w:rPr>
            <w:webHidden/>
          </w:rPr>
          <w:instrText xml:space="preserve"> PAGEREF _Toc23151109 \h </w:instrText>
        </w:r>
        <w:r w:rsidR="002132D8">
          <w:rPr>
            <w:webHidden/>
          </w:rPr>
        </w:r>
        <w:r w:rsidR="002132D8">
          <w:rPr>
            <w:webHidden/>
          </w:rPr>
          <w:fldChar w:fldCharType="separate"/>
        </w:r>
        <w:r w:rsidR="00BF1349">
          <w:rPr>
            <w:webHidden/>
          </w:rPr>
          <w:t>124</w:t>
        </w:r>
        <w:r w:rsidR="002132D8">
          <w:rPr>
            <w:webHidden/>
          </w:rPr>
          <w:fldChar w:fldCharType="end"/>
        </w:r>
      </w:hyperlink>
    </w:p>
    <w:p w14:paraId="0186B636" w14:textId="28345906" w:rsidR="002132D8" w:rsidRDefault="00C632F2">
      <w:pPr>
        <w:pStyle w:val="TOC1"/>
        <w:rPr>
          <w:rFonts w:asciiTheme="minorHAnsi" w:eastAsiaTheme="minorEastAsia" w:hAnsiTheme="minorHAnsi" w:cstheme="minorBidi"/>
          <w:b w:val="0"/>
          <w:bCs w:val="0"/>
          <w:sz w:val="22"/>
          <w:szCs w:val="22"/>
          <w:lang w:eastAsia="en-GB"/>
        </w:rPr>
      </w:pPr>
      <w:hyperlink w:anchor="_Toc23151110" w:history="1">
        <w:r w:rsidR="002132D8" w:rsidRPr="00692950">
          <w:rPr>
            <w:rStyle w:val="Hyperlink"/>
            <w:rFonts w:cs="Calibri"/>
          </w:rPr>
          <w:t xml:space="preserve">Technical Appendix </w:t>
        </w:r>
        <w:r w:rsidR="002132D8" w:rsidRPr="00692950">
          <w:rPr>
            <w:rStyle w:val="Hyperlink"/>
            <w:rFonts w:cs="Calibri"/>
            <w:lang w:val="en-US"/>
          </w:rPr>
          <w:t>A</w:t>
        </w:r>
        <w:r w:rsidR="002132D8" w:rsidRPr="00692950">
          <w:rPr>
            <w:rStyle w:val="Hyperlink"/>
            <w:rFonts w:cs="Calibri"/>
          </w:rPr>
          <w:t>: Policy review</w:t>
        </w:r>
        <w:r w:rsidR="002132D8">
          <w:rPr>
            <w:webHidden/>
          </w:rPr>
          <w:tab/>
        </w:r>
        <w:r w:rsidR="002132D8">
          <w:rPr>
            <w:webHidden/>
          </w:rPr>
          <w:fldChar w:fldCharType="begin"/>
        </w:r>
        <w:r w:rsidR="002132D8">
          <w:rPr>
            <w:webHidden/>
          </w:rPr>
          <w:instrText xml:space="preserve"> PAGEREF _Toc23151110 \h </w:instrText>
        </w:r>
        <w:r w:rsidR="002132D8">
          <w:rPr>
            <w:webHidden/>
          </w:rPr>
        </w:r>
        <w:r w:rsidR="002132D8">
          <w:rPr>
            <w:webHidden/>
          </w:rPr>
          <w:fldChar w:fldCharType="separate"/>
        </w:r>
        <w:r w:rsidR="00BF1349">
          <w:rPr>
            <w:webHidden/>
          </w:rPr>
          <w:t>125</w:t>
        </w:r>
        <w:r w:rsidR="002132D8">
          <w:rPr>
            <w:webHidden/>
          </w:rPr>
          <w:fldChar w:fldCharType="end"/>
        </w:r>
      </w:hyperlink>
    </w:p>
    <w:p w14:paraId="2808DB28" w14:textId="1789306C" w:rsidR="002132D8" w:rsidRDefault="00C632F2">
      <w:pPr>
        <w:pStyle w:val="TOC2"/>
        <w:rPr>
          <w:rFonts w:asciiTheme="minorHAnsi" w:eastAsiaTheme="minorEastAsia" w:hAnsiTheme="minorHAnsi" w:cstheme="minorBidi"/>
          <w:bCs w:val="0"/>
          <w:noProof/>
          <w:sz w:val="22"/>
          <w:szCs w:val="22"/>
          <w:lang w:eastAsia="en-GB"/>
        </w:rPr>
      </w:pPr>
      <w:hyperlink w:anchor="_Toc23151111" w:history="1">
        <w:r w:rsidR="002132D8" w:rsidRPr="00692950">
          <w:rPr>
            <w:rStyle w:val="Hyperlink"/>
            <w:noProof/>
          </w:rPr>
          <w:t>Introduction</w:t>
        </w:r>
        <w:r w:rsidR="002132D8">
          <w:rPr>
            <w:noProof/>
            <w:webHidden/>
          </w:rPr>
          <w:tab/>
        </w:r>
        <w:r w:rsidR="002132D8">
          <w:rPr>
            <w:noProof/>
            <w:webHidden/>
          </w:rPr>
          <w:fldChar w:fldCharType="begin"/>
        </w:r>
        <w:r w:rsidR="002132D8">
          <w:rPr>
            <w:noProof/>
            <w:webHidden/>
          </w:rPr>
          <w:instrText xml:space="preserve"> PAGEREF _Toc23151111 \h </w:instrText>
        </w:r>
        <w:r w:rsidR="002132D8">
          <w:rPr>
            <w:noProof/>
            <w:webHidden/>
          </w:rPr>
        </w:r>
        <w:r w:rsidR="002132D8">
          <w:rPr>
            <w:noProof/>
            <w:webHidden/>
          </w:rPr>
          <w:fldChar w:fldCharType="separate"/>
        </w:r>
        <w:r w:rsidR="00BF1349">
          <w:rPr>
            <w:noProof/>
            <w:webHidden/>
          </w:rPr>
          <w:t>125</w:t>
        </w:r>
        <w:r w:rsidR="002132D8">
          <w:rPr>
            <w:noProof/>
            <w:webHidden/>
          </w:rPr>
          <w:fldChar w:fldCharType="end"/>
        </w:r>
      </w:hyperlink>
    </w:p>
    <w:p w14:paraId="76CC6771" w14:textId="52EB4FAF" w:rsidR="002132D8" w:rsidRDefault="00C632F2">
      <w:pPr>
        <w:pStyle w:val="TOC2"/>
        <w:rPr>
          <w:rFonts w:asciiTheme="minorHAnsi" w:eastAsiaTheme="minorEastAsia" w:hAnsiTheme="minorHAnsi" w:cstheme="minorBidi"/>
          <w:bCs w:val="0"/>
          <w:noProof/>
          <w:sz w:val="22"/>
          <w:szCs w:val="22"/>
          <w:lang w:eastAsia="en-GB"/>
        </w:rPr>
      </w:pPr>
      <w:hyperlink w:anchor="_Toc23151112" w:history="1">
        <w:r w:rsidR="002132D8" w:rsidRPr="00692950">
          <w:rPr>
            <w:rStyle w:val="Hyperlink"/>
            <w:noProof/>
          </w:rPr>
          <w:t>2010-2015 (Coalition Government)</w:t>
        </w:r>
        <w:r w:rsidR="002132D8">
          <w:rPr>
            <w:noProof/>
            <w:webHidden/>
          </w:rPr>
          <w:tab/>
        </w:r>
        <w:r w:rsidR="002132D8">
          <w:rPr>
            <w:noProof/>
            <w:webHidden/>
          </w:rPr>
          <w:fldChar w:fldCharType="begin"/>
        </w:r>
        <w:r w:rsidR="002132D8">
          <w:rPr>
            <w:noProof/>
            <w:webHidden/>
          </w:rPr>
          <w:instrText xml:space="preserve"> PAGEREF _Toc23151112 \h </w:instrText>
        </w:r>
        <w:r w:rsidR="002132D8">
          <w:rPr>
            <w:noProof/>
            <w:webHidden/>
          </w:rPr>
        </w:r>
        <w:r w:rsidR="002132D8">
          <w:rPr>
            <w:noProof/>
            <w:webHidden/>
          </w:rPr>
          <w:fldChar w:fldCharType="separate"/>
        </w:r>
        <w:r w:rsidR="00BF1349">
          <w:rPr>
            <w:noProof/>
            <w:webHidden/>
          </w:rPr>
          <w:t>126</w:t>
        </w:r>
        <w:r w:rsidR="002132D8">
          <w:rPr>
            <w:noProof/>
            <w:webHidden/>
          </w:rPr>
          <w:fldChar w:fldCharType="end"/>
        </w:r>
      </w:hyperlink>
    </w:p>
    <w:p w14:paraId="1AA9648F" w14:textId="09E9E58C" w:rsidR="002132D8" w:rsidRDefault="00C632F2">
      <w:pPr>
        <w:pStyle w:val="TOC2"/>
        <w:rPr>
          <w:rFonts w:asciiTheme="minorHAnsi" w:eastAsiaTheme="minorEastAsia" w:hAnsiTheme="minorHAnsi" w:cstheme="minorBidi"/>
          <w:bCs w:val="0"/>
          <w:noProof/>
          <w:sz w:val="22"/>
          <w:szCs w:val="22"/>
          <w:lang w:eastAsia="en-GB"/>
        </w:rPr>
      </w:pPr>
      <w:hyperlink w:anchor="_Toc23151113" w:history="1">
        <w:r w:rsidR="002132D8" w:rsidRPr="00692950">
          <w:rPr>
            <w:rStyle w:val="Hyperlink"/>
            <w:noProof/>
          </w:rPr>
          <w:t>2015-2016 (Conservative Government under David Cameron)</w:t>
        </w:r>
        <w:r w:rsidR="002132D8">
          <w:rPr>
            <w:noProof/>
            <w:webHidden/>
          </w:rPr>
          <w:tab/>
        </w:r>
        <w:r w:rsidR="002132D8">
          <w:rPr>
            <w:noProof/>
            <w:webHidden/>
          </w:rPr>
          <w:fldChar w:fldCharType="begin"/>
        </w:r>
        <w:r w:rsidR="002132D8">
          <w:rPr>
            <w:noProof/>
            <w:webHidden/>
          </w:rPr>
          <w:instrText xml:space="preserve"> PAGEREF _Toc23151113 \h </w:instrText>
        </w:r>
        <w:r w:rsidR="002132D8">
          <w:rPr>
            <w:noProof/>
            <w:webHidden/>
          </w:rPr>
        </w:r>
        <w:r w:rsidR="002132D8">
          <w:rPr>
            <w:noProof/>
            <w:webHidden/>
          </w:rPr>
          <w:fldChar w:fldCharType="separate"/>
        </w:r>
        <w:r w:rsidR="00BF1349">
          <w:rPr>
            <w:noProof/>
            <w:webHidden/>
          </w:rPr>
          <w:t>127</w:t>
        </w:r>
        <w:r w:rsidR="002132D8">
          <w:rPr>
            <w:noProof/>
            <w:webHidden/>
          </w:rPr>
          <w:fldChar w:fldCharType="end"/>
        </w:r>
      </w:hyperlink>
    </w:p>
    <w:p w14:paraId="6F837F9D" w14:textId="469DC666" w:rsidR="002132D8" w:rsidRDefault="00C632F2">
      <w:pPr>
        <w:pStyle w:val="TOC2"/>
        <w:rPr>
          <w:rFonts w:asciiTheme="minorHAnsi" w:eastAsiaTheme="minorEastAsia" w:hAnsiTheme="minorHAnsi" w:cstheme="minorBidi"/>
          <w:bCs w:val="0"/>
          <w:noProof/>
          <w:sz w:val="22"/>
          <w:szCs w:val="22"/>
          <w:lang w:eastAsia="en-GB"/>
        </w:rPr>
      </w:pPr>
      <w:hyperlink w:anchor="_Toc23151114" w:history="1">
        <w:r w:rsidR="002132D8" w:rsidRPr="00692950">
          <w:rPr>
            <w:rStyle w:val="Hyperlink"/>
            <w:noProof/>
          </w:rPr>
          <w:t>Post EU-Referendum (Theresa May Administration)</w:t>
        </w:r>
        <w:r w:rsidR="002132D8">
          <w:rPr>
            <w:noProof/>
            <w:webHidden/>
          </w:rPr>
          <w:tab/>
        </w:r>
        <w:r w:rsidR="002132D8">
          <w:rPr>
            <w:noProof/>
            <w:webHidden/>
          </w:rPr>
          <w:fldChar w:fldCharType="begin"/>
        </w:r>
        <w:r w:rsidR="002132D8">
          <w:rPr>
            <w:noProof/>
            <w:webHidden/>
          </w:rPr>
          <w:instrText xml:space="preserve"> PAGEREF _Toc23151114 \h </w:instrText>
        </w:r>
        <w:r w:rsidR="002132D8">
          <w:rPr>
            <w:noProof/>
            <w:webHidden/>
          </w:rPr>
        </w:r>
        <w:r w:rsidR="002132D8">
          <w:rPr>
            <w:noProof/>
            <w:webHidden/>
          </w:rPr>
          <w:fldChar w:fldCharType="separate"/>
        </w:r>
        <w:r w:rsidR="00BF1349">
          <w:rPr>
            <w:noProof/>
            <w:webHidden/>
          </w:rPr>
          <w:t>129</w:t>
        </w:r>
        <w:r w:rsidR="002132D8">
          <w:rPr>
            <w:noProof/>
            <w:webHidden/>
          </w:rPr>
          <w:fldChar w:fldCharType="end"/>
        </w:r>
      </w:hyperlink>
    </w:p>
    <w:p w14:paraId="22C396AF" w14:textId="48A47150" w:rsidR="002132D8" w:rsidRDefault="00C632F2">
      <w:pPr>
        <w:pStyle w:val="TOC1"/>
        <w:rPr>
          <w:rFonts w:asciiTheme="minorHAnsi" w:eastAsiaTheme="minorEastAsia" w:hAnsiTheme="minorHAnsi" w:cstheme="minorBidi"/>
          <w:b w:val="0"/>
          <w:bCs w:val="0"/>
          <w:sz w:val="22"/>
          <w:szCs w:val="22"/>
          <w:lang w:eastAsia="en-GB"/>
        </w:rPr>
      </w:pPr>
      <w:hyperlink w:anchor="_Toc23151115" w:history="1">
        <w:r w:rsidR="002132D8" w:rsidRPr="00692950">
          <w:rPr>
            <w:rStyle w:val="Hyperlink"/>
            <w:rFonts w:cs="Calibri"/>
          </w:rPr>
          <w:t xml:space="preserve">Technical Appendix </w:t>
        </w:r>
        <w:r w:rsidR="002132D8" w:rsidRPr="00692950">
          <w:rPr>
            <w:rStyle w:val="Hyperlink"/>
            <w:rFonts w:cs="Calibri"/>
            <w:lang w:val="en-US"/>
          </w:rPr>
          <w:t>B</w:t>
        </w:r>
        <w:r w:rsidR="002132D8" w:rsidRPr="00692950">
          <w:rPr>
            <w:rStyle w:val="Hyperlink"/>
            <w:rFonts w:cs="Calibri"/>
          </w:rPr>
          <w:t>: Housing need calculations</w:t>
        </w:r>
        <w:r w:rsidR="002132D8">
          <w:rPr>
            <w:webHidden/>
          </w:rPr>
          <w:tab/>
        </w:r>
        <w:r w:rsidR="002132D8">
          <w:rPr>
            <w:webHidden/>
          </w:rPr>
          <w:fldChar w:fldCharType="begin"/>
        </w:r>
        <w:r w:rsidR="002132D8">
          <w:rPr>
            <w:webHidden/>
          </w:rPr>
          <w:instrText xml:space="preserve"> PAGEREF _Toc23151115 \h </w:instrText>
        </w:r>
        <w:r w:rsidR="002132D8">
          <w:rPr>
            <w:webHidden/>
          </w:rPr>
        </w:r>
        <w:r w:rsidR="002132D8">
          <w:rPr>
            <w:webHidden/>
          </w:rPr>
          <w:fldChar w:fldCharType="separate"/>
        </w:r>
        <w:r w:rsidR="00BF1349">
          <w:rPr>
            <w:webHidden/>
          </w:rPr>
          <w:t>135</w:t>
        </w:r>
        <w:r w:rsidR="002132D8">
          <w:rPr>
            <w:webHidden/>
          </w:rPr>
          <w:fldChar w:fldCharType="end"/>
        </w:r>
      </w:hyperlink>
    </w:p>
    <w:p w14:paraId="447879BC" w14:textId="60C83A81" w:rsidR="002132D8" w:rsidRDefault="00C632F2">
      <w:pPr>
        <w:pStyle w:val="TOC2"/>
        <w:rPr>
          <w:rFonts w:asciiTheme="minorHAnsi" w:eastAsiaTheme="minorEastAsia" w:hAnsiTheme="minorHAnsi" w:cstheme="minorBidi"/>
          <w:bCs w:val="0"/>
          <w:noProof/>
          <w:sz w:val="22"/>
          <w:szCs w:val="22"/>
          <w:lang w:eastAsia="en-GB"/>
        </w:rPr>
      </w:pPr>
      <w:hyperlink w:anchor="_Toc23151116" w:history="1">
        <w:r w:rsidR="002132D8" w:rsidRPr="00692950">
          <w:rPr>
            <w:rStyle w:val="Hyperlink"/>
            <w:rFonts w:cs="Arial"/>
            <w:noProof/>
          </w:rPr>
          <w:t>Introduction</w:t>
        </w:r>
        <w:r w:rsidR="002132D8">
          <w:rPr>
            <w:noProof/>
            <w:webHidden/>
          </w:rPr>
          <w:tab/>
        </w:r>
        <w:r w:rsidR="002132D8">
          <w:rPr>
            <w:noProof/>
            <w:webHidden/>
          </w:rPr>
          <w:fldChar w:fldCharType="begin"/>
        </w:r>
        <w:r w:rsidR="002132D8">
          <w:rPr>
            <w:noProof/>
            <w:webHidden/>
          </w:rPr>
          <w:instrText xml:space="preserve"> PAGEREF _Toc23151116 \h </w:instrText>
        </w:r>
        <w:r w:rsidR="002132D8">
          <w:rPr>
            <w:noProof/>
            <w:webHidden/>
          </w:rPr>
        </w:r>
        <w:r w:rsidR="002132D8">
          <w:rPr>
            <w:noProof/>
            <w:webHidden/>
          </w:rPr>
          <w:fldChar w:fldCharType="separate"/>
        </w:r>
        <w:r w:rsidR="00BF1349">
          <w:rPr>
            <w:noProof/>
            <w:webHidden/>
          </w:rPr>
          <w:t>135</w:t>
        </w:r>
        <w:r w:rsidR="002132D8">
          <w:rPr>
            <w:noProof/>
            <w:webHidden/>
          </w:rPr>
          <w:fldChar w:fldCharType="end"/>
        </w:r>
      </w:hyperlink>
    </w:p>
    <w:p w14:paraId="5CE30A0C" w14:textId="55C1E7E3" w:rsidR="002132D8" w:rsidRDefault="00C632F2">
      <w:pPr>
        <w:pStyle w:val="TOC2"/>
        <w:rPr>
          <w:rFonts w:asciiTheme="minorHAnsi" w:eastAsiaTheme="minorEastAsia" w:hAnsiTheme="minorHAnsi" w:cstheme="minorBidi"/>
          <w:bCs w:val="0"/>
          <w:noProof/>
          <w:sz w:val="22"/>
          <w:szCs w:val="22"/>
          <w:lang w:eastAsia="en-GB"/>
        </w:rPr>
      </w:pPr>
      <w:hyperlink w:anchor="_Toc23151117" w:history="1">
        <w:r w:rsidR="002132D8" w:rsidRPr="00692950">
          <w:rPr>
            <w:rStyle w:val="Hyperlink"/>
            <w:rFonts w:cs="Arial"/>
            <w:noProof/>
          </w:rPr>
          <w:t>Stage 1:  Current households in affordable housing need</w:t>
        </w:r>
        <w:r w:rsidR="002132D8">
          <w:rPr>
            <w:noProof/>
            <w:webHidden/>
          </w:rPr>
          <w:tab/>
        </w:r>
        <w:r w:rsidR="002132D8">
          <w:rPr>
            <w:noProof/>
            <w:webHidden/>
          </w:rPr>
          <w:fldChar w:fldCharType="begin"/>
        </w:r>
        <w:r w:rsidR="002132D8">
          <w:rPr>
            <w:noProof/>
            <w:webHidden/>
          </w:rPr>
          <w:instrText xml:space="preserve"> PAGEREF _Toc23151117 \h </w:instrText>
        </w:r>
        <w:r w:rsidR="002132D8">
          <w:rPr>
            <w:noProof/>
            <w:webHidden/>
          </w:rPr>
        </w:r>
        <w:r w:rsidR="002132D8">
          <w:rPr>
            <w:noProof/>
            <w:webHidden/>
          </w:rPr>
          <w:fldChar w:fldCharType="separate"/>
        </w:r>
        <w:r w:rsidR="00BF1349">
          <w:rPr>
            <w:noProof/>
            <w:webHidden/>
          </w:rPr>
          <w:t>137</w:t>
        </w:r>
        <w:r w:rsidR="002132D8">
          <w:rPr>
            <w:noProof/>
            <w:webHidden/>
          </w:rPr>
          <w:fldChar w:fldCharType="end"/>
        </w:r>
      </w:hyperlink>
    </w:p>
    <w:p w14:paraId="0D0545A7" w14:textId="448F1602" w:rsidR="002132D8" w:rsidRDefault="00C632F2">
      <w:pPr>
        <w:pStyle w:val="TOC2"/>
        <w:rPr>
          <w:rFonts w:asciiTheme="minorHAnsi" w:eastAsiaTheme="minorEastAsia" w:hAnsiTheme="minorHAnsi" w:cstheme="minorBidi"/>
          <w:bCs w:val="0"/>
          <w:noProof/>
          <w:sz w:val="22"/>
          <w:szCs w:val="22"/>
          <w:lang w:eastAsia="en-GB"/>
        </w:rPr>
      </w:pPr>
      <w:hyperlink w:anchor="_Toc23151118" w:history="1">
        <w:r w:rsidR="002132D8" w:rsidRPr="00692950">
          <w:rPr>
            <w:rStyle w:val="Hyperlink"/>
            <w:rFonts w:cs="Arial"/>
            <w:noProof/>
          </w:rPr>
          <w:t>Stage 2:  Newly-arising affordable need</w:t>
        </w:r>
        <w:r w:rsidR="002132D8">
          <w:rPr>
            <w:noProof/>
            <w:webHidden/>
          </w:rPr>
          <w:tab/>
        </w:r>
        <w:r w:rsidR="002132D8">
          <w:rPr>
            <w:noProof/>
            <w:webHidden/>
          </w:rPr>
          <w:fldChar w:fldCharType="begin"/>
        </w:r>
        <w:r w:rsidR="002132D8">
          <w:rPr>
            <w:noProof/>
            <w:webHidden/>
          </w:rPr>
          <w:instrText xml:space="preserve"> PAGEREF _Toc23151118 \h </w:instrText>
        </w:r>
        <w:r w:rsidR="002132D8">
          <w:rPr>
            <w:noProof/>
            <w:webHidden/>
          </w:rPr>
        </w:r>
        <w:r w:rsidR="002132D8">
          <w:rPr>
            <w:noProof/>
            <w:webHidden/>
          </w:rPr>
          <w:fldChar w:fldCharType="separate"/>
        </w:r>
        <w:r w:rsidR="00BF1349">
          <w:rPr>
            <w:noProof/>
            <w:webHidden/>
          </w:rPr>
          <w:t>138</w:t>
        </w:r>
        <w:r w:rsidR="002132D8">
          <w:rPr>
            <w:noProof/>
            <w:webHidden/>
          </w:rPr>
          <w:fldChar w:fldCharType="end"/>
        </w:r>
      </w:hyperlink>
    </w:p>
    <w:p w14:paraId="1E4DE299" w14:textId="46B8C29A" w:rsidR="002132D8" w:rsidRDefault="00C632F2">
      <w:pPr>
        <w:pStyle w:val="TOC2"/>
        <w:rPr>
          <w:rFonts w:asciiTheme="minorHAnsi" w:eastAsiaTheme="minorEastAsia" w:hAnsiTheme="minorHAnsi" w:cstheme="minorBidi"/>
          <w:bCs w:val="0"/>
          <w:noProof/>
          <w:sz w:val="22"/>
          <w:szCs w:val="22"/>
          <w:lang w:eastAsia="en-GB"/>
        </w:rPr>
      </w:pPr>
      <w:hyperlink w:anchor="_Toc23151119" w:history="1">
        <w:r w:rsidR="002132D8" w:rsidRPr="00692950">
          <w:rPr>
            <w:rStyle w:val="Hyperlink"/>
            <w:rFonts w:cs="Arial"/>
            <w:noProof/>
          </w:rPr>
          <w:t>Stage 3:  Affordable housing supply</w:t>
        </w:r>
        <w:r w:rsidR="002132D8">
          <w:rPr>
            <w:noProof/>
            <w:webHidden/>
          </w:rPr>
          <w:tab/>
        </w:r>
        <w:r w:rsidR="002132D8">
          <w:rPr>
            <w:noProof/>
            <w:webHidden/>
          </w:rPr>
          <w:fldChar w:fldCharType="begin"/>
        </w:r>
        <w:r w:rsidR="002132D8">
          <w:rPr>
            <w:noProof/>
            <w:webHidden/>
          </w:rPr>
          <w:instrText xml:space="preserve"> PAGEREF _Toc23151119 \h </w:instrText>
        </w:r>
        <w:r w:rsidR="002132D8">
          <w:rPr>
            <w:noProof/>
            <w:webHidden/>
          </w:rPr>
        </w:r>
        <w:r w:rsidR="002132D8">
          <w:rPr>
            <w:noProof/>
            <w:webHidden/>
          </w:rPr>
          <w:fldChar w:fldCharType="separate"/>
        </w:r>
        <w:r w:rsidR="00BF1349">
          <w:rPr>
            <w:noProof/>
            <w:webHidden/>
          </w:rPr>
          <w:t>139</w:t>
        </w:r>
        <w:r w:rsidR="002132D8">
          <w:rPr>
            <w:noProof/>
            <w:webHidden/>
          </w:rPr>
          <w:fldChar w:fldCharType="end"/>
        </w:r>
      </w:hyperlink>
    </w:p>
    <w:p w14:paraId="2CFAD3A3" w14:textId="7A4E4911" w:rsidR="002132D8" w:rsidRDefault="00C632F2">
      <w:pPr>
        <w:pStyle w:val="TOC2"/>
        <w:rPr>
          <w:rFonts w:asciiTheme="minorHAnsi" w:eastAsiaTheme="minorEastAsia" w:hAnsiTheme="minorHAnsi" w:cstheme="minorBidi"/>
          <w:bCs w:val="0"/>
          <w:noProof/>
          <w:sz w:val="22"/>
          <w:szCs w:val="22"/>
          <w:lang w:eastAsia="en-GB"/>
        </w:rPr>
      </w:pPr>
      <w:hyperlink w:anchor="_Toc23151120" w:history="1">
        <w:r w:rsidR="002132D8" w:rsidRPr="00692950">
          <w:rPr>
            <w:rStyle w:val="Hyperlink"/>
            <w:rFonts w:cs="Arial"/>
            <w:noProof/>
          </w:rPr>
          <w:t>Stage 4:  Estimate of annual housing need</w:t>
        </w:r>
        <w:r w:rsidR="002132D8">
          <w:rPr>
            <w:noProof/>
            <w:webHidden/>
          </w:rPr>
          <w:tab/>
        </w:r>
        <w:r w:rsidR="002132D8">
          <w:rPr>
            <w:noProof/>
            <w:webHidden/>
          </w:rPr>
          <w:fldChar w:fldCharType="begin"/>
        </w:r>
        <w:r w:rsidR="002132D8">
          <w:rPr>
            <w:noProof/>
            <w:webHidden/>
          </w:rPr>
          <w:instrText xml:space="preserve"> PAGEREF _Toc23151120 \h </w:instrText>
        </w:r>
        <w:r w:rsidR="002132D8">
          <w:rPr>
            <w:noProof/>
            <w:webHidden/>
          </w:rPr>
        </w:r>
        <w:r w:rsidR="002132D8">
          <w:rPr>
            <w:noProof/>
            <w:webHidden/>
          </w:rPr>
          <w:fldChar w:fldCharType="separate"/>
        </w:r>
        <w:r w:rsidR="00BF1349">
          <w:rPr>
            <w:noProof/>
            <w:webHidden/>
          </w:rPr>
          <w:t>141</w:t>
        </w:r>
        <w:r w:rsidR="002132D8">
          <w:rPr>
            <w:noProof/>
            <w:webHidden/>
          </w:rPr>
          <w:fldChar w:fldCharType="end"/>
        </w:r>
      </w:hyperlink>
    </w:p>
    <w:p w14:paraId="2D95D5B4" w14:textId="062267CE" w:rsidR="002132D8" w:rsidRDefault="00C632F2">
      <w:pPr>
        <w:pStyle w:val="TOC2"/>
        <w:rPr>
          <w:rFonts w:asciiTheme="minorHAnsi" w:eastAsiaTheme="minorEastAsia" w:hAnsiTheme="minorHAnsi" w:cstheme="minorBidi"/>
          <w:bCs w:val="0"/>
          <w:noProof/>
          <w:sz w:val="22"/>
          <w:szCs w:val="22"/>
          <w:lang w:eastAsia="en-GB"/>
        </w:rPr>
      </w:pPr>
      <w:hyperlink w:anchor="_Toc23151121" w:history="1">
        <w:r w:rsidR="002132D8" w:rsidRPr="00692950">
          <w:rPr>
            <w:rStyle w:val="Hyperlink"/>
            <w:rFonts w:cs="Arial"/>
            <w:noProof/>
          </w:rPr>
          <w:t>Total gross and net imbalance</w:t>
        </w:r>
        <w:r w:rsidR="002132D8">
          <w:rPr>
            <w:noProof/>
            <w:webHidden/>
          </w:rPr>
          <w:tab/>
        </w:r>
        <w:r w:rsidR="002132D8">
          <w:rPr>
            <w:noProof/>
            <w:webHidden/>
          </w:rPr>
          <w:fldChar w:fldCharType="begin"/>
        </w:r>
        <w:r w:rsidR="002132D8">
          <w:rPr>
            <w:noProof/>
            <w:webHidden/>
          </w:rPr>
          <w:instrText xml:space="preserve"> PAGEREF _Toc23151121 \h </w:instrText>
        </w:r>
        <w:r w:rsidR="002132D8">
          <w:rPr>
            <w:noProof/>
            <w:webHidden/>
          </w:rPr>
        </w:r>
        <w:r w:rsidR="002132D8">
          <w:rPr>
            <w:noProof/>
            <w:webHidden/>
          </w:rPr>
          <w:fldChar w:fldCharType="separate"/>
        </w:r>
        <w:r w:rsidR="00BF1349">
          <w:rPr>
            <w:noProof/>
            <w:webHidden/>
          </w:rPr>
          <w:t>142</w:t>
        </w:r>
        <w:r w:rsidR="002132D8">
          <w:rPr>
            <w:noProof/>
            <w:webHidden/>
          </w:rPr>
          <w:fldChar w:fldCharType="end"/>
        </w:r>
      </w:hyperlink>
    </w:p>
    <w:p w14:paraId="68342AC9" w14:textId="7F53B280" w:rsidR="002132D8" w:rsidRDefault="00C632F2">
      <w:pPr>
        <w:pStyle w:val="TOC1"/>
        <w:rPr>
          <w:rFonts w:asciiTheme="minorHAnsi" w:eastAsiaTheme="minorEastAsia" w:hAnsiTheme="minorHAnsi" w:cstheme="minorBidi"/>
          <w:b w:val="0"/>
          <w:bCs w:val="0"/>
          <w:sz w:val="22"/>
          <w:szCs w:val="22"/>
          <w:lang w:eastAsia="en-GB"/>
        </w:rPr>
      </w:pPr>
      <w:hyperlink w:anchor="_Toc23151122" w:history="1">
        <w:r w:rsidR="002132D8" w:rsidRPr="00692950">
          <w:rPr>
            <w:rStyle w:val="Hyperlink"/>
            <w:rFonts w:cs="Calibri"/>
          </w:rPr>
          <w:t>Technical Appendix C:  Stakeholder survey</w:t>
        </w:r>
        <w:r w:rsidR="002132D8">
          <w:rPr>
            <w:webHidden/>
          </w:rPr>
          <w:tab/>
        </w:r>
        <w:r w:rsidR="002132D8">
          <w:rPr>
            <w:webHidden/>
          </w:rPr>
          <w:fldChar w:fldCharType="begin"/>
        </w:r>
        <w:r w:rsidR="002132D8">
          <w:rPr>
            <w:webHidden/>
          </w:rPr>
          <w:instrText xml:space="preserve"> PAGEREF _Toc23151122 \h </w:instrText>
        </w:r>
        <w:r w:rsidR="002132D8">
          <w:rPr>
            <w:webHidden/>
          </w:rPr>
        </w:r>
        <w:r w:rsidR="002132D8">
          <w:rPr>
            <w:webHidden/>
          </w:rPr>
          <w:fldChar w:fldCharType="separate"/>
        </w:r>
        <w:r w:rsidR="00BF1349">
          <w:rPr>
            <w:webHidden/>
          </w:rPr>
          <w:t>143</w:t>
        </w:r>
        <w:r w:rsidR="002132D8">
          <w:rPr>
            <w:webHidden/>
          </w:rPr>
          <w:fldChar w:fldCharType="end"/>
        </w:r>
      </w:hyperlink>
    </w:p>
    <w:p w14:paraId="345A5D67" w14:textId="4F1AB423" w:rsidR="002132D8" w:rsidRDefault="00C632F2">
      <w:pPr>
        <w:pStyle w:val="TOC2"/>
        <w:rPr>
          <w:rFonts w:asciiTheme="minorHAnsi" w:eastAsiaTheme="minorEastAsia" w:hAnsiTheme="minorHAnsi" w:cstheme="minorBidi"/>
          <w:bCs w:val="0"/>
          <w:noProof/>
          <w:sz w:val="22"/>
          <w:szCs w:val="22"/>
          <w:lang w:eastAsia="en-GB"/>
        </w:rPr>
      </w:pPr>
      <w:hyperlink w:anchor="_Toc23151123" w:history="1">
        <w:r w:rsidR="002132D8" w:rsidRPr="00692950">
          <w:rPr>
            <w:rStyle w:val="Hyperlink"/>
            <w:rFonts w:cs="Calibri"/>
            <w:noProof/>
          </w:rPr>
          <w:t>Priorities</w:t>
        </w:r>
        <w:r w:rsidR="002132D8">
          <w:rPr>
            <w:noProof/>
            <w:webHidden/>
          </w:rPr>
          <w:tab/>
        </w:r>
        <w:r w:rsidR="002132D8">
          <w:rPr>
            <w:noProof/>
            <w:webHidden/>
          </w:rPr>
          <w:fldChar w:fldCharType="begin"/>
        </w:r>
        <w:r w:rsidR="002132D8">
          <w:rPr>
            <w:noProof/>
            <w:webHidden/>
          </w:rPr>
          <w:instrText xml:space="preserve"> PAGEREF _Toc23151123 \h </w:instrText>
        </w:r>
        <w:r w:rsidR="002132D8">
          <w:rPr>
            <w:noProof/>
            <w:webHidden/>
          </w:rPr>
        </w:r>
        <w:r w:rsidR="002132D8">
          <w:rPr>
            <w:noProof/>
            <w:webHidden/>
          </w:rPr>
          <w:fldChar w:fldCharType="separate"/>
        </w:r>
        <w:r w:rsidR="00BF1349">
          <w:rPr>
            <w:noProof/>
            <w:webHidden/>
          </w:rPr>
          <w:t>143</w:t>
        </w:r>
        <w:r w:rsidR="002132D8">
          <w:rPr>
            <w:noProof/>
            <w:webHidden/>
          </w:rPr>
          <w:fldChar w:fldCharType="end"/>
        </w:r>
      </w:hyperlink>
    </w:p>
    <w:p w14:paraId="09BDFFFA" w14:textId="3D73D887" w:rsidR="002132D8" w:rsidRDefault="00C632F2">
      <w:pPr>
        <w:pStyle w:val="TOC2"/>
        <w:rPr>
          <w:rFonts w:asciiTheme="minorHAnsi" w:eastAsiaTheme="minorEastAsia" w:hAnsiTheme="minorHAnsi" w:cstheme="minorBidi"/>
          <w:bCs w:val="0"/>
          <w:noProof/>
          <w:sz w:val="22"/>
          <w:szCs w:val="22"/>
          <w:lang w:eastAsia="en-GB"/>
        </w:rPr>
      </w:pPr>
      <w:hyperlink w:anchor="_Toc23151124" w:history="1">
        <w:r w:rsidR="002132D8" w:rsidRPr="00692950">
          <w:rPr>
            <w:rStyle w:val="Hyperlink"/>
            <w:rFonts w:cs="Calibri"/>
            <w:noProof/>
            <w:lang w:val="en-US"/>
          </w:rPr>
          <w:t>The current and future housing market in Lewisham and housing market drivers</w:t>
        </w:r>
        <w:r w:rsidR="002132D8">
          <w:rPr>
            <w:noProof/>
            <w:webHidden/>
          </w:rPr>
          <w:tab/>
        </w:r>
        <w:r w:rsidR="002132D8">
          <w:rPr>
            <w:noProof/>
            <w:webHidden/>
          </w:rPr>
          <w:fldChar w:fldCharType="begin"/>
        </w:r>
        <w:r w:rsidR="002132D8">
          <w:rPr>
            <w:noProof/>
            <w:webHidden/>
          </w:rPr>
          <w:instrText xml:space="preserve"> PAGEREF _Toc23151124 \h </w:instrText>
        </w:r>
        <w:r w:rsidR="002132D8">
          <w:rPr>
            <w:noProof/>
            <w:webHidden/>
          </w:rPr>
        </w:r>
        <w:r w:rsidR="002132D8">
          <w:rPr>
            <w:noProof/>
            <w:webHidden/>
          </w:rPr>
          <w:fldChar w:fldCharType="separate"/>
        </w:r>
        <w:r w:rsidR="00BF1349">
          <w:rPr>
            <w:noProof/>
            <w:webHidden/>
          </w:rPr>
          <w:t>145</w:t>
        </w:r>
        <w:r w:rsidR="002132D8">
          <w:rPr>
            <w:noProof/>
            <w:webHidden/>
          </w:rPr>
          <w:fldChar w:fldCharType="end"/>
        </w:r>
      </w:hyperlink>
    </w:p>
    <w:p w14:paraId="5911DF34" w14:textId="4D8EEC29" w:rsidR="002132D8" w:rsidRDefault="00C632F2">
      <w:pPr>
        <w:pStyle w:val="TOC2"/>
        <w:rPr>
          <w:rFonts w:asciiTheme="minorHAnsi" w:eastAsiaTheme="minorEastAsia" w:hAnsiTheme="minorHAnsi" w:cstheme="minorBidi"/>
          <w:bCs w:val="0"/>
          <w:noProof/>
          <w:sz w:val="22"/>
          <w:szCs w:val="22"/>
          <w:lang w:eastAsia="en-GB"/>
        </w:rPr>
      </w:pPr>
      <w:hyperlink w:anchor="_Toc23151125" w:history="1">
        <w:r w:rsidR="002132D8" w:rsidRPr="00692950">
          <w:rPr>
            <w:rStyle w:val="Hyperlink"/>
            <w:noProof/>
          </w:rPr>
          <w:t>Open-market housing: the owner-occupied and private rented sectors</w:t>
        </w:r>
        <w:r w:rsidR="002132D8">
          <w:rPr>
            <w:noProof/>
            <w:webHidden/>
          </w:rPr>
          <w:tab/>
        </w:r>
        <w:r w:rsidR="002132D8">
          <w:rPr>
            <w:noProof/>
            <w:webHidden/>
          </w:rPr>
          <w:fldChar w:fldCharType="begin"/>
        </w:r>
        <w:r w:rsidR="002132D8">
          <w:rPr>
            <w:noProof/>
            <w:webHidden/>
          </w:rPr>
          <w:instrText xml:space="preserve"> PAGEREF _Toc23151125 \h </w:instrText>
        </w:r>
        <w:r w:rsidR="002132D8">
          <w:rPr>
            <w:noProof/>
            <w:webHidden/>
          </w:rPr>
        </w:r>
        <w:r w:rsidR="002132D8">
          <w:rPr>
            <w:noProof/>
            <w:webHidden/>
          </w:rPr>
          <w:fldChar w:fldCharType="separate"/>
        </w:r>
        <w:r w:rsidR="00BF1349">
          <w:rPr>
            <w:noProof/>
            <w:webHidden/>
          </w:rPr>
          <w:t>145</w:t>
        </w:r>
        <w:r w:rsidR="002132D8">
          <w:rPr>
            <w:noProof/>
            <w:webHidden/>
          </w:rPr>
          <w:fldChar w:fldCharType="end"/>
        </w:r>
      </w:hyperlink>
    </w:p>
    <w:p w14:paraId="1DACAF60" w14:textId="41FF9B68" w:rsidR="002132D8" w:rsidRDefault="00C632F2">
      <w:pPr>
        <w:pStyle w:val="TOC2"/>
        <w:rPr>
          <w:rFonts w:asciiTheme="minorHAnsi" w:eastAsiaTheme="minorEastAsia" w:hAnsiTheme="minorHAnsi" w:cstheme="minorBidi"/>
          <w:bCs w:val="0"/>
          <w:noProof/>
          <w:sz w:val="22"/>
          <w:szCs w:val="22"/>
          <w:lang w:eastAsia="en-GB"/>
        </w:rPr>
      </w:pPr>
      <w:hyperlink w:anchor="_Toc23151126" w:history="1">
        <w:r w:rsidR="002132D8" w:rsidRPr="00692950">
          <w:rPr>
            <w:rStyle w:val="Hyperlink"/>
            <w:rFonts w:cs="Calibri"/>
            <w:noProof/>
            <w:lang w:val="en-US"/>
          </w:rPr>
          <w:t>New housing provision</w:t>
        </w:r>
        <w:r w:rsidR="002132D8">
          <w:rPr>
            <w:noProof/>
            <w:webHidden/>
          </w:rPr>
          <w:tab/>
        </w:r>
        <w:r w:rsidR="002132D8">
          <w:rPr>
            <w:noProof/>
            <w:webHidden/>
          </w:rPr>
          <w:fldChar w:fldCharType="begin"/>
        </w:r>
        <w:r w:rsidR="002132D8">
          <w:rPr>
            <w:noProof/>
            <w:webHidden/>
          </w:rPr>
          <w:instrText xml:space="preserve"> PAGEREF _Toc23151126 \h </w:instrText>
        </w:r>
        <w:r w:rsidR="002132D8">
          <w:rPr>
            <w:noProof/>
            <w:webHidden/>
          </w:rPr>
        </w:r>
        <w:r w:rsidR="002132D8">
          <w:rPr>
            <w:noProof/>
            <w:webHidden/>
          </w:rPr>
          <w:fldChar w:fldCharType="separate"/>
        </w:r>
        <w:r w:rsidR="00BF1349">
          <w:rPr>
            <w:noProof/>
            <w:webHidden/>
          </w:rPr>
          <w:t>148</w:t>
        </w:r>
        <w:r w:rsidR="002132D8">
          <w:rPr>
            <w:noProof/>
            <w:webHidden/>
          </w:rPr>
          <w:fldChar w:fldCharType="end"/>
        </w:r>
      </w:hyperlink>
    </w:p>
    <w:p w14:paraId="04D0B56B" w14:textId="588E7162" w:rsidR="002132D8" w:rsidRDefault="00C632F2">
      <w:pPr>
        <w:pStyle w:val="TOC2"/>
        <w:rPr>
          <w:rFonts w:asciiTheme="minorHAnsi" w:eastAsiaTheme="minorEastAsia" w:hAnsiTheme="minorHAnsi" w:cstheme="minorBidi"/>
          <w:bCs w:val="0"/>
          <w:noProof/>
          <w:sz w:val="22"/>
          <w:szCs w:val="22"/>
          <w:lang w:eastAsia="en-GB"/>
        </w:rPr>
      </w:pPr>
      <w:hyperlink w:anchor="_Toc23151127" w:history="1">
        <w:r w:rsidR="002132D8" w:rsidRPr="00692950">
          <w:rPr>
            <w:rStyle w:val="Hyperlink"/>
            <w:rFonts w:cs="Calibri"/>
            <w:noProof/>
          </w:rPr>
          <w:t>Affordable housing</w:t>
        </w:r>
        <w:r w:rsidR="002132D8">
          <w:rPr>
            <w:noProof/>
            <w:webHidden/>
          </w:rPr>
          <w:tab/>
        </w:r>
        <w:r w:rsidR="002132D8">
          <w:rPr>
            <w:noProof/>
            <w:webHidden/>
          </w:rPr>
          <w:fldChar w:fldCharType="begin"/>
        </w:r>
        <w:r w:rsidR="002132D8">
          <w:rPr>
            <w:noProof/>
            <w:webHidden/>
          </w:rPr>
          <w:instrText xml:space="preserve"> PAGEREF _Toc23151127 \h </w:instrText>
        </w:r>
        <w:r w:rsidR="002132D8">
          <w:rPr>
            <w:noProof/>
            <w:webHidden/>
          </w:rPr>
        </w:r>
        <w:r w:rsidR="002132D8">
          <w:rPr>
            <w:noProof/>
            <w:webHidden/>
          </w:rPr>
          <w:fldChar w:fldCharType="separate"/>
        </w:r>
        <w:r w:rsidR="00BF1349">
          <w:rPr>
            <w:noProof/>
            <w:webHidden/>
          </w:rPr>
          <w:t>149</w:t>
        </w:r>
        <w:r w:rsidR="002132D8">
          <w:rPr>
            <w:noProof/>
            <w:webHidden/>
          </w:rPr>
          <w:fldChar w:fldCharType="end"/>
        </w:r>
      </w:hyperlink>
    </w:p>
    <w:p w14:paraId="55CC7E8B" w14:textId="0A50C362" w:rsidR="002132D8" w:rsidRDefault="00C632F2">
      <w:pPr>
        <w:pStyle w:val="TOC2"/>
        <w:rPr>
          <w:rFonts w:asciiTheme="minorHAnsi" w:eastAsiaTheme="minorEastAsia" w:hAnsiTheme="minorHAnsi" w:cstheme="minorBidi"/>
          <w:bCs w:val="0"/>
          <w:noProof/>
          <w:sz w:val="22"/>
          <w:szCs w:val="22"/>
          <w:lang w:eastAsia="en-GB"/>
        </w:rPr>
      </w:pPr>
      <w:hyperlink w:anchor="_Toc23151128" w:history="1">
        <w:r w:rsidR="002132D8" w:rsidRPr="00692950">
          <w:rPr>
            <w:rStyle w:val="Hyperlink"/>
            <w:rFonts w:cs="Calibri"/>
            <w:noProof/>
            <w:lang w:val="en-US"/>
          </w:rPr>
          <w:t>Specialist Housing</w:t>
        </w:r>
        <w:r w:rsidR="002132D8">
          <w:rPr>
            <w:noProof/>
            <w:webHidden/>
          </w:rPr>
          <w:tab/>
        </w:r>
        <w:r w:rsidR="002132D8">
          <w:rPr>
            <w:noProof/>
            <w:webHidden/>
          </w:rPr>
          <w:fldChar w:fldCharType="begin"/>
        </w:r>
        <w:r w:rsidR="002132D8">
          <w:rPr>
            <w:noProof/>
            <w:webHidden/>
          </w:rPr>
          <w:instrText xml:space="preserve"> PAGEREF _Toc23151128 \h </w:instrText>
        </w:r>
        <w:r w:rsidR="002132D8">
          <w:rPr>
            <w:noProof/>
            <w:webHidden/>
          </w:rPr>
        </w:r>
        <w:r w:rsidR="002132D8">
          <w:rPr>
            <w:noProof/>
            <w:webHidden/>
          </w:rPr>
          <w:fldChar w:fldCharType="separate"/>
        </w:r>
        <w:r w:rsidR="00BF1349">
          <w:rPr>
            <w:noProof/>
            <w:webHidden/>
          </w:rPr>
          <w:t>151</w:t>
        </w:r>
        <w:r w:rsidR="002132D8">
          <w:rPr>
            <w:noProof/>
            <w:webHidden/>
          </w:rPr>
          <w:fldChar w:fldCharType="end"/>
        </w:r>
      </w:hyperlink>
    </w:p>
    <w:p w14:paraId="211F8EF0" w14:textId="3A45EC40" w:rsidR="002132D8" w:rsidRDefault="00C632F2">
      <w:pPr>
        <w:pStyle w:val="TOC1"/>
        <w:rPr>
          <w:rFonts w:asciiTheme="minorHAnsi" w:eastAsiaTheme="minorEastAsia" w:hAnsiTheme="minorHAnsi" w:cstheme="minorBidi"/>
          <w:b w:val="0"/>
          <w:bCs w:val="0"/>
          <w:sz w:val="22"/>
          <w:szCs w:val="22"/>
          <w:lang w:eastAsia="en-GB"/>
        </w:rPr>
      </w:pPr>
      <w:hyperlink w:anchor="_Toc23151129" w:history="1">
        <w:r w:rsidR="002132D8" w:rsidRPr="00692950">
          <w:rPr>
            <w:rStyle w:val="Hyperlink"/>
            <w:rFonts w:cs="Calibri"/>
          </w:rPr>
          <w:t>Technical Appendix D:  In depth analysis of the private rented sector in Lewisham</w:t>
        </w:r>
        <w:r w:rsidR="002132D8">
          <w:rPr>
            <w:webHidden/>
          </w:rPr>
          <w:tab/>
        </w:r>
        <w:r w:rsidR="002132D8">
          <w:rPr>
            <w:webHidden/>
          </w:rPr>
          <w:fldChar w:fldCharType="begin"/>
        </w:r>
        <w:r w:rsidR="002132D8">
          <w:rPr>
            <w:webHidden/>
          </w:rPr>
          <w:instrText xml:space="preserve"> PAGEREF _Toc23151129 \h </w:instrText>
        </w:r>
        <w:r w:rsidR="002132D8">
          <w:rPr>
            <w:webHidden/>
          </w:rPr>
        </w:r>
        <w:r w:rsidR="002132D8">
          <w:rPr>
            <w:webHidden/>
          </w:rPr>
          <w:fldChar w:fldCharType="separate"/>
        </w:r>
        <w:r w:rsidR="00BF1349">
          <w:rPr>
            <w:webHidden/>
          </w:rPr>
          <w:t>153</w:t>
        </w:r>
        <w:r w:rsidR="002132D8">
          <w:rPr>
            <w:webHidden/>
          </w:rPr>
          <w:fldChar w:fldCharType="end"/>
        </w:r>
      </w:hyperlink>
    </w:p>
    <w:p w14:paraId="52BB4B01" w14:textId="39876F64"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30" w:history="1">
        <w:r w:rsidR="002132D8" w:rsidRPr="00BF1349">
          <w:rPr>
            <w:rStyle w:val="Hyperlink"/>
            <w:b w:val="0"/>
            <w:bCs w:val="0"/>
            <w14:scene3d>
              <w14:camera w14:prst="orthographicFront"/>
              <w14:lightRig w14:rig="threePt" w14:dir="t">
                <w14:rot w14:lat="0" w14:lon="0" w14:rev="0"/>
              </w14:lightRig>
            </w14:scene3d>
          </w:rPr>
          <w:t>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Introduction</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_Toc23151130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156</w:t>
        </w:r>
        <w:r w:rsidR="002132D8" w:rsidRPr="00BF1349">
          <w:rPr>
            <w:b w:val="0"/>
            <w:bCs w:val="0"/>
            <w:webHidden/>
          </w:rPr>
          <w:fldChar w:fldCharType="end"/>
        </w:r>
      </w:hyperlink>
    </w:p>
    <w:p w14:paraId="76393994" w14:textId="10A19842"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31" w:history="1">
        <w:r w:rsidR="002132D8" w:rsidRPr="00BF1349">
          <w:rPr>
            <w:rStyle w:val="Hyperlink"/>
            <w:b w:val="0"/>
            <w:bCs w:val="0"/>
            <w14:scene3d>
              <w14:camera w14:prst="orthographicFront"/>
              <w14:lightRig w14:rig="threePt" w14:dir="t">
                <w14:rot w14:lat="0" w14:lon="0" w14:rev="0"/>
              </w14:lightRig>
            </w14:scene3d>
          </w:rPr>
          <w:t>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The size of the sector</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_Toc23151131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158</w:t>
        </w:r>
        <w:r w:rsidR="002132D8" w:rsidRPr="00BF1349">
          <w:rPr>
            <w:b w:val="0"/>
            <w:bCs w:val="0"/>
            <w:webHidden/>
          </w:rPr>
          <w:fldChar w:fldCharType="end"/>
        </w:r>
      </w:hyperlink>
    </w:p>
    <w:p w14:paraId="0C62E944" w14:textId="14AC7A96"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32" w:history="1">
        <w:r w:rsidR="002132D8" w:rsidRPr="00BF1349">
          <w:rPr>
            <w:rStyle w:val="Hyperlink"/>
            <w:b w:val="0"/>
            <w:bCs w:val="0"/>
            <w14:scene3d>
              <w14:camera w14:prst="orthographicFront"/>
              <w14:lightRig w14:rig="threePt" w14:dir="t">
                <w14:rot w14:lat="0" w14:lon="0" w14:rev="0"/>
              </w14:lightRig>
            </w14:scene3d>
          </w:rPr>
          <w:t>3.</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The performance of the market</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_Toc23151132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162</w:t>
        </w:r>
        <w:r w:rsidR="002132D8" w:rsidRPr="00BF1349">
          <w:rPr>
            <w:b w:val="0"/>
            <w:bCs w:val="0"/>
            <w:webHidden/>
          </w:rPr>
          <w:fldChar w:fldCharType="end"/>
        </w:r>
      </w:hyperlink>
    </w:p>
    <w:p w14:paraId="499B8AFA" w14:textId="48950E36" w:rsidR="002132D8" w:rsidRPr="00BF1349" w:rsidRDefault="00C632F2">
      <w:pPr>
        <w:pStyle w:val="TOC2"/>
        <w:rPr>
          <w:rFonts w:asciiTheme="minorHAnsi" w:eastAsiaTheme="minorEastAsia" w:hAnsiTheme="minorHAnsi" w:cstheme="minorBidi"/>
          <w:bCs w:val="0"/>
          <w:noProof/>
          <w:sz w:val="22"/>
          <w:szCs w:val="22"/>
          <w:lang w:eastAsia="en-GB"/>
        </w:rPr>
      </w:pPr>
      <w:hyperlink w:anchor="_Toc23151133" w:history="1">
        <w:r w:rsidR="002132D8" w:rsidRPr="00BF1349">
          <w:rPr>
            <w:rStyle w:val="Hyperlink"/>
            <w:bCs w:val="0"/>
            <w:noProof/>
          </w:rPr>
          <w:t>New properties coming onto the market</w:t>
        </w:r>
        <w:r w:rsidR="002132D8" w:rsidRPr="00BF1349">
          <w:rPr>
            <w:bCs w:val="0"/>
            <w:noProof/>
            <w:webHidden/>
          </w:rPr>
          <w:tab/>
        </w:r>
        <w:r w:rsidR="002132D8" w:rsidRPr="00BF1349">
          <w:rPr>
            <w:bCs w:val="0"/>
            <w:noProof/>
            <w:webHidden/>
          </w:rPr>
          <w:fldChar w:fldCharType="begin"/>
        </w:r>
        <w:r w:rsidR="002132D8" w:rsidRPr="00BF1349">
          <w:rPr>
            <w:bCs w:val="0"/>
            <w:noProof/>
            <w:webHidden/>
          </w:rPr>
          <w:instrText xml:space="preserve"> PAGEREF _Toc23151133 \h </w:instrText>
        </w:r>
        <w:r w:rsidR="002132D8" w:rsidRPr="00BF1349">
          <w:rPr>
            <w:bCs w:val="0"/>
            <w:noProof/>
            <w:webHidden/>
          </w:rPr>
        </w:r>
        <w:r w:rsidR="002132D8" w:rsidRPr="00BF1349">
          <w:rPr>
            <w:bCs w:val="0"/>
            <w:noProof/>
            <w:webHidden/>
          </w:rPr>
          <w:fldChar w:fldCharType="separate"/>
        </w:r>
        <w:r w:rsidR="00BF1349" w:rsidRPr="00BF1349">
          <w:rPr>
            <w:bCs w:val="0"/>
            <w:noProof/>
            <w:webHidden/>
          </w:rPr>
          <w:t>162</w:t>
        </w:r>
        <w:r w:rsidR="002132D8" w:rsidRPr="00BF1349">
          <w:rPr>
            <w:bCs w:val="0"/>
            <w:noProof/>
            <w:webHidden/>
          </w:rPr>
          <w:fldChar w:fldCharType="end"/>
        </w:r>
      </w:hyperlink>
    </w:p>
    <w:p w14:paraId="6F2F7847" w14:textId="093C9567"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34" w:history="1">
        <w:r w:rsidR="002132D8" w:rsidRPr="00BF1349">
          <w:rPr>
            <w:rStyle w:val="Hyperlink"/>
            <w:b w:val="0"/>
            <w:bCs w:val="0"/>
            <w14:scene3d>
              <w14:camera w14:prst="orthographicFront"/>
              <w14:lightRig w14:rig="threePt" w14:dir="t">
                <w14:rot w14:lat="0" w14:lon="0" w14:rev="0"/>
              </w14:lightRig>
            </w14:scene3d>
          </w:rPr>
          <w:t>4.</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Property type and bed size</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_Toc23151134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165</w:t>
        </w:r>
        <w:r w:rsidR="002132D8" w:rsidRPr="00BF1349">
          <w:rPr>
            <w:b w:val="0"/>
            <w:bCs w:val="0"/>
            <w:webHidden/>
          </w:rPr>
          <w:fldChar w:fldCharType="end"/>
        </w:r>
      </w:hyperlink>
    </w:p>
    <w:p w14:paraId="0B26255F" w14:textId="4659019F"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35" w:history="1">
        <w:r w:rsidR="002132D8" w:rsidRPr="00BF1349">
          <w:rPr>
            <w:rStyle w:val="Hyperlink"/>
            <w:b w:val="0"/>
            <w:bCs w:val="0"/>
            <w14:scene3d>
              <w14:camera w14:prst="orthographicFront"/>
              <w14:lightRig w14:rig="threePt" w14:dir="t">
                <w14:rot w14:lat="0" w14:lon="0" w14:rev="0"/>
              </w14:lightRig>
            </w14:scene3d>
          </w:rPr>
          <w:t>5.</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Rent levels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_Toc23151135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168</w:t>
        </w:r>
        <w:r w:rsidR="002132D8" w:rsidRPr="00BF1349">
          <w:rPr>
            <w:b w:val="0"/>
            <w:bCs w:val="0"/>
            <w:webHidden/>
          </w:rPr>
          <w:fldChar w:fldCharType="end"/>
        </w:r>
      </w:hyperlink>
    </w:p>
    <w:p w14:paraId="51745E70" w14:textId="1C476AA7"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36" w:history="1">
        <w:r w:rsidR="002132D8" w:rsidRPr="00BF1349">
          <w:rPr>
            <w:rStyle w:val="Hyperlink"/>
            <w:b w:val="0"/>
            <w:bCs w:val="0"/>
            <w14:scene3d>
              <w14:camera w14:prst="orthographicFront"/>
              <w14:lightRig w14:rig="threePt" w14:dir="t">
                <w14:rot w14:lat="0" w14:lon="0" w14:rev="0"/>
              </w14:lightRig>
            </w14:scene3d>
          </w:rPr>
          <w:t>6.</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Affordability</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_Toc23151136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177</w:t>
        </w:r>
        <w:r w:rsidR="002132D8" w:rsidRPr="00BF1349">
          <w:rPr>
            <w:b w:val="0"/>
            <w:bCs w:val="0"/>
            <w:webHidden/>
          </w:rPr>
          <w:fldChar w:fldCharType="end"/>
        </w:r>
      </w:hyperlink>
    </w:p>
    <w:p w14:paraId="7857DFFA" w14:textId="1449EE08"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37" w:history="1">
        <w:r w:rsidR="002132D8" w:rsidRPr="00BF1349">
          <w:rPr>
            <w:rStyle w:val="Hyperlink"/>
            <w:b w:val="0"/>
            <w:bCs w:val="0"/>
            <w14:scene3d>
              <w14:camera w14:prst="orthographicFront"/>
              <w14:lightRig w14:rig="threePt" w14:dir="t">
                <w14:rot w14:lat="0" w14:lon="0" w14:rev="0"/>
              </w14:lightRig>
            </w14:scene3d>
          </w:rPr>
          <w:t>7.</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Time to let property</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_Toc23151137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181</w:t>
        </w:r>
        <w:r w:rsidR="002132D8" w:rsidRPr="00BF1349">
          <w:rPr>
            <w:b w:val="0"/>
            <w:bCs w:val="0"/>
            <w:webHidden/>
          </w:rPr>
          <w:fldChar w:fldCharType="end"/>
        </w:r>
      </w:hyperlink>
    </w:p>
    <w:p w14:paraId="5E386C3C" w14:textId="1475689F"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38" w:history="1">
        <w:r w:rsidR="002132D8" w:rsidRPr="00BF1349">
          <w:rPr>
            <w:rStyle w:val="Hyperlink"/>
            <w:b w:val="0"/>
            <w:bCs w:val="0"/>
            <w14:scene3d>
              <w14:camera w14:prst="orthographicFront"/>
              <w14:lightRig w14:rig="threePt" w14:dir="t">
                <w14:rot w14:lat="0" w14:lon="0" w14:rev="0"/>
              </w14:lightRig>
            </w14:scene3d>
          </w:rPr>
          <w:t>8.</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Rental yields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_Toc23151138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184</w:t>
        </w:r>
        <w:r w:rsidR="002132D8" w:rsidRPr="00BF1349">
          <w:rPr>
            <w:b w:val="0"/>
            <w:bCs w:val="0"/>
            <w:webHidden/>
          </w:rPr>
          <w:fldChar w:fldCharType="end"/>
        </w:r>
      </w:hyperlink>
    </w:p>
    <w:p w14:paraId="359D21B9" w14:textId="3A13A08E"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39" w:history="1">
        <w:r w:rsidR="002132D8" w:rsidRPr="00BF1349">
          <w:rPr>
            <w:rStyle w:val="Hyperlink"/>
            <w:b w:val="0"/>
            <w:bCs w:val="0"/>
            <w14:scene3d>
              <w14:camera w14:prst="orthographicFront"/>
              <w14:lightRig w14:rig="threePt" w14:dir="t">
                <w14:rot w14:lat="0" w14:lon="0" w14:rev="0"/>
              </w14:lightRig>
            </w14:scene3d>
          </w:rPr>
          <w:t>9.</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Concluding comments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_Toc23151139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185</w:t>
        </w:r>
        <w:r w:rsidR="002132D8" w:rsidRPr="00BF1349">
          <w:rPr>
            <w:b w:val="0"/>
            <w:bCs w:val="0"/>
            <w:webHidden/>
          </w:rPr>
          <w:fldChar w:fldCharType="end"/>
        </w:r>
      </w:hyperlink>
    </w:p>
    <w:p w14:paraId="68238D92" w14:textId="7E9E3C82" w:rsidR="002132D8" w:rsidRDefault="00C632F2">
      <w:pPr>
        <w:pStyle w:val="TOC1"/>
        <w:rPr>
          <w:rFonts w:asciiTheme="minorHAnsi" w:eastAsiaTheme="minorEastAsia" w:hAnsiTheme="minorHAnsi" w:cstheme="minorBidi"/>
          <w:b w:val="0"/>
          <w:bCs w:val="0"/>
          <w:sz w:val="22"/>
          <w:szCs w:val="22"/>
          <w:lang w:eastAsia="en-GB"/>
        </w:rPr>
      </w:pPr>
      <w:hyperlink w:anchor="_Toc23151140" w:history="1">
        <w:r w:rsidR="002132D8" w:rsidRPr="00692950">
          <w:rPr>
            <w:rStyle w:val="Hyperlink"/>
            <w:rFonts w:cs="Calibri"/>
          </w:rPr>
          <w:t>Appendix E:  Glossary of terms</w:t>
        </w:r>
        <w:r w:rsidR="002132D8">
          <w:rPr>
            <w:webHidden/>
          </w:rPr>
          <w:tab/>
        </w:r>
        <w:r w:rsidR="002132D8">
          <w:rPr>
            <w:webHidden/>
          </w:rPr>
          <w:fldChar w:fldCharType="begin"/>
        </w:r>
        <w:r w:rsidR="002132D8">
          <w:rPr>
            <w:webHidden/>
          </w:rPr>
          <w:instrText xml:space="preserve"> PAGEREF _Toc23151140 \h </w:instrText>
        </w:r>
        <w:r w:rsidR="002132D8">
          <w:rPr>
            <w:webHidden/>
          </w:rPr>
        </w:r>
        <w:r w:rsidR="002132D8">
          <w:rPr>
            <w:webHidden/>
          </w:rPr>
          <w:fldChar w:fldCharType="separate"/>
        </w:r>
        <w:r w:rsidR="00BF1349">
          <w:rPr>
            <w:webHidden/>
          </w:rPr>
          <w:t>187</w:t>
        </w:r>
        <w:r w:rsidR="002132D8">
          <w:rPr>
            <w:webHidden/>
          </w:rPr>
          <w:fldChar w:fldCharType="end"/>
        </w:r>
      </w:hyperlink>
    </w:p>
    <w:p w14:paraId="2CE0D326" w14:textId="0A693885" w:rsidR="003B06E4" w:rsidRPr="0067297E" w:rsidRDefault="00C074F9" w:rsidP="00543A76">
      <w:pPr>
        <w:rPr>
          <w:rFonts w:asciiTheme="minorHAnsi" w:hAnsiTheme="minorHAnsi" w:cs="Calibri"/>
          <w:noProof/>
        </w:rPr>
      </w:pPr>
      <w:r w:rsidRPr="0067297E">
        <w:rPr>
          <w:rFonts w:asciiTheme="minorHAnsi" w:hAnsiTheme="minorHAnsi" w:cs="Arial"/>
          <w:noProof/>
        </w:rPr>
        <w:fldChar w:fldCharType="end"/>
      </w:r>
    </w:p>
    <w:p w14:paraId="79B1C882" w14:textId="346613D8" w:rsidR="00516B53" w:rsidRPr="0067297E" w:rsidRDefault="00C42EFD" w:rsidP="00516B53">
      <w:pPr>
        <w:pStyle w:val="TOCHeading1"/>
        <w:rPr>
          <w:rFonts w:asciiTheme="minorHAnsi" w:hAnsiTheme="minorHAnsi"/>
        </w:rPr>
      </w:pPr>
      <w:r w:rsidRPr="0067297E">
        <w:rPr>
          <w:rFonts w:asciiTheme="minorHAnsi" w:hAnsiTheme="minorHAnsi"/>
        </w:rPr>
        <w:t>List of T</w:t>
      </w:r>
      <w:r w:rsidR="005406BC" w:rsidRPr="0067297E">
        <w:rPr>
          <w:rFonts w:asciiTheme="minorHAnsi" w:hAnsiTheme="minorHAnsi"/>
        </w:rPr>
        <w:t>ables</w:t>
      </w:r>
    </w:p>
    <w:p w14:paraId="363DFB45" w14:textId="1B328D1B" w:rsidR="002132D8" w:rsidRPr="00BF1349" w:rsidRDefault="00586FA9">
      <w:pPr>
        <w:pStyle w:val="TOC1"/>
        <w:rPr>
          <w:rFonts w:asciiTheme="minorHAnsi" w:eastAsiaTheme="minorEastAsia" w:hAnsiTheme="minorHAnsi" w:cstheme="minorBidi"/>
          <w:b w:val="0"/>
          <w:bCs w:val="0"/>
          <w:sz w:val="22"/>
          <w:szCs w:val="22"/>
          <w:lang w:eastAsia="en-GB"/>
        </w:rPr>
      </w:pPr>
      <w:r w:rsidRPr="006343DC">
        <w:rPr>
          <w:rFonts w:asciiTheme="minorHAnsi" w:hAnsiTheme="minorHAnsi"/>
          <w:b w:val="0"/>
        </w:rPr>
        <w:fldChar w:fldCharType="begin"/>
      </w:r>
      <w:r w:rsidR="005406BC" w:rsidRPr="006343DC">
        <w:rPr>
          <w:rFonts w:asciiTheme="minorHAnsi" w:hAnsiTheme="minorHAnsi"/>
          <w:b w:val="0"/>
        </w:rPr>
        <w:instrText xml:space="preserve"> TOC \h \z \t "tableheading,1" </w:instrText>
      </w:r>
      <w:r w:rsidRPr="006343DC">
        <w:rPr>
          <w:rFonts w:asciiTheme="minorHAnsi" w:hAnsiTheme="minorHAnsi"/>
          <w:b w:val="0"/>
        </w:rPr>
        <w:fldChar w:fldCharType="separate"/>
      </w:r>
      <w:hyperlink w:anchor="_Toc23151141" w:history="1">
        <w:r w:rsidR="002132D8" w:rsidRPr="00BF1349">
          <w:rPr>
            <w:rStyle w:val="Hyperlink"/>
            <w:b w:val="0"/>
            <w:bCs w:val="0"/>
          </w:rPr>
          <w:t xml:space="preserve">Table </w:t>
        </w:r>
        <w:r w:rsidR="002132D8" w:rsidRPr="00BF1349">
          <w:rPr>
            <w:rStyle w:val="Hyperlink"/>
            <w:b w:val="0"/>
            <w:bCs w:val="0"/>
            <w:lang w:val="en-US"/>
          </w:rPr>
          <w:t>ES1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Summary of dwelling mix by broad tenure group based on annual need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_Toc23151141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13</w:t>
        </w:r>
        <w:r w:rsidR="002132D8" w:rsidRPr="00BF1349">
          <w:rPr>
            <w:b w:val="0"/>
            <w:bCs w:val="0"/>
            <w:webHidden/>
          </w:rPr>
          <w:fldChar w:fldCharType="end"/>
        </w:r>
      </w:hyperlink>
    </w:p>
    <w:p w14:paraId="02DD62E8" w14:textId="4D988B73"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42" w:history="1">
        <w:r w:rsidR="002132D8" w:rsidRPr="00BF1349">
          <w:rPr>
            <w:rStyle w:val="Hyperlink"/>
            <w:b w:val="0"/>
            <w:bCs w:val="0"/>
          </w:rPr>
          <w:t>Table 3.1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Comparative house price change 2000-2018 with neighbouring local authority areas, London, the South East and England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_Toc23151142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29</w:t>
        </w:r>
        <w:r w:rsidR="002132D8" w:rsidRPr="00BF1349">
          <w:rPr>
            <w:b w:val="0"/>
            <w:bCs w:val="0"/>
            <w:webHidden/>
          </w:rPr>
          <w:fldChar w:fldCharType="end"/>
        </w:r>
      </w:hyperlink>
    </w:p>
    <w:p w14:paraId="022813C9" w14:textId="2B18D425"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43" w:history="1">
        <w:r w:rsidR="002132D8" w:rsidRPr="00BF1349">
          <w:rPr>
            <w:rStyle w:val="Hyperlink"/>
            <w:b w:val="0"/>
            <w:bCs w:val="0"/>
          </w:rPr>
          <w:t>Table 3.2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Lower quartile and median price change 2000-201</w:t>
        </w:r>
        <w:r w:rsidR="002132D8" w:rsidRPr="00BF1349">
          <w:rPr>
            <w:rStyle w:val="Hyperlink"/>
            <w:b w:val="0"/>
            <w:bCs w:val="0"/>
            <w:lang w:val="en-US"/>
          </w:rPr>
          <w:t>8</w:t>
        </w:r>
        <w:r w:rsidR="002132D8" w:rsidRPr="00BF1349">
          <w:rPr>
            <w:rStyle w:val="Hyperlink"/>
            <w:b w:val="0"/>
            <w:bCs w:val="0"/>
          </w:rPr>
          <w:t xml:space="preserve"> across the Borough of Lewisham</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_Toc23151143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30</w:t>
        </w:r>
        <w:r w:rsidR="002132D8" w:rsidRPr="00BF1349">
          <w:rPr>
            <w:b w:val="0"/>
            <w:bCs w:val="0"/>
            <w:webHidden/>
          </w:rPr>
          <w:fldChar w:fldCharType="end"/>
        </w:r>
      </w:hyperlink>
    </w:p>
    <w:p w14:paraId="568BADA8" w14:textId="7E03F7A9"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44" w:history="1">
        <w:r w:rsidR="002132D8" w:rsidRPr="00BF1349">
          <w:rPr>
            <w:rStyle w:val="Hyperlink"/>
            <w:b w:val="0"/>
            <w:bCs w:val="0"/>
          </w:rPr>
          <w:t>Table 3.3</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Median price change by ward 2007-201</w:t>
        </w:r>
        <w:r w:rsidR="002132D8" w:rsidRPr="00BF1349">
          <w:rPr>
            <w:rStyle w:val="Hyperlink"/>
            <w:b w:val="0"/>
            <w:bCs w:val="0"/>
            <w:lang w:val="en-US"/>
          </w:rPr>
          <w:t>8</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_Toc23151144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31</w:t>
        </w:r>
        <w:r w:rsidR="002132D8" w:rsidRPr="00BF1349">
          <w:rPr>
            <w:b w:val="0"/>
            <w:bCs w:val="0"/>
            <w:webHidden/>
          </w:rPr>
          <w:fldChar w:fldCharType="end"/>
        </w:r>
      </w:hyperlink>
    </w:p>
    <w:p w14:paraId="4791FA3D" w14:textId="4D3373D9"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45" w:history="1">
        <w:r w:rsidR="002132D8" w:rsidRPr="00BF1349">
          <w:rPr>
            <w:rStyle w:val="Hyperlink"/>
            <w:b w:val="0"/>
            <w:bCs w:val="0"/>
          </w:rPr>
          <w:t>Table 3.4</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Relative affordability of lower quartile prices by local authority area</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_Toc23151145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34</w:t>
        </w:r>
        <w:r w:rsidR="002132D8" w:rsidRPr="00BF1349">
          <w:rPr>
            <w:b w:val="0"/>
            <w:bCs w:val="0"/>
            <w:webHidden/>
          </w:rPr>
          <w:fldChar w:fldCharType="end"/>
        </w:r>
      </w:hyperlink>
    </w:p>
    <w:p w14:paraId="4639E428" w14:textId="1FE46680"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46" w:history="1">
        <w:r w:rsidR="002132D8" w:rsidRPr="00BF1349">
          <w:rPr>
            <w:rStyle w:val="Hyperlink"/>
            <w:b w:val="0"/>
            <w:bCs w:val="0"/>
          </w:rPr>
          <w:t>Table 3.5</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Relative affordability of median prices by local authority area</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_Toc23151146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35</w:t>
        </w:r>
        <w:r w:rsidR="002132D8" w:rsidRPr="00BF1349">
          <w:rPr>
            <w:b w:val="0"/>
            <w:bCs w:val="0"/>
            <w:webHidden/>
          </w:rPr>
          <w:fldChar w:fldCharType="end"/>
        </w:r>
      </w:hyperlink>
    </w:p>
    <w:p w14:paraId="35F29EE2" w14:textId="75F44E4C"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47" w:history="1">
        <w:r w:rsidR="002132D8" w:rsidRPr="00BF1349">
          <w:rPr>
            <w:rStyle w:val="Hyperlink"/>
            <w:b w:val="0"/>
            <w:bCs w:val="0"/>
          </w:rPr>
          <w:t>Table 3.6</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Origin of moving households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_Toc23151147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35</w:t>
        </w:r>
        <w:r w:rsidR="002132D8" w:rsidRPr="00BF1349">
          <w:rPr>
            <w:b w:val="0"/>
            <w:bCs w:val="0"/>
            <w:webHidden/>
          </w:rPr>
          <w:fldChar w:fldCharType="end"/>
        </w:r>
      </w:hyperlink>
    </w:p>
    <w:p w14:paraId="37C62177" w14:textId="3E4F303E"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48" w:history="1">
        <w:r w:rsidR="002132D8" w:rsidRPr="00BF1349">
          <w:rPr>
            <w:rStyle w:val="Hyperlink"/>
            <w:b w:val="0"/>
            <w:bCs w:val="0"/>
          </w:rPr>
          <w:t>Table 3.7</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Dwelling completions 2007/08 to 201</w:t>
        </w:r>
        <w:r w:rsidR="002132D8" w:rsidRPr="00BF1349">
          <w:rPr>
            <w:rStyle w:val="Hyperlink"/>
            <w:b w:val="0"/>
            <w:bCs w:val="0"/>
            <w:lang w:val="en-US"/>
          </w:rPr>
          <w:t>7</w:t>
        </w:r>
        <w:r w:rsidR="002132D8" w:rsidRPr="00BF1349">
          <w:rPr>
            <w:rStyle w:val="Hyperlink"/>
            <w:b w:val="0"/>
            <w:bCs w:val="0"/>
          </w:rPr>
          <w:t>/1</w:t>
        </w:r>
        <w:r w:rsidR="002132D8" w:rsidRPr="00BF1349">
          <w:rPr>
            <w:rStyle w:val="Hyperlink"/>
            <w:b w:val="0"/>
            <w:bCs w:val="0"/>
            <w:lang w:val="en-US"/>
          </w:rPr>
          <w:t>8</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_Toc23151148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37</w:t>
        </w:r>
        <w:r w:rsidR="002132D8" w:rsidRPr="00BF1349">
          <w:rPr>
            <w:b w:val="0"/>
            <w:bCs w:val="0"/>
            <w:webHidden/>
          </w:rPr>
          <w:fldChar w:fldCharType="end"/>
        </w:r>
      </w:hyperlink>
    </w:p>
    <w:p w14:paraId="46FE9225" w14:textId="6AF2C9CC"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49" w:history="1">
        <w:r w:rsidR="002132D8" w:rsidRPr="00BF1349">
          <w:rPr>
            <w:rStyle w:val="Hyperlink"/>
            <w:b w:val="0"/>
            <w:bCs w:val="0"/>
          </w:rPr>
          <w:t>Table 3.8</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Recent trends in newbuild prices compared with all property sales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_Toc23151149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38</w:t>
        </w:r>
        <w:r w:rsidR="002132D8" w:rsidRPr="00BF1349">
          <w:rPr>
            <w:b w:val="0"/>
            <w:bCs w:val="0"/>
            <w:webHidden/>
          </w:rPr>
          <w:fldChar w:fldCharType="end"/>
        </w:r>
      </w:hyperlink>
    </w:p>
    <w:p w14:paraId="2F396CF6" w14:textId="1AE0A063"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50" w:history="1">
        <w:r w:rsidR="002132D8" w:rsidRPr="00BF1349">
          <w:rPr>
            <w:rStyle w:val="Hyperlink"/>
            <w:b w:val="0"/>
            <w:bCs w:val="0"/>
          </w:rPr>
          <w:t>Table 4.1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Dwelling stock by ward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_Toc23151150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43</w:t>
        </w:r>
        <w:r w:rsidR="002132D8" w:rsidRPr="00BF1349">
          <w:rPr>
            <w:b w:val="0"/>
            <w:bCs w:val="0"/>
            <w:webHidden/>
          </w:rPr>
          <w:fldChar w:fldCharType="end"/>
        </w:r>
      </w:hyperlink>
    </w:p>
    <w:p w14:paraId="4915D2D6" w14:textId="5DD7C45B"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51" w:history="1">
        <w:r w:rsidR="002132D8" w:rsidRPr="00BF1349">
          <w:rPr>
            <w:rStyle w:val="Hyperlink"/>
            <w:b w:val="0"/>
            <w:bCs w:val="0"/>
          </w:rPr>
          <w:t>Table 4.2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Dwelling stock by sub-area</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_Toc23151151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44</w:t>
        </w:r>
        <w:r w:rsidR="002132D8" w:rsidRPr="00BF1349">
          <w:rPr>
            <w:b w:val="0"/>
            <w:bCs w:val="0"/>
            <w:webHidden/>
          </w:rPr>
          <w:fldChar w:fldCharType="end"/>
        </w:r>
      </w:hyperlink>
    </w:p>
    <w:p w14:paraId="654641CB" w14:textId="19E5A720"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52" w:history="1">
        <w:r w:rsidR="002132D8" w:rsidRPr="00BF1349">
          <w:rPr>
            <w:rStyle w:val="Hyperlink"/>
            <w:b w:val="0"/>
            <w:bCs w:val="0"/>
          </w:rPr>
          <w:t>Table 4.3</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Dwelling stock comparison with other areas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_Toc23151152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44</w:t>
        </w:r>
        <w:r w:rsidR="002132D8" w:rsidRPr="00BF1349">
          <w:rPr>
            <w:b w:val="0"/>
            <w:bCs w:val="0"/>
            <w:webHidden/>
          </w:rPr>
          <w:fldChar w:fldCharType="end"/>
        </w:r>
      </w:hyperlink>
    </w:p>
    <w:p w14:paraId="5356F1B8" w14:textId="03963C7C"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53" w:history="1">
        <w:r w:rsidR="002132D8" w:rsidRPr="00BF1349">
          <w:rPr>
            <w:rStyle w:val="Hyperlink"/>
            <w:b w:val="0"/>
            <w:bCs w:val="0"/>
          </w:rPr>
          <w:t>Table 4.4</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Property type and size of occupied dwellings across the Borough of Lewisham</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_Toc23151153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45</w:t>
        </w:r>
        <w:r w:rsidR="002132D8" w:rsidRPr="00BF1349">
          <w:rPr>
            <w:b w:val="0"/>
            <w:bCs w:val="0"/>
            <w:webHidden/>
          </w:rPr>
          <w:fldChar w:fldCharType="end"/>
        </w:r>
      </w:hyperlink>
    </w:p>
    <w:p w14:paraId="49840C0A" w14:textId="182D38D7"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54" w:history="1">
        <w:r w:rsidR="002132D8" w:rsidRPr="00BF1349">
          <w:rPr>
            <w:rStyle w:val="Hyperlink"/>
            <w:b w:val="0"/>
            <w:bCs w:val="0"/>
          </w:rPr>
          <w:t>Table 4.5</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Age of dwelling</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_Toc23151154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49</w:t>
        </w:r>
        <w:r w:rsidR="002132D8" w:rsidRPr="00BF1349">
          <w:rPr>
            <w:b w:val="0"/>
            <w:bCs w:val="0"/>
            <w:webHidden/>
          </w:rPr>
          <w:fldChar w:fldCharType="end"/>
        </w:r>
      </w:hyperlink>
    </w:p>
    <w:p w14:paraId="69CEC08F" w14:textId="4B4C3B82"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55" w:history="1">
        <w:r w:rsidR="002132D8" w:rsidRPr="00BF1349">
          <w:rPr>
            <w:rStyle w:val="Hyperlink"/>
            <w:b w:val="0"/>
            <w:bCs w:val="0"/>
          </w:rPr>
          <w:t>Table 4.6</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Dwelling stock condition in England and Lewisham estimates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_Toc23151155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50</w:t>
        </w:r>
        <w:r w:rsidR="002132D8" w:rsidRPr="00BF1349">
          <w:rPr>
            <w:b w:val="0"/>
            <w:bCs w:val="0"/>
            <w:webHidden/>
          </w:rPr>
          <w:fldChar w:fldCharType="end"/>
        </w:r>
      </w:hyperlink>
    </w:p>
    <w:p w14:paraId="3BBE217D" w14:textId="2D57178A"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56" w:history="1">
        <w:r w:rsidR="002132D8" w:rsidRPr="00BF1349">
          <w:rPr>
            <w:rStyle w:val="Hyperlink"/>
            <w:b w:val="0"/>
            <w:bCs w:val="0"/>
          </w:rPr>
          <w:t>Table 4.7</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Housing tenure by ward (%)</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_Toc23151156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52</w:t>
        </w:r>
        <w:r w:rsidR="002132D8" w:rsidRPr="00BF1349">
          <w:rPr>
            <w:b w:val="0"/>
            <w:bCs w:val="0"/>
            <w:webHidden/>
          </w:rPr>
          <w:fldChar w:fldCharType="end"/>
        </w:r>
      </w:hyperlink>
    </w:p>
    <w:p w14:paraId="081795B3" w14:textId="7D228F02"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57" w:history="1">
        <w:r w:rsidR="002132D8" w:rsidRPr="00BF1349">
          <w:rPr>
            <w:rStyle w:val="Hyperlink"/>
            <w:b w:val="0"/>
            <w:bCs w:val="0"/>
          </w:rPr>
          <w:t>Table 4.8</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Housing  tenure by sub-area (%)</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_Toc23151157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52</w:t>
        </w:r>
        <w:r w:rsidR="002132D8" w:rsidRPr="00BF1349">
          <w:rPr>
            <w:b w:val="0"/>
            <w:bCs w:val="0"/>
            <w:webHidden/>
          </w:rPr>
          <w:fldChar w:fldCharType="end"/>
        </w:r>
      </w:hyperlink>
    </w:p>
    <w:p w14:paraId="0BD6ACFA" w14:textId="5B1F8079"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58" w:history="1">
        <w:r w:rsidR="002132D8" w:rsidRPr="00BF1349">
          <w:rPr>
            <w:rStyle w:val="Hyperlink"/>
            <w:b w:val="0"/>
            <w:bCs w:val="0"/>
          </w:rPr>
          <w:t>Table 4.9</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Lewisham tenure profile and comparator areas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_Toc23151158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54</w:t>
        </w:r>
        <w:r w:rsidR="002132D8" w:rsidRPr="00BF1349">
          <w:rPr>
            <w:b w:val="0"/>
            <w:bCs w:val="0"/>
            <w:webHidden/>
          </w:rPr>
          <w:fldChar w:fldCharType="end"/>
        </w:r>
      </w:hyperlink>
    </w:p>
    <w:p w14:paraId="45B6A818" w14:textId="5D00E63C"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59" w:history="1">
        <w:r w:rsidR="002132D8" w:rsidRPr="00BF1349">
          <w:rPr>
            <w:rStyle w:val="Hyperlink"/>
            <w:b w:val="0"/>
            <w:bCs w:val="0"/>
          </w:rPr>
          <w:t>Table 4.1</w:t>
        </w:r>
        <w:r w:rsidR="002132D8" w:rsidRPr="00BF1349">
          <w:rPr>
            <w:rStyle w:val="Hyperlink"/>
            <w:b w:val="0"/>
            <w:bCs w:val="0"/>
            <w:lang w:val="en-US"/>
          </w:rPr>
          <w:t>0</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Comparative lower quartile rental price 2010-201</w:t>
        </w:r>
        <w:r w:rsidR="002132D8" w:rsidRPr="00BF1349">
          <w:rPr>
            <w:rStyle w:val="Hyperlink"/>
            <w:b w:val="0"/>
            <w:bCs w:val="0"/>
            <w:lang w:val="en-US"/>
          </w:rPr>
          <w:t>8</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_Toc23151159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57</w:t>
        </w:r>
        <w:r w:rsidR="002132D8" w:rsidRPr="00BF1349">
          <w:rPr>
            <w:b w:val="0"/>
            <w:bCs w:val="0"/>
            <w:webHidden/>
          </w:rPr>
          <w:fldChar w:fldCharType="end"/>
        </w:r>
      </w:hyperlink>
    </w:p>
    <w:p w14:paraId="0B5B802E" w14:textId="7CC56A40"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60" w:history="1">
        <w:r w:rsidR="002132D8" w:rsidRPr="00BF1349">
          <w:rPr>
            <w:rStyle w:val="Hyperlink"/>
            <w:b w:val="0"/>
            <w:bCs w:val="0"/>
          </w:rPr>
          <w:t>Table 4.1</w:t>
        </w:r>
        <w:r w:rsidR="002132D8" w:rsidRPr="00BF1349">
          <w:rPr>
            <w:rStyle w:val="Hyperlink"/>
            <w:b w:val="0"/>
            <w:bCs w:val="0"/>
            <w:lang w:val="en-US"/>
          </w:rPr>
          <w:t>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Comparative median rental price 2010-201</w:t>
        </w:r>
        <w:r w:rsidR="002132D8" w:rsidRPr="00BF1349">
          <w:rPr>
            <w:rStyle w:val="Hyperlink"/>
            <w:b w:val="0"/>
            <w:bCs w:val="0"/>
            <w:lang w:val="en-US"/>
          </w:rPr>
          <w:t>8</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_Toc23151160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57</w:t>
        </w:r>
        <w:r w:rsidR="002132D8" w:rsidRPr="00BF1349">
          <w:rPr>
            <w:b w:val="0"/>
            <w:bCs w:val="0"/>
            <w:webHidden/>
          </w:rPr>
          <w:fldChar w:fldCharType="end"/>
        </w:r>
      </w:hyperlink>
    </w:p>
    <w:p w14:paraId="505127EC" w14:textId="176FBACB"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61" w:history="1">
        <w:r w:rsidR="002132D8" w:rsidRPr="00BF1349">
          <w:rPr>
            <w:rStyle w:val="Hyperlink"/>
            <w:b w:val="0"/>
            <w:bCs w:val="0"/>
            <w:lang w:val="en-US"/>
          </w:rPr>
          <w:t>Table 4.12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val="en-US"/>
          </w:rPr>
          <w:t>Summary of tenure, price assumptions and data sources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_Toc23151161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65</w:t>
        </w:r>
        <w:r w:rsidR="002132D8" w:rsidRPr="00BF1349">
          <w:rPr>
            <w:b w:val="0"/>
            <w:bCs w:val="0"/>
            <w:webHidden/>
          </w:rPr>
          <w:fldChar w:fldCharType="end"/>
        </w:r>
      </w:hyperlink>
    </w:p>
    <w:p w14:paraId="54755FF3" w14:textId="08EECEAF"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62" w:history="1">
        <w:r w:rsidR="002132D8" w:rsidRPr="00BF1349">
          <w:rPr>
            <w:rStyle w:val="Hyperlink"/>
            <w:b w:val="0"/>
            <w:bCs w:val="0"/>
          </w:rPr>
          <w:t>Table 4.13</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val="en-US"/>
          </w:rPr>
          <w:t>Cost of alternative tenures by ward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_Toc23151162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67</w:t>
        </w:r>
        <w:r w:rsidR="002132D8" w:rsidRPr="00BF1349">
          <w:rPr>
            <w:b w:val="0"/>
            <w:bCs w:val="0"/>
            <w:webHidden/>
          </w:rPr>
          <w:fldChar w:fldCharType="end"/>
        </w:r>
      </w:hyperlink>
    </w:p>
    <w:p w14:paraId="35EED79A" w14:textId="45386166"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63" w:history="1">
        <w:r w:rsidR="002132D8" w:rsidRPr="00BF1349">
          <w:rPr>
            <w:rStyle w:val="Hyperlink"/>
            <w:b w:val="0"/>
            <w:bCs w:val="0"/>
          </w:rPr>
          <w:t>Table 4.1</w:t>
        </w:r>
        <w:r w:rsidR="002132D8" w:rsidRPr="00BF1349">
          <w:rPr>
            <w:rStyle w:val="Hyperlink"/>
            <w:b w:val="0"/>
            <w:bCs w:val="0"/>
            <w:lang w:val="en-US"/>
          </w:rPr>
          <w:t>4</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val="en-US"/>
          </w:rPr>
          <w:t>Household i</w:t>
        </w:r>
        <w:r w:rsidR="002132D8" w:rsidRPr="00BF1349">
          <w:rPr>
            <w:rStyle w:val="Hyperlink"/>
            <w:b w:val="0"/>
            <w:bCs w:val="0"/>
          </w:rPr>
          <w:t>ncome required for alternative tenure options</w:t>
        </w:r>
        <w:r w:rsidR="002132D8" w:rsidRPr="00BF1349">
          <w:rPr>
            <w:rStyle w:val="Hyperlink"/>
            <w:b w:val="0"/>
            <w:bCs w:val="0"/>
            <w:lang w:val="en-US"/>
          </w:rPr>
          <w:t xml:space="preserve"> (based on 35% for income for rents and 3.5x income multiple for buying)</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_Toc23151163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68</w:t>
        </w:r>
        <w:r w:rsidR="002132D8" w:rsidRPr="00BF1349">
          <w:rPr>
            <w:b w:val="0"/>
            <w:bCs w:val="0"/>
            <w:webHidden/>
          </w:rPr>
          <w:fldChar w:fldCharType="end"/>
        </w:r>
      </w:hyperlink>
    </w:p>
    <w:p w14:paraId="26D1FF1F" w14:textId="7B9C2B9B"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64" w:history="1">
        <w:r w:rsidR="002132D8" w:rsidRPr="00BF1349">
          <w:rPr>
            <w:rStyle w:val="Hyperlink"/>
            <w:b w:val="0"/>
            <w:bCs w:val="0"/>
          </w:rPr>
          <w:t>Table 4.1</w:t>
        </w:r>
        <w:r w:rsidR="002132D8" w:rsidRPr="00BF1349">
          <w:rPr>
            <w:rStyle w:val="Hyperlink"/>
            <w:b w:val="0"/>
            <w:bCs w:val="0"/>
            <w:lang w:val="en-US"/>
          </w:rPr>
          <w:t>5</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val="en-US"/>
          </w:rPr>
          <w:t>Household i</w:t>
        </w:r>
        <w:r w:rsidR="002132D8" w:rsidRPr="00BF1349">
          <w:rPr>
            <w:rStyle w:val="Hyperlink"/>
            <w:b w:val="0"/>
            <w:bCs w:val="0"/>
          </w:rPr>
          <w:t>ncome required for alternative tenure options</w:t>
        </w:r>
        <w:r w:rsidR="002132D8" w:rsidRPr="00BF1349">
          <w:rPr>
            <w:rStyle w:val="Hyperlink"/>
            <w:b w:val="0"/>
            <w:bCs w:val="0"/>
            <w:lang w:val="en-US"/>
          </w:rPr>
          <w:t xml:space="preserve"> (based on 35% for income for rents and 5x income multiple for buying)</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_Toc23151164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70</w:t>
        </w:r>
        <w:r w:rsidR="002132D8" w:rsidRPr="00BF1349">
          <w:rPr>
            <w:b w:val="0"/>
            <w:bCs w:val="0"/>
            <w:webHidden/>
          </w:rPr>
          <w:fldChar w:fldCharType="end"/>
        </w:r>
      </w:hyperlink>
    </w:p>
    <w:p w14:paraId="6135095F" w14:textId="474D9C3C"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65" w:history="1">
        <w:r w:rsidR="002132D8" w:rsidRPr="00BF1349">
          <w:rPr>
            <w:rStyle w:val="Hyperlink"/>
            <w:b w:val="0"/>
            <w:bCs w:val="0"/>
          </w:rPr>
          <w:t>Table 4.1</w:t>
        </w:r>
        <w:r w:rsidR="002132D8" w:rsidRPr="00BF1349">
          <w:rPr>
            <w:rStyle w:val="Hyperlink"/>
            <w:b w:val="0"/>
            <w:bCs w:val="0"/>
            <w:lang w:val="en-US"/>
          </w:rPr>
          <w:t>6</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val="en-US"/>
          </w:rPr>
          <w:t>Impact of alternative deposits on income required for open market properties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_Toc23151165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71</w:t>
        </w:r>
        <w:r w:rsidR="002132D8" w:rsidRPr="00BF1349">
          <w:rPr>
            <w:b w:val="0"/>
            <w:bCs w:val="0"/>
            <w:webHidden/>
          </w:rPr>
          <w:fldChar w:fldCharType="end"/>
        </w:r>
      </w:hyperlink>
    </w:p>
    <w:p w14:paraId="4AB57BCB" w14:textId="5C16F604"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66" w:history="1">
        <w:r w:rsidR="002132D8" w:rsidRPr="00BF1349">
          <w:rPr>
            <w:rStyle w:val="Hyperlink"/>
            <w:b w:val="0"/>
            <w:bCs w:val="0"/>
          </w:rPr>
          <w:t>Table 4.1</w:t>
        </w:r>
        <w:r w:rsidR="002132D8" w:rsidRPr="00BF1349">
          <w:rPr>
            <w:rStyle w:val="Hyperlink"/>
            <w:b w:val="0"/>
            <w:bCs w:val="0"/>
            <w:lang w:val="en-US"/>
          </w:rPr>
          <w:t>7</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val="en-US"/>
          </w:rPr>
          <w:t>Lower quartile rents, household incomes and what could be afforded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_Toc23151166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74</w:t>
        </w:r>
        <w:r w:rsidR="002132D8" w:rsidRPr="00BF1349">
          <w:rPr>
            <w:b w:val="0"/>
            <w:bCs w:val="0"/>
            <w:webHidden/>
          </w:rPr>
          <w:fldChar w:fldCharType="end"/>
        </w:r>
      </w:hyperlink>
    </w:p>
    <w:p w14:paraId="2F5B055F" w14:textId="3A3ED595"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67" w:history="1">
        <w:r w:rsidR="002132D8" w:rsidRPr="00BF1349">
          <w:rPr>
            <w:rStyle w:val="Hyperlink"/>
            <w:b w:val="0"/>
            <w:bCs w:val="0"/>
          </w:rPr>
          <w:t>Table 4.1</w:t>
        </w:r>
        <w:r w:rsidR="002132D8" w:rsidRPr="00BF1349">
          <w:rPr>
            <w:rStyle w:val="Hyperlink"/>
            <w:b w:val="0"/>
            <w:bCs w:val="0"/>
            <w:lang w:val="en-US"/>
          </w:rPr>
          <w:t>8</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Median</w:t>
        </w:r>
        <w:r w:rsidR="002132D8" w:rsidRPr="00BF1349">
          <w:rPr>
            <w:rStyle w:val="Hyperlink"/>
            <w:b w:val="0"/>
            <w:bCs w:val="0"/>
            <w:lang w:val="en-US"/>
          </w:rPr>
          <w:t xml:space="preserve"> rents, household incomes and what could be afforded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_Toc23151167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74</w:t>
        </w:r>
        <w:r w:rsidR="002132D8" w:rsidRPr="00BF1349">
          <w:rPr>
            <w:b w:val="0"/>
            <w:bCs w:val="0"/>
            <w:webHidden/>
          </w:rPr>
          <w:fldChar w:fldCharType="end"/>
        </w:r>
      </w:hyperlink>
    </w:p>
    <w:p w14:paraId="51E9D332" w14:textId="37AB23DF"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68" w:history="1">
        <w:r w:rsidR="002132D8" w:rsidRPr="00BF1349">
          <w:rPr>
            <w:rStyle w:val="Hyperlink"/>
            <w:b w:val="0"/>
            <w:bCs w:val="0"/>
          </w:rPr>
          <w:t>Table 4.</w:t>
        </w:r>
        <w:r w:rsidR="002132D8" w:rsidRPr="00BF1349">
          <w:rPr>
            <w:rStyle w:val="Hyperlink"/>
            <w:b w:val="0"/>
            <w:bCs w:val="0"/>
            <w:lang w:val="en-US"/>
          </w:rPr>
          <w:t>19</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val="en-US"/>
          </w:rPr>
          <w:t>Market Rents, actual household incomes and what could be afforded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_Toc23151168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75</w:t>
        </w:r>
        <w:r w:rsidR="002132D8" w:rsidRPr="00BF1349">
          <w:rPr>
            <w:b w:val="0"/>
            <w:bCs w:val="0"/>
            <w:webHidden/>
          </w:rPr>
          <w:fldChar w:fldCharType="end"/>
        </w:r>
      </w:hyperlink>
    </w:p>
    <w:p w14:paraId="1257FC29" w14:textId="0471EA10"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69" w:history="1">
        <w:r w:rsidR="002132D8" w:rsidRPr="00BF1349">
          <w:rPr>
            <w:rStyle w:val="Hyperlink"/>
            <w:b w:val="0"/>
            <w:bCs w:val="0"/>
          </w:rPr>
          <w:t>Table 4.</w:t>
        </w:r>
        <w:r w:rsidR="002132D8" w:rsidRPr="00BF1349">
          <w:rPr>
            <w:rStyle w:val="Hyperlink"/>
            <w:b w:val="0"/>
            <w:bCs w:val="0"/>
            <w:lang w:val="en-US"/>
          </w:rPr>
          <w:t>20</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val="en-US"/>
          </w:rPr>
          <w:t>Lower quartile house prices compared with lower quartile household income buying capacity</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_Toc23151169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76</w:t>
        </w:r>
        <w:r w:rsidR="002132D8" w:rsidRPr="00BF1349">
          <w:rPr>
            <w:b w:val="0"/>
            <w:bCs w:val="0"/>
            <w:webHidden/>
          </w:rPr>
          <w:fldChar w:fldCharType="end"/>
        </w:r>
      </w:hyperlink>
    </w:p>
    <w:p w14:paraId="54715FF3" w14:textId="5785D9B2"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70" w:history="1">
        <w:r w:rsidR="002132D8" w:rsidRPr="00BF1349">
          <w:rPr>
            <w:rStyle w:val="Hyperlink"/>
            <w:b w:val="0"/>
            <w:bCs w:val="0"/>
          </w:rPr>
          <w:t>Table 4.</w:t>
        </w:r>
        <w:r w:rsidR="002132D8" w:rsidRPr="00BF1349">
          <w:rPr>
            <w:rStyle w:val="Hyperlink"/>
            <w:b w:val="0"/>
            <w:bCs w:val="0"/>
            <w:lang w:val="en-US"/>
          </w:rPr>
          <w:t>21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val="en-US"/>
          </w:rPr>
          <w:t>Median house prices compared with median household income buying capacity</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_Toc23151170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76</w:t>
        </w:r>
        <w:r w:rsidR="002132D8" w:rsidRPr="00BF1349">
          <w:rPr>
            <w:b w:val="0"/>
            <w:bCs w:val="0"/>
            <w:webHidden/>
          </w:rPr>
          <w:fldChar w:fldCharType="end"/>
        </w:r>
      </w:hyperlink>
    </w:p>
    <w:p w14:paraId="1C7AC9D1" w14:textId="48ABDE84"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71" w:history="1">
        <w:r w:rsidR="002132D8" w:rsidRPr="00BF1349">
          <w:rPr>
            <w:rStyle w:val="Hyperlink"/>
            <w:b w:val="0"/>
            <w:bCs w:val="0"/>
          </w:rPr>
          <w:t>Table 4.</w:t>
        </w:r>
        <w:r w:rsidR="002132D8" w:rsidRPr="00BF1349">
          <w:rPr>
            <w:rStyle w:val="Hyperlink"/>
            <w:b w:val="0"/>
            <w:bCs w:val="0"/>
            <w:lang w:val="en-US"/>
          </w:rPr>
          <w:t>22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val="en-US"/>
          </w:rPr>
          <w:t>Lower quartile house prices compared with lower quartile household incomes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_Toc23151171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77</w:t>
        </w:r>
        <w:r w:rsidR="002132D8" w:rsidRPr="00BF1349">
          <w:rPr>
            <w:b w:val="0"/>
            <w:bCs w:val="0"/>
            <w:webHidden/>
          </w:rPr>
          <w:fldChar w:fldCharType="end"/>
        </w:r>
      </w:hyperlink>
    </w:p>
    <w:p w14:paraId="2D9D16EA" w14:textId="60FF9136"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72" w:history="1">
        <w:r w:rsidR="002132D8" w:rsidRPr="00BF1349">
          <w:rPr>
            <w:rStyle w:val="Hyperlink"/>
            <w:b w:val="0"/>
            <w:bCs w:val="0"/>
          </w:rPr>
          <w:t>Table 4.</w:t>
        </w:r>
        <w:r w:rsidR="002132D8" w:rsidRPr="00BF1349">
          <w:rPr>
            <w:rStyle w:val="Hyperlink"/>
            <w:b w:val="0"/>
            <w:bCs w:val="0"/>
            <w:lang w:val="en-US"/>
          </w:rPr>
          <w:t>23</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val="en-US"/>
          </w:rPr>
          <w:t>Affordability of intermediate tenure options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_Toc23151172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79</w:t>
        </w:r>
        <w:r w:rsidR="002132D8" w:rsidRPr="00BF1349">
          <w:rPr>
            <w:b w:val="0"/>
            <w:bCs w:val="0"/>
            <w:webHidden/>
          </w:rPr>
          <w:fldChar w:fldCharType="end"/>
        </w:r>
      </w:hyperlink>
    </w:p>
    <w:p w14:paraId="7E84ED7D" w14:textId="14E4ECC8"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73" w:history="1">
        <w:r w:rsidR="002132D8" w:rsidRPr="00BF1349">
          <w:rPr>
            <w:rStyle w:val="Hyperlink"/>
            <w:b w:val="0"/>
            <w:bCs w:val="0"/>
          </w:rPr>
          <w:t>Table 4.</w:t>
        </w:r>
        <w:r w:rsidR="002132D8" w:rsidRPr="00BF1349">
          <w:rPr>
            <w:rStyle w:val="Hyperlink"/>
            <w:b w:val="0"/>
            <w:bCs w:val="0"/>
            <w:lang w:val="en-US"/>
          </w:rPr>
          <w:t>24</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val="en-US"/>
          </w:rPr>
          <w:t>Genuinely affordable rents and purchase prices by ward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_Toc23151173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81</w:t>
        </w:r>
        <w:r w:rsidR="002132D8" w:rsidRPr="00BF1349">
          <w:rPr>
            <w:b w:val="0"/>
            <w:bCs w:val="0"/>
            <w:webHidden/>
          </w:rPr>
          <w:fldChar w:fldCharType="end"/>
        </w:r>
      </w:hyperlink>
    </w:p>
    <w:p w14:paraId="4C97D67C" w14:textId="4C5BBA4D"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74" w:history="1">
        <w:r w:rsidR="002132D8" w:rsidRPr="00BF1349">
          <w:rPr>
            <w:rStyle w:val="Hyperlink"/>
            <w:b w:val="0"/>
            <w:bCs w:val="0"/>
          </w:rPr>
          <w:t>Table 5.1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Household change under alternative household projections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_Toc23151174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83</w:t>
        </w:r>
        <w:r w:rsidR="002132D8" w:rsidRPr="00BF1349">
          <w:rPr>
            <w:b w:val="0"/>
            <w:bCs w:val="0"/>
            <w:webHidden/>
          </w:rPr>
          <w:fldChar w:fldCharType="end"/>
        </w:r>
      </w:hyperlink>
    </w:p>
    <w:p w14:paraId="780C3979" w14:textId="0347C74B"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75" w:history="1">
        <w:r w:rsidR="002132D8" w:rsidRPr="00BF1349">
          <w:rPr>
            <w:rStyle w:val="Hyperlink"/>
            <w:b w:val="0"/>
            <w:bCs w:val="0"/>
          </w:rPr>
          <w:t>Table 5.2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Affordability ratios and market signals uplift</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_Toc23151175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83</w:t>
        </w:r>
        <w:r w:rsidR="002132D8" w:rsidRPr="00BF1349">
          <w:rPr>
            <w:b w:val="0"/>
            <w:bCs w:val="0"/>
            <w:webHidden/>
          </w:rPr>
          <w:fldChar w:fldCharType="end"/>
        </w:r>
      </w:hyperlink>
    </w:p>
    <w:p w14:paraId="0805BC6A" w14:textId="07EC9A7A"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76" w:history="1">
        <w:r w:rsidR="002132D8" w:rsidRPr="00BF1349">
          <w:rPr>
            <w:rStyle w:val="Hyperlink"/>
            <w:b w:val="0"/>
            <w:bCs w:val="0"/>
          </w:rPr>
          <w:t>Table 5.3</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Components of the dwelling need calculation for Borough of Lewisham</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_Toc23151176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84</w:t>
        </w:r>
        <w:r w:rsidR="002132D8" w:rsidRPr="00BF1349">
          <w:rPr>
            <w:b w:val="0"/>
            <w:bCs w:val="0"/>
            <w:webHidden/>
          </w:rPr>
          <w:fldChar w:fldCharType="end"/>
        </w:r>
      </w:hyperlink>
    </w:p>
    <w:p w14:paraId="5F19DFE2" w14:textId="59315348"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77" w:history="1">
        <w:r w:rsidR="002132D8" w:rsidRPr="00BF1349">
          <w:rPr>
            <w:rStyle w:val="Hyperlink"/>
            <w:b w:val="0"/>
            <w:bCs w:val="0"/>
          </w:rPr>
          <w:t>Table 6.1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Reason for housing need (%)</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_Toc23151177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89</w:t>
        </w:r>
        <w:r w:rsidR="002132D8" w:rsidRPr="00BF1349">
          <w:rPr>
            <w:b w:val="0"/>
            <w:bCs w:val="0"/>
            <w:webHidden/>
          </w:rPr>
          <w:fldChar w:fldCharType="end"/>
        </w:r>
      </w:hyperlink>
    </w:p>
    <w:p w14:paraId="7EAED5D6" w14:textId="57E4BD4D"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78" w:history="1">
        <w:r w:rsidR="002132D8" w:rsidRPr="00BF1349">
          <w:rPr>
            <w:rStyle w:val="Hyperlink"/>
            <w:b w:val="0"/>
            <w:bCs w:val="0"/>
          </w:rPr>
          <w:t>Table 6.2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Affordable Needs Assessment Summary for the Borough of Lewisham</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_Toc23151178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90</w:t>
        </w:r>
        <w:r w:rsidR="002132D8" w:rsidRPr="00BF1349">
          <w:rPr>
            <w:b w:val="0"/>
            <w:bCs w:val="0"/>
            <w:webHidden/>
          </w:rPr>
          <w:fldChar w:fldCharType="end"/>
        </w:r>
      </w:hyperlink>
    </w:p>
    <w:p w14:paraId="144E72CC" w14:textId="7A567124"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79" w:history="1">
        <w:r w:rsidR="002132D8" w:rsidRPr="00BF1349">
          <w:rPr>
            <w:rStyle w:val="Hyperlink"/>
            <w:b w:val="0"/>
            <w:bCs w:val="0"/>
          </w:rPr>
          <w:t>Table 6.3</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Affordable need by number of bedrooms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_Toc23151179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91</w:t>
        </w:r>
        <w:r w:rsidR="002132D8" w:rsidRPr="00BF1349">
          <w:rPr>
            <w:b w:val="0"/>
            <w:bCs w:val="0"/>
            <w:webHidden/>
          </w:rPr>
          <w:fldChar w:fldCharType="end"/>
        </w:r>
      </w:hyperlink>
    </w:p>
    <w:p w14:paraId="2096BFEC" w14:textId="58441A98"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80" w:history="1">
        <w:r w:rsidR="002132D8" w:rsidRPr="00BF1349">
          <w:rPr>
            <w:rStyle w:val="Hyperlink"/>
            <w:b w:val="0"/>
            <w:bCs w:val="0"/>
          </w:rPr>
          <w:t>Table 6.4</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Affordability of affordable tenure options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_Toc23151180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91</w:t>
        </w:r>
        <w:r w:rsidR="002132D8" w:rsidRPr="00BF1349">
          <w:rPr>
            <w:b w:val="0"/>
            <w:bCs w:val="0"/>
            <w:webHidden/>
          </w:rPr>
          <w:fldChar w:fldCharType="end"/>
        </w:r>
      </w:hyperlink>
    </w:p>
    <w:p w14:paraId="524D82F8" w14:textId="3D9F0074"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81" w:history="1">
        <w:r w:rsidR="002132D8" w:rsidRPr="00BF1349">
          <w:rPr>
            <w:rStyle w:val="Hyperlink"/>
            <w:b w:val="0"/>
            <w:bCs w:val="0"/>
          </w:rPr>
          <w:t>Table 6.5</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Family housing choices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_Toc23151181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93</w:t>
        </w:r>
        <w:r w:rsidR="002132D8" w:rsidRPr="00BF1349">
          <w:rPr>
            <w:b w:val="0"/>
            <w:bCs w:val="0"/>
            <w:webHidden/>
          </w:rPr>
          <w:fldChar w:fldCharType="end"/>
        </w:r>
      </w:hyperlink>
    </w:p>
    <w:p w14:paraId="02A653D1" w14:textId="38ACA800"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82" w:history="1">
        <w:r w:rsidR="002132D8" w:rsidRPr="00BF1349">
          <w:rPr>
            <w:rStyle w:val="Hyperlink"/>
            <w:b w:val="0"/>
            <w:bCs w:val="0"/>
          </w:rPr>
          <w:t>Table 6.6</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Older person housing choices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_Toc23151182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94</w:t>
        </w:r>
        <w:r w:rsidR="002132D8" w:rsidRPr="00BF1349">
          <w:rPr>
            <w:b w:val="0"/>
            <w:bCs w:val="0"/>
            <w:webHidden/>
          </w:rPr>
          <w:fldChar w:fldCharType="end"/>
        </w:r>
      </w:hyperlink>
    </w:p>
    <w:p w14:paraId="41EA25BC" w14:textId="25B171C6"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83" w:history="1">
        <w:r w:rsidR="002132D8" w:rsidRPr="00BF1349">
          <w:rPr>
            <w:rStyle w:val="Hyperlink"/>
            <w:b w:val="0"/>
            <w:bCs w:val="0"/>
          </w:rPr>
          <w:t>Table 6.7</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Categories of older person accommodation</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_Toc23151183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95</w:t>
        </w:r>
        <w:r w:rsidR="002132D8" w:rsidRPr="00BF1349">
          <w:rPr>
            <w:b w:val="0"/>
            <w:bCs w:val="0"/>
            <w:webHidden/>
          </w:rPr>
          <w:fldChar w:fldCharType="end"/>
        </w:r>
      </w:hyperlink>
    </w:p>
    <w:p w14:paraId="4EB6689A" w14:textId="2C08FB91"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84" w:history="1">
        <w:r w:rsidR="002132D8" w:rsidRPr="00BF1349">
          <w:rPr>
            <w:rStyle w:val="Hyperlink"/>
            <w:b w:val="0"/>
            <w:bCs w:val="0"/>
          </w:rPr>
          <w:t>Table 6.8</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Analysis of future need for specialist older person accommodation</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_Toc23151184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96</w:t>
        </w:r>
        <w:r w:rsidR="002132D8" w:rsidRPr="00BF1349">
          <w:rPr>
            <w:b w:val="0"/>
            <w:bCs w:val="0"/>
            <w:webHidden/>
          </w:rPr>
          <w:fldChar w:fldCharType="end"/>
        </w:r>
      </w:hyperlink>
    </w:p>
    <w:p w14:paraId="46D7BB7B" w14:textId="0EC5B601"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85" w:history="1">
        <w:r w:rsidR="002132D8" w:rsidRPr="00BF1349">
          <w:rPr>
            <w:rStyle w:val="Hyperlink"/>
            <w:b w:val="0"/>
            <w:bCs w:val="0"/>
          </w:rPr>
          <w:t>Table 6.9</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Likely level of property adaptation in Lewisham and future need for adaptations in the home</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_Toc23151185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97</w:t>
        </w:r>
        <w:r w:rsidR="002132D8" w:rsidRPr="00BF1349">
          <w:rPr>
            <w:b w:val="0"/>
            <w:bCs w:val="0"/>
            <w:webHidden/>
          </w:rPr>
          <w:fldChar w:fldCharType="end"/>
        </w:r>
      </w:hyperlink>
    </w:p>
    <w:p w14:paraId="5D4027DC" w14:textId="31DB8273"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86" w:history="1">
        <w:r w:rsidR="002132D8" w:rsidRPr="00BF1349">
          <w:rPr>
            <w:rStyle w:val="Hyperlink"/>
            <w:b w:val="0"/>
            <w:bCs w:val="0"/>
          </w:rPr>
          <w:t>Table 6.10</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Long-term health problem or disability</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_Toc23151186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98</w:t>
        </w:r>
        <w:r w:rsidR="002132D8" w:rsidRPr="00BF1349">
          <w:rPr>
            <w:b w:val="0"/>
            <w:bCs w:val="0"/>
            <w:webHidden/>
          </w:rPr>
          <w:fldChar w:fldCharType="end"/>
        </w:r>
      </w:hyperlink>
    </w:p>
    <w:p w14:paraId="01461C63" w14:textId="1ED3AE74"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87" w:history="1">
        <w:r w:rsidR="002132D8" w:rsidRPr="00BF1349">
          <w:rPr>
            <w:rStyle w:val="Hyperlink"/>
            <w:b w:val="0"/>
            <w:bCs w:val="0"/>
          </w:rPr>
          <w:t>Table 6.11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Estimate of the number of people with a particular disability</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_Toc23151187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99</w:t>
        </w:r>
        <w:r w:rsidR="002132D8" w:rsidRPr="00BF1349">
          <w:rPr>
            <w:b w:val="0"/>
            <w:bCs w:val="0"/>
            <w:webHidden/>
          </w:rPr>
          <w:fldChar w:fldCharType="end"/>
        </w:r>
      </w:hyperlink>
    </w:p>
    <w:p w14:paraId="79BB9FEF" w14:textId="39BCFF5D"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88" w:history="1">
        <w:r w:rsidR="002132D8" w:rsidRPr="00BF1349">
          <w:rPr>
            <w:rStyle w:val="Hyperlink"/>
            <w:b w:val="0"/>
            <w:bCs w:val="0"/>
          </w:rPr>
          <w:t>Table 6.12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DLA claimants by age group</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_Toc23151188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99</w:t>
        </w:r>
        <w:r w:rsidR="002132D8" w:rsidRPr="00BF1349">
          <w:rPr>
            <w:b w:val="0"/>
            <w:bCs w:val="0"/>
            <w:webHidden/>
          </w:rPr>
          <w:fldChar w:fldCharType="end"/>
        </w:r>
      </w:hyperlink>
    </w:p>
    <w:p w14:paraId="2DF386D7" w14:textId="0CB903A9"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89" w:history="1">
        <w:r w:rsidR="002132D8" w:rsidRPr="00BF1349">
          <w:rPr>
            <w:rStyle w:val="Hyperlink"/>
            <w:b w:val="0"/>
            <w:bCs w:val="0"/>
          </w:rPr>
          <w:t>Table 6.13</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DLA claimants by disabling condition</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_Toc23151189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100</w:t>
        </w:r>
        <w:r w:rsidR="002132D8" w:rsidRPr="00BF1349">
          <w:rPr>
            <w:b w:val="0"/>
            <w:bCs w:val="0"/>
            <w:webHidden/>
          </w:rPr>
          <w:fldChar w:fldCharType="end"/>
        </w:r>
      </w:hyperlink>
    </w:p>
    <w:p w14:paraId="7288C496" w14:textId="71876136"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90" w:history="1">
        <w:r w:rsidR="002132D8" w:rsidRPr="00BF1349">
          <w:rPr>
            <w:rStyle w:val="Hyperlink"/>
            <w:b w:val="0"/>
            <w:bCs w:val="0"/>
          </w:rPr>
          <w:t>Table 6.14</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Summary of accessible housing standards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_Toc23151190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101</w:t>
        </w:r>
        <w:r w:rsidR="002132D8" w:rsidRPr="00BF1349">
          <w:rPr>
            <w:b w:val="0"/>
            <w:bCs w:val="0"/>
            <w:webHidden/>
          </w:rPr>
          <w:fldChar w:fldCharType="end"/>
        </w:r>
      </w:hyperlink>
    </w:p>
    <w:p w14:paraId="03EAB092" w14:textId="06676237"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91" w:history="1">
        <w:r w:rsidR="002132D8" w:rsidRPr="00BF1349">
          <w:rPr>
            <w:rStyle w:val="Hyperlink"/>
            <w:b w:val="0"/>
            <w:bCs w:val="0"/>
          </w:rPr>
          <w:t>Table 6.15</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Homeless decisions and acceptances 2013/14 to 2016/17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_Toc23151191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105</w:t>
        </w:r>
        <w:r w:rsidR="002132D8" w:rsidRPr="00BF1349">
          <w:rPr>
            <w:b w:val="0"/>
            <w:bCs w:val="0"/>
            <w:webHidden/>
          </w:rPr>
          <w:fldChar w:fldCharType="end"/>
        </w:r>
      </w:hyperlink>
    </w:p>
    <w:p w14:paraId="5D84911A" w14:textId="059E5DD6"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92" w:history="1">
        <w:r w:rsidR="002132D8" w:rsidRPr="00BF1349">
          <w:rPr>
            <w:rStyle w:val="Hyperlink"/>
            <w:b w:val="0"/>
            <w:bCs w:val="0"/>
          </w:rPr>
          <w:t>Table 6.16</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Under / Over Occupancy by household composition</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_Toc23151192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109</w:t>
        </w:r>
        <w:r w:rsidR="002132D8" w:rsidRPr="00BF1349">
          <w:rPr>
            <w:b w:val="0"/>
            <w:bCs w:val="0"/>
            <w:webHidden/>
          </w:rPr>
          <w:fldChar w:fldCharType="end"/>
        </w:r>
      </w:hyperlink>
    </w:p>
    <w:p w14:paraId="41BF77E6" w14:textId="55C21596"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93" w:history="1">
        <w:r w:rsidR="002132D8" w:rsidRPr="00BF1349">
          <w:rPr>
            <w:rStyle w:val="Hyperlink"/>
            <w:b w:val="0"/>
            <w:bCs w:val="0"/>
          </w:rPr>
          <w:t>Table 7.1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Age groups, household type and dwelling types used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_Toc23151193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115</w:t>
        </w:r>
        <w:r w:rsidR="002132D8" w:rsidRPr="00BF1349">
          <w:rPr>
            <w:b w:val="0"/>
            <w:bCs w:val="0"/>
            <w:webHidden/>
          </w:rPr>
          <w:fldChar w:fldCharType="end"/>
        </w:r>
      </w:hyperlink>
    </w:p>
    <w:p w14:paraId="69678A25" w14:textId="7EEE93B0"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94" w:history="1">
        <w:r w:rsidR="002132D8" w:rsidRPr="00BF1349">
          <w:rPr>
            <w:rStyle w:val="Hyperlink"/>
            <w:b w:val="0"/>
            <w:bCs w:val="0"/>
          </w:rPr>
          <w:t>Table 7.2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Illustration of the relationship between dwelling type/size and household type by age group (15 to 24-year age group used)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_Toc23151194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115</w:t>
        </w:r>
        <w:r w:rsidR="002132D8" w:rsidRPr="00BF1349">
          <w:rPr>
            <w:b w:val="0"/>
            <w:bCs w:val="0"/>
            <w:webHidden/>
          </w:rPr>
          <w:fldChar w:fldCharType="end"/>
        </w:r>
      </w:hyperlink>
    </w:p>
    <w:p w14:paraId="442B943E" w14:textId="462B67D9"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95" w:history="1">
        <w:r w:rsidR="002132D8" w:rsidRPr="00BF1349">
          <w:rPr>
            <w:rStyle w:val="Hyperlink"/>
            <w:b w:val="0"/>
            <w:bCs w:val="0"/>
          </w:rPr>
          <w:t>Table 7.3A</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Change in number of households by age group 20</w:t>
        </w:r>
        <w:r w:rsidR="002132D8" w:rsidRPr="00BF1349">
          <w:rPr>
            <w:rStyle w:val="Hyperlink"/>
            <w:b w:val="0"/>
            <w:bCs w:val="0"/>
            <w:lang w:val="en-US"/>
          </w:rPr>
          <w:t>20</w:t>
        </w:r>
        <w:r w:rsidR="002132D8" w:rsidRPr="00BF1349">
          <w:rPr>
            <w:rStyle w:val="Hyperlink"/>
            <w:b w:val="0"/>
            <w:bCs w:val="0"/>
          </w:rPr>
          <w:t>-2039</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_Toc23151195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116</w:t>
        </w:r>
        <w:r w:rsidR="002132D8" w:rsidRPr="00BF1349">
          <w:rPr>
            <w:b w:val="0"/>
            <w:bCs w:val="0"/>
            <w:webHidden/>
          </w:rPr>
          <w:fldChar w:fldCharType="end"/>
        </w:r>
      </w:hyperlink>
    </w:p>
    <w:p w14:paraId="56E2F074" w14:textId="31478D95"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96" w:history="1">
        <w:r w:rsidR="002132D8" w:rsidRPr="00BF1349">
          <w:rPr>
            <w:rStyle w:val="Hyperlink"/>
            <w:b w:val="0"/>
            <w:bCs w:val="0"/>
          </w:rPr>
          <w:t>Table 7.3A</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Change in number of households by age group 20</w:t>
        </w:r>
        <w:r w:rsidR="002132D8" w:rsidRPr="00BF1349">
          <w:rPr>
            <w:rStyle w:val="Hyperlink"/>
            <w:b w:val="0"/>
            <w:bCs w:val="0"/>
            <w:lang w:val="en-US"/>
          </w:rPr>
          <w:t>20</w:t>
        </w:r>
        <w:r w:rsidR="002132D8" w:rsidRPr="00BF1349">
          <w:rPr>
            <w:rStyle w:val="Hyperlink"/>
            <w:b w:val="0"/>
            <w:bCs w:val="0"/>
          </w:rPr>
          <w:t>-2039</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_Toc23151196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117</w:t>
        </w:r>
        <w:r w:rsidR="002132D8" w:rsidRPr="00BF1349">
          <w:rPr>
            <w:b w:val="0"/>
            <w:bCs w:val="0"/>
            <w:webHidden/>
          </w:rPr>
          <w:fldChar w:fldCharType="end"/>
        </w:r>
      </w:hyperlink>
    </w:p>
    <w:p w14:paraId="5B2F7B7D" w14:textId="64CEC235"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97" w:history="1">
        <w:r w:rsidR="002132D8" w:rsidRPr="00BF1349">
          <w:rPr>
            <w:rStyle w:val="Hyperlink"/>
            <w:b w:val="0"/>
            <w:bCs w:val="0"/>
          </w:rPr>
          <w:t>Table 7.3B</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Change in number of households by age group 2018-2033</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_Toc23151197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117</w:t>
        </w:r>
        <w:r w:rsidR="002132D8" w:rsidRPr="00BF1349">
          <w:rPr>
            <w:b w:val="0"/>
            <w:bCs w:val="0"/>
            <w:webHidden/>
          </w:rPr>
          <w:fldChar w:fldCharType="end"/>
        </w:r>
      </w:hyperlink>
    </w:p>
    <w:p w14:paraId="47A15316" w14:textId="12FCC820"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98" w:history="1">
        <w:r w:rsidR="002132D8" w:rsidRPr="00BF1349">
          <w:rPr>
            <w:rStyle w:val="Hyperlink"/>
            <w:b w:val="0"/>
            <w:bCs w:val="0"/>
          </w:rPr>
          <w:t>Table 7.4</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Impact of change in households by age group on dwellings occupied</w:t>
        </w:r>
        <w:r w:rsidR="002132D8" w:rsidRPr="00BF1349">
          <w:rPr>
            <w:rStyle w:val="Hyperlink"/>
            <w:b w:val="0"/>
            <w:bCs w:val="0"/>
            <w:lang w:val="en-US"/>
          </w:rPr>
          <w:t xml:space="preserve"> 2020-2039</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_Toc23151198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117</w:t>
        </w:r>
        <w:r w:rsidR="002132D8" w:rsidRPr="00BF1349">
          <w:rPr>
            <w:b w:val="0"/>
            <w:bCs w:val="0"/>
            <w:webHidden/>
          </w:rPr>
          <w:fldChar w:fldCharType="end"/>
        </w:r>
      </w:hyperlink>
    </w:p>
    <w:p w14:paraId="12FD4352" w14:textId="494FE327"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199" w:history="1">
        <w:r w:rsidR="002132D8" w:rsidRPr="00BF1349">
          <w:rPr>
            <w:rStyle w:val="Hyperlink"/>
            <w:b w:val="0"/>
            <w:bCs w:val="0"/>
          </w:rPr>
          <w:t>Table 7.5</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Overall dwelling mix based on range of housing need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_Toc23151199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118</w:t>
        </w:r>
        <w:r w:rsidR="002132D8" w:rsidRPr="00BF1349">
          <w:rPr>
            <w:b w:val="0"/>
            <w:bCs w:val="0"/>
            <w:webHidden/>
          </w:rPr>
          <w:fldChar w:fldCharType="end"/>
        </w:r>
      </w:hyperlink>
    </w:p>
    <w:p w14:paraId="190C497A" w14:textId="1DB3CD7D"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00" w:history="1">
        <w:r w:rsidR="002132D8" w:rsidRPr="00BF1349">
          <w:rPr>
            <w:rStyle w:val="Hyperlink"/>
            <w:b w:val="0"/>
            <w:bCs w:val="0"/>
          </w:rPr>
          <w:t>Table 7.6</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Summary of dwelling mix by broad tenure group based on annual need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_Toc23151200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118</w:t>
        </w:r>
        <w:r w:rsidR="002132D8" w:rsidRPr="00BF1349">
          <w:rPr>
            <w:b w:val="0"/>
            <w:bCs w:val="0"/>
            <w:webHidden/>
          </w:rPr>
          <w:fldChar w:fldCharType="end"/>
        </w:r>
      </w:hyperlink>
    </w:p>
    <w:p w14:paraId="076B9900" w14:textId="258F28D3"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01" w:history="1">
        <w:r w:rsidR="002132D8" w:rsidRPr="00BF1349">
          <w:rPr>
            <w:rStyle w:val="Hyperlink"/>
            <w:b w:val="0"/>
            <w:bCs w:val="0"/>
          </w:rPr>
          <w:t>Table 7.7</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Stock profile by number of bedrooms 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_Toc23151201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119</w:t>
        </w:r>
        <w:r w:rsidR="002132D8" w:rsidRPr="00BF1349">
          <w:rPr>
            <w:b w:val="0"/>
            <w:bCs w:val="0"/>
            <w:webHidden/>
          </w:rPr>
          <w:fldChar w:fldCharType="end"/>
        </w:r>
      </w:hyperlink>
    </w:p>
    <w:p w14:paraId="45D95A02" w14:textId="18D50128"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02" w:history="1">
        <w:r w:rsidR="002132D8" w:rsidRPr="00BF1349">
          <w:rPr>
            <w:rStyle w:val="Hyperlink"/>
            <w:b w:val="0"/>
            <w:bCs w:val="0"/>
          </w:rPr>
          <w:t>Table B1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CLG Needs Assessment Summary for Lewisham</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_Toc23151202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136</w:t>
        </w:r>
        <w:r w:rsidR="002132D8" w:rsidRPr="00BF1349">
          <w:rPr>
            <w:b w:val="0"/>
            <w:bCs w:val="0"/>
            <w:webHidden/>
          </w:rPr>
          <w:fldChar w:fldCharType="end"/>
        </w:r>
      </w:hyperlink>
    </w:p>
    <w:p w14:paraId="3E5EE3BB" w14:textId="396686F0"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03" w:history="1">
        <w:r w:rsidR="002132D8" w:rsidRPr="00BF1349">
          <w:rPr>
            <w:rStyle w:val="Hyperlink"/>
            <w:b w:val="0"/>
            <w:bCs w:val="0"/>
          </w:rPr>
          <w:t>Table B2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Breakdown of needs factors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_Toc23151203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137</w:t>
        </w:r>
        <w:r w:rsidR="002132D8" w:rsidRPr="00BF1349">
          <w:rPr>
            <w:b w:val="0"/>
            <w:bCs w:val="0"/>
            <w:webHidden/>
          </w:rPr>
          <w:fldChar w:fldCharType="end"/>
        </w:r>
      </w:hyperlink>
    </w:p>
    <w:p w14:paraId="59535114" w14:textId="7409C612"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04" w:history="1">
        <w:r w:rsidR="002132D8" w:rsidRPr="00BF1349">
          <w:rPr>
            <w:rStyle w:val="Hyperlink"/>
            <w:b w:val="0"/>
            <w:bCs w:val="0"/>
          </w:rPr>
          <w:t>Table B3</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Homeless decisions and acceptances 2013/14 to 2016/17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_Toc23151204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138</w:t>
        </w:r>
        <w:r w:rsidR="002132D8" w:rsidRPr="00BF1349">
          <w:rPr>
            <w:b w:val="0"/>
            <w:bCs w:val="0"/>
            <w:webHidden/>
          </w:rPr>
          <w:fldChar w:fldCharType="end"/>
        </w:r>
      </w:hyperlink>
    </w:p>
    <w:p w14:paraId="6C5A456E" w14:textId="4EDBE4F3"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05" w:history="1">
        <w:r w:rsidR="002132D8" w:rsidRPr="00BF1349">
          <w:rPr>
            <w:rStyle w:val="Hyperlink"/>
            <w:b w:val="0"/>
            <w:bCs w:val="0"/>
          </w:rPr>
          <w:t>Table B.4</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Net annual affordable housing imbalance by property size 2017/18 to 2021/22</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_Toc23151205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142</w:t>
        </w:r>
        <w:r w:rsidR="002132D8" w:rsidRPr="00BF1349">
          <w:rPr>
            <w:b w:val="0"/>
            <w:bCs w:val="0"/>
            <w:webHidden/>
          </w:rPr>
          <w:fldChar w:fldCharType="end"/>
        </w:r>
      </w:hyperlink>
    </w:p>
    <w:p w14:paraId="5E266CA5" w14:textId="28DB3627"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06" w:history="1">
        <w:r w:rsidR="002132D8" w:rsidRPr="00BF1349">
          <w:rPr>
            <w:rStyle w:val="Hyperlink"/>
            <w:b w:val="0"/>
            <w:bCs w:val="0"/>
          </w:rPr>
          <w:t>Table C.1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Ranking of priorities by stakeholders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_Toc23151206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143</w:t>
        </w:r>
        <w:r w:rsidR="002132D8" w:rsidRPr="00BF1349">
          <w:rPr>
            <w:b w:val="0"/>
            <w:bCs w:val="0"/>
            <w:webHidden/>
          </w:rPr>
          <w:fldChar w:fldCharType="end"/>
        </w:r>
      </w:hyperlink>
    </w:p>
    <w:p w14:paraId="0322CE23" w14:textId="68093EE5"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07" w:history="1">
        <w:r w:rsidR="002132D8" w:rsidRPr="00BF1349">
          <w:rPr>
            <w:rStyle w:val="Hyperlink"/>
            <w:b w:val="0"/>
            <w:bCs w:val="0"/>
          </w:rPr>
          <w:t>Table 2.1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Size of PRS by ward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_Toc23151207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158</w:t>
        </w:r>
        <w:r w:rsidR="002132D8" w:rsidRPr="00BF1349">
          <w:rPr>
            <w:b w:val="0"/>
            <w:bCs w:val="0"/>
            <w:webHidden/>
          </w:rPr>
          <w:fldChar w:fldCharType="end"/>
        </w:r>
      </w:hyperlink>
    </w:p>
    <w:p w14:paraId="694AC02C" w14:textId="412CBF79"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08" w:history="1">
        <w:r w:rsidR="002132D8" w:rsidRPr="00BF1349">
          <w:rPr>
            <w:rStyle w:val="Hyperlink"/>
            <w:b w:val="0"/>
            <w:bCs w:val="0"/>
          </w:rPr>
          <w:t>Table 2.2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Median sales price in 2017 by ward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_Toc23151208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161</w:t>
        </w:r>
        <w:r w:rsidR="002132D8" w:rsidRPr="00BF1349">
          <w:rPr>
            <w:b w:val="0"/>
            <w:bCs w:val="0"/>
            <w:webHidden/>
          </w:rPr>
          <w:fldChar w:fldCharType="end"/>
        </w:r>
      </w:hyperlink>
    </w:p>
    <w:p w14:paraId="73BB3F4F" w14:textId="4488CD25"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09" w:history="1">
        <w:r w:rsidR="002132D8" w:rsidRPr="00BF1349">
          <w:rPr>
            <w:rStyle w:val="Hyperlink"/>
            <w:b w:val="0"/>
            <w:bCs w:val="0"/>
          </w:rPr>
          <w:t>Table 3.1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Properties coming to market 2015-17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_Toc23151209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163</w:t>
        </w:r>
        <w:r w:rsidR="002132D8" w:rsidRPr="00BF1349">
          <w:rPr>
            <w:b w:val="0"/>
            <w:bCs w:val="0"/>
            <w:webHidden/>
          </w:rPr>
          <w:fldChar w:fldCharType="end"/>
        </w:r>
      </w:hyperlink>
    </w:p>
    <w:p w14:paraId="7178BD0C" w14:textId="6C44504F"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10" w:history="1">
        <w:r w:rsidR="002132D8" w:rsidRPr="00BF1349">
          <w:rPr>
            <w:rStyle w:val="Hyperlink"/>
            <w:b w:val="0"/>
            <w:bCs w:val="0"/>
          </w:rPr>
          <w:t>Table 4.1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No of properties on market by property type 2015-2017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_Toc23151210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165</w:t>
        </w:r>
        <w:r w:rsidR="002132D8" w:rsidRPr="00BF1349">
          <w:rPr>
            <w:b w:val="0"/>
            <w:bCs w:val="0"/>
            <w:webHidden/>
          </w:rPr>
          <w:fldChar w:fldCharType="end"/>
        </w:r>
      </w:hyperlink>
    </w:p>
    <w:p w14:paraId="3FF95F3C" w14:textId="43C8BC5F"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11" w:history="1">
        <w:r w:rsidR="002132D8" w:rsidRPr="00BF1349">
          <w:rPr>
            <w:rStyle w:val="Hyperlink"/>
            <w:b w:val="0"/>
            <w:bCs w:val="0"/>
          </w:rPr>
          <w:t>Table 4.2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Proportion of apartments and houses in each Ward (2017)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_Toc23151211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165</w:t>
        </w:r>
        <w:r w:rsidR="002132D8" w:rsidRPr="00BF1349">
          <w:rPr>
            <w:b w:val="0"/>
            <w:bCs w:val="0"/>
            <w:webHidden/>
          </w:rPr>
          <w:fldChar w:fldCharType="end"/>
        </w:r>
      </w:hyperlink>
    </w:p>
    <w:p w14:paraId="5CC74D99" w14:textId="2929C208"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12" w:history="1">
        <w:r w:rsidR="002132D8" w:rsidRPr="00BF1349">
          <w:rPr>
            <w:rStyle w:val="Hyperlink"/>
            <w:b w:val="0"/>
            <w:bCs w:val="0"/>
          </w:rPr>
          <w:t>Table 4.3</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No of properties coming to market by property size 2015-2017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_Toc23151212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167</w:t>
        </w:r>
        <w:r w:rsidR="002132D8" w:rsidRPr="00BF1349">
          <w:rPr>
            <w:b w:val="0"/>
            <w:bCs w:val="0"/>
            <w:webHidden/>
          </w:rPr>
          <w:fldChar w:fldCharType="end"/>
        </w:r>
      </w:hyperlink>
    </w:p>
    <w:p w14:paraId="64F8C763" w14:textId="6779D14B"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13" w:history="1">
        <w:r w:rsidR="002132D8" w:rsidRPr="00BF1349">
          <w:rPr>
            <w:rStyle w:val="Hyperlink"/>
            <w:b w:val="0"/>
            <w:bCs w:val="0"/>
          </w:rPr>
          <w:t>Table 5.1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Average rent levels for all property let by ward 2015-2017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_Toc23151213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169</w:t>
        </w:r>
        <w:r w:rsidR="002132D8" w:rsidRPr="00BF1349">
          <w:rPr>
            <w:b w:val="0"/>
            <w:bCs w:val="0"/>
            <w:webHidden/>
          </w:rPr>
          <w:fldChar w:fldCharType="end"/>
        </w:r>
      </w:hyperlink>
    </w:p>
    <w:p w14:paraId="370614E1" w14:textId="23F2E8BE"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14" w:history="1">
        <w:r w:rsidR="002132D8" w:rsidRPr="00BF1349">
          <w:rPr>
            <w:rStyle w:val="Hyperlink"/>
            <w:b w:val="0"/>
            <w:bCs w:val="0"/>
          </w:rPr>
          <w:t>Table 5.2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Average rent levels for apartments let by ward 2015-2017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_Toc23151214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170</w:t>
        </w:r>
        <w:r w:rsidR="002132D8" w:rsidRPr="00BF1349">
          <w:rPr>
            <w:b w:val="0"/>
            <w:bCs w:val="0"/>
            <w:webHidden/>
          </w:rPr>
          <w:fldChar w:fldCharType="end"/>
        </w:r>
      </w:hyperlink>
    </w:p>
    <w:p w14:paraId="7F5BD580" w14:textId="3FED1E05"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15" w:history="1">
        <w:r w:rsidR="002132D8" w:rsidRPr="00BF1349">
          <w:rPr>
            <w:rStyle w:val="Hyperlink"/>
            <w:b w:val="0"/>
            <w:bCs w:val="0"/>
          </w:rPr>
          <w:t>Table 5.3</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Average rent levels for houses let by ward 2015-2017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_Toc23151215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171</w:t>
        </w:r>
        <w:r w:rsidR="002132D8" w:rsidRPr="00BF1349">
          <w:rPr>
            <w:b w:val="0"/>
            <w:bCs w:val="0"/>
            <w:webHidden/>
          </w:rPr>
          <w:fldChar w:fldCharType="end"/>
        </w:r>
      </w:hyperlink>
    </w:p>
    <w:p w14:paraId="011A8092" w14:textId="17D6EDEB"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16" w:history="1">
        <w:r w:rsidR="002132D8" w:rsidRPr="00BF1349">
          <w:rPr>
            <w:rStyle w:val="Hyperlink"/>
            <w:b w:val="0"/>
            <w:bCs w:val="0"/>
            <w:lang w:eastAsia="en-GB"/>
          </w:rPr>
          <w:t>Table 6.1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eastAsia="en-GB"/>
          </w:rPr>
          <w:t xml:space="preserve">Properties within LHA by </w:t>
        </w:r>
        <w:r w:rsidR="002132D8" w:rsidRPr="00BF1349">
          <w:rPr>
            <w:rStyle w:val="Hyperlink"/>
            <w:b w:val="0"/>
            <w:bCs w:val="0"/>
          </w:rPr>
          <w:t>bed size</w:t>
        </w:r>
        <w:r w:rsidR="002132D8" w:rsidRPr="00BF1349">
          <w:rPr>
            <w:rStyle w:val="Hyperlink"/>
            <w:b w:val="0"/>
            <w:bCs w:val="0"/>
            <w:lang w:eastAsia="en-GB"/>
          </w:rPr>
          <w:t xml:space="preserve"> 2015-2017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_Toc23151216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177</w:t>
        </w:r>
        <w:r w:rsidR="002132D8" w:rsidRPr="00BF1349">
          <w:rPr>
            <w:b w:val="0"/>
            <w:bCs w:val="0"/>
            <w:webHidden/>
          </w:rPr>
          <w:fldChar w:fldCharType="end"/>
        </w:r>
      </w:hyperlink>
    </w:p>
    <w:p w14:paraId="70C31842" w14:textId="5337E8E7"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17" w:history="1">
        <w:r w:rsidR="002132D8" w:rsidRPr="00BF1349">
          <w:rPr>
            <w:rStyle w:val="Hyperlink"/>
            <w:b w:val="0"/>
            <w:bCs w:val="0"/>
          </w:rPr>
          <w:t>Table 6.2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Affordability by Ward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_Toc23151217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179</w:t>
        </w:r>
        <w:r w:rsidR="002132D8" w:rsidRPr="00BF1349">
          <w:rPr>
            <w:b w:val="0"/>
            <w:bCs w:val="0"/>
            <w:webHidden/>
          </w:rPr>
          <w:fldChar w:fldCharType="end"/>
        </w:r>
      </w:hyperlink>
    </w:p>
    <w:p w14:paraId="0786972A" w14:textId="3FA08039"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18" w:history="1">
        <w:r w:rsidR="002132D8" w:rsidRPr="00BF1349">
          <w:rPr>
            <w:rStyle w:val="Hyperlink"/>
            <w:b w:val="0"/>
            <w:bCs w:val="0"/>
          </w:rPr>
          <w:t>Table 7.1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Average Time to let by property type 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_Toc23151218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181</w:t>
        </w:r>
        <w:r w:rsidR="002132D8" w:rsidRPr="00BF1349">
          <w:rPr>
            <w:b w:val="0"/>
            <w:bCs w:val="0"/>
            <w:webHidden/>
          </w:rPr>
          <w:fldChar w:fldCharType="end"/>
        </w:r>
      </w:hyperlink>
    </w:p>
    <w:p w14:paraId="5161D696" w14:textId="1046D76D"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19" w:history="1">
        <w:r w:rsidR="002132D8" w:rsidRPr="00BF1349">
          <w:rPr>
            <w:rStyle w:val="Hyperlink"/>
            <w:b w:val="0"/>
            <w:bCs w:val="0"/>
          </w:rPr>
          <w:t>Table 7.2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Time to let by ward 2015-2017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_Toc23151219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183</w:t>
        </w:r>
        <w:r w:rsidR="002132D8" w:rsidRPr="00BF1349">
          <w:rPr>
            <w:b w:val="0"/>
            <w:bCs w:val="0"/>
            <w:webHidden/>
          </w:rPr>
          <w:fldChar w:fldCharType="end"/>
        </w:r>
      </w:hyperlink>
    </w:p>
    <w:p w14:paraId="31721867" w14:textId="414E9E72" w:rsidR="002132D8" w:rsidRDefault="00C632F2">
      <w:pPr>
        <w:pStyle w:val="TOC1"/>
        <w:rPr>
          <w:rFonts w:asciiTheme="minorHAnsi" w:eastAsiaTheme="minorEastAsia" w:hAnsiTheme="minorHAnsi" w:cstheme="minorBidi"/>
          <w:b w:val="0"/>
          <w:bCs w:val="0"/>
          <w:sz w:val="22"/>
          <w:szCs w:val="22"/>
          <w:lang w:eastAsia="en-GB"/>
        </w:rPr>
      </w:pPr>
      <w:hyperlink w:anchor="_Toc23151220" w:history="1">
        <w:r w:rsidR="002132D8" w:rsidRPr="00BF1349">
          <w:rPr>
            <w:rStyle w:val="Hyperlink"/>
            <w:b w:val="0"/>
            <w:bCs w:val="0"/>
          </w:rPr>
          <w:t>Table 8.1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Rental yields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_Toc23151220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184</w:t>
        </w:r>
        <w:r w:rsidR="002132D8" w:rsidRPr="00BF1349">
          <w:rPr>
            <w:b w:val="0"/>
            <w:bCs w:val="0"/>
            <w:webHidden/>
          </w:rPr>
          <w:fldChar w:fldCharType="end"/>
        </w:r>
      </w:hyperlink>
    </w:p>
    <w:p w14:paraId="520A5587" w14:textId="72F82F5D" w:rsidR="003B06E4" w:rsidRPr="006343DC" w:rsidRDefault="00586FA9" w:rsidP="00543A76">
      <w:pPr>
        <w:rPr>
          <w:rFonts w:asciiTheme="minorHAnsi" w:hAnsiTheme="minorHAnsi" w:cs="Calibri"/>
        </w:rPr>
      </w:pPr>
      <w:r w:rsidRPr="006343DC">
        <w:rPr>
          <w:rFonts w:asciiTheme="minorHAnsi" w:hAnsiTheme="minorHAnsi" w:cs="Calibri"/>
        </w:rPr>
        <w:fldChar w:fldCharType="end"/>
      </w:r>
    </w:p>
    <w:p w14:paraId="7180035E" w14:textId="06F2CB18" w:rsidR="001D1198" w:rsidRPr="0067297E" w:rsidRDefault="001D1198" w:rsidP="00543A76">
      <w:pPr>
        <w:pStyle w:val="TOCHeading1"/>
        <w:rPr>
          <w:rFonts w:asciiTheme="minorHAnsi" w:hAnsiTheme="minorHAnsi" w:cs="Calibri"/>
        </w:rPr>
      </w:pPr>
      <w:r w:rsidRPr="0067297E">
        <w:rPr>
          <w:rFonts w:asciiTheme="minorHAnsi" w:hAnsiTheme="minorHAnsi" w:cs="Calibri"/>
        </w:rPr>
        <w:t xml:space="preserve">List of </w:t>
      </w:r>
      <w:r w:rsidR="003A2549" w:rsidRPr="0067297E">
        <w:rPr>
          <w:rFonts w:asciiTheme="minorHAnsi" w:hAnsiTheme="minorHAnsi" w:cs="Calibri"/>
        </w:rPr>
        <w:t>Figures</w:t>
      </w:r>
    </w:p>
    <w:p w14:paraId="3A1D2FB7" w14:textId="1921182D" w:rsidR="002132D8" w:rsidRPr="00BF1349" w:rsidRDefault="00586FA9">
      <w:pPr>
        <w:pStyle w:val="TOC1"/>
        <w:rPr>
          <w:rFonts w:asciiTheme="minorHAnsi" w:eastAsiaTheme="minorEastAsia" w:hAnsiTheme="minorHAnsi" w:cstheme="minorBidi"/>
          <w:b w:val="0"/>
          <w:bCs w:val="0"/>
          <w:sz w:val="22"/>
          <w:szCs w:val="22"/>
          <w:lang w:eastAsia="en-GB"/>
        </w:rPr>
      </w:pPr>
      <w:r w:rsidRPr="006343DC">
        <w:rPr>
          <w:rFonts w:asciiTheme="minorHAnsi" w:hAnsiTheme="minorHAnsi"/>
          <w:b w:val="0"/>
        </w:rPr>
        <w:fldChar w:fldCharType="begin"/>
      </w:r>
      <w:r w:rsidR="001D1198" w:rsidRPr="006343DC">
        <w:rPr>
          <w:rFonts w:asciiTheme="minorHAnsi" w:hAnsiTheme="minorHAnsi"/>
          <w:b w:val="0"/>
        </w:rPr>
        <w:instrText xml:space="preserve"> TOC \h \z \t "figureheading,1" </w:instrText>
      </w:r>
      <w:r w:rsidRPr="006343DC">
        <w:rPr>
          <w:rFonts w:asciiTheme="minorHAnsi" w:hAnsiTheme="minorHAnsi"/>
          <w:b w:val="0"/>
        </w:rPr>
        <w:fldChar w:fldCharType="separate"/>
      </w:r>
      <w:hyperlink w:anchor="_Toc23151221" w:history="1">
        <w:r w:rsidR="002132D8" w:rsidRPr="00BF1349">
          <w:rPr>
            <w:rStyle w:val="Hyperlink"/>
            <w:rFonts w:cs="Calibri"/>
            <w:b w:val="0"/>
            <w:bCs w:val="0"/>
          </w:rPr>
          <w:t>Figure 3.1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rFonts w:cs="Calibri"/>
            <w:b w:val="0"/>
            <w:bCs w:val="0"/>
          </w:rPr>
          <w:t>Median house price trends 2000 to 2018: the Borough of Lewisham, London Boroughs and England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_Toc23151221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28</w:t>
        </w:r>
        <w:r w:rsidR="002132D8" w:rsidRPr="00BF1349">
          <w:rPr>
            <w:b w:val="0"/>
            <w:bCs w:val="0"/>
            <w:webHidden/>
          </w:rPr>
          <w:fldChar w:fldCharType="end"/>
        </w:r>
      </w:hyperlink>
    </w:p>
    <w:p w14:paraId="0CBC6310" w14:textId="68D29FDE"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22" w:history="1">
        <w:r w:rsidR="002132D8" w:rsidRPr="00BF1349">
          <w:rPr>
            <w:rStyle w:val="Hyperlink"/>
            <w:rFonts w:cs="Calibri"/>
            <w:b w:val="0"/>
            <w:bCs w:val="0"/>
            <w:shd w:val="clear" w:color="auto" w:fill="FFFFFF"/>
            <w:lang w:eastAsia="en-GB"/>
          </w:rPr>
          <w:t>Figure 3.2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rFonts w:cs="Calibri"/>
            <w:b w:val="0"/>
            <w:bCs w:val="0"/>
            <w:shd w:val="clear" w:color="auto" w:fill="FFFFFF"/>
            <w:lang w:eastAsia="en-GB"/>
          </w:rPr>
          <w:t>Dwelling completions compared with the annual target</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_Toc23151222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37</w:t>
        </w:r>
        <w:r w:rsidR="002132D8" w:rsidRPr="00BF1349">
          <w:rPr>
            <w:b w:val="0"/>
            <w:bCs w:val="0"/>
            <w:webHidden/>
          </w:rPr>
          <w:fldChar w:fldCharType="end"/>
        </w:r>
      </w:hyperlink>
    </w:p>
    <w:p w14:paraId="32311FA6" w14:textId="42E23564"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23" w:history="1">
        <w:r w:rsidR="002132D8" w:rsidRPr="00BF1349">
          <w:rPr>
            <w:rStyle w:val="Hyperlink"/>
            <w:rFonts w:cs="Calibri"/>
            <w:b w:val="0"/>
            <w:bCs w:val="0"/>
          </w:rPr>
          <w:t>Figure 4.1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rFonts w:cs="Calibri"/>
            <w:b w:val="0"/>
            <w:bCs w:val="0"/>
          </w:rPr>
          <w:t>Property type by ward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_Toc23151223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46</w:t>
        </w:r>
        <w:r w:rsidR="002132D8" w:rsidRPr="00BF1349">
          <w:rPr>
            <w:b w:val="0"/>
            <w:bCs w:val="0"/>
            <w:webHidden/>
          </w:rPr>
          <w:fldChar w:fldCharType="end"/>
        </w:r>
      </w:hyperlink>
    </w:p>
    <w:p w14:paraId="2197FE0C" w14:textId="24912B3A"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24" w:history="1">
        <w:r w:rsidR="002132D8" w:rsidRPr="00BF1349">
          <w:rPr>
            <w:rStyle w:val="Hyperlink"/>
            <w:rFonts w:cs="Calibri"/>
            <w:b w:val="0"/>
            <w:bCs w:val="0"/>
          </w:rPr>
          <w:t>Figure 4.2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rFonts w:cs="Calibri"/>
            <w:b w:val="0"/>
            <w:bCs w:val="0"/>
          </w:rPr>
          <w:t>Number of bedrooms by ward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_Toc23151224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47</w:t>
        </w:r>
        <w:r w:rsidR="002132D8" w:rsidRPr="00BF1349">
          <w:rPr>
            <w:b w:val="0"/>
            <w:bCs w:val="0"/>
            <w:webHidden/>
          </w:rPr>
          <w:fldChar w:fldCharType="end"/>
        </w:r>
      </w:hyperlink>
    </w:p>
    <w:p w14:paraId="5EF9C48F" w14:textId="1AB1B2E8"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25" w:history="1">
        <w:r w:rsidR="002132D8" w:rsidRPr="00BF1349">
          <w:rPr>
            <w:rStyle w:val="Hyperlink"/>
            <w:rFonts w:cs="Calibri"/>
            <w:b w:val="0"/>
            <w:bCs w:val="0"/>
          </w:rPr>
          <w:t>Figure 4.3</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rFonts w:cs="Calibri"/>
            <w:b w:val="0"/>
            <w:bCs w:val="0"/>
          </w:rPr>
          <w:t>Borough of Lewisham: tenure profile of occupied dwellings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_Toc23151225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51</w:t>
        </w:r>
        <w:r w:rsidR="002132D8" w:rsidRPr="00BF1349">
          <w:rPr>
            <w:b w:val="0"/>
            <w:bCs w:val="0"/>
            <w:webHidden/>
          </w:rPr>
          <w:fldChar w:fldCharType="end"/>
        </w:r>
      </w:hyperlink>
    </w:p>
    <w:p w14:paraId="2EF6969D" w14:textId="7E763950"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26" w:history="1">
        <w:r w:rsidR="002132D8" w:rsidRPr="00BF1349">
          <w:rPr>
            <w:rStyle w:val="Hyperlink"/>
            <w:rFonts w:cs="Calibri"/>
            <w:b w:val="0"/>
            <w:bCs w:val="0"/>
          </w:rPr>
          <w:t>Figure 4.4</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rFonts w:cs="Calibri"/>
            <w:b w:val="0"/>
            <w:bCs w:val="0"/>
          </w:rPr>
          <w:t>Property tenure by ward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_Toc23151226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53</w:t>
        </w:r>
        <w:r w:rsidR="002132D8" w:rsidRPr="00BF1349">
          <w:rPr>
            <w:b w:val="0"/>
            <w:bCs w:val="0"/>
            <w:webHidden/>
          </w:rPr>
          <w:fldChar w:fldCharType="end"/>
        </w:r>
      </w:hyperlink>
    </w:p>
    <w:p w14:paraId="44FCD7C2" w14:textId="4210F2EB"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27" w:history="1">
        <w:r w:rsidR="002132D8" w:rsidRPr="00BF1349">
          <w:rPr>
            <w:rStyle w:val="Hyperlink"/>
            <w:rFonts w:cs="Calibri"/>
            <w:b w:val="0"/>
            <w:bCs w:val="0"/>
          </w:rPr>
          <w:t>Figure 4.5</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rFonts w:cs="Calibri"/>
            <w:b w:val="0"/>
            <w:bCs w:val="0"/>
          </w:rPr>
          <w:t>Borough of Lewisham household income and housing costs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_Toc23151227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72</w:t>
        </w:r>
        <w:r w:rsidR="002132D8" w:rsidRPr="00BF1349">
          <w:rPr>
            <w:b w:val="0"/>
            <w:bCs w:val="0"/>
            <w:webHidden/>
          </w:rPr>
          <w:fldChar w:fldCharType="end"/>
        </w:r>
      </w:hyperlink>
    </w:p>
    <w:p w14:paraId="32EDF555" w14:textId="0B6596AF"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28" w:history="1">
        <w:r w:rsidR="002132D8" w:rsidRPr="00BF1349">
          <w:rPr>
            <w:rStyle w:val="Hyperlink"/>
            <w:b w:val="0"/>
            <w:bCs w:val="0"/>
          </w:rPr>
          <w:t>Figure 6.1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Explanation of optional accessibility standard M4(2)</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_Toc23151228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101</w:t>
        </w:r>
        <w:r w:rsidR="002132D8" w:rsidRPr="00BF1349">
          <w:rPr>
            <w:b w:val="0"/>
            <w:bCs w:val="0"/>
            <w:webHidden/>
          </w:rPr>
          <w:fldChar w:fldCharType="end"/>
        </w:r>
      </w:hyperlink>
    </w:p>
    <w:p w14:paraId="6DE99F22" w14:textId="1D37B402"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29" w:history="1">
        <w:r w:rsidR="002132D8" w:rsidRPr="00BF1349">
          <w:rPr>
            <w:rStyle w:val="Hyperlink"/>
            <w:b w:val="0"/>
            <w:bCs w:val="0"/>
          </w:rPr>
          <w:t>Figure 6.2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Explanation of optional accessibility standard M4(3)</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_Toc23151229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102</w:t>
        </w:r>
        <w:r w:rsidR="002132D8" w:rsidRPr="00BF1349">
          <w:rPr>
            <w:b w:val="0"/>
            <w:bCs w:val="0"/>
            <w:webHidden/>
          </w:rPr>
          <w:fldChar w:fldCharType="end"/>
        </w:r>
      </w:hyperlink>
    </w:p>
    <w:p w14:paraId="368AD2B7" w14:textId="3A9BC2FC"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30" w:history="1">
        <w:r w:rsidR="002132D8" w:rsidRPr="00BF1349">
          <w:rPr>
            <w:rStyle w:val="Hyperlink"/>
            <w:b w:val="0"/>
            <w:bCs w:val="0"/>
          </w:rPr>
          <w:t>Figure 6.3</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BAME household composition</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_Toc23151230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107</w:t>
        </w:r>
        <w:r w:rsidR="002132D8" w:rsidRPr="00BF1349">
          <w:rPr>
            <w:b w:val="0"/>
            <w:bCs w:val="0"/>
            <w:webHidden/>
          </w:rPr>
          <w:fldChar w:fldCharType="end"/>
        </w:r>
      </w:hyperlink>
    </w:p>
    <w:p w14:paraId="06C27799" w14:textId="3EA895C7"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31" w:history="1">
        <w:r w:rsidR="002132D8" w:rsidRPr="00BF1349">
          <w:rPr>
            <w:rStyle w:val="Hyperlink"/>
            <w:b w:val="0"/>
            <w:bCs w:val="0"/>
          </w:rPr>
          <w:t>Figure 6.4</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BAME occupancy rating</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_Toc23151231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108</w:t>
        </w:r>
        <w:r w:rsidR="002132D8" w:rsidRPr="00BF1349">
          <w:rPr>
            <w:b w:val="0"/>
            <w:bCs w:val="0"/>
            <w:webHidden/>
          </w:rPr>
          <w:fldChar w:fldCharType="end"/>
        </w:r>
      </w:hyperlink>
    </w:p>
    <w:p w14:paraId="6D72D623" w14:textId="21D1AA87"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32" w:history="1">
        <w:r w:rsidR="002132D8" w:rsidRPr="00BF1349">
          <w:rPr>
            <w:rStyle w:val="Hyperlink"/>
            <w:b w:val="0"/>
            <w:bCs w:val="0"/>
          </w:rPr>
          <w:t>Figure 6.5</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Number of enrolments at Goldsmiths University by domicile, 2012/13 to 2016/17. Source: HESA</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_Toc23151232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111</w:t>
        </w:r>
        <w:r w:rsidR="002132D8" w:rsidRPr="00BF1349">
          <w:rPr>
            <w:b w:val="0"/>
            <w:bCs w:val="0"/>
            <w:webHidden/>
          </w:rPr>
          <w:fldChar w:fldCharType="end"/>
        </w:r>
      </w:hyperlink>
    </w:p>
    <w:p w14:paraId="698DE756" w14:textId="08CDA182"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33" w:history="1">
        <w:r w:rsidR="002132D8" w:rsidRPr="00BF1349">
          <w:rPr>
            <w:rStyle w:val="Hyperlink"/>
            <w:b w:val="0"/>
            <w:bCs w:val="0"/>
          </w:rPr>
          <w:t>Figure 6.6</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Number of enrolments at The University of Greenwich by domicile, 2012/13 to 2016/17. Source: HESA</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_Toc23151233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112</w:t>
        </w:r>
        <w:r w:rsidR="002132D8" w:rsidRPr="00BF1349">
          <w:rPr>
            <w:b w:val="0"/>
            <w:bCs w:val="0"/>
            <w:webHidden/>
          </w:rPr>
          <w:fldChar w:fldCharType="end"/>
        </w:r>
      </w:hyperlink>
    </w:p>
    <w:p w14:paraId="03F0BA5E" w14:textId="14BDACE9"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34" w:history="1">
        <w:r w:rsidR="002132D8" w:rsidRPr="00BF1349">
          <w:rPr>
            <w:rStyle w:val="Hyperlink"/>
            <w:b w:val="0"/>
            <w:bCs w:val="0"/>
          </w:rPr>
          <w:t>Chart 2.1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Median property values in wards with higher than average levels of PRS compared to the median in Lewisham 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_Toc23151234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161</w:t>
        </w:r>
        <w:r w:rsidR="002132D8" w:rsidRPr="00BF1349">
          <w:rPr>
            <w:b w:val="0"/>
            <w:bCs w:val="0"/>
            <w:webHidden/>
          </w:rPr>
          <w:fldChar w:fldCharType="end"/>
        </w:r>
      </w:hyperlink>
    </w:p>
    <w:p w14:paraId="452A5FBF" w14:textId="33BF51A8"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35" w:history="1">
        <w:r w:rsidR="002132D8" w:rsidRPr="00BF1349">
          <w:rPr>
            <w:rStyle w:val="Hyperlink"/>
            <w:b w:val="0"/>
            <w:bCs w:val="0"/>
          </w:rPr>
          <w:t>Chart 4.1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The percentage of properties coming onto the market by bed size 2015-2017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_Toc23151235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167</w:t>
        </w:r>
        <w:r w:rsidR="002132D8" w:rsidRPr="00BF1349">
          <w:rPr>
            <w:b w:val="0"/>
            <w:bCs w:val="0"/>
            <w:webHidden/>
          </w:rPr>
          <w:fldChar w:fldCharType="end"/>
        </w:r>
      </w:hyperlink>
    </w:p>
    <w:p w14:paraId="05A7F3B0" w14:textId="69E65AB4"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36" w:history="1">
        <w:r w:rsidR="002132D8" w:rsidRPr="00BF1349">
          <w:rPr>
            <w:rStyle w:val="Hyperlink"/>
            <w:b w:val="0"/>
            <w:bCs w:val="0"/>
          </w:rPr>
          <w:t>Chart 5.1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The rent levels and change for apartments and houses in Lewisham since 2010</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_Toc23151236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168</w:t>
        </w:r>
        <w:r w:rsidR="002132D8" w:rsidRPr="00BF1349">
          <w:rPr>
            <w:b w:val="0"/>
            <w:bCs w:val="0"/>
            <w:webHidden/>
          </w:rPr>
          <w:fldChar w:fldCharType="end"/>
        </w:r>
      </w:hyperlink>
    </w:p>
    <w:p w14:paraId="173C5D7D" w14:textId="3ECEF2DD"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37" w:history="1">
        <w:r w:rsidR="002132D8" w:rsidRPr="00BF1349">
          <w:rPr>
            <w:rStyle w:val="Hyperlink"/>
            <w:b w:val="0"/>
            <w:bCs w:val="0"/>
          </w:rPr>
          <w:t>Chart 5.2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Rent change by property type 2014-2016</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_Toc23151237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171</w:t>
        </w:r>
        <w:r w:rsidR="002132D8" w:rsidRPr="00BF1349">
          <w:rPr>
            <w:b w:val="0"/>
            <w:bCs w:val="0"/>
            <w:webHidden/>
          </w:rPr>
          <w:fldChar w:fldCharType="end"/>
        </w:r>
      </w:hyperlink>
    </w:p>
    <w:p w14:paraId="01DB40E2" w14:textId="7492791B"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38" w:history="1">
        <w:r w:rsidR="002132D8" w:rsidRPr="00BF1349">
          <w:rPr>
            <w:rStyle w:val="Hyperlink"/>
            <w:b w:val="0"/>
            <w:bCs w:val="0"/>
          </w:rPr>
          <w:t>Chart 6.1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Percentage of properties within LHA levels</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_Toc23151238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178</w:t>
        </w:r>
        <w:r w:rsidR="002132D8" w:rsidRPr="00BF1349">
          <w:rPr>
            <w:b w:val="0"/>
            <w:bCs w:val="0"/>
            <w:webHidden/>
          </w:rPr>
          <w:fldChar w:fldCharType="end"/>
        </w:r>
      </w:hyperlink>
    </w:p>
    <w:p w14:paraId="5354C19E" w14:textId="66714376" w:rsidR="002132D8" w:rsidRDefault="00C632F2">
      <w:pPr>
        <w:pStyle w:val="TOC1"/>
        <w:rPr>
          <w:rFonts w:asciiTheme="minorHAnsi" w:eastAsiaTheme="minorEastAsia" w:hAnsiTheme="minorHAnsi" w:cstheme="minorBidi"/>
          <w:b w:val="0"/>
          <w:bCs w:val="0"/>
          <w:sz w:val="22"/>
          <w:szCs w:val="22"/>
          <w:lang w:eastAsia="en-GB"/>
        </w:rPr>
      </w:pPr>
      <w:hyperlink w:anchor="_Toc23151239" w:history="1">
        <w:r w:rsidR="002132D8" w:rsidRPr="00BF1349">
          <w:rPr>
            <w:rStyle w:val="Hyperlink"/>
            <w:b w:val="0"/>
            <w:bCs w:val="0"/>
          </w:rPr>
          <w:t>Chart 7.1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The time to let property by size 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_Toc23151239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182</w:t>
        </w:r>
        <w:r w:rsidR="002132D8" w:rsidRPr="00BF1349">
          <w:rPr>
            <w:b w:val="0"/>
            <w:bCs w:val="0"/>
            <w:webHidden/>
          </w:rPr>
          <w:fldChar w:fldCharType="end"/>
        </w:r>
      </w:hyperlink>
    </w:p>
    <w:p w14:paraId="38082B7A" w14:textId="42CC7E7C" w:rsidR="00915889" w:rsidRPr="0067297E" w:rsidRDefault="00586FA9" w:rsidP="00543A76">
      <w:pPr>
        <w:rPr>
          <w:rFonts w:asciiTheme="minorHAnsi" w:hAnsiTheme="minorHAnsi" w:cs="Calibri"/>
        </w:rPr>
      </w:pPr>
      <w:r w:rsidRPr="006343DC">
        <w:rPr>
          <w:rFonts w:asciiTheme="minorHAnsi" w:hAnsiTheme="minorHAnsi" w:cs="Calibri"/>
        </w:rPr>
        <w:fldChar w:fldCharType="end"/>
      </w:r>
    </w:p>
    <w:p w14:paraId="2D890B3C" w14:textId="77777777" w:rsidR="001D1198" w:rsidRPr="0067297E" w:rsidRDefault="001D1198" w:rsidP="00543A76">
      <w:pPr>
        <w:pStyle w:val="TOCHeading1"/>
        <w:rPr>
          <w:rFonts w:asciiTheme="minorHAnsi" w:hAnsiTheme="minorHAnsi" w:cs="Calibri"/>
        </w:rPr>
      </w:pPr>
      <w:r w:rsidRPr="0067297E">
        <w:rPr>
          <w:rFonts w:asciiTheme="minorHAnsi" w:hAnsiTheme="minorHAnsi" w:cs="Calibri"/>
        </w:rPr>
        <w:t>List of Maps</w:t>
      </w:r>
    </w:p>
    <w:p w14:paraId="2C91931C" w14:textId="08668DD5" w:rsidR="002132D8" w:rsidRPr="00BF1349" w:rsidRDefault="00586FA9">
      <w:pPr>
        <w:pStyle w:val="TOC1"/>
        <w:rPr>
          <w:rFonts w:asciiTheme="minorHAnsi" w:eastAsiaTheme="minorEastAsia" w:hAnsiTheme="minorHAnsi" w:cstheme="minorBidi"/>
          <w:b w:val="0"/>
          <w:bCs w:val="0"/>
          <w:sz w:val="22"/>
          <w:szCs w:val="22"/>
          <w:lang w:eastAsia="en-GB"/>
        </w:rPr>
      </w:pPr>
      <w:r w:rsidRPr="0067297E">
        <w:rPr>
          <w:rFonts w:asciiTheme="minorHAnsi" w:hAnsiTheme="minorHAnsi"/>
        </w:rPr>
        <w:fldChar w:fldCharType="begin"/>
      </w:r>
      <w:r w:rsidR="001D1198" w:rsidRPr="0067297E">
        <w:rPr>
          <w:rFonts w:asciiTheme="minorHAnsi" w:hAnsiTheme="minorHAnsi"/>
        </w:rPr>
        <w:instrText xml:space="preserve"> TOC \h \z \t "mapheading,1" </w:instrText>
      </w:r>
      <w:r w:rsidRPr="0067297E">
        <w:rPr>
          <w:rFonts w:asciiTheme="minorHAnsi" w:hAnsiTheme="minorHAnsi"/>
        </w:rPr>
        <w:fldChar w:fldCharType="separate"/>
      </w:r>
      <w:hyperlink w:anchor="_Toc23151240" w:history="1">
        <w:r w:rsidR="002132D8" w:rsidRPr="00BF1349">
          <w:rPr>
            <w:rStyle w:val="Hyperlink"/>
            <w:rFonts w:cs="Calibri"/>
            <w:b w:val="0"/>
            <w:bCs w:val="0"/>
          </w:rPr>
          <w:t>Map 1.1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rFonts w:cs="Calibri"/>
            <w:b w:val="0"/>
            <w:bCs w:val="0"/>
          </w:rPr>
          <w:t>The Borough of Lewisham geographical context</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_Toc23151240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19</w:t>
        </w:r>
        <w:r w:rsidR="002132D8" w:rsidRPr="00BF1349">
          <w:rPr>
            <w:b w:val="0"/>
            <w:bCs w:val="0"/>
            <w:webHidden/>
          </w:rPr>
          <w:fldChar w:fldCharType="end"/>
        </w:r>
      </w:hyperlink>
    </w:p>
    <w:p w14:paraId="67C558EF" w14:textId="1E62FC7B"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41" w:history="1">
        <w:r w:rsidR="002132D8" w:rsidRPr="00BF1349">
          <w:rPr>
            <w:rStyle w:val="Hyperlink"/>
            <w:rFonts w:cs="Calibri"/>
            <w:b w:val="0"/>
            <w:bCs w:val="0"/>
          </w:rPr>
          <w:t>Map 1.2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rFonts w:cs="Calibri"/>
            <w:b w:val="0"/>
            <w:bCs w:val="0"/>
          </w:rPr>
          <w:t>Wards and Sub-areas within the Borough of Lewisham</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_Toc23151241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21</w:t>
        </w:r>
        <w:r w:rsidR="002132D8" w:rsidRPr="00BF1349">
          <w:rPr>
            <w:b w:val="0"/>
            <w:bCs w:val="0"/>
            <w:webHidden/>
          </w:rPr>
          <w:fldChar w:fldCharType="end"/>
        </w:r>
      </w:hyperlink>
    </w:p>
    <w:p w14:paraId="18F1B8C5" w14:textId="07EA4FCE"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42" w:history="1">
        <w:r w:rsidR="002132D8" w:rsidRPr="00BF1349">
          <w:rPr>
            <w:rStyle w:val="Hyperlink"/>
            <w:rFonts w:cs="Calibri"/>
            <w:b w:val="0"/>
            <w:bCs w:val="0"/>
          </w:rPr>
          <w:t>Map 3.1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rFonts w:cs="Calibri"/>
            <w:b w:val="0"/>
            <w:bCs w:val="0"/>
          </w:rPr>
          <w:t xml:space="preserve">Lower quartile house prices </w:t>
        </w:r>
        <w:r w:rsidR="002132D8" w:rsidRPr="00BF1349">
          <w:rPr>
            <w:rStyle w:val="Hyperlink"/>
            <w:rFonts w:cs="Calibri"/>
            <w:b w:val="0"/>
            <w:bCs w:val="0"/>
            <w:lang w:val="en-US"/>
          </w:rPr>
          <w:t>2018 by super output area</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_Toc23151242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32</w:t>
        </w:r>
        <w:r w:rsidR="002132D8" w:rsidRPr="00BF1349">
          <w:rPr>
            <w:b w:val="0"/>
            <w:bCs w:val="0"/>
            <w:webHidden/>
          </w:rPr>
          <w:fldChar w:fldCharType="end"/>
        </w:r>
      </w:hyperlink>
    </w:p>
    <w:p w14:paraId="0C4A1F48" w14:textId="1403D556"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43" w:history="1">
        <w:r w:rsidR="002132D8" w:rsidRPr="00BF1349">
          <w:rPr>
            <w:rStyle w:val="Hyperlink"/>
            <w:rFonts w:cs="Calibri"/>
            <w:b w:val="0"/>
            <w:bCs w:val="0"/>
          </w:rPr>
          <w:t>Map 3.2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rFonts w:cs="Calibri"/>
            <w:b w:val="0"/>
            <w:bCs w:val="0"/>
          </w:rPr>
          <w:t>Median house prices 2018 by lower super output area</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_Toc23151243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33</w:t>
        </w:r>
        <w:r w:rsidR="002132D8" w:rsidRPr="00BF1349">
          <w:rPr>
            <w:b w:val="0"/>
            <w:bCs w:val="0"/>
            <w:webHidden/>
          </w:rPr>
          <w:fldChar w:fldCharType="end"/>
        </w:r>
      </w:hyperlink>
    </w:p>
    <w:p w14:paraId="129ECC19" w14:textId="3590C44D"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44" w:history="1">
        <w:r w:rsidR="002132D8" w:rsidRPr="00BF1349">
          <w:rPr>
            <w:rStyle w:val="Hyperlink"/>
            <w:rFonts w:cs="Calibri"/>
            <w:b w:val="0"/>
            <w:bCs w:val="0"/>
          </w:rPr>
          <w:t xml:space="preserve">Map </w:t>
        </w:r>
        <w:r w:rsidR="002132D8" w:rsidRPr="00BF1349">
          <w:rPr>
            <w:rStyle w:val="Hyperlink"/>
            <w:rFonts w:cs="Calibri"/>
            <w:b w:val="0"/>
            <w:bCs w:val="0"/>
            <w:lang w:val="en-US"/>
          </w:rPr>
          <w:t>4</w:t>
        </w:r>
        <w:r w:rsidR="002132D8" w:rsidRPr="00BF1349">
          <w:rPr>
            <w:rStyle w:val="Hyperlink"/>
            <w:rFonts w:cs="Calibri"/>
            <w:b w:val="0"/>
            <w:bCs w:val="0"/>
          </w:rPr>
          <w:t>.1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rFonts w:cs="Calibri"/>
            <w:b w:val="0"/>
            <w:bCs w:val="0"/>
          </w:rPr>
          <w:t>Predominant dwelling type and size</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_Toc23151244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48</w:t>
        </w:r>
        <w:r w:rsidR="002132D8" w:rsidRPr="00BF1349">
          <w:rPr>
            <w:b w:val="0"/>
            <w:bCs w:val="0"/>
            <w:webHidden/>
          </w:rPr>
          <w:fldChar w:fldCharType="end"/>
        </w:r>
      </w:hyperlink>
    </w:p>
    <w:p w14:paraId="7108A4BC" w14:textId="3CE41A90"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45" w:history="1">
        <w:r w:rsidR="002132D8" w:rsidRPr="00BF1349">
          <w:rPr>
            <w:rStyle w:val="Hyperlink"/>
            <w:rFonts w:cs="Calibri"/>
            <w:b w:val="0"/>
            <w:bCs w:val="0"/>
          </w:rPr>
          <w:t>Map 4.2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rFonts w:cs="Calibri"/>
            <w:b w:val="0"/>
            <w:bCs w:val="0"/>
          </w:rPr>
          <w:t>2017 median rents across Lewisham by ward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_Toc23151245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58</w:t>
        </w:r>
        <w:r w:rsidR="002132D8" w:rsidRPr="00BF1349">
          <w:rPr>
            <w:b w:val="0"/>
            <w:bCs w:val="0"/>
            <w:webHidden/>
          </w:rPr>
          <w:fldChar w:fldCharType="end"/>
        </w:r>
      </w:hyperlink>
    </w:p>
    <w:p w14:paraId="73A4AF56" w14:textId="2EC00F04"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46" w:history="1">
        <w:r w:rsidR="002132D8" w:rsidRPr="00BF1349">
          <w:rPr>
            <w:rStyle w:val="Hyperlink"/>
            <w:b w:val="0"/>
            <w:bCs w:val="0"/>
          </w:rPr>
          <w:t xml:space="preserve">Map 2.1  </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The percentage of PRS in each ward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_Toc23151246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159</w:t>
        </w:r>
        <w:r w:rsidR="002132D8" w:rsidRPr="00BF1349">
          <w:rPr>
            <w:b w:val="0"/>
            <w:bCs w:val="0"/>
            <w:webHidden/>
          </w:rPr>
          <w:fldChar w:fldCharType="end"/>
        </w:r>
      </w:hyperlink>
    </w:p>
    <w:p w14:paraId="0FE77DF1" w14:textId="1ACF8C41"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47" w:history="1">
        <w:r w:rsidR="002132D8" w:rsidRPr="00BF1349">
          <w:rPr>
            <w:rStyle w:val="Hyperlink"/>
            <w:b w:val="0"/>
            <w:bCs w:val="0"/>
          </w:rPr>
          <w:t xml:space="preserve">Map 2.2  </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The location of PRS in each ward</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_Toc23151247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160</w:t>
        </w:r>
        <w:r w:rsidR="002132D8" w:rsidRPr="00BF1349">
          <w:rPr>
            <w:b w:val="0"/>
            <w:bCs w:val="0"/>
            <w:webHidden/>
          </w:rPr>
          <w:fldChar w:fldCharType="end"/>
        </w:r>
      </w:hyperlink>
    </w:p>
    <w:p w14:paraId="3ED7383B" w14:textId="040EA8DB"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48" w:history="1">
        <w:r w:rsidR="002132D8" w:rsidRPr="00BF1349">
          <w:rPr>
            <w:rStyle w:val="Hyperlink"/>
            <w:b w:val="0"/>
            <w:bCs w:val="0"/>
          </w:rPr>
          <w:t>Map 3.2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The percentage of the market rented units coming onto the market 2015-2017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_Toc23151248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164</w:t>
        </w:r>
        <w:r w:rsidR="002132D8" w:rsidRPr="00BF1349">
          <w:rPr>
            <w:b w:val="0"/>
            <w:bCs w:val="0"/>
            <w:webHidden/>
          </w:rPr>
          <w:fldChar w:fldCharType="end"/>
        </w:r>
      </w:hyperlink>
    </w:p>
    <w:p w14:paraId="6194F351" w14:textId="173294AF"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49" w:history="1">
        <w:r w:rsidR="002132D8" w:rsidRPr="00BF1349">
          <w:rPr>
            <w:rStyle w:val="Hyperlink"/>
            <w:b w:val="0"/>
            <w:bCs w:val="0"/>
          </w:rPr>
          <w:t>Map 4.1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Percentage of apartments in each Ward 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_Toc23151249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166</w:t>
        </w:r>
        <w:r w:rsidR="002132D8" w:rsidRPr="00BF1349">
          <w:rPr>
            <w:b w:val="0"/>
            <w:bCs w:val="0"/>
            <w:webHidden/>
          </w:rPr>
          <w:fldChar w:fldCharType="end"/>
        </w:r>
      </w:hyperlink>
    </w:p>
    <w:p w14:paraId="2A4759FF" w14:textId="3B26FCB4"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50" w:history="1">
        <w:r w:rsidR="002132D8" w:rsidRPr="00BF1349">
          <w:rPr>
            <w:rStyle w:val="Hyperlink"/>
            <w:b w:val="0"/>
            <w:bCs w:val="0"/>
          </w:rPr>
          <w:t>Map 5.1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Median rent levels – Flats 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_Toc23151250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172</w:t>
        </w:r>
        <w:r w:rsidR="002132D8" w:rsidRPr="00BF1349">
          <w:rPr>
            <w:b w:val="0"/>
            <w:bCs w:val="0"/>
            <w:webHidden/>
          </w:rPr>
          <w:fldChar w:fldCharType="end"/>
        </w:r>
      </w:hyperlink>
    </w:p>
    <w:p w14:paraId="0E5450E0" w14:textId="1E61F94D"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51" w:history="1">
        <w:r w:rsidR="002132D8" w:rsidRPr="00BF1349">
          <w:rPr>
            <w:rStyle w:val="Hyperlink"/>
            <w:b w:val="0"/>
            <w:bCs w:val="0"/>
          </w:rPr>
          <w:t>Map 5.2</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Median rent levels – Houses 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_Toc23151251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173</w:t>
        </w:r>
        <w:r w:rsidR="002132D8" w:rsidRPr="00BF1349">
          <w:rPr>
            <w:b w:val="0"/>
            <w:bCs w:val="0"/>
            <w:webHidden/>
          </w:rPr>
          <w:fldChar w:fldCharType="end"/>
        </w:r>
      </w:hyperlink>
    </w:p>
    <w:p w14:paraId="53AF4E8E" w14:textId="026B3B13"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52" w:history="1">
        <w:r w:rsidR="002132D8" w:rsidRPr="00BF1349">
          <w:rPr>
            <w:rStyle w:val="Hyperlink"/>
            <w:b w:val="0"/>
            <w:bCs w:val="0"/>
            <w:lang w:eastAsia="en-GB"/>
          </w:rPr>
          <w:t>Map 5.3</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eastAsia="en-GB"/>
          </w:rPr>
          <w:t>Median rent - All properties 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_Toc23151252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174</w:t>
        </w:r>
        <w:r w:rsidR="002132D8" w:rsidRPr="00BF1349">
          <w:rPr>
            <w:b w:val="0"/>
            <w:bCs w:val="0"/>
            <w:webHidden/>
          </w:rPr>
          <w:fldChar w:fldCharType="end"/>
        </w:r>
      </w:hyperlink>
    </w:p>
    <w:p w14:paraId="07658BBC" w14:textId="5443CA2C"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53" w:history="1">
        <w:r w:rsidR="002132D8" w:rsidRPr="00BF1349">
          <w:rPr>
            <w:rStyle w:val="Hyperlink"/>
            <w:b w:val="0"/>
            <w:bCs w:val="0"/>
            <w:lang w:eastAsia="en-GB"/>
          </w:rPr>
          <w:t>Map 5.4</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eastAsia="en-GB"/>
          </w:rPr>
          <w:t>Rent change for apartments 2015-2017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_Toc23151253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175</w:t>
        </w:r>
        <w:r w:rsidR="002132D8" w:rsidRPr="00BF1349">
          <w:rPr>
            <w:b w:val="0"/>
            <w:bCs w:val="0"/>
            <w:webHidden/>
          </w:rPr>
          <w:fldChar w:fldCharType="end"/>
        </w:r>
      </w:hyperlink>
    </w:p>
    <w:p w14:paraId="5DAE5F38" w14:textId="3E3BC463" w:rsidR="002132D8" w:rsidRPr="00BF1349" w:rsidRDefault="00C632F2">
      <w:pPr>
        <w:pStyle w:val="TOC1"/>
        <w:rPr>
          <w:rFonts w:asciiTheme="minorHAnsi" w:eastAsiaTheme="minorEastAsia" w:hAnsiTheme="minorHAnsi" w:cstheme="minorBidi"/>
          <w:b w:val="0"/>
          <w:bCs w:val="0"/>
          <w:sz w:val="22"/>
          <w:szCs w:val="22"/>
          <w:lang w:eastAsia="en-GB"/>
        </w:rPr>
      </w:pPr>
      <w:hyperlink w:anchor="_Toc23151254" w:history="1">
        <w:r w:rsidR="002132D8" w:rsidRPr="00BF1349">
          <w:rPr>
            <w:rStyle w:val="Hyperlink"/>
            <w:b w:val="0"/>
            <w:bCs w:val="0"/>
            <w:lang w:eastAsia="en-GB"/>
          </w:rPr>
          <w:t>Map 5.5</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lang w:eastAsia="en-GB"/>
          </w:rPr>
          <w:t>Rent change for houses 2015-2017</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_Toc23151254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176</w:t>
        </w:r>
        <w:r w:rsidR="002132D8" w:rsidRPr="00BF1349">
          <w:rPr>
            <w:b w:val="0"/>
            <w:bCs w:val="0"/>
            <w:webHidden/>
          </w:rPr>
          <w:fldChar w:fldCharType="end"/>
        </w:r>
      </w:hyperlink>
    </w:p>
    <w:p w14:paraId="0587E2D4" w14:textId="47E6923E" w:rsidR="002132D8" w:rsidRDefault="00C632F2">
      <w:pPr>
        <w:pStyle w:val="TOC1"/>
        <w:rPr>
          <w:rFonts w:asciiTheme="minorHAnsi" w:eastAsiaTheme="minorEastAsia" w:hAnsiTheme="minorHAnsi" w:cstheme="minorBidi"/>
          <w:b w:val="0"/>
          <w:bCs w:val="0"/>
          <w:sz w:val="22"/>
          <w:szCs w:val="22"/>
          <w:lang w:eastAsia="en-GB"/>
        </w:rPr>
      </w:pPr>
      <w:hyperlink w:anchor="_Toc23151255" w:history="1">
        <w:r w:rsidR="002132D8" w:rsidRPr="00BF1349">
          <w:rPr>
            <w:rStyle w:val="Hyperlink"/>
            <w:b w:val="0"/>
            <w:bCs w:val="0"/>
          </w:rPr>
          <w:t>Map 6.1</w:t>
        </w:r>
        <w:r w:rsidR="002132D8" w:rsidRPr="00BF1349">
          <w:rPr>
            <w:rFonts w:asciiTheme="minorHAnsi" w:eastAsiaTheme="minorEastAsia" w:hAnsiTheme="minorHAnsi" w:cstheme="minorBidi"/>
            <w:b w:val="0"/>
            <w:bCs w:val="0"/>
            <w:sz w:val="22"/>
            <w:szCs w:val="22"/>
            <w:lang w:eastAsia="en-GB"/>
          </w:rPr>
          <w:tab/>
        </w:r>
        <w:r w:rsidR="002132D8" w:rsidRPr="00BF1349">
          <w:rPr>
            <w:rStyle w:val="Hyperlink"/>
            <w:b w:val="0"/>
            <w:bCs w:val="0"/>
          </w:rPr>
          <w:t>The percentage of income to be spent on rent to afford a median rent for a house</w:t>
        </w:r>
        <w:r w:rsidR="002132D8" w:rsidRPr="00BF1349">
          <w:rPr>
            <w:b w:val="0"/>
            <w:bCs w:val="0"/>
            <w:webHidden/>
          </w:rPr>
          <w:tab/>
        </w:r>
        <w:r w:rsidR="002132D8" w:rsidRPr="00BF1349">
          <w:rPr>
            <w:b w:val="0"/>
            <w:bCs w:val="0"/>
            <w:webHidden/>
          </w:rPr>
          <w:fldChar w:fldCharType="begin"/>
        </w:r>
        <w:r w:rsidR="002132D8" w:rsidRPr="00BF1349">
          <w:rPr>
            <w:b w:val="0"/>
            <w:bCs w:val="0"/>
            <w:webHidden/>
          </w:rPr>
          <w:instrText xml:space="preserve"> PAGEREF _Toc23151255 \h </w:instrText>
        </w:r>
        <w:r w:rsidR="002132D8" w:rsidRPr="00BF1349">
          <w:rPr>
            <w:b w:val="0"/>
            <w:bCs w:val="0"/>
            <w:webHidden/>
          </w:rPr>
        </w:r>
        <w:r w:rsidR="002132D8" w:rsidRPr="00BF1349">
          <w:rPr>
            <w:b w:val="0"/>
            <w:bCs w:val="0"/>
            <w:webHidden/>
          </w:rPr>
          <w:fldChar w:fldCharType="separate"/>
        </w:r>
        <w:r w:rsidR="00BF1349" w:rsidRPr="00BF1349">
          <w:rPr>
            <w:b w:val="0"/>
            <w:bCs w:val="0"/>
            <w:webHidden/>
          </w:rPr>
          <w:t>180</w:t>
        </w:r>
        <w:r w:rsidR="002132D8" w:rsidRPr="00BF1349">
          <w:rPr>
            <w:b w:val="0"/>
            <w:bCs w:val="0"/>
            <w:webHidden/>
          </w:rPr>
          <w:fldChar w:fldCharType="end"/>
        </w:r>
      </w:hyperlink>
    </w:p>
    <w:p w14:paraId="03706994" w14:textId="3872F0ED" w:rsidR="005360CE" w:rsidRPr="0067297E" w:rsidRDefault="00586FA9" w:rsidP="00543A76">
      <w:pPr>
        <w:rPr>
          <w:rFonts w:asciiTheme="minorHAnsi" w:hAnsiTheme="minorHAnsi" w:cs="Calibri"/>
          <w:sz w:val="32"/>
        </w:rPr>
      </w:pPr>
      <w:r w:rsidRPr="0067297E">
        <w:rPr>
          <w:rFonts w:asciiTheme="minorHAnsi" w:hAnsiTheme="minorHAnsi" w:cs="Calibri"/>
        </w:rPr>
        <w:fldChar w:fldCharType="end"/>
      </w:r>
      <w:r w:rsidR="00253B60" w:rsidRPr="0067297E">
        <w:rPr>
          <w:rFonts w:asciiTheme="minorHAnsi" w:hAnsiTheme="minorHAnsi" w:cs="Calibri"/>
          <w:i/>
          <w:iCs/>
          <w:color w:val="008080"/>
          <w:sz w:val="20"/>
          <w:szCs w:val="20"/>
          <w:lang w:eastAsia="en-GB"/>
        </w:rPr>
        <w:br w:type="page"/>
      </w:r>
      <w:r w:rsidR="005360CE" w:rsidRPr="0067297E">
        <w:rPr>
          <w:rFonts w:asciiTheme="minorHAnsi" w:hAnsiTheme="minorHAnsi" w:cs="Calibri"/>
          <w:b/>
          <w:iCs/>
          <w:color w:val="008080"/>
          <w:szCs w:val="20"/>
          <w:lang w:eastAsia="en-GB"/>
        </w:rPr>
        <w:lastRenderedPageBreak/>
        <w:t>Please note that in this report some of the tables include rounded figures. This can result in some column or row totals not adding up to 100 or to the anticipated row or column ‘total’ due to the use of rounded decimal figures. We include this description here as it covers all tables and associated textual commentary included. If tables or figures are to be used in-house then we recommend the addition of a similarly worded statement being included as a note to each table used.</w:t>
      </w:r>
    </w:p>
    <w:p w14:paraId="0A8F159B" w14:textId="77777777" w:rsidR="005406BC" w:rsidRPr="0067297E" w:rsidRDefault="005406BC" w:rsidP="00543A76">
      <w:pPr>
        <w:tabs>
          <w:tab w:val="right" w:pos="9214"/>
          <w:tab w:val="right" w:leader="dot" w:pos="9356"/>
        </w:tabs>
        <w:ind w:right="-2"/>
        <w:rPr>
          <w:rFonts w:asciiTheme="minorHAnsi" w:hAnsiTheme="minorHAnsi" w:cs="Calibri"/>
        </w:rPr>
      </w:pPr>
    </w:p>
    <w:p w14:paraId="2E3C8FAF" w14:textId="77777777" w:rsidR="005360CE" w:rsidRPr="0067297E" w:rsidRDefault="005360CE" w:rsidP="00543A76">
      <w:pPr>
        <w:tabs>
          <w:tab w:val="right" w:pos="9214"/>
          <w:tab w:val="right" w:leader="dot" w:pos="9356"/>
        </w:tabs>
        <w:ind w:right="-2"/>
        <w:rPr>
          <w:rFonts w:asciiTheme="minorHAnsi" w:hAnsiTheme="minorHAnsi" w:cs="Calibri"/>
        </w:rPr>
      </w:pPr>
    </w:p>
    <w:p w14:paraId="64610523" w14:textId="77777777" w:rsidR="005360CE" w:rsidRPr="0067297E" w:rsidRDefault="005360CE" w:rsidP="00543A76">
      <w:pPr>
        <w:tabs>
          <w:tab w:val="right" w:pos="9214"/>
          <w:tab w:val="right" w:leader="dot" w:pos="9356"/>
        </w:tabs>
        <w:ind w:right="-2"/>
        <w:rPr>
          <w:rFonts w:asciiTheme="minorHAnsi" w:hAnsiTheme="minorHAnsi" w:cs="Calibri"/>
        </w:rPr>
      </w:pPr>
    </w:p>
    <w:p w14:paraId="790F0460" w14:textId="77777777" w:rsidR="005360CE" w:rsidRPr="0067297E" w:rsidRDefault="005360CE" w:rsidP="00543A76">
      <w:pPr>
        <w:tabs>
          <w:tab w:val="right" w:pos="9214"/>
          <w:tab w:val="right" w:leader="dot" w:pos="9356"/>
        </w:tabs>
        <w:ind w:right="-2"/>
        <w:rPr>
          <w:rFonts w:asciiTheme="minorHAnsi" w:hAnsiTheme="minorHAnsi" w:cs="Calibri"/>
        </w:rPr>
      </w:pPr>
    </w:p>
    <w:p w14:paraId="5027CFF5" w14:textId="77777777" w:rsidR="005360CE" w:rsidRPr="0067297E" w:rsidRDefault="005360CE" w:rsidP="00543A76">
      <w:pPr>
        <w:tabs>
          <w:tab w:val="right" w:pos="9214"/>
          <w:tab w:val="right" w:leader="dot" w:pos="9356"/>
        </w:tabs>
        <w:ind w:right="-2"/>
        <w:rPr>
          <w:rFonts w:asciiTheme="minorHAnsi" w:hAnsiTheme="minorHAnsi" w:cs="Calibri"/>
        </w:rPr>
      </w:pPr>
    </w:p>
    <w:p w14:paraId="2261D83A" w14:textId="77777777" w:rsidR="005360CE" w:rsidRPr="0067297E" w:rsidRDefault="005360CE" w:rsidP="00543A76">
      <w:pPr>
        <w:tabs>
          <w:tab w:val="right" w:pos="9214"/>
          <w:tab w:val="right" w:leader="dot" w:pos="9356"/>
        </w:tabs>
        <w:ind w:right="-2"/>
        <w:rPr>
          <w:rFonts w:asciiTheme="minorHAnsi" w:hAnsiTheme="minorHAnsi" w:cs="Calibri"/>
        </w:rPr>
      </w:pPr>
    </w:p>
    <w:p w14:paraId="1EB0E3F7" w14:textId="77777777" w:rsidR="005360CE" w:rsidRPr="0067297E" w:rsidRDefault="005360CE" w:rsidP="00543A76">
      <w:pPr>
        <w:tabs>
          <w:tab w:val="right" w:pos="9214"/>
          <w:tab w:val="right" w:leader="dot" w:pos="9356"/>
        </w:tabs>
        <w:ind w:right="-2"/>
        <w:rPr>
          <w:rFonts w:asciiTheme="minorHAnsi" w:hAnsiTheme="minorHAnsi" w:cs="Calibri"/>
        </w:rPr>
      </w:pPr>
    </w:p>
    <w:p w14:paraId="03264BBB" w14:textId="77777777" w:rsidR="005360CE" w:rsidRPr="0067297E" w:rsidRDefault="005360CE" w:rsidP="00543A76">
      <w:pPr>
        <w:tabs>
          <w:tab w:val="right" w:pos="9214"/>
          <w:tab w:val="right" w:leader="dot" w:pos="9356"/>
        </w:tabs>
        <w:ind w:right="-2"/>
        <w:rPr>
          <w:rFonts w:asciiTheme="minorHAnsi" w:hAnsiTheme="minorHAnsi" w:cs="Calibri"/>
        </w:rPr>
      </w:pPr>
    </w:p>
    <w:p w14:paraId="6F3405F8" w14:textId="77777777" w:rsidR="005360CE" w:rsidRPr="0067297E" w:rsidRDefault="005360CE" w:rsidP="00543A76">
      <w:pPr>
        <w:tabs>
          <w:tab w:val="right" w:pos="9214"/>
          <w:tab w:val="right" w:leader="dot" w:pos="9356"/>
        </w:tabs>
        <w:ind w:right="-2"/>
        <w:rPr>
          <w:rFonts w:asciiTheme="minorHAnsi" w:hAnsiTheme="minorHAnsi" w:cs="Calibri"/>
        </w:rPr>
      </w:pPr>
    </w:p>
    <w:p w14:paraId="39D5EE69" w14:textId="77777777" w:rsidR="005360CE" w:rsidRPr="0067297E" w:rsidRDefault="005360CE" w:rsidP="00543A76">
      <w:pPr>
        <w:tabs>
          <w:tab w:val="right" w:pos="9214"/>
          <w:tab w:val="right" w:leader="dot" w:pos="9356"/>
        </w:tabs>
        <w:ind w:right="-2"/>
        <w:rPr>
          <w:rFonts w:asciiTheme="minorHAnsi" w:hAnsiTheme="minorHAnsi" w:cs="Calibri"/>
        </w:rPr>
      </w:pPr>
    </w:p>
    <w:p w14:paraId="5F281187" w14:textId="77777777" w:rsidR="005360CE" w:rsidRPr="0067297E" w:rsidRDefault="005360CE" w:rsidP="00543A76">
      <w:pPr>
        <w:tabs>
          <w:tab w:val="right" w:pos="9214"/>
          <w:tab w:val="right" w:leader="dot" w:pos="9356"/>
        </w:tabs>
        <w:ind w:right="-2"/>
        <w:rPr>
          <w:rFonts w:asciiTheme="minorHAnsi" w:hAnsiTheme="minorHAnsi" w:cs="Calibri"/>
        </w:rPr>
      </w:pPr>
    </w:p>
    <w:p w14:paraId="1F354AA7" w14:textId="77777777" w:rsidR="005360CE" w:rsidRPr="0067297E" w:rsidRDefault="005360CE" w:rsidP="00543A76">
      <w:pPr>
        <w:tabs>
          <w:tab w:val="right" w:pos="9214"/>
          <w:tab w:val="right" w:leader="dot" w:pos="9356"/>
        </w:tabs>
        <w:ind w:right="-2"/>
        <w:rPr>
          <w:rFonts w:asciiTheme="minorHAnsi" w:hAnsiTheme="minorHAnsi" w:cs="Calibri"/>
        </w:rPr>
      </w:pPr>
    </w:p>
    <w:p w14:paraId="5A7D9DA4" w14:textId="77777777" w:rsidR="005360CE" w:rsidRPr="0067297E" w:rsidRDefault="005360CE" w:rsidP="00543A76">
      <w:pPr>
        <w:tabs>
          <w:tab w:val="right" w:pos="9214"/>
          <w:tab w:val="right" w:leader="dot" w:pos="9356"/>
        </w:tabs>
        <w:ind w:right="-2"/>
        <w:rPr>
          <w:rFonts w:asciiTheme="minorHAnsi" w:hAnsiTheme="minorHAnsi" w:cs="Calibri"/>
        </w:rPr>
      </w:pPr>
    </w:p>
    <w:p w14:paraId="20158687" w14:textId="48DFBCE5" w:rsidR="005360CE" w:rsidRDefault="005360CE" w:rsidP="00543A76">
      <w:pPr>
        <w:tabs>
          <w:tab w:val="right" w:pos="9214"/>
          <w:tab w:val="right" w:leader="dot" w:pos="9356"/>
        </w:tabs>
        <w:ind w:right="-2"/>
        <w:rPr>
          <w:rFonts w:asciiTheme="minorHAnsi" w:hAnsiTheme="minorHAnsi" w:cs="Calibri"/>
        </w:rPr>
      </w:pPr>
    </w:p>
    <w:p w14:paraId="4A5E892A" w14:textId="27C0E048" w:rsidR="00794144" w:rsidRDefault="00794144" w:rsidP="00543A76">
      <w:pPr>
        <w:tabs>
          <w:tab w:val="right" w:pos="9214"/>
          <w:tab w:val="right" w:leader="dot" w:pos="9356"/>
        </w:tabs>
        <w:ind w:right="-2"/>
        <w:rPr>
          <w:rFonts w:asciiTheme="minorHAnsi" w:hAnsiTheme="minorHAnsi" w:cs="Calibri"/>
        </w:rPr>
      </w:pPr>
    </w:p>
    <w:p w14:paraId="2D6903B2" w14:textId="30BF9FD4" w:rsidR="00794144" w:rsidRDefault="00794144" w:rsidP="00543A76">
      <w:pPr>
        <w:tabs>
          <w:tab w:val="right" w:pos="9214"/>
          <w:tab w:val="right" w:leader="dot" w:pos="9356"/>
        </w:tabs>
        <w:ind w:right="-2"/>
        <w:rPr>
          <w:rFonts w:asciiTheme="minorHAnsi" w:hAnsiTheme="minorHAnsi" w:cs="Calibri"/>
        </w:rPr>
      </w:pPr>
    </w:p>
    <w:p w14:paraId="42634B87" w14:textId="765546C4" w:rsidR="00794144" w:rsidRDefault="00794144" w:rsidP="00543A76">
      <w:pPr>
        <w:tabs>
          <w:tab w:val="right" w:pos="9214"/>
          <w:tab w:val="right" w:leader="dot" w:pos="9356"/>
        </w:tabs>
        <w:ind w:right="-2"/>
        <w:rPr>
          <w:rFonts w:asciiTheme="minorHAnsi" w:hAnsiTheme="minorHAnsi" w:cs="Calibri"/>
        </w:rPr>
      </w:pPr>
    </w:p>
    <w:p w14:paraId="4088CD68" w14:textId="5B3CE087" w:rsidR="00794144" w:rsidRDefault="00794144" w:rsidP="00543A76">
      <w:pPr>
        <w:tabs>
          <w:tab w:val="right" w:pos="9214"/>
          <w:tab w:val="right" w:leader="dot" w:pos="9356"/>
        </w:tabs>
        <w:ind w:right="-2"/>
        <w:rPr>
          <w:rFonts w:asciiTheme="minorHAnsi" w:hAnsiTheme="minorHAnsi" w:cs="Calibri"/>
        </w:rPr>
      </w:pPr>
    </w:p>
    <w:p w14:paraId="497E7B67" w14:textId="1450E886" w:rsidR="00794144" w:rsidRDefault="00794144" w:rsidP="00543A76">
      <w:pPr>
        <w:tabs>
          <w:tab w:val="right" w:pos="9214"/>
          <w:tab w:val="right" w:leader="dot" w:pos="9356"/>
        </w:tabs>
        <w:ind w:right="-2"/>
        <w:rPr>
          <w:rFonts w:asciiTheme="minorHAnsi" w:hAnsiTheme="minorHAnsi" w:cs="Calibri"/>
        </w:rPr>
      </w:pPr>
    </w:p>
    <w:p w14:paraId="7EF528CE" w14:textId="1E2B55A8" w:rsidR="00794144" w:rsidRDefault="00794144" w:rsidP="00543A76">
      <w:pPr>
        <w:tabs>
          <w:tab w:val="right" w:pos="9214"/>
          <w:tab w:val="right" w:leader="dot" w:pos="9356"/>
        </w:tabs>
        <w:ind w:right="-2"/>
        <w:rPr>
          <w:rFonts w:asciiTheme="minorHAnsi" w:hAnsiTheme="minorHAnsi" w:cs="Calibri"/>
        </w:rPr>
      </w:pPr>
    </w:p>
    <w:p w14:paraId="7F81DA61" w14:textId="33A3BEF7" w:rsidR="00794144" w:rsidRDefault="00794144" w:rsidP="00543A76">
      <w:pPr>
        <w:tabs>
          <w:tab w:val="right" w:pos="9214"/>
          <w:tab w:val="right" w:leader="dot" w:pos="9356"/>
        </w:tabs>
        <w:ind w:right="-2"/>
        <w:rPr>
          <w:rFonts w:asciiTheme="minorHAnsi" w:hAnsiTheme="minorHAnsi" w:cs="Calibri"/>
        </w:rPr>
      </w:pPr>
    </w:p>
    <w:p w14:paraId="2BE1C9CC" w14:textId="10075634" w:rsidR="00794144" w:rsidRDefault="00794144" w:rsidP="00543A76">
      <w:pPr>
        <w:tabs>
          <w:tab w:val="right" w:pos="9214"/>
          <w:tab w:val="right" w:leader="dot" w:pos="9356"/>
        </w:tabs>
        <w:ind w:right="-2"/>
        <w:rPr>
          <w:rFonts w:asciiTheme="minorHAnsi" w:hAnsiTheme="minorHAnsi" w:cs="Calibri"/>
        </w:rPr>
      </w:pPr>
    </w:p>
    <w:p w14:paraId="0482BA1F" w14:textId="77777777" w:rsidR="00794144" w:rsidRPr="0067297E" w:rsidRDefault="00794144" w:rsidP="00543A76">
      <w:pPr>
        <w:tabs>
          <w:tab w:val="right" w:pos="9214"/>
          <w:tab w:val="right" w:leader="dot" w:pos="9356"/>
        </w:tabs>
        <w:ind w:right="-2"/>
        <w:rPr>
          <w:rFonts w:asciiTheme="minorHAnsi" w:hAnsiTheme="minorHAnsi" w:cs="Calibri"/>
        </w:rPr>
      </w:pPr>
    </w:p>
    <w:p w14:paraId="74D6BCBC" w14:textId="77777777" w:rsidR="005360CE" w:rsidRPr="0067297E" w:rsidRDefault="005360CE" w:rsidP="00543A76">
      <w:pPr>
        <w:tabs>
          <w:tab w:val="right" w:pos="9214"/>
          <w:tab w:val="right" w:leader="dot" w:pos="9356"/>
        </w:tabs>
        <w:ind w:right="-2"/>
        <w:rPr>
          <w:rFonts w:asciiTheme="minorHAnsi" w:hAnsiTheme="minorHAnsi" w:cs="Calibri"/>
        </w:rPr>
      </w:pPr>
    </w:p>
    <w:p w14:paraId="6D137460" w14:textId="77777777" w:rsidR="005360CE" w:rsidRPr="0067297E" w:rsidRDefault="005360CE" w:rsidP="00543A76">
      <w:pPr>
        <w:tabs>
          <w:tab w:val="right" w:pos="9214"/>
          <w:tab w:val="right" w:leader="dot" w:pos="9356"/>
        </w:tabs>
        <w:ind w:right="-2"/>
        <w:rPr>
          <w:rFonts w:asciiTheme="minorHAnsi" w:hAnsiTheme="minorHAnsi" w:cs="Calibri"/>
        </w:rPr>
      </w:pPr>
    </w:p>
    <w:p w14:paraId="1E647F4A" w14:textId="77777777" w:rsidR="005360CE" w:rsidRPr="0067297E" w:rsidRDefault="005360CE" w:rsidP="00543A76">
      <w:pPr>
        <w:tabs>
          <w:tab w:val="right" w:pos="9214"/>
          <w:tab w:val="right" w:leader="dot" w:pos="9356"/>
        </w:tabs>
        <w:ind w:right="-2"/>
        <w:rPr>
          <w:rFonts w:asciiTheme="minorHAnsi" w:hAnsiTheme="minorHAnsi" w:cs="Calibri"/>
        </w:rPr>
      </w:pPr>
    </w:p>
    <w:p w14:paraId="1073E977" w14:textId="77777777" w:rsidR="005360CE" w:rsidRPr="0067297E" w:rsidRDefault="005360CE" w:rsidP="00543A76">
      <w:pPr>
        <w:tabs>
          <w:tab w:val="right" w:pos="9214"/>
          <w:tab w:val="right" w:leader="dot" w:pos="9356"/>
        </w:tabs>
        <w:ind w:right="-2"/>
        <w:rPr>
          <w:rFonts w:asciiTheme="minorHAnsi" w:hAnsiTheme="minorHAnsi" w:cs="Calibri"/>
        </w:rPr>
      </w:pPr>
    </w:p>
    <w:p w14:paraId="36C0AC0B" w14:textId="6FA3CF40" w:rsidR="005360CE" w:rsidRPr="0067297E" w:rsidRDefault="005360CE" w:rsidP="00543A76">
      <w:pPr>
        <w:tabs>
          <w:tab w:val="right" w:pos="9214"/>
          <w:tab w:val="right" w:leader="dot" w:pos="9356"/>
        </w:tabs>
        <w:ind w:right="-2"/>
        <w:rPr>
          <w:rFonts w:asciiTheme="minorHAnsi" w:hAnsiTheme="minorHAnsi" w:cs="Calibri"/>
        </w:rPr>
      </w:pPr>
    </w:p>
    <w:p w14:paraId="7A52AD14" w14:textId="77777777" w:rsidR="00116269" w:rsidRPr="0067297E" w:rsidRDefault="00116269" w:rsidP="00543A76">
      <w:pPr>
        <w:tabs>
          <w:tab w:val="right" w:pos="9214"/>
          <w:tab w:val="right" w:leader="dot" w:pos="9356"/>
        </w:tabs>
        <w:ind w:right="-2"/>
        <w:rPr>
          <w:rFonts w:asciiTheme="minorHAnsi" w:hAnsiTheme="minorHAnsi" w:cs="Calibri"/>
        </w:rPr>
      </w:pPr>
    </w:p>
    <w:p w14:paraId="263AB62B" w14:textId="77777777" w:rsidR="00781BC0" w:rsidRPr="0067297E" w:rsidRDefault="00781BC0" w:rsidP="00543A76">
      <w:pPr>
        <w:tabs>
          <w:tab w:val="right" w:pos="9214"/>
          <w:tab w:val="right" w:leader="dot" w:pos="9356"/>
        </w:tabs>
        <w:ind w:right="-2"/>
        <w:rPr>
          <w:rFonts w:asciiTheme="minorHAnsi" w:hAnsiTheme="minorHAnsi" w:cs="Calibri"/>
        </w:rPr>
      </w:pPr>
    </w:p>
    <w:p w14:paraId="356B4712" w14:textId="77777777" w:rsidR="005066A9" w:rsidRPr="0067297E" w:rsidRDefault="005066A9" w:rsidP="00FA273F">
      <w:pPr>
        <w:tabs>
          <w:tab w:val="right" w:pos="9214"/>
          <w:tab w:val="right" w:leader="dot" w:pos="9356"/>
        </w:tabs>
        <w:ind w:right="-2"/>
        <w:rPr>
          <w:rFonts w:asciiTheme="minorHAnsi" w:hAnsiTheme="minorHAnsi" w:cs="Calibri"/>
          <w:i/>
          <w:iCs/>
          <w:color w:val="009999"/>
          <w:sz w:val="20"/>
          <w:szCs w:val="20"/>
        </w:rPr>
      </w:pPr>
      <w:bookmarkStart w:id="3" w:name="_Toc297239571"/>
      <w:bookmarkEnd w:id="2"/>
      <w:r w:rsidRPr="0067297E">
        <w:rPr>
          <w:rFonts w:asciiTheme="minorHAnsi" w:hAnsiTheme="minorHAnsi" w:cs="Calibri"/>
          <w:i/>
          <w:iCs/>
          <w:color w:val="009999"/>
          <w:sz w:val="20"/>
          <w:szCs w:val="20"/>
        </w:rPr>
        <w:t>This report takes into account the particular instructions and requirements of our client. It is not intended for and should not be relied upon by any third party and no responsibility is undertaken to any third party.</w:t>
      </w:r>
    </w:p>
    <w:p w14:paraId="6F9240E6" w14:textId="2172EEE8" w:rsidR="005066A9" w:rsidRPr="0067297E" w:rsidRDefault="005066A9" w:rsidP="00FA273F">
      <w:pPr>
        <w:rPr>
          <w:rFonts w:asciiTheme="minorHAnsi" w:hAnsiTheme="minorHAnsi" w:cs="Calibri"/>
          <w:i/>
          <w:iCs/>
          <w:color w:val="009999"/>
          <w:sz w:val="20"/>
          <w:szCs w:val="20"/>
        </w:rPr>
      </w:pPr>
      <w:r w:rsidRPr="0067297E">
        <w:rPr>
          <w:rFonts w:asciiTheme="minorHAnsi" w:hAnsiTheme="minorHAnsi" w:cs="Calibri"/>
          <w:i/>
          <w:iCs/>
          <w:color w:val="009999"/>
          <w:sz w:val="20"/>
          <w:szCs w:val="20"/>
        </w:rPr>
        <w:t>arc</w:t>
      </w:r>
      <w:r w:rsidRPr="0067297E">
        <w:rPr>
          <w:rFonts w:asciiTheme="minorHAnsi" w:hAnsiTheme="minorHAnsi" w:cs="Calibri"/>
          <w:i/>
          <w:iCs/>
          <w:color w:val="009999"/>
          <w:sz w:val="20"/>
          <w:szCs w:val="20"/>
          <w:vertAlign w:val="superscript"/>
        </w:rPr>
        <w:t xml:space="preserve">4 </w:t>
      </w:r>
      <w:r w:rsidRPr="0067297E">
        <w:rPr>
          <w:rFonts w:asciiTheme="minorHAnsi" w:hAnsiTheme="minorHAnsi" w:cs="Calibri"/>
          <w:i/>
          <w:iCs/>
          <w:color w:val="009999"/>
          <w:sz w:val="20"/>
          <w:szCs w:val="20"/>
        </w:rPr>
        <w:t>Limited accepts no responsibility or liability for, and makes no representation or warranty with respect to, the accuracy or completeness of any third party information (including data) that is contained in this document.</w:t>
      </w:r>
    </w:p>
    <w:p w14:paraId="514410E6" w14:textId="54D7D563" w:rsidR="00116269" w:rsidRPr="0067297E" w:rsidRDefault="00116269" w:rsidP="00FA273F">
      <w:pPr>
        <w:rPr>
          <w:rFonts w:asciiTheme="minorHAnsi" w:hAnsiTheme="minorHAnsi" w:cs="Calibri"/>
          <w:i/>
          <w:iCs/>
          <w:color w:val="009999"/>
          <w:sz w:val="20"/>
          <w:szCs w:val="20"/>
        </w:rPr>
      </w:pPr>
    </w:p>
    <w:p w14:paraId="77220842" w14:textId="77777777" w:rsidR="00116269" w:rsidRPr="0067297E" w:rsidRDefault="00116269" w:rsidP="00FA273F">
      <w:pPr>
        <w:rPr>
          <w:rFonts w:asciiTheme="minorHAnsi" w:hAnsiTheme="minorHAnsi" w:cs="Calibri"/>
          <w:i/>
          <w:iCs/>
          <w:color w:val="009999"/>
          <w:sz w:val="20"/>
          <w:szCs w:val="20"/>
        </w:rPr>
      </w:pPr>
    </w:p>
    <w:p w14:paraId="17F55F7D" w14:textId="77777777" w:rsidR="00116269" w:rsidRPr="0067297E" w:rsidRDefault="00116269" w:rsidP="00116269">
      <w:pPr>
        <w:tabs>
          <w:tab w:val="right" w:pos="9214"/>
          <w:tab w:val="right" w:leader="dot" w:pos="9356"/>
        </w:tabs>
        <w:jc w:val="center"/>
        <w:rPr>
          <w:rFonts w:asciiTheme="minorHAnsi" w:hAnsiTheme="minorHAnsi" w:cs="Arial"/>
          <w:i/>
          <w:iCs/>
          <w:color w:val="009999"/>
          <w:sz w:val="18"/>
          <w:szCs w:val="20"/>
        </w:rPr>
      </w:pPr>
      <w:r w:rsidRPr="0067297E">
        <w:rPr>
          <w:rFonts w:asciiTheme="minorHAnsi" w:hAnsiTheme="minorHAnsi" w:cs="Arial"/>
          <w:i/>
          <w:iCs/>
          <w:color w:val="009999"/>
          <w:sz w:val="18"/>
          <w:szCs w:val="20"/>
        </w:rPr>
        <w:t>Registered Address: arc4, 41 Clarendon Road, Sale Manchester M33 2DY</w:t>
      </w:r>
    </w:p>
    <w:p w14:paraId="3B5D0837" w14:textId="16EFF057" w:rsidR="00116269" w:rsidRPr="0067297E" w:rsidRDefault="00116269" w:rsidP="00116269">
      <w:pPr>
        <w:tabs>
          <w:tab w:val="right" w:pos="9214"/>
          <w:tab w:val="right" w:leader="dot" w:pos="9356"/>
        </w:tabs>
        <w:jc w:val="center"/>
        <w:rPr>
          <w:rFonts w:asciiTheme="minorHAnsi" w:hAnsiTheme="minorHAnsi" w:cs="Arial"/>
          <w:i/>
          <w:iCs/>
          <w:color w:val="009999"/>
          <w:sz w:val="18"/>
          <w:szCs w:val="20"/>
          <w:lang w:val="fr-FR"/>
        </w:rPr>
      </w:pPr>
      <w:r w:rsidRPr="0067297E">
        <w:rPr>
          <w:rFonts w:asciiTheme="minorHAnsi" w:hAnsiTheme="minorHAnsi" w:cs="Arial"/>
          <w:i/>
          <w:iCs/>
          <w:color w:val="009999"/>
          <w:sz w:val="18"/>
          <w:szCs w:val="20"/>
          <w:lang w:val="fr-FR"/>
        </w:rPr>
        <w:t xml:space="preserve">Email: </w:t>
      </w:r>
      <w:hyperlink r:id="rId12" w:history="1">
        <w:r w:rsidRPr="0067297E">
          <w:rPr>
            <w:rFonts w:asciiTheme="minorHAnsi" w:hAnsiTheme="minorHAnsi"/>
            <w:i/>
            <w:iCs/>
            <w:color w:val="009999"/>
            <w:sz w:val="18"/>
            <w:szCs w:val="20"/>
            <w:lang w:val="fr-FR"/>
          </w:rPr>
          <w:t>contact@arc4.co.uk</w:t>
        </w:r>
      </w:hyperlink>
      <w:r w:rsidRPr="0067297E">
        <w:rPr>
          <w:rFonts w:asciiTheme="minorHAnsi" w:hAnsiTheme="minorHAnsi" w:cs="Arial"/>
          <w:i/>
          <w:iCs/>
          <w:color w:val="009999"/>
          <w:sz w:val="18"/>
          <w:szCs w:val="20"/>
          <w:lang w:val="fr-FR"/>
        </w:rPr>
        <w:t xml:space="preserve">     </w:t>
      </w:r>
      <w:hyperlink r:id="rId13" w:history="1">
        <w:r w:rsidR="009643F5">
          <w:rPr>
            <w:rStyle w:val="Hyperlink"/>
            <w:rFonts w:asciiTheme="minorHAnsi" w:hAnsiTheme="minorHAnsi"/>
            <w:i/>
            <w:iCs/>
            <w:sz w:val="18"/>
            <w:szCs w:val="20"/>
            <w:lang w:val="fr-FR"/>
          </w:rPr>
          <w:t>arc4 Website</w:t>
        </w:r>
      </w:hyperlink>
    </w:p>
    <w:p w14:paraId="7B10FC98" w14:textId="77777777" w:rsidR="00116269" w:rsidRPr="0067297E" w:rsidRDefault="00116269" w:rsidP="00116269">
      <w:pPr>
        <w:tabs>
          <w:tab w:val="right" w:pos="9214"/>
          <w:tab w:val="right" w:leader="dot" w:pos="9356"/>
        </w:tabs>
        <w:jc w:val="center"/>
        <w:rPr>
          <w:rFonts w:asciiTheme="minorHAnsi" w:hAnsiTheme="minorHAnsi" w:cs="Arial"/>
          <w:i/>
          <w:iCs/>
          <w:color w:val="009999"/>
          <w:sz w:val="18"/>
          <w:szCs w:val="20"/>
        </w:rPr>
      </w:pPr>
      <w:r w:rsidRPr="0067297E">
        <w:rPr>
          <w:rFonts w:asciiTheme="minorHAnsi" w:hAnsiTheme="minorHAnsi" w:cs="Arial"/>
          <w:i/>
          <w:iCs/>
          <w:color w:val="009999"/>
          <w:sz w:val="18"/>
          <w:szCs w:val="20"/>
        </w:rPr>
        <w:t>arc4  Limited Registered in England &amp; Wales 6205180   VAT Registration No:  909 9814 77</w:t>
      </w:r>
    </w:p>
    <w:p w14:paraId="7F7072E9" w14:textId="54A4E451" w:rsidR="00116269" w:rsidRPr="0067297E" w:rsidRDefault="00116269" w:rsidP="00116269">
      <w:pPr>
        <w:tabs>
          <w:tab w:val="right" w:pos="9214"/>
          <w:tab w:val="right" w:leader="dot" w:pos="9356"/>
        </w:tabs>
        <w:jc w:val="center"/>
        <w:rPr>
          <w:rFonts w:asciiTheme="minorHAnsi" w:hAnsiTheme="minorHAnsi" w:cs="Arial"/>
          <w:i/>
          <w:iCs/>
          <w:color w:val="009999"/>
          <w:sz w:val="18"/>
          <w:szCs w:val="20"/>
        </w:rPr>
      </w:pPr>
      <w:r w:rsidRPr="0067297E">
        <w:rPr>
          <w:rFonts w:asciiTheme="minorHAnsi" w:hAnsiTheme="minorHAnsi" w:cs="Arial"/>
          <w:i/>
          <w:iCs/>
          <w:color w:val="009999"/>
          <w:sz w:val="18"/>
          <w:szCs w:val="20"/>
        </w:rPr>
        <w:t>Directors - Helen Brzozowski – Michael Bullock</w:t>
      </w:r>
    </w:p>
    <w:p w14:paraId="58D09CB5" w14:textId="77777777" w:rsidR="000E753E" w:rsidRPr="0067297E" w:rsidRDefault="000E753E">
      <w:pPr>
        <w:rPr>
          <w:rFonts w:asciiTheme="minorHAnsi" w:hAnsiTheme="minorHAnsi" w:cs="Calibri"/>
          <w:i/>
          <w:iCs/>
          <w:color w:val="009999"/>
          <w:sz w:val="20"/>
          <w:szCs w:val="20"/>
        </w:rPr>
      </w:pPr>
      <w:r w:rsidRPr="0067297E">
        <w:rPr>
          <w:rFonts w:asciiTheme="minorHAnsi" w:hAnsiTheme="minorHAnsi" w:cs="Calibri"/>
          <w:i/>
          <w:iCs/>
          <w:color w:val="009999"/>
          <w:sz w:val="20"/>
          <w:szCs w:val="20"/>
        </w:rPr>
        <w:br w:type="page"/>
      </w:r>
    </w:p>
    <w:p w14:paraId="43C256EB" w14:textId="16CF704E" w:rsidR="00FA273F" w:rsidRPr="0067297E" w:rsidRDefault="00FA273F" w:rsidP="00FA273F">
      <w:pPr>
        <w:pStyle w:val="Heading1"/>
        <w:numPr>
          <w:ilvl w:val="0"/>
          <w:numId w:val="0"/>
        </w:numPr>
        <w:ind w:left="709" w:hanging="709"/>
        <w:rPr>
          <w:rFonts w:asciiTheme="minorHAnsi" w:hAnsiTheme="minorHAnsi" w:cs="Calibri"/>
          <w:lang w:val="en-US"/>
        </w:rPr>
      </w:pPr>
      <w:bookmarkStart w:id="4" w:name="_Toc1385726"/>
      <w:bookmarkStart w:id="5" w:name="_Toc23151039"/>
      <w:bookmarkStart w:id="6" w:name="_Toc360192555"/>
      <w:bookmarkStart w:id="7" w:name="_Toc399864308"/>
      <w:bookmarkStart w:id="8" w:name="_Toc285286520"/>
      <w:bookmarkStart w:id="9" w:name="_Toc428528452"/>
      <w:bookmarkStart w:id="10" w:name="_Toc430084544"/>
      <w:bookmarkStart w:id="11" w:name="_Toc430781999"/>
      <w:bookmarkStart w:id="12" w:name="_Toc305277785"/>
      <w:bookmarkStart w:id="13" w:name="_Toc432599011"/>
      <w:bookmarkStart w:id="14" w:name="_Toc319240011"/>
      <w:bookmarkStart w:id="15" w:name="_Toc482784867"/>
      <w:bookmarkStart w:id="16" w:name="_Toc359601833"/>
      <w:bookmarkStart w:id="17" w:name="_Toc517370598"/>
      <w:bookmarkStart w:id="18" w:name="_Toc391314042"/>
      <w:bookmarkStart w:id="19" w:name="_Toc398659697"/>
      <w:bookmarkStart w:id="20" w:name="_Toc398751041"/>
      <w:bookmarkEnd w:id="3"/>
      <w:r w:rsidRPr="0067297E">
        <w:rPr>
          <w:rFonts w:asciiTheme="minorHAnsi" w:hAnsiTheme="minorHAnsi" w:cs="Calibri"/>
          <w:lang w:val="en-US"/>
        </w:rPr>
        <w:lastRenderedPageBreak/>
        <w:t>Executive Summary</w:t>
      </w:r>
      <w:bookmarkEnd w:id="4"/>
      <w:bookmarkEnd w:id="5"/>
    </w:p>
    <w:p w14:paraId="5E0B130A" w14:textId="77777777" w:rsidR="00FA273F" w:rsidRPr="0067297E" w:rsidRDefault="00FA273F" w:rsidP="00116269">
      <w:pPr>
        <w:rPr>
          <w:rFonts w:asciiTheme="minorHAnsi" w:hAnsiTheme="minorHAnsi"/>
        </w:rPr>
      </w:pPr>
    </w:p>
    <w:p w14:paraId="0BD77B69" w14:textId="5ABB49CD" w:rsidR="00CC5CC3" w:rsidRPr="0067297E" w:rsidRDefault="00CC5CC3">
      <w:pPr>
        <w:pStyle w:val="Heading2"/>
        <w:ind w:left="720"/>
        <w:rPr>
          <w:rFonts w:asciiTheme="minorHAnsi" w:hAnsiTheme="minorHAnsi" w:cs="Calibri"/>
        </w:rPr>
      </w:pPr>
      <w:bookmarkStart w:id="21" w:name="_Toc529887213"/>
      <w:bookmarkStart w:id="22" w:name="_Toc1385727"/>
      <w:bookmarkStart w:id="23" w:name="_Toc22802737"/>
      <w:bookmarkStart w:id="24" w:name="_Toc23151040"/>
      <w:r w:rsidRPr="0067297E">
        <w:rPr>
          <w:rFonts w:asciiTheme="minorHAnsi" w:hAnsiTheme="minorHAnsi" w:cs="Calibri"/>
        </w:rPr>
        <w:t>Introduction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64A61CF8" w14:textId="529770AD" w:rsidR="00CC5CC3" w:rsidRPr="0067297E" w:rsidRDefault="00682F5E" w:rsidP="0015368C">
      <w:pPr>
        <w:jc w:val="both"/>
        <w:rPr>
          <w:rFonts w:asciiTheme="minorHAnsi" w:hAnsiTheme="minorHAnsi" w:cs="Calibri"/>
        </w:rPr>
      </w:pPr>
      <w:r w:rsidRPr="0067297E">
        <w:rPr>
          <w:rFonts w:asciiTheme="minorHAnsi" w:hAnsiTheme="minorHAnsi" w:cs="Calibri"/>
        </w:rPr>
        <w:t xml:space="preserve">The </w:t>
      </w:r>
      <w:r w:rsidR="006F038F" w:rsidRPr="0067297E">
        <w:rPr>
          <w:rFonts w:asciiTheme="minorHAnsi" w:hAnsiTheme="minorHAnsi" w:cs="Calibri"/>
        </w:rPr>
        <w:t xml:space="preserve">Borough of </w:t>
      </w:r>
      <w:r w:rsidR="003740E9" w:rsidRPr="0067297E">
        <w:rPr>
          <w:rFonts w:asciiTheme="minorHAnsi" w:hAnsiTheme="minorHAnsi" w:cs="Calibri"/>
        </w:rPr>
        <w:t>Lewisham</w:t>
      </w:r>
      <w:r w:rsidR="00AB7546" w:rsidRPr="0067297E">
        <w:rPr>
          <w:rFonts w:asciiTheme="minorHAnsi" w:hAnsiTheme="minorHAnsi" w:cs="Calibri"/>
        </w:rPr>
        <w:t xml:space="preserve"> Strategic Housing Market Assessment (SHMA)</w:t>
      </w:r>
      <w:r w:rsidR="0059389E" w:rsidRPr="0067297E">
        <w:rPr>
          <w:rFonts w:asciiTheme="minorHAnsi" w:hAnsiTheme="minorHAnsi" w:cs="Calibri"/>
        </w:rPr>
        <w:t xml:space="preserve"> </w:t>
      </w:r>
      <w:r w:rsidR="009932DF" w:rsidRPr="0067297E">
        <w:rPr>
          <w:rFonts w:asciiTheme="minorHAnsi" w:hAnsiTheme="minorHAnsi" w:cs="Calibri"/>
        </w:rPr>
        <w:t>201</w:t>
      </w:r>
      <w:r w:rsidR="00AE2B97" w:rsidRPr="0067297E">
        <w:rPr>
          <w:rFonts w:asciiTheme="minorHAnsi" w:hAnsiTheme="minorHAnsi" w:cs="Calibri"/>
        </w:rPr>
        <w:t>9</w:t>
      </w:r>
      <w:r w:rsidR="009932DF" w:rsidRPr="0067297E">
        <w:rPr>
          <w:rFonts w:asciiTheme="minorHAnsi" w:hAnsiTheme="minorHAnsi" w:cs="Calibri"/>
        </w:rPr>
        <w:t xml:space="preserve"> </w:t>
      </w:r>
      <w:r w:rsidR="00CC5CC3" w:rsidRPr="0067297E">
        <w:rPr>
          <w:rFonts w:asciiTheme="minorHAnsi" w:hAnsiTheme="minorHAnsi" w:cs="Calibri"/>
        </w:rPr>
        <w:t xml:space="preserve">provides the latest available evidence to help to shape the future planning and housing policies of the area. </w:t>
      </w:r>
      <w:r w:rsidR="0059389E" w:rsidRPr="0067297E">
        <w:rPr>
          <w:rFonts w:asciiTheme="minorHAnsi" w:hAnsiTheme="minorHAnsi" w:cs="Calibri"/>
        </w:rPr>
        <w:t>The study</w:t>
      </w:r>
      <w:r w:rsidR="00CC5CC3" w:rsidRPr="0067297E">
        <w:rPr>
          <w:rFonts w:asciiTheme="minorHAnsi" w:hAnsiTheme="minorHAnsi" w:cs="Calibri"/>
        </w:rPr>
        <w:t xml:space="preserve"> will help inform the production of </w:t>
      </w:r>
      <w:r w:rsidR="0059389E" w:rsidRPr="0067297E">
        <w:rPr>
          <w:rFonts w:asciiTheme="minorHAnsi" w:hAnsiTheme="minorHAnsi" w:cs="Calibri"/>
        </w:rPr>
        <w:t xml:space="preserve">the Council’s </w:t>
      </w:r>
      <w:r w:rsidR="00CC5CC3" w:rsidRPr="0067297E">
        <w:rPr>
          <w:rFonts w:asciiTheme="minorHAnsi" w:hAnsiTheme="minorHAnsi" w:cs="Calibri"/>
        </w:rPr>
        <w:t xml:space="preserve">Local </w:t>
      </w:r>
      <w:r w:rsidR="0059389E" w:rsidRPr="0067297E">
        <w:rPr>
          <w:rFonts w:asciiTheme="minorHAnsi" w:hAnsiTheme="minorHAnsi" w:cs="Calibri"/>
        </w:rPr>
        <w:t xml:space="preserve">Plan and </w:t>
      </w:r>
      <w:r w:rsidR="006F4487" w:rsidRPr="0067297E">
        <w:rPr>
          <w:rFonts w:asciiTheme="minorHAnsi" w:hAnsiTheme="minorHAnsi" w:cs="Calibri"/>
        </w:rPr>
        <w:t>other strategies</w:t>
      </w:r>
      <w:r w:rsidR="00CC5CC3" w:rsidRPr="0067297E">
        <w:rPr>
          <w:rFonts w:asciiTheme="minorHAnsi" w:hAnsiTheme="minorHAnsi" w:cs="Calibri"/>
        </w:rPr>
        <w:t xml:space="preserve">. </w:t>
      </w:r>
      <w:r w:rsidR="00A70969" w:rsidRPr="0067297E">
        <w:rPr>
          <w:rFonts w:asciiTheme="minorHAnsi" w:hAnsiTheme="minorHAnsi" w:cs="Calibri"/>
          <w:bCs/>
          <w:color w:val="141414"/>
          <w:lang w:val="en-US" w:eastAsia="en-GB"/>
        </w:rPr>
        <w:t>It considers the affordable housing needs of households, the aspirations/expectations of those households moving in the market, and the need for particular types of dwelling by virtue of age or disability.</w:t>
      </w:r>
      <w:r w:rsidR="00A70969" w:rsidRPr="0067297E">
        <w:rPr>
          <w:rFonts w:asciiTheme="minorHAnsi" w:hAnsiTheme="minorHAnsi" w:cs="Calibri"/>
        </w:rPr>
        <w:t xml:space="preserve"> This research provides an up-to-date analysis of the social, economic, housing and demographic situation across the area.</w:t>
      </w:r>
    </w:p>
    <w:p w14:paraId="53B24E47" w14:textId="16CA73B1" w:rsidR="00CC5CC3" w:rsidRPr="0067297E" w:rsidRDefault="00CC5CC3">
      <w:pPr>
        <w:pStyle w:val="Maintext"/>
        <w:numPr>
          <w:ilvl w:val="0"/>
          <w:numId w:val="0"/>
        </w:numPr>
        <w:rPr>
          <w:rFonts w:asciiTheme="minorHAnsi" w:hAnsiTheme="minorHAnsi" w:cs="Calibri"/>
        </w:rPr>
      </w:pPr>
      <w:r w:rsidRPr="0067297E">
        <w:rPr>
          <w:rFonts w:asciiTheme="minorHAnsi" w:hAnsiTheme="minorHAnsi" w:cs="Calibri"/>
        </w:rPr>
        <w:t xml:space="preserve">The </w:t>
      </w:r>
      <w:r w:rsidR="00AB7546" w:rsidRPr="0067297E">
        <w:rPr>
          <w:rFonts w:asciiTheme="minorHAnsi" w:hAnsiTheme="minorHAnsi" w:cs="Calibri"/>
          <w:lang w:val="en-GB"/>
        </w:rPr>
        <w:t>SHMA</w:t>
      </w:r>
      <w:r w:rsidR="0059389E" w:rsidRPr="0067297E">
        <w:rPr>
          <w:rFonts w:asciiTheme="minorHAnsi" w:hAnsiTheme="minorHAnsi" w:cs="Calibri"/>
        </w:rPr>
        <w:t xml:space="preserve"> </w:t>
      </w:r>
      <w:r w:rsidR="0003078B" w:rsidRPr="0067297E">
        <w:rPr>
          <w:rFonts w:asciiTheme="minorHAnsi" w:hAnsiTheme="minorHAnsi" w:cs="Calibri"/>
          <w:lang w:val="en-GB"/>
        </w:rPr>
        <w:t>201</w:t>
      </w:r>
      <w:r w:rsidR="00AE2B97" w:rsidRPr="0067297E">
        <w:rPr>
          <w:rFonts w:asciiTheme="minorHAnsi" w:hAnsiTheme="minorHAnsi" w:cs="Calibri"/>
          <w:lang w:val="en-GB"/>
        </w:rPr>
        <w:t>9</w:t>
      </w:r>
      <w:r w:rsidR="0059389E" w:rsidRPr="0067297E">
        <w:rPr>
          <w:rFonts w:asciiTheme="minorHAnsi" w:hAnsiTheme="minorHAnsi" w:cs="Calibri"/>
        </w:rPr>
        <w:t xml:space="preserve"> comprise</w:t>
      </w:r>
      <w:r w:rsidR="001C048D" w:rsidRPr="0067297E">
        <w:rPr>
          <w:rFonts w:asciiTheme="minorHAnsi" w:hAnsiTheme="minorHAnsi" w:cs="Calibri"/>
          <w:lang w:val="en-GB"/>
        </w:rPr>
        <w:t>s of</w:t>
      </w:r>
      <w:r w:rsidRPr="0067297E">
        <w:rPr>
          <w:rFonts w:asciiTheme="minorHAnsi" w:hAnsiTheme="minorHAnsi" w:cs="Calibri"/>
        </w:rPr>
        <w:t>:</w:t>
      </w:r>
    </w:p>
    <w:p w14:paraId="478CFD60" w14:textId="22130862" w:rsidR="001C048D" w:rsidRPr="0067297E" w:rsidRDefault="00A212C0">
      <w:pPr>
        <w:pStyle w:val="bullet"/>
        <w:ind w:left="360"/>
        <w:rPr>
          <w:rFonts w:asciiTheme="minorHAnsi" w:hAnsiTheme="minorHAnsi" w:cs="Calibri"/>
        </w:rPr>
      </w:pPr>
      <w:r w:rsidRPr="0067297E">
        <w:rPr>
          <w:rFonts w:asciiTheme="minorHAnsi" w:hAnsiTheme="minorHAnsi" w:cs="Calibri"/>
          <w:lang w:val="en-GB"/>
        </w:rPr>
        <w:t>a</w:t>
      </w:r>
      <w:r w:rsidR="003740E9" w:rsidRPr="0067297E">
        <w:rPr>
          <w:rFonts w:asciiTheme="minorHAnsi" w:hAnsiTheme="minorHAnsi" w:cs="Calibri"/>
        </w:rPr>
        <w:t xml:space="preserve"> review of existing (secondary) data</w:t>
      </w:r>
      <w:r w:rsidR="001C048D" w:rsidRPr="0067297E">
        <w:rPr>
          <w:rFonts w:asciiTheme="minorHAnsi" w:hAnsiTheme="minorHAnsi" w:cs="Calibri"/>
          <w:lang w:val="en-GB"/>
        </w:rPr>
        <w:t>;</w:t>
      </w:r>
    </w:p>
    <w:p w14:paraId="7A71E11E" w14:textId="4F355591" w:rsidR="003740E9" w:rsidRPr="0067297E" w:rsidRDefault="001C048D">
      <w:pPr>
        <w:pStyle w:val="bullet"/>
        <w:ind w:left="360"/>
        <w:rPr>
          <w:rFonts w:asciiTheme="minorHAnsi" w:hAnsiTheme="minorHAnsi" w:cs="Calibri"/>
        </w:rPr>
      </w:pPr>
      <w:r w:rsidRPr="0067297E">
        <w:rPr>
          <w:rFonts w:asciiTheme="minorHAnsi" w:hAnsiTheme="minorHAnsi" w:cs="Calibri"/>
          <w:lang w:val="en-GB"/>
        </w:rPr>
        <w:t>information provided by the local authority;</w:t>
      </w:r>
      <w:r w:rsidR="003740E9" w:rsidRPr="0067297E">
        <w:rPr>
          <w:rFonts w:asciiTheme="minorHAnsi" w:hAnsiTheme="minorHAnsi" w:cs="Calibri"/>
        </w:rPr>
        <w:t xml:space="preserve"> </w:t>
      </w:r>
    </w:p>
    <w:p w14:paraId="74FCD78B" w14:textId="77777777" w:rsidR="006D0437" w:rsidRDefault="006D0437" w:rsidP="0015368C">
      <w:pPr>
        <w:pStyle w:val="bullet"/>
        <w:ind w:left="360"/>
        <w:rPr>
          <w:rFonts w:asciiTheme="minorHAnsi" w:hAnsiTheme="minorHAnsi" w:cs="Calibri"/>
        </w:rPr>
      </w:pPr>
      <w:r w:rsidRPr="0067297E">
        <w:rPr>
          <w:rFonts w:asciiTheme="minorHAnsi" w:hAnsiTheme="minorHAnsi" w:cs="Calibri"/>
          <w:lang w:val="en-GB"/>
        </w:rPr>
        <w:t>stakeholder consultation</w:t>
      </w:r>
      <w:r w:rsidRPr="0067297E">
        <w:rPr>
          <w:rFonts w:asciiTheme="minorHAnsi" w:hAnsiTheme="minorHAnsi" w:cs="Calibri"/>
        </w:rPr>
        <w:t xml:space="preserve">; </w:t>
      </w:r>
    </w:p>
    <w:p w14:paraId="7325E11A" w14:textId="711A843E" w:rsidR="008F34B8" w:rsidRDefault="006D0437" w:rsidP="0015368C">
      <w:pPr>
        <w:pStyle w:val="bullet"/>
        <w:ind w:left="360"/>
        <w:rPr>
          <w:rFonts w:asciiTheme="minorHAnsi" w:hAnsiTheme="minorHAnsi" w:cs="Calibri"/>
        </w:rPr>
      </w:pPr>
      <w:r w:rsidRPr="0067297E">
        <w:rPr>
          <w:rFonts w:asciiTheme="minorHAnsi" w:hAnsiTheme="minorHAnsi" w:cs="Calibri"/>
          <w:lang w:val="en-GB"/>
        </w:rPr>
        <w:t>and</w:t>
      </w:r>
      <w:r w:rsidR="00DF4807">
        <w:rPr>
          <w:rFonts w:asciiTheme="minorHAnsi" w:hAnsiTheme="minorHAnsi" w:cs="Calibri"/>
          <w:lang w:val="en-GB"/>
        </w:rPr>
        <w:t xml:space="preserve"> </w:t>
      </w:r>
      <w:r w:rsidRPr="009D4CE1">
        <w:rPr>
          <w:rFonts w:asciiTheme="minorHAnsi" w:hAnsiTheme="minorHAnsi" w:cs="Calibri"/>
        </w:rPr>
        <w:t>interviews with estate and letting agents</w:t>
      </w:r>
      <w:r w:rsidRPr="009D4CE1">
        <w:rPr>
          <w:rFonts w:asciiTheme="minorHAnsi" w:hAnsiTheme="minorHAnsi" w:cs="Calibri"/>
          <w:lang w:val="en-GB"/>
        </w:rPr>
        <w:t>.</w:t>
      </w:r>
    </w:p>
    <w:p w14:paraId="2E33C042" w14:textId="6795A4F9" w:rsidR="006D0437" w:rsidRDefault="00CC5CC3" w:rsidP="004C52A3">
      <w:bookmarkStart w:id="25" w:name="_Toc22802738"/>
      <w:bookmarkStart w:id="26" w:name="_Toc23151041"/>
      <w:r w:rsidRPr="0015368C">
        <w:t>The findings from the study</w:t>
      </w:r>
      <w:r w:rsidR="00704A62" w:rsidRPr="0015368C">
        <w:t xml:space="preserve"> </w:t>
      </w:r>
      <w:r w:rsidRPr="0015368C">
        <w:t>provide a</w:t>
      </w:r>
      <w:r w:rsidR="00B277AD" w:rsidRPr="0015368C">
        <w:t>n</w:t>
      </w:r>
      <w:r w:rsidRPr="0015368C">
        <w:t xml:space="preserve"> up-to-date, robust and defensible evidence b</w:t>
      </w:r>
      <w:r w:rsidR="00B52071" w:rsidRPr="0015368C">
        <w:t>ase for policy development, in accordance with Government policy and guidance</w:t>
      </w:r>
      <w:r w:rsidR="00BD5034" w:rsidRPr="0015368C">
        <w:t>.</w:t>
      </w:r>
      <w:bookmarkEnd w:id="25"/>
      <w:bookmarkEnd w:id="26"/>
    </w:p>
    <w:p w14:paraId="09C62C98" w14:textId="1CC37872" w:rsidR="006410DE" w:rsidRPr="00C604AC" w:rsidRDefault="006410DE" w:rsidP="006410DE">
      <w:pPr>
        <w:rPr>
          <w:lang w:val="en-US"/>
        </w:rPr>
      </w:pPr>
      <w:r>
        <w:rPr>
          <w:rFonts w:asciiTheme="minorHAnsi" w:hAnsiTheme="minorHAnsi" w:cs="Calibri"/>
        </w:rPr>
        <w:t>Please note that the plan period is 2020 to 2040. Where possible, data are presented for this time period. Some data have a base date of 2018. The 2014-based MHCLG household projections have been used to calculate future housing need in accordance with Planning Policy Guidance (PPG) although projections only run to 2039.</w:t>
      </w:r>
    </w:p>
    <w:p w14:paraId="4BD1F560" w14:textId="77777777" w:rsidR="006D0437" w:rsidRPr="0015368C" w:rsidRDefault="006D0437" w:rsidP="0015368C"/>
    <w:p w14:paraId="2709EF97" w14:textId="54D7BC14" w:rsidR="00CC5CC3" w:rsidRPr="0067297E" w:rsidRDefault="00CC5CC3" w:rsidP="007F2E50">
      <w:pPr>
        <w:pStyle w:val="Heading2"/>
        <w:ind w:left="0" w:firstLine="0"/>
        <w:rPr>
          <w:rFonts w:asciiTheme="minorHAnsi" w:hAnsiTheme="minorHAnsi" w:cs="Calibri"/>
        </w:rPr>
      </w:pPr>
      <w:bookmarkStart w:id="27" w:name="_Toc360192556"/>
      <w:bookmarkStart w:id="28" w:name="_Toc399864309"/>
      <w:bookmarkStart w:id="29" w:name="_Toc285286521"/>
      <w:bookmarkStart w:id="30" w:name="_Toc428528453"/>
      <w:bookmarkStart w:id="31" w:name="_Toc430084545"/>
      <w:bookmarkStart w:id="32" w:name="_Toc430782000"/>
      <w:bookmarkStart w:id="33" w:name="_Toc305277786"/>
      <w:bookmarkStart w:id="34" w:name="_Toc432599012"/>
      <w:bookmarkStart w:id="35" w:name="_Toc319240012"/>
      <w:bookmarkStart w:id="36" w:name="_Toc482784868"/>
      <w:bookmarkStart w:id="37" w:name="_Toc359601834"/>
      <w:bookmarkStart w:id="38" w:name="_Toc517370599"/>
      <w:bookmarkStart w:id="39" w:name="_Toc391314043"/>
      <w:bookmarkStart w:id="40" w:name="_Toc398659698"/>
      <w:bookmarkStart w:id="41" w:name="_Toc398751042"/>
      <w:bookmarkStart w:id="42" w:name="_Toc529887214"/>
      <w:bookmarkStart w:id="43" w:name="_Toc1385728"/>
      <w:bookmarkStart w:id="44" w:name="_Toc22802739"/>
      <w:bookmarkStart w:id="45" w:name="_Toc23151042"/>
      <w:r w:rsidRPr="0067297E">
        <w:rPr>
          <w:rFonts w:asciiTheme="minorHAnsi" w:hAnsiTheme="minorHAnsi" w:cs="Calibri"/>
        </w:rPr>
        <w:t>Housing market context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43392D8D" w14:textId="77777777" w:rsidR="00E2582E" w:rsidRPr="0067297E" w:rsidRDefault="00E2582E">
      <w:pPr>
        <w:pStyle w:val="Heading3"/>
        <w:ind w:left="11"/>
        <w:rPr>
          <w:rFonts w:asciiTheme="minorHAnsi" w:hAnsiTheme="minorHAnsi" w:cs="Calibri"/>
        </w:rPr>
      </w:pPr>
      <w:bookmarkStart w:id="46" w:name="_Toc360192557"/>
      <w:bookmarkStart w:id="47" w:name="_Toc399864310"/>
      <w:r w:rsidRPr="0067297E">
        <w:rPr>
          <w:rFonts w:asciiTheme="minorHAnsi" w:hAnsiTheme="minorHAnsi" w:cs="Calibri"/>
        </w:rPr>
        <w:t>House prices</w:t>
      </w:r>
      <w:bookmarkEnd w:id="46"/>
      <w:bookmarkEnd w:id="47"/>
    </w:p>
    <w:p w14:paraId="03954ED2" w14:textId="77777777" w:rsidR="00E2582E" w:rsidRPr="0067297E" w:rsidRDefault="00E2582E">
      <w:pPr>
        <w:pStyle w:val="Maintext"/>
        <w:numPr>
          <w:ilvl w:val="1"/>
          <w:numId w:val="0"/>
        </w:numPr>
        <w:shd w:val="clear" w:color="auto" w:fill="FFFFFF" w:themeFill="background1"/>
        <w:rPr>
          <w:rFonts w:asciiTheme="minorHAnsi" w:hAnsiTheme="minorHAnsi" w:cs="Calibri"/>
          <w:lang w:val="en-GB"/>
        </w:rPr>
      </w:pPr>
      <w:r w:rsidRPr="0067297E">
        <w:rPr>
          <w:rFonts w:asciiTheme="minorHAnsi" w:hAnsiTheme="minorHAnsi" w:cs="Calibri"/>
          <w:lang w:val="en-GB"/>
        </w:rPr>
        <w:t xml:space="preserve">Median house prices in </w:t>
      </w:r>
      <w:r w:rsidR="007E0738" w:rsidRPr="0067297E">
        <w:rPr>
          <w:rFonts w:asciiTheme="minorHAnsi" w:hAnsiTheme="minorHAnsi" w:cs="Calibri"/>
          <w:lang w:val="en-GB"/>
        </w:rPr>
        <w:t>the</w:t>
      </w:r>
      <w:r w:rsidR="00D84BA3" w:rsidRPr="0067297E">
        <w:rPr>
          <w:rFonts w:asciiTheme="minorHAnsi" w:hAnsiTheme="minorHAnsi" w:cs="Calibri"/>
          <w:lang w:val="en-GB"/>
        </w:rPr>
        <w:t xml:space="preserve"> Borough of</w:t>
      </w:r>
      <w:r w:rsidR="007E0738" w:rsidRPr="0067297E">
        <w:rPr>
          <w:rFonts w:asciiTheme="minorHAnsi" w:hAnsiTheme="minorHAnsi" w:cs="Calibri"/>
          <w:lang w:val="en-GB"/>
        </w:rPr>
        <w:t xml:space="preserve"> </w:t>
      </w:r>
      <w:r w:rsidR="003740E9" w:rsidRPr="0067297E">
        <w:rPr>
          <w:rFonts w:asciiTheme="minorHAnsi" w:hAnsiTheme="minorHAnsi" w:cs="Calibri"/>
          <w:lang w:val="en-GB"/>
        </w:rPr>
        <w:t>Lewisham</w:t>
      </w:r>
      <w:r w:rsidR="00FC386C" w:rsidRPr="0067297E">
        <w:rPr>
          <w:rFonts w:asciiTheme="minorHAnsi" w:hAnsiTheme="minorHAnsi" w:cs="Calibri"/>
          <w:lang w:val="en-GB"/>
        </w:rPr>
        <w:t xml:space="preserve"> </w:t>
      </w:r>
      <w:r w:rsidRPr="0067297E">
        <w:rPr>
          <w:rFonts w:asciiTheme="minorHAnsi" w:hAnsiTheme="minorHAnsi" w:cs="Calibri"/>
          <w:lang w:val="en-GB"/>
        </w:rPr>
        <w:t xml:space="preserve">have been consistently </w:t>
      </w:r>
      <w:r w:rsidR="004D3FA3" w:rsidRPr="0067297E">
        <w:rPr>
          <w:rFonts w:asciiTheme="minorHAnsi" w:hAnsiTheme="minorHAnsi" w:cs="Calibri"/>
          <w:lang w:val="en-GB"/>
        </w:rPr>
        <w:t xml:space="preserve">lower than </w:t>
      </w:r>
      <w:r w:rsidR="004D3FA3" w:rsidRPr="0067297E">
        <w:rPr>
          <w:rFonts w:asciiTheme="minorHAnsi" w:hAnsiTheme="minorHAnsi" w:cs="Calibri"/>
        </w:rPr>
        <w:t xml:space="preserve">those for the </w:t>
      </w:r>
      <w:r w:rsidR="004D3FA3" w:rsidRPr="0067297E">
        <w:rPr>
          <w:rFonts w:asciiTheme="minorHAnsi" w:hAnsiTheme="minorHAnsi" w:cs="Calibri"/>
          <w:lang w:val="en-GB"/>
        </w:rPr>
        <w:t>London</w:t>
      </w:r>
      <w:r w:rsidR="004D3FA3" w:rsidRPr="0067297E">
        <w:rPr>
          <w:rFonts w:asciiTheme="minorHAnsi" w:hAnsiTheme="minorHAnsi" w:cs="Calibri"/>
        </w:rPr>
        <w:t xml:space="preserve"> region, </w:t>
      </w:r>
      <w:r w:rsidR="004D3FA3" w:rsidRPr="0067297E">
        <w:rPr>
          <w:rFonts w:asciiTheme="minorHAnsi" w:hAnsiTheme="minorHAnsi" w:cs="Calibri"/>
          <w:lang w:val="en-GB"/>
        </w:rPr>
        <w:t>but</w:t>
      </w:r>
      <w:r w:rsidR="004D3FA3" w:rsidRPr="0067297E">
        <w:rPr>
          <w:rFonts w:asciiTheme="minorHAnsi" w:hAnsiTheme="minorHAnsi" w:cs="Calibri"/>
        </w:rPr>
        <w:t xml:space="preserve"> </w:t>
      </w:r>
      <w:r w:rsidR="004D3FA3" w:rsidRPr="0067297E">
        <w:rPr>
          <w:rFonts w:asciiTheme="minorHAnsi" w:hAnsiTheme="minorHAnsi" w:cs="Calibri"/>
          <w:lang w:val="en-GB"/>
        </w:rPr>
        <w:t>above</w:t>
      </w:r>
      <w:r w:rsidR="004D3FA3" w:rsidRPr="0067297E">
        <w:rPr>
          <w:rFonts w:asciiTheme="minorHAnsi" w:hAnsiTheme="minorHAnsi" w:cs="Calibri"/>
        </w:rPr>
        <w:t xml:space="preserve"> those for England as a whole</w:t>
      </w:r>
      <w:r w:rsidR="004D3FA3" w:rsidRPr="0067297E">
        <w:rPr>
          <w:rStyle w:val="FootnoteReference"/>
          <w:rFonts w:asciiTheme="minorHAnsi" w:hAnsiTheme="minorHAnsi" w:cs="Calibri"/>
          <w:lang w:val="en-GB"/>
        </w:rPr>
        <w:t xml:space="preserve"> </w:t>
      </w:r>
      <w:r w:rsidRPr="0067297E">
        <w:rPr>
          <w:rStyle w:val="FootnoteReference"/>
          <w:rFonts w:asciiTheme="minorHAnsi" w:hAnsiTheme="minorHAnsi" w:cs="Calibri"/>
          <w:lang w:val="en-GB"/>
        </w:rPr>
        <w:footnoteReference w:id="2"/>
      </w:r>
      <w:r w:rsidRPr="0067297E">
        <w:rPr>
          <w:rFonts w:asciiTheme="minorHAnsi" w:hAnsiTheme="minorHAnsi" w:cs="Calibri"/>
          <w:lang w:val="en-GB"/>
        </w:rPr>
        <w:t>.</w:t>
      </w:r>
    </w:p>
    <w:p w14:paraId="11FD848A" w14:textId="2B371B7A" w:rsidR="00E2582E" w:rsidRPr="0067297E" w:rsidRDefault="001C048D">
      <w:pPr>
        <w:pStyle w:val="Maintext"/>
        <w:numPr>
          <w:ilvl w:val="1"/>
          <w:numId w:val="0"/>
        </w:numPr>
        <w:shd w:val="clear" w:color="auto" w:fill="FFFFFF" w:themeFill="background1"/>
        <w:rPr>
          <w:rFonts w:asciiTheme="minorHAnsi" w:hAnsiTheme="minorHAnsi" w:cs="Calibri"/>
          <w:lang w:val="en-GB"/>
        </w:rPr>
      </w:pPr>
      <w:r w:rsidRPr="0067297E">
        <w:rPr>
          <w:rFonts w:asciiTheme="minorHAnsi" w:hAnsiTheme="minorHAnsi" w:cs="Calibri"/>
          <w:lang w:val="en-GB"/>
        </w:rPr>
        <w:t>However, overall</w:t>
      </w:r>
      <w:r w:rsidRPr="0067297E">
        <w:rPr>
          <w:rFonts w:asciiTheme="minorHAnsi" w:hAnsiTheme="minorHAnsi" w:cs="Calibri"/>
        </w:rPr>
        <w:t>, median prices</w:t>
      </w:r>
      <w:r w:rsidRPr="0067297E">
        <w:rPr>
          <w:rFonts w:asciiTheme="minorHAnsi" w:hAnsiTheme="minorHAnsi" w:cs="Calibri"/>
          <w:lang w:val="en-GB"/>
        </w:rPr>
        <w:t xml:space="preserve"> </w:t>
      </w:r>
      <w:r w:rsidRPr="0067297E">
        <w:rPr>
          <w:rFonts w:asciiTheme="minorHAnsi" w:hAnsiTheme="minorHAnsi" w:cs="Calibri"/>
        </w:rPr>
        <w:t>increased from £</w:t>
      </w:r>
      <w:r w:rsidRPr="0067297E">
        <w:rPr>
          <w:rFonts w:asciiTheme="minorHAnsi" w:hAnsiTheme="minorHAnsi" w:cs="Calibri"/>
          <w:lang w:val="en-GB"/>
        </w:rPr>
        <w:t>99,995</w:t>
      </w:r>
      <w:r w:rsidRPr="0067297E">
        <w:rPr>
          <w:rFonts w:asciiTheme="minorHAnsi" w:hAnsiTheme="minorHAnsi" w:cs="Calibri"/>
        </w:rPr>
        <w:t xml:space="preserve"> in 2000 to £</w:t>
      </w:r>
      <w:r w:rsidRPr="0067297E">
        <w:rPr>
          <w:rFonts w:asciiTheme="minorHAnsi" w:hAnsiTheme="minorHAnsi" w:cs="Calibri"/>
          <w:lang w:val="en-GB"/>
        </w:rPr>
        <w:t>412,</w:t>
      </w:r>
      <w:r w:rsidR="0070161D" w:rsidRPr="0067297E">
        <w:rPr>
          <w:rFonts w:asciiTheme="minorHAnsi" w:hAnsiTheme="minorHAnsi" w:cs="Calibri"/>
          <w:lang w:val="en-GB"/>
        </w:rPr>
        <w:t>250</w:t>
      </w:r>
      <w:r w:rsidRPr="0067297E">
        <w:rPr>
          <w:rFonts w:asciiTheme="minorHAnsi" w:hAnsiTheme="minorHAnsi" w:cs="Calibri"/>
        </w:rPr>
        <w:t xml:space="preserve"> in 201</w:t>
      </w:r>
      <w:r w:rsidR="0070161D" w:rsidRPr="0067297E">
        <w:rPr>
          <w:rFonts w:asciiTheme="minorHAnsi" w:hAnsiTheme="minorHAnsi" w:cs="Calibri"/>
          <w:lang w:val="en-GB"/>
        </w:rPr>
        <w:t>8</w:t>
      </w:r>
      <w:r w:rsidRPr="0067297E">
        <w:rPr>
          <w:rFonts w:asciiTheme="minorHAnsi" w:hAnsiTheme="minorHAnsi" w:cs="Calibri"/>
        </w:rPr>
        <w:t xml:space="preserve">, an increase of </w:t>
      </w:r>
      <w:r w:rsidRPr="0067297E">
        <w:rPr>
          <w:rFonts w:asciiTheme="minorHAnsi" w:hAnsiTheme="minorHAnsi" w:cs="Calibri"/>
          <w:lang w:val="en-GB"/>
        </w:rPr>
        <w:t>312</w:t>
      </w:r>
      <w:r w:rsidRPr="0067297E">
        <w:rPr>
          <w:rFonts w:asciiTheme="minorHAnsi" w:hAnsiTheme="minorHAnsi" w:cs="Calibri"/>
        </w:rPr>
        <w:t>%.</w:t>
      </w:r>
      <w:r w:rsidRPr="0067297E">
        <w:rPr>
          <w:rFonts w:asciiTheme="minorHAnsi" w:hAnsiTheme="minorHAnsi" w:cs="Calibri"/>
          <w:lang w:val="en-GB"/>
        </w:rPr>
        <w:t xml:space="preserve"> The rate of growth in the borough has been significantly higher than that experienced across neighbouring boroughs and the London boroughs as a whole (+2</w:t>
      </w:r>
      <w:r w:rsidR="00AE2B97" w:rsidRPr="0067297E">
        <w:rPr>
          <w:rFonts w:asciiTheme="minorHAnsi" w:hAnsiTheme="minorHAnsi" w:cs="Calibri"/>
          <w:lang w:val="en-GB"/>
        </w:rPr>
        <w:t>33</w:t>
      </w:r>
      <w:r w:rsidRPr="0067297E">
        <w:rPr>
          <w:rFonts w:asciiTheme="minorHAnsi" w:hAnsiTheme="minorHAnsi" w:cs="Calibri"/>
          <w:lang w:val="en-GB"/>
        </w:rPr>
        <w:t>%)</w:t>
      </w:r>
      <w:r w:rsidR="00552DC8" w:rsidRPr="0067297E">
        <w:rPr>
          <w:rFonts w:asciiTheme="minorHAnsi" w:hAnsiTheme="minorHAnsi" w:cs="Calibri"/>
          <w:lang w:val="en-GB"/>
        </w:rPr>
        <w:t>.</w:t>
      </w:r>
    </w:p>
    <w:p w14:paraId="4F3FF267" w14:textId="134F74B0" w:rsidR="00C5079C" w:rsidRDefault="00C5079C">
      <w:pPr>
        <w:pStyle w:val="Maintext"/>
        <w:numPr>
          <w:ilvl w:val="0"/>
          <w:numId w:val="0"/>
        </w:numPr>
        <w:rPr>
          <w:rFonts w:asciiTheme="minorHAnsi" w:hAnsiTheme="minorHAnsi" w:cs="Calibri"/>
          <w:lang w:val="en-GB"/>
        </w:rPr>
      </w:pPr>
      <w:r w:rsidRPr="0067297E">
        <w:rPr>
          <w:rFonts w:asciiTheme="minorHAnsi" w:hAnsiTheme="minorHAnsi" w:cs="Calibri"/>
          <w:lang w:val="en-GB"/>
        </w:rPr>
        <w:t xml:space="preserve">Based on </w:t>
      </w:r>
      <w:r>
        <w:rPr>
          <w:rFonts w:asciiTheme="minorHAnsi" w:hAnsiTheme="minorHAnsi" w:cs="Calibri"/>
          <w:lang w:val="en-GB"/>
        </w:rPr>
        <w:t xml:space="preserve">a comparison of house prices and household incomes, Lewisham has a </w:t>
      </w:r>
      <w:r w:rsidRPr="0067297E">
        <w:rPr>
          <w:rFonts w:asciiTheme="minorHAnsi" w:hAnsiTheme="minorHAnsi" w:cs="Calibri"/>
          <w:lang w:val="en-GB"/>
        </w:rPr>
        <w:t>median ratio</w:t>
      </w:r>
      <w:r w:rsidR="00293D20">
        <w:rPr>
          <w:rFonts w:asciiTheme="minorHAnsi" w:hAnsiTheme="minorHAnsi" w:cs="Calibri"/>
          <w:lang w:val="en-GB"/>
        </w:rPr>
        <w:t xml:space="preserve"> of 13.94</w:t>
      </w:r>
      <w:r>
        <w:rPr>
          <w:rFonts w:asciiTheme="minorHAnsi" w:hAnsiTheme="minorHAnsi" w:cs="Calibri"/>
          <w:lang w:val="en-GB"/>
        </w:rPr>
        <w:t xml:space="preserve"> and a lower quartile ratio of 15.16, </w:t>
      </w:r>
      <w:r w:rsidR="00733863">
        <w:rPr>
          <w:rFonts w:asciiTheme="minorHAnsi" w:hAnsiTheme="minorHAnsi" w:cs="Calibri"/>
          <w:lang w:val="en-GB"/>
        </w:rPr>
        <w:t>which</w:t>
      </w:r>
      <w:r>
        <w:rPr>
          <w:rFonts w:asciiTheme="minorHAnsi" w:hAnsiTheme="minorHAnsi" w:cs="Calibri"/>
          <w:lang w:val="en-GB"/>
        </w:rPr>
        <w:t xml:space="preserve"> </w:t>
      </w:r>
      <w:r w:rsidR="00293D20">
        <w:rPr>
          <w:rFonts w:asciiTheme="minorHAnsi" w:hAnsiTheme="minorHAnsi" w:cs="Calibri"/>
          <w:lang w:val="en-GB"/>
        </w:rPr>
        <w:t>are</w:t>
      </w:r>
      <w:r>
        <w:rPr>
          <w:rFonts w:asciiTheme="minorHAnsi" w:hAnsiTheme="minorHAnsi" w:cs="Calibri"/>
          <w:lang w:val="en-GB"/>
        </w:rPr>
        <w:t xml:space="preserve"> considerably less affordable than the London wide, South East and England averages.</w:t>
      </w:r>
    </w:p>
    <w:p w14:paraId="341671B8" w14:textId="77777777" w:rsidR="00E2582E" w:rsidRPr="0067297E" w:rsidRDefault="00E2582E">
      <w:pPr>
        <w:pStyle w:val="Heading3"/>
        <w:ind w:left="0"/>
        <w:rPr>
          <w:rFonts w:asciiTheme="minorHAnsi" w:hAnsiTheme="minorHAnsi" w:cs="Calibri"/>
        </w:rPr>
      </w:pPr>
      <w:bookmarkStart w:id="48" w:name="_Toc360192558"/>
      <w:bookmarkStart w:id="49" w:name="_Toc399864311"/>
      <w:r w:rsidRPr="0067297E">
        <w:rPr>
          <w:rFonts w:asciiTheme="minorHAnsi" w:hAnsiTheme="minorHAnsi" w:cs="Calibri"/>
        </w:rPr>
        <w:t>Dwelling stock</w:t>
      </w:r>
      <w:bookmarkEnd w:id="48"/>
      <w:bookmarkEnd w:id="49"/>
    </w:p>
    <w:p w14:paraId="5C157BEE" w14:textId="49221F70" w:rsidR="00552513" w:rsidRPr="0067297E" w:rsidRDefault="00552513" w:rsidP="0015368C">
      <w:pPr>
        <w:jc w:val="both"/>
        <w:rPr>
          <w:rFonts w:asciiTheme="minorHAnsi" w:hAnsiTheme="minorHAnsi" w:cs="Calibri"/>
        </w:rPr>
      </w:pPr>
      <w:bookmarkStart w:id="50" w:name="_Toc360192559"/>
      <w:bookmarkStart w:id="51" w:name="_Toc399864312"/>
      <w:r w:rsidRPr="0067297E">
        <w:rPr>
          <w:rFonts w:asciiTheme="minorHAnsi" w:hAnsiTheme="minorHAnsi" w:cs="Calibri"/>
        </w:rPr>
        <w:t>This 201</w:t>
      </w:r>
      <w:r w:rsidR="00AE2B97" w:rsidRPr="0067297E">
        <w:rPr>
          <w:rFonts w:asciiTheme="minorHAnsi" w:hAnsiTheme="minorHAnsi" w:cs="Calibri"/>
        </w:rPr>
        <w:t>9</w:t>
      </w:r>
      <w:r w:rsidRPr="0067297E">
        <w:rPr>
          <w:rFonts w:asciiTheme="minorHAnsi" w:hAnsiTheme="minorHAnsi" w:cs="Calibri"/>
        </w:rPr>
        <w:t xml:space="preserve"> study assumes a total of </w:t>
      </w:r>
      <w:r w:rsidR="000D6D61" w:rsidRPr="0067297E">
        <w:rPr>
          <w:rFonts w:asciiTheme="minorHAnsi" w:hAnsiTheme="minorHAnsi" w:cs="Calibri"/>
        </w:rPr>
        <w:t>125,990 dwellings</w:t>
      </w:r>
      <w:r w:rsidR="000D6D61" w:rsidRPr="0067297E">
        <w:rPr>
          <w:rStyle w:val="FootnoteReference"/>
          <w:rFonts w:asciiTheme="minorHAnsi" w:hAnsiTheme="minorHAnsi" w:cs="Calibri"/>
        </w:rPr>
        <w:footnoteReference w:id="3"/>
      </w:r>
      <w:r w:rsidRPr="0067297E">
        <w:rPr>
          <w:rFonts w:asciiTheme="minorHAnsi" w:hAnsiTheme="minorHAnsi" w:cs="Calibri"/>
        </w:rPr>
        <w:t xml:space="preserve"> </w:t>
      </w:r>
      <w:r w:rsidR="004D3FA3" w:rsidRPr="0067297E">
        <w:rPr>
          <w:rFonts w:asciiTheme="minorHAnsi" w:hAnsiTheme="minorHAnsi" w:cs="Calibri"/>
        </w:rPr>
        <w:t>across the</w:t>
      </w:r>
      <w:r w:rsidRPr="0067297E">
        <w:rPr>
          <w:rFonts w:asciiTheme="minorHAnsi" w:hAnsiTheme="minorHAnsi" w:cs="Calibri"/>
        </w:rPr>
        <w:t xml:space="preserve"> </w:t>
      </w:r>
      <w:r w:rsidR="00AB7546" w:rsidRPr="0067297E">
        <w:rPr>
          <w:rFonts w:asciiTheme="minorHAnsi" w:hAnsiTheme="minorHAnsi" w:cs="Calibri"/>
        </w:rPr>
        <w:t xml:space="preserve">Borough of </w:t>
      </w:r>
      <w:r w:rsidR="003740E9" w:rsidRPr="0067297E">
        <w:rPr>
          <w:rFonts w:asciiTheme="minorHAnsi" w:hAnsiTheme="minorHAnsi" w:cs="Calibri"/>
        </w:rPr>
        <w:t>Lewisham</w:t>
      </w:r>
      <w:r w:rsidR="004D3FA3" w:rsidRPr="0067297E">
        <w:rPr>
          <w:rFonts w:asciiTheme="minorHAnsi" w:hAnsiTheme="minorHAnsi" w:cs="Calibri"/>
        </w:rPr>
        <w:t xml:space="preserve">. </w:t>
      </w:r>
      <w:r w:rsidR="00792675" w:rsidRPr="0067297E">
        <w:rPr>
          <w:rFonts w:asciiTheme="minorHAnsi" w:hAnsiTheme="minorHAnsi" w:cs="Calibri"/>
        </w:rPr>
        <w:t xml:space="preserve"> According to MHCLG there are around 2,182 vacant dwellings</w:t>
      </w:r>
      <w:r w:rsidR="00792675" w:rsidRPr="0067297E">
        <w:rPr>
          <w:rStyle w:val="FootnoteReference"/>
          <w:rFonts w:asciiTheme="minorHAnsi" w:hAnsiTheme="minorHAnsi" w:cs="Calibri"/>
        </w:rPr>
        <w:footnoteReference w:id="4"/>
      </w:r>
      <w:r w:rsidR="00792675" w:rsidRPr="0067297E">
        <w:rPr>
          <w:rFonts w:asciiTheme="minorHAnsi" w:hAnsiTheme="minorHAnsi" w:cs="Calibri"/>
        </w:rPr>
        <w:t xml:space="preserve"> with an estimated </w:t>
      </w:r>
      <w:r w:rsidR="009F6AA0">
        <w:rPr>
          <w:rFonts w:asciiTheme="minorHAnsi" w:hAnsiTheme="minorHAnsi" w:cs="Calibri"/>
        </w:rPr>
        <w:t xml:space="preserve">low </w:t>
      </w:r>
      <w:r w:rsidR="00792675" w:rsidRPr="0067297E">
        <w:rPr>
          <w:rFonts w:asciiTheme="minorHAnsi" w:hAnsiTheme="minorHAnsi" w:cs="Calibri"/>
        </w:rPr>
        <w:t xml:space="preserve">vacancy </w:t>
      </w:r>
      <w:r w:rsidR="00792675" w:rsidRPr="0067297E">
        <w:rPr>
          <w:rFonts w:asciiTheme="minorHAnsi" w:hAnsiTheme="minorHAnsi" w:cs="Calibri"/>
        </w:rPr>
        <w:lastRenderedPageBreak/>
        <w:t>rate of around 1.7</w:t>
      </w:r>
      <w:r w:rsidR="004D3FA3" w:rsidRPr="0067297E">
        <w:rPr>
          <w:rFonts w:asciiTheme="minorHAnsi" w:hAnsiTheme="minorHAnsi" w:cs="Calibri"/>
        </w:rPr>
        <w:t xml:space="preserve">%. </w:t>
      </w:r>
      <w:r w:rsidR="007271D0" w:rsidRPr="0067297E">
        <w:rPr>
          <w:rFonts w:asciiTheme="minorHAnsi" w:hAnsiTheme="minorHAnsi" w:cs="Calibri"/>
        </w:rPr>
        <w:t xml:space="preserve">The number of households is estimated to be higher than the total number of </w:t>
      </w:r>
      <w:r w:rsidR="00FA273F" w:rsidRPr="0067297E">
        <w:rPr>
          <w:rFonts w:asciiTheme="minorHAnsi" w:hAnsiTheme="minorHAnsi" w:cs="Calibri"/>
        </w:rPr>
        <w:t xml:space="preserve">dwellings. According to the </w:t>
      </w:r>
      <w:r w:rsidR="000F6676">
        <w:rPr>
          <w:rFonts w:asciiTheme="minorHAnsi" w:hAnsiTheme="minorHAnsi" w:cs="Calibri"/>
        </w:rPr>
        <w:t>2014</w:t>
      </w:r>
      <w:r w:rsidR="007271D0" w:rsidRPr="0067297E">
        <w:rPr>
          <w:rFonts w:asciiTheme="minorHAnsi" w:hAnsiTheme="minorHAnsi" w:cs="Calibri"/>
        </w:rPr>
        <w:t>-based MHCLG household projections, there are ar</w:t>
      </w:r>
      <w:r w:rsidR="009C3189" w:rsidRPr="0067297E">
        <w:rPr>
          <w:rFonts w:asciiTheme="minorHAnsi" w:hAnsiTheme="minorHAnsi" w:cs="Calibri"/>
        </w:rPr>
        <w:t xml:space="preserve">ound </w:t>
      </w:r>
      <w:r w:rsidR="000F6676">
        <w:rPr>
          <w:rFonts w:asciiTheme="minorHAnsi" w:hAnsiTheme="minorHAnsi" w:cs="Calibri"/>
        </w:rPr>
        <w:t>134,147</w:t>
      </w:r>
      <w:r w:rsidR="009C3189" w:rsidRPr="0067297E">
        <w:rPr>
          <w:rFonts w:asciiTheme="minorHAnsi" w:hAnsiTheme="minorHAnsi" w:cs="Calibri"/>
        </w:rPr>
        <w:t xml:space="preserve"> </w:t>
      </w:r>
      <w:r w:rsidR="00543A76" w:rsidRPr="0067297E">
        <w:rPr>
          <w:rFonts w:asciiTheme="minorHAnsi" w:hAnsiTheme="minorHAnsi" w:cs="Calibri"/>
        </w:rPr>
        <w:t>h</w:t>
      </w:r>
      <w:r w:rsidR="009C3189" w:rsidRPr="0067297E">
        <w:rPr>
          <w:rFonts w:asciiTheme="minorHAnsi" w:hAnsiTheme="minorHAnsi" w:cs="Calibri"/>
        </w:rPr>
        <w:t>ouseholds in the b</w:t>
      </w:r>
      <w:r w:rsidR="007271D0" w:rsidRPr="0067297E">
        <w:rPr>
          <w:rFonts w:asciiTheme="minorHAnsi" w:hAnsiTheme="minorHAnsi" w:cs="Calibri"/>
        </w:rPr>
        <w:t>orough in 2018.</w:t>
      </w:r>
    </w:p>
    <w:p w14:paraId="142C620B" w14:textId="77777777" w:rsidR="0067297E" w:rsidRPr="0067297E" w:rsidRDefault="0067297E">
      <w:pPr>
        <w:rPr>
          <w:rFonts w:asciiTheme="minorHAnsi" w:hAnsiTheme="minorHAnsi" w:cs="Calibri"/>
          <w:bCs/>
        </w:rPr>
      </w:pPr>
    </w:p>
    <w:p w14:paraId="0287F737" w14:textId="3FAE136F" w:rsidR="004C2852" w:rsidRPr="0067297E" w:rsidRDefault="004C2852">
      <w:pPr>
        <w:rPr>
          <w:rFonts w:asciiTheme="minorHAnsi" w:hAnsiTheme="minorHAnsi" w:cs="Calibri"/>
          <w:bCs/>
        </w:rPr>
      </w:pPr>
      <w:r w:rsidRPr="0067297E">
        <w:rPr>
          <w:rFonts w:asciiTheme="minorHAnsi" w:hAnsiTheme="minorHAnsi" w:cs="Calibri"/>
          <w:bCs/>
        </w:rPr>
        <w:t>O</w:t>
      </w:r>
      <w:r w:rsidR="003740E9" w:rsidRPr="0067297E">
        <w:rPr>
          <w:rFonts w:asciiTheme="minorHAnsi" w:hAnsiTheme="minorHAnsi" w:cs="Calibri"/>
          <w:bCs/>
        </w:rPr>
        <w:t>verall</w:t>
      </w:r>
      <w:r w:rsidR="00552513" w:rsidRPr="0067297E">
        <w:rPr>
          <w:rFonts w:asciiTheme="minorHAnsi" w:hAnsiTheme="minorHAnsi" w:cs="Calibri"/>
          <w:bCs/>
        </w:rPr>
        <w:t>:</w:t>
      </w:r>
    </w:p>
    <w:p w14:paraId="35239EF8" w14:textId="77777777" w:rsidR="00552513" w:rsidRPr="0067297E" w:rsidRDefault="004C2852">
      <w:pPr>
        <w:pStyle w:val="bullet"/>
        <w:ind w:left="360"/>
        <w:rPr>
          <w:rFonts w:asciiTheme="minorHAnsi" w:hAnsiTheme="minorHAnsi" w:cs="Calibri"/>
        </w:rPr>
      </w:pPr>
      <w:r w:rsidRPr="0067297E">
        <w:rPr>
          <w:rFonts w:asciiTheme="minorHAnsi" w:hAnsiTheme="minorHAnsi" w:cs="Calibri"/>
          <w:lang w:val="en-GB"/>
        </w:rPr>
        <w:t xml:space="preserve">57.7% of all properties in Lewisham </w:t>
      </w:r>
      <w:r w:rsidRPr="0067297E">
        <w:rPr>
          <w:rFonts w:asciiTheme="minorHAnsi" w:hAnsiTheme="minorHAnsi" w:cs="Calibri"/>
        </w:rPr>
        <w:t xml:space="preserve">are </w:t>
      </w:r>
      <w:r w:rsidRPr="0067297E">
        <w:rPr>
          <w:rFonts w:asciiTheme="minorHAnsi" w:hAnsiTheme="minorHAnsi" w:cs="Calibri"/>
          <w:lang w:val="en-GB"/>
        </w:rPr>
        <w:t xml:space="preserve">flats, apartments or maisonettes. 41.9% of properties are </w:t>
      </w:r>
      <w:r w:rsidRPr="0067297E">
        <w:rPr>
          <w:rFonts w:asciiTheme="minorHAnsi" w:hAnsiTheme="minorHAnsi" w:cs="Calibri"/>
        </w:rPr>
        <w:t>houses</w:t>
      </w:r>
      <w:r w:rsidRPr="0067297E">
        <w:rPr>
          <w:rFonts w:asciiTheme="minorHAnsi" w:hAnsiTheme="minorHAnsi" w:cs="Calibri"/>
          <w:lang w:val="en-GB"/>
        </w:rPr>
        <w:t xml:space="preserve"> (of which 32.8% are terraced, 7.8% are semi-detached and 1.3% are detached houses)</w:t>
      </w:r>
      <w:r w:rsidRPr="0067297E">
        <w:rPr>
          <w:rFonts w:asciiTheme="minorHAnsi" w:hAnsiTheme="minorHAnsi" w:cs="Calibri"/>
        </w:rPr>
        <w:t xml:space="preserve"> and 0.4% are bungalows</w:t>
      </w:r>
      <w:r w:rsidRPr="0067297E">
        <w:rPr>
          <w:rStyle w:val="FootnoteReference"/>
          <w:rFonts w:asciiTheme="minorHAnsi" w:hAnsiTheme="minorHAnsi" w:cs="Calibri"/>
        </w:rPr>
        <w:footnoteReference w:id="5"/>
      </w:r>
      <w:r w:rsidR="00552513" w:rsidRPr="0067297E">
        <w:rPr>
          <w:rFonts w:asciiTheme="minorHAnsi" w:hAnsiTheme="minorHAnsi" w:cs="Calibri"/>
        </w:rPr>
        <w:t>;</w:t>
      </w:r>
    </w:p>
    <w:p w14:paraId="32966D75" w14:textId="77777777" w:rsidR="00552513" w:rsidRPr="0067297E" w:rsidRDefault="004C2852">
      <w:pPr>
        <w:pStyle w:val="bullet"/>
        <w:ind w:left="360"/>
        <w:rPr>
          <w:rFonts w:asciiTheme="minorHAnsi" w:hAnsiTheme="minorHAnsi" w:cs="Calibri"/>
        </w:rPr>
      </w:pPr>
      <w:r w:rsidRPr="0067297E">
        <w:rPr>
          <w:rFonts w:asciiTheme="minorHAnsi" w:hAnsiTheme="minorHAnsi" w:cs="Calibri"/>
          <w:lang w:val="en-GB"/>
        </w:rPr>
        <w:t>26.4</w:t>
      </w:r>
      <w:r w:rsidRPr="0067297E">
        <w:rPr>
          <w:rFonts w:asciiTheme="minorHAnsi" w:hAnsiTheme="minorHAnsi" w:cs="Calibri"/>
        </w:rPr>
        <w:t xml:space="preserve">% </w:t>
      </w:r>
      <w:r w:rsidRPr="0067297E">
        <w:rPr>
          <w:rFonts w:asciiTheme="minorHAnsi" w:hAnsiTheme="minorHAnsi" w:cs="Calibri"/>
          <w:lang w:val="en-GB"/>
        </w:rPr>
        <w:t xml:space="preserve">of properties </w:t>
      </w:r>
      <w:r w:rsidRPr="0067297E">
        <w:rPr>
          <w:rFonts w:asciiTheme="minorHAnsi" w:hAnsiTheme="minorHAnsi" w:cs="Calibri"/>
        </w:rPr>
        <w:t xml:space="preserve">have one bedroom, </w:t>
      </w:r>
      <w:r w:rsidRPr="0067297E">
        <w:rPr>
          <w:rFonts w:asciiTheme="minorHAnsi" w:hAnsiTheme="minorHAnsi" w:cs="Calibri"/>
          <w:lang w:val="en-GB"/>
        </w:rPr>
        <w:t>33.0</w:t>
      </w:r>
      <w:r w:rsidRPr="0067297E">
        <w:rPr>
          <w:rFonts w:asciiTheme="minorHAnsi" w:hAnsiTheme="minorHAnsi" w:cs="Calibri"/>
        </w:rPr>
        <w:t>% have two bedrooms</w:t>
      </w:r>
      <w:r w:rsidRPr="0067297E">
        <w:rPr>
          <w:rFonts w:asciiTheme="minorHAnsi" w:hAnsiTheme="minorHAnsi" w:cs="Calibri"/>
          <w:lang w:val="en-GB"/>
        </w:rPr>
        <w:t>, 30.4</w:t>
      </w:r>
      <w:r w:rsidRPr="0067297E">
        <w:rPr>
          <w:rFonts w:asciiTheme="minorHAnsi" w:hAnsiTheme="minorHAnsi" w:cs="Calibri"/>
        </w:rPr>
        <w:t>% have three bedrooms</w:t>
      </w:r>
      <w:r w:rsidRPr="0067297E">
        <w:rPr>
          <w:rFonts w:asciiTheme="minorHAnsi" w:hAnsiTheme="minorHAnsi" w:cs="Calibri"/>
          <w:lang w:val="en-GB"/>
        </w:rPr>
        <w:t xml:space="preserve"> and 10.1% have </w:t>
      </w:r>
      <w:r w:rsidRPr="0067297E">
        <w:rPr>
          <w:rFonts w:asciiTheme="minorHAnsi" w:hAnsiTheme="minorHAnsi" w:cs="Calibri"/>
        </w:rPr>
        <w:t xml:space="preserve">four </w:t>
      </w:r>
      <w:r w:rsidRPr="0067297E">
        <w:rPr>
          <w:rFonts w:asciiTheme="minorHAnsi" w:hAnsiTheme="minorHAnsi" w:cs="Calibri"/>
          <w:lang w:val="en-GB"/>
        </w:rPr>
        <w:t>bedrooms</w:t>
      </w:r>
      <w:r w:rsidRPr="0067297E">
        <w:rPr>
          <w:rStyle w:val="FootnoteReference"/>
          <w:rFonts w:asciiTheme="minorHAnsi" w:hAnsiTheme="minorHAnsi" w:cs="Calibri"/>
          <w:lang w:val="en-GB"/>
        </w:rPr>
        <w:footnoteReference w:id="6"/>
      </w:r>
      <w:r w:rsidR="00552513" w:rsidRPr="0067297E">
        <w:rPr>
          <w:rFonts w:asciiTheme="minorHAnsi" w:hAnsiTheme="minorHAnsi" w:cs="Calibri"/>
          <w:lang w:val="en-GB"/>
        </w:rPr>
        <w:t>;</w:t>
      </w:r>
    </w:p>
    <w:p w14:paraId="4FF1F86C" w14:textId="77777777" w:rsidR="00552513" w:rsidRPr="0067297E" w:rsidRDefault="004C2852">
      <w:pPr>
        <w:pStyle w:val="bullet"/>
        <w:ind w:left="360"/>
        <w:rPr>
          <w:rFonts w:asciiTheme="minorHAnsi" w:hAnsiTheme="minorHAnsi" w:cs="Calibri"/>
        </w:rPr>
      </w:pPr>
      <w:r w:rsidRPr="0067297E">
        <w:rPr>
          <w:rFonts w:asciiTheme="minorHAnsi" w:hAnsiTheme="minorHAnsi" w:cs="Calibri"/>
          <w:lang w:val="en-GB"/>
        </w:rPr>
        <w:t xml:space="preserve">56.8% of properties </w:t>
      </w:r>
      <w:r w:rsidRPr="0067297E">
        <w:rPr>
          <w:rFonts w:asciiTheme="minorHAnsi" w:hAnsiTheme="minorHAnsi" w:cs="Calibri"/>
        </w:rPr>
        <w:t xml:space="preserve">were built </w:t>
      </w:r>
      <w:r w:rsidRPr="0067297E">
        <w:rPr>
          <w:rFonts w:asciiTheme="minorHAnsi" w:hAnsiTheme="minorHAnsi" w:cs="Calibri"/>
          <w:lang w:val="en-GB"/>
        </w:rPr>
        <w:t>before the end of the Second World War (37.3% pre-1919 and 19.5% in the period 1919-44)</w:t>
      </w:r>
      <w:r w:rsidRPr="0067297E">
        <w:rPr>
          <w:rStyle w:val="FootnoteReference"/>
          <w:rFonts w:asciiTheme="minorHAnsi" w:hAnsiTheme="minorHAnsi" w:cs="Calibri"/>
          <w:lang w:val="en-GB"/>
        </w:rPr>
        <w:footnoteReference w:id="7"/>
      </w:r>
      <w:r w:rsidR="00350D3A" w:rsidRPr="0067297E">
        <w:rPr>
          <w:rFonts w:asciiTheme="minorHAnsi" w:hAnsiTheme="minorHAnsi" w:cs="Calibri"/>
          <w:lang w:val="en-GB"/>
        </w:rPr>
        <w:t>;</w:t>
      </w:r>
      <w:r w:rsidR="00552513" w:rsidRPr="0067297E">
        <w:rPr>
          <w:rFonts w:asciiTheme="minorHAnsi" w:hAnsiTheme="minorHAnsi" w:cs="Calibri"/>
          <w:lang w:val="en-GB"/>
        </w:rPr>
        <w:t xml:space="preserve"> and</w:t>
      </w:r>
    </w:p>
    <w:p w14:paraId="10D415B0" w14:textId="62525D6A" w:rsidR="00552513" w:rsidRPr="00733863" w:rsidRDefault="00660311">
      <w:pPr>
        <w:pStyle w:val="bullet"/>
        <w:ind w:left="360"/>
        <w:rPr>
          <w:rFonts w:asciiTheme="minorHAnsi" w:hAnsiTheme="minorHAnsi" w:cs="Calibri"/>
        </w:rPr>
      </w:pPr>
      <w:r w:rsidRPr="0067297E">
        <w:rPr>
          <w:rFonts w:asciiTheme="minorHAnsi" w:hAnsiTheme="minorHAnsi" w:cs="Calibri"/>
          <w:lang w:val="en-GB"/>
        </w:rPr>
        <w:t>43.</w:t>
      </w:r>
      <w:r w:rsidR="000F6676">
        <w:rPr>
          <w:rFonts w:asciiTheme="minorHAnsi" w:hAnsiTheme="minorHAnsi" w:cs="Calibri"/>
          <w:lang w:val="en-GB"/>
        </w:rPr>
        <w:t>9</w:t>
      </w:r>
      <w:r w:rsidR="00552513" w:rsidRPr="0067297E">
        <w:rPr>
          <w:rFonts w:asciiTheme="minorHAnsi" w:hAnsiTheme="minorHAnsi" w:cs="Calibri"/>
        </w:rPr>
        <w:t>% of</w:t>
      </w:r>
      <w:r w:rsidR="009A76DC" w:rsidRPr="0067297E">
        <w:rPr>
          <w:rFonts w:asciiTheme="minorHAnsi" w:hAnsiTheme="minorHAnsi" w:cs="Calibri"/>
        </w:rPr>
        <w:t xml:space="preserve"> properties are owner-occupied, </w:t>
      </w:r>
      <w:r w:rsidRPr="0067297E">
        <w:rPr>
          <w:rFonts w:asciiTheme="minorHAnsi" w:hAnsiTheme="minorHAnsi" w:cs="Calibri"/>
          <w:lang w:val="en-GB"/>
        </w:rPr>
        <w:t>31.</w:t>
      </w:r>
      <w:r w:rsidR="000F6676">
        <w:rPr>
          <w:rFonts w:asciiTheme="minorHAnsi" w:hAnsiTheme="minorHAnsi" w:cs="Calibri"/>
          <w:lang w:val="en-GB"/>
        </w:rPr>
        <w:t>0</w:t>
      </w:r>
      <w:r w:rsidR="00552513" w:rsidRPr="0067297E">
        <w:rPr>
          <w:rFonts w:asciiTheme="minorHAnsi" w:hAnsiTheme="minorHAnsi" w:cs="Calibri"/>
        </w:rPr>
        <w:t xml:space="preserve">% are affordable (social/affordable rented or shared ownership) and </w:t>
      </w:r>
      <w:r w:rsidRPr="0067297E">
        <w:rPr>
          <w:rFonts w:asciiTheme="minorHAnsi" w:hAnsiTheme="minorHAnsi" w:cs="Calibri"/>
          <w:lang w:val="en-GB"/>
        </w:rPr>
        <w:t>25.</w:t>
      </w:r>
      <w:r w:rsidR="000F6676">
        <w:rPr>
          <w:rFonts w:asciiTheme="minorHAnsi" w:hAnsiTheme="minorHAnsi" w:cs="Calibri"/>
          <w:lang w:val="en-GB"/>
        </w:rPr>
        <w:t>1</w:t>
      </w:r>
      <w:r w:rsidR="00552513" w:rsidRPr="0067297E">
        <w:rPr>
          <w:rFonts w:asciiTheme="minorHAnsi" w:hAnsiTheme="minorHAnsi" w:cs="Calibri"/>
        </w:rPr>
        <w:t>% are private rented (or tied accommodation</w:t>
      </w:r>
      <w:r w:rsidR="00552513" w:rsidRPr="0067297E">
        <w:rPr>
          <w:rFonts w:asciiTheme="minorHAnsi" w:hAnsiTheme="minorHAnsi" w:cs="Calibri"/>
          <w:lang w:val="en-GB"/>
        </w:rPr>
        <w:t>)</w:t>
      </w:r>
      <w:r w:rsidR="00DA36F9" w:rsidRPr="0067297E">
        <w:rPr>
          <w:rStyle w:val="FootnoteReference"/>
          <w:rFonts w:asciiTheme="minorHAnsi" w:hAnsiTheme="minorHAnsi" w:cs="Calibri"/>
          <w:lang w:val="en-GB"/>
        </w:rPr>
        <w:footnoteReference w:id="8"/>
      </w:r>
      <w:r w:rsidR="00552513" w:rsidRPr="0067297E">
        <w:rPr>
          <w:rFonts w:asciiTheme="minorHAnsi" w:hAnsiTheme="minorHAnsi" w:cs="Calibri"/>
          <w:lang w:val="en-GB"/>
        </w:rPr>
        <w:t>.</w:t>
      </w:r>
    </w:p>
    <w:p w14:paraId="0CD5A45F" w14:textId="0A1AF3B7" w:rsidR="00733863" w:rsidRPr="0067297E" w:rsidRDefault="00733863">
      <w:pPr>
        <w:pStyle w:val="bullet"/>
        <w:ind w:left="360"/>
        <w:rPr>
          <w:rFonts w:asciiTheme="minorHAnsi" w:hAnsiTheme="minorHAnsi" w:cs="Calibri"/>
        </w:rPr>
      </w:pPr>
      <w:r>
        <w:rPr>
          <w:rFonts w:asciiTheme="minorHAnsi" w:hAnsiTheme="minorHAnsi" w:cs="Calibri"/>
          <w:lang w:val="en-GB"/>
        </w:rPr>
        <w:t xml:space="preserve">Whilst the stock profile of Lewisham is similar to that of London as a whole, the proportion of detached and semi-detached properties is slightly lower and terraced housing is slightly higher in Lewisham.  There are also proportionately more households in affordable housing </w:t>
      </w:r>
      <w:r w:rsidR="00293D20">
        <w:rPr>
          <w:rFonts w:asciiTheme="minorHAnsi" w:hAnsiTheme="minorHAnsi" w:cs="Calibri"/>
          <w:lang w:val="en-GB"/>
        </w:rPr>
        <w:t xml:space="preserve">in Lewisham </w:t>
      </w:r>
      <w:r>
        <w:rPr>
          <w:rFonts w:asciiTheme="minorHAnsi" w:hAnsiTheme="minorHAnsi" w:cs="Calibri"/>
          <w:lang w:val="en-GB"/>
        </w:rPr>
        <w:t>than London as a whole.</w:t>
      </w:r>
    </w:p>
    <w:p w14:paraId="0B961BC5" w14:textId="77777777" w:rsidR="006852BE" w:rsidRPr="0015368C" w:rsidRDefault="006852BE" w:rsidP="0015368C">
      <w:pPr>
        <w:rPr>
          <w:lang w:val="x-none"/>
        </w:rPr>
      </w:pPr>
    </w:p>
    <w:p w14:paraId="3B2BAC69" w14:textId="77777777" w:rsidR="00E2582E" w:rsidRPr="0067297E" w:rsidRDefault="00E2582E">
      <w:pPr>
        <w:pStyle w:val="Heading3"/>
        <w:ind w:left="0"/>
        <w:rPr>
          <w:rFonts w:asciiTheme="minorHAnsi" w:hAnsiTheme="minorHAnsi" w:cs="Calibri"/>
        </w:rPr>
      </w:pPr>
      <w:r w:rsidRPr="0067297E">
        <w:rPr>
          <w:rFonts w:asciiTheme="minorHAnsi" w:hAnsiTheme="minorHAnsi" w:cs="Calibri"/>
        </w:rPr>
        <w:t>Demographic drivers</w:t>
      </w:r>
      <w:bookmarkEnd w:id="50"/>
      <w:bookmarkEnd w:id="51"/>
    </w:p>
    <w:p w14:paraId="04B7F846" w14:textId="6C0E7943" w:rsidR="00A869ED" w:rsidRPr="0067297E" w:rsidRDefault="00E2582E" w:rsidP="00A869ED">
      <w:pPr>
        <w:rPr>
          <w:rFonts w:asciiTheme="minorHAnsi" w:hAnsiTheme="minorHAnsi"/>
        </w:rPr>
      </w:pPr>
      <w:r w:rsidRPr="0067297E">
        <w:rPr>
          <w:rFonts w:asciiTheme="minorHAnsi" w:hAnsiTheme="minorHAnsi"/>
        </w:rPr>
        <w:t xml:space="preserve">The population of </w:t>
      </w:r>
      <w:r w:rsidR="009C3189" w:rsidRPr="0067297E">
        <w:rPr>
          <w:rFonts w:asciiTheme="minorHAnsi" w:hAnsiTheme="minorHAnsi"/>
        </w:rPr>
        <w:t>the borough</w:t>
      </w:r>
      <w:r w:rsidR="00FC386C" w:rsidRPr="0067297E">
        <w:rPr>
          <w:rFonts w:asciiTheme="minorHAnsi" w:hAnsiTheme="minorHAnsi"/>
        </w:rPr>
        <w:t xml:space="preserve"> </w:t>
      </w:r>
      <w:r w:rsidRPr="0067297E">
        <w:rPr>
          <w:rFonts w:asciiTheme="minorHAnsi" w:hAnsiTheme="minorHAnsi"/>
        </w:rPr>
        <w:t xml:space="preserve">is estimated to be </w:t>
      </w:r>
      <w:r w:rsidR="00674522" w:rsidRPr="0067297E">
        <w:rPr>
          <w:rFonts w:asciiTheme="minorHAnsi" w:hAnsiTheme="minorHAnsi"/>
        </w:rPr>
        <w:t>307,100</w:t>
      </w:r>
      <w:r w:rsidRPr="0067297E">
        <w:rPr>
          <w:rFonts w:asciiTheme="minorHAnsi" w:hAnsiTheme="minorHAnsi"/>
        </w:rPr>
        <w:t xml:space="preserve"> in 20</w:t>
      </w:r>
      <w:r w:rsidR="005A50A7" w:rsidRPr="0067297E">
        <w:rPr>
          <w:rFonts w:asciiTheme="minorHAnsi" w:hAnsiTheme="minorHAnsi"/>
        </w:rPr>
        <w:t>1</w:t>
      </w:r>
      <w:r w:rsidR="003638C3" w:rsidRPr="0067297E">
        <w:rPr>
          <w:rFonts w:asciiTheme="minorHAnsi" w:hAnsiTheme="minorHAnsi"/>
        </w:rPr>
        <w:t>8</w:t>
      </w:r>
      <w:r w:rsidRPr="0067297E">
        <w:rPr>
          <w:rStyle w:val="FootnoteReference"/>
          <w:rFonts w:asciiTheme="minorHAnsi" w:hAnsiTheme="minorHAnsi" w:cs="Calibri"/>
        </w:rPr>
        <w:footnoteReference w:id="9"/>
      </w:r>
      <w:r w:rsidRPr="0067297E">
        <w:rPr>
          <w:rFonts w:asciiTheme="minorHAnsi" w:hAnsiTheme="minorHAnsi"/>
        </w:rPr>
        <w:t xml:space="preserve"> and this is projected to increase by </w:t>
      </w:r>
      <w:r w:rsidR="001C1E55">
        <w:rPr>
          <w:rFonts w:asciiTheme="minorHAnsi" w:hAnsiTheme="minorHAnsi"/>
        </w:rPr>
        <w:t>18.6</w:t>
      </w:r>
      <w:r w:rsidRPr="0067297E">
        <w:rPr>
          <w:rFonts w:asciiTheme="minorHAnsi" w:hAnsiTheme="minorHAnsi"/>
        </w:rPr>
        <w:t xml:space="preserve">% to </w:t>
      </w:r>
      <w:r w:rsidR="00674522" w:rsidRPr="0067297E">
        <w:rPr>
          <w:rFonts w:asciiTheme="minorHAnsi" w:hAnsiTheme="minorHAnsi"/>
        </w:rPr>
        <w:t>3</w:t>
      </w:r>
      <w:r w:rsidR="001C1E55">
        <w:rPr>
          <w:rFonts w:asciiTheme="minorHAnsi" w:hAnsiTheme="minorHAnsi"/>
        </w:rPr>
        <w:t>64</w:t>
      </w:r>
      <w:r w:rsidR="00674522" w:rsidRPr="0067297E">
        <w:rPr>
          <w:rFonts w:asciiTheme="minorHAnsi" w:hAnsiTheme="minorHAnsi"/>
        </w:rPr>
        <w:t>,</w:t>
      </w:r>
      <w:r w:rsidR="001C1E55">
        <w:rPr>
          <w:rFonts w:asciiTheme="minorHAnsi" w:hAnsiTheme="minorHAnsi"/>
        </w:rPr>
        <w:t>2</w:t>
      </w:r>
      <w:r w:rsidR="00674522" w:rsidRPr="0067297E">
        <w:rPr>
          <w:rFonts w:asciiTheme="minorHAnsi" w:hAnsiTheme="minorHAnsi"/>
        </w:rPr>
        <w:t>00</w:t>
      </w:r>
      <w:r w:rsidR="009A76DC" w:rsidRPr="0067297E">
        <w:rPr>
          <w:rFonts w:asciiTheme="minorHAnsi" w:hAnsiTheme="minorHAnsi"/>
        </w:rPr>
        <w:t xml:space="preserve"> </w:t>
      </w:r>
      <w:r w:rsidRPr="0067297E">
        <w:rPr>
          <w:rFonts w:asciiTheme="minorHAnsi" w:hAnsiTheme="minorHAnsi"/>
        </w:rPr>
        <w:t xml:space="preserve">by </w:t>
      </w:r>
      <w:r w:rsidR="00350D3A" w:rsidRPr="0067297E">
        <w:rPr>
          <w:rFonts w:asciiTheme="minorHAnsi" w:hAnsiTheme="minorHAnsi"/>
        </w:rPr>
        <w:t xml:space="preserve">the end of the Local Plan Period in </w:t>
      </w:r>
      <w:r w:rsidRPr="0067297E">
        <w:rPr>
          <w:rFonts w:asciiTheme="minorHAnsi" w:hAnsiTheme="minorHAnsi"/>
        </w:rPr>
        <w:t>20</w:t>
      </w:r>
      <w:r w:rsidR="001C1E55">
        <w:rPr>
          <w:rFonts w:asciiTheme="minorHAnsi" w:hAnsiTheme="minorHAnsi"/>
        </w:rPr>
        <w:t>40</w:t>
      </w:r>
      <w:r w:rsidRPr="0067297E">
        <w:rPr>
          <w:rStyle w:val="FootnoteReference"/>
          <w:rFonts w:asciiTheme="minorHAnsi" w:hAnsiTheme="minorHAnsi" w:cs="Calibri"/>
        </w:rPr>
        <w:footnoteReference w:id="10"/>
      </w:r>
      <w:r w:rsidRPr="0067297E">
        <w:rPr>
          <w:rFonts w:asciiTheme="minorHAnsi" w:hAnsiTheme="minorHAnsi"/>
        </w:rPr>
        <w:t xml:space="preserve">. </w:t>
      </w:r>
    </w:p>
    <w:p w14:paraId="74F64296" w14:textId="77777777" w:rsidR="000F6676" w:rsidRDefault="000F6676" w:rsidP="00AD1378">
      <w:pPr>
        <w:rPr>
          <w:rFonts w:asciiTheme="minorHAnsi" w:hAnsiTheme="minorHAnsi"/>
        </w:rPr>
      </w:pPr>
    </w:p>
    <w:p w14:paraId="0B3ACDD2" w14:textId="4427C06A" w:rsidR="00E2582E" w:rsidRDefault="00E2582E">
      <w:pPr>
        <w:rPr>
          <w:rFonts w:asciiTheme="minorHAnsi" w:hAnsiTheme="minorHAnsi"/>
        </w:rPr>
      </w:pPr>
      <w:r w:rsidRPr="0067297E">
        <w:rPr>
          <w:rFonts w:asciiTheme="minorHAnsi" w:hAnsiTheme="minorHAnsi"/>
        </w:rPr>
        <w:t xml:space="preserve">Over the next few decades, there will be a marked increase in the number and proportion of </w:t>
      </w:r>
      <w:r w:rsidR="00674522" w:rsidRPr="0067297E">
        <w:rPr>
          <w:rFonts w:asciiTheme="minorHAnsi" w:hAnsiTheme="minorHAnsi"/>
        </w:rPr>
        <w:t xml:space="preserve">residents in the 40-59 and in 60-74 and 75+ age groups.  </w:t>
      </w:r>
      <w:r w:rsidR="00A869ED" w:rsidRPr="0067297E">
        <w:rPr>
          <w:rFonts w:asciiTheme="minorHAnsi" w:hAnsiTheme="minorHAnsi"/>
        </w:rPr>
        <w:t xml:space="preserve">The number of people across the borough aged 65 or over is projected to increase significantly during the Plan Period, from </w:t>
      </w:r>
      <w:r w:rsidR="001C1E55">
        <w:rPr>
          <w:rFonts w:asciiTheme="minorHAnsi" w:hAnsiTheme="minorHAnsi"/>
        </w:rPr>
        <w:t>28,500</w:t>
      </w:r>
      <w:r w:rsidR="00A869ED" w:rsidRPr="0067297E">
        <w:rPr>
          <w:rFonts w:asciiTheme="minorHAnsi" w:hAnsiTheme="minorHAnsi"/>
        </w:rPr>
        <w:t xml:space="preserve"> in 2018 to </w:t>
      </w:r>
      <w:r w:rsidR="001C1E55">
        <w:rPr>
          <w:rFonts w:asciiTheme="minorHAnsi" w:hAnsiTheme="minorHAnsi"/>
        </w:rPr>
        <w:t>50,400</w:t>
      </w:r>
      <w:r w:rsidR="00A869ED" w:rsidRPr="0067297E">
        <w:rPr>
          <w:rFonts w:asciiTheme="minorHAnsi" w:hAnsiTheme="minorHAnsi"/>
        </w:rPr>
        <w:t xml:space="preserve"> by 20</w:t>
      </w:r>
      <w:r w:rsidR="001C1E55">
        <w:rPr>
          <w:rFonts w:asciiTheme="minorHAnsi" w:hAnsiTheme="minorHAnsi"/>
        </w:rPr>
        <w:t>40</w:t>
      </w:r>
      <w:r w:rsidR="00A869ED" w:rsidRPr="0067297E">
        <w:rPr>
          <w:rFonts w:asciiTheme="minorHAnsi" w:hAnsiTheme="minorHAnsi"/>
        </w:rPr>
        <w:t xml:space="preserve"> (a </w:t>
      </w:r>
      <w:r w:rsidR="001C1E55">
        <w:rPr>
          <w:rFonts w:asciiTheme="minorHAnsi" w:hAnsiTheme="minorHAnsi"/>
        </w:rPr>
        <w:t>76.8</w:t>
      </w:r>
      <w:r w:rsidR="00A869ED" w:rsidRPr="0067297E">
        <w:rPr>
          <w:rFonts w:asciiTheme="minorHAnsi" w:hAnsiTheme="minorHAnsi"/>
        </w:rPr>
        <w:t>% increase)</w:t>
      </w:r>
      <w:r w:rsidR="00A869ED" w:rsidRPr="0067297E">
        <w:rPr>
          <w:rFonts w:asciiTheme="minorHAnsi" w:hAnsiTheme="minorHAnsi"/>
          <w:vertAlign w:val="superscript"/>
        </w:rPr>
        <w:footnoteReference w:id="11"/>
      </w:r>
      <w:r w:rsidR="00A869ED" w:rsidRPr="0067297E">
        <w:rPr>
          <w:rFonts w:asciiTheme="minorHAnsi" w:hAnsiTheme="minorHAnsi"/>
        </w:rPr>
        <w:t xml:space="preserve">. </w:t>
      </w:r>
      <w:r w:rsidR="001C1E55">
        <w:rPr>
          <w:rFonts w:asciiTheme="minorHAnsi" w:hAnsiTheme="minorHAnsi" w:cs="Calibri"/>
          <w:lang w:val="en-US"/>
        </w:rPr>
        <w:t>The 75-84 age group is projected to increase by 82.8% from 9,300 to 17,000; and the 85+ age group by 63.2% from 3,800 to 6,200 over the period to 2040.</w:t>
      </w:r>
    </w:p>
    <w:p w14:paraId="69F69B9F" w14:textId="24B3034D" w:rsidR="00E2582E" w:rsidRPr="0067297E" w:rsidRDefault="00E2582E">
      <w:pPr>
        <w:pStyle w:val="Heading3"/>
        <w:ind w:left="0"/>
        <w:rPr>
          <w:rFonts w:asciiTheme="minorHAnsi" w:hAnsiTheme="minorHAnsi" w:cs="Calibri"/>
          <w:lang w:val="en-GB"/>
        </w:rPr>
      </w:pPr>
      <w:bookmarkStart w:id="52" w:name="_Toc360192560"/>
      <w:bookmarkStart w:id="53" w:name="_Toc399864313"/>
      <w:r w:rsidRPr="0067297E">
        <w:rPr>
          <w:rFonts w:asciiTheme="minorHAnsi" w:hAnsiTheme="minorHAnsi" w:cs="Calibri"/>
        </w:rPr>
        <w:t>Economic drivers</w:t>
      </w:r>
      <w:bookmarkEnd w:id="52"/>
      <w:bookmarkEnd w:id="53"/>
      <w:r w:rsidR="00552DC8" w:rsidRPr="0067297E">
        <w:rPr>
          <w:rFonts w:asciiTheme="minorHAnsi" w:hAnsiTheme="minorHAnsi" w:cs="Calibri"/>
          <w:lang w:val="en-GB"/>
        </w:rPr>
        <w:t xml:space="preserve"> and the affordability of housing</w:t>
      </w:r>
    </w:p>
    <w:p w14:paraId="34BD14A7" w14:textId="02926191" w:rsidR="004D494F" w:rsidRPr="0067297E" w:rsidRDefault="003638C3">
      <w:pPr>
        <w:pStyle w:val="Maintext"/>
        <w:numPr>
          <w:ilvl w:val="0"/>
          <w:numId w:val="0"/>
        </w:numPr>
        <w:rPr>
          <w:rFonts w:asciiTheme="minorHAnsi" w:hAnsiTheme="minorHAnsi" w:cs="Calibri"/>
          <w:lang w:val="en-GB"/>
        </w:rPr>
      </w:pPr>
      <w:r w:rsidRPr="0067297E">
        <w:rPr>
          <w:rFonts w:asciiTheme="minorHAnsi" w:hAnsiTheme="minorHAnsi" w:cs="Calibri"/>
          <w:lang w:val="en-GB"/>
        </w:rPr>
        <w:t>A</w:t>
      </w:r>
      <w:r w:rsidR="00E2582E" w:rsidRPr="0067297E">
        <w:rPr>
          <w:rFonts w:asciiTheme="minorHAnsi" w:hAnsiTheme="minorHAnsi" w:cs="Calibri"/>
        </w:rPr>
        <w:t xml:space="preserve">cross </w:t>
      </w:r>
      <w:r w:rsidR="00B102AD" w:rsidRPr="0067297E">
        <w:rPr>
          <w:rFonts w:asciiTheme="minorHAnsi" w:hAnsiTheme="minorHAnsi" w:cs="Calibri"/>
          <w:lang w:val="en-GB"/>
        </w:rPr>
        <w:t xml:space="preserve">the </w:t>
      </w:r>
      <w:r w:rsidR="009C3189" w:rsidRPr="0067297E">
        <w:rPr>
          <w:rFonts w:asciiTheme="minorHAnsi" w:hAnsiTheme="minorHAnsi" w:cs="Calibri"/>
          <w:lang w:val="en-GB"/>
        </w:rPr>
        <w:t>borough</w:t>
      </w:r>
      <w:r w:rsidR="00E2582E" w:rsidRPr="0067297E">
        <w:rPr>
          <w:rFonts w:asciiTheme="minorHAnsi" w:hAnsiTheme="minorHAnsi" w:cs="Calibri"/>
        </w:rPr>
        <w:t xml:space="preserve">, </w:t>
      </w:r>
      <w:r w:rsidR="00674522" w:rsidRPr="0067297E">
        <w:rPr>
          <w:rFonts w:asciiTheme="minorHAnsi" w:hAnsiTheme="minorHAnsi" w:cs="Calibri"/>
          <w:lang w:val="en-GB"/>
        </w:rPr>
        <w:t>68.6</w:t>
      </w:r>
      <w:r w:rsidR="00E2582E" w:rsidRPr="0067297E">
        <w:rPr>
          <w:rFonts w:asciiTheme="minorHAnsi" w:hAnsiTheme="minorHAnsi" w:cs="Calibri"/>
        </w:rPr>
        <w:t xml:space="preserve">% of </w:t>
      </w:r>
      <w:r w:rsidR="00E2582E" w:rsidRPr="0067297E">
        <w:rPr>
          <w:rFonts w:asciiTheme="minorHAnsi" w:hAnsiTheme="minorHAnsi" w:cs="Calibri"/>
          <w:lang w:val="en-GB"/>
        </w:rPr>
        <w:t>Household Reference Peo</w:t>
      </w:r>
      <w:r w:rsidR="0041210F" w:rsidRPr="0067297E">
        <w:rPr>
          <w:rFonts w:asciiTheme="minorHAnsi" w:hAnsiTheme="minorHAnsi" w:cs="Calibri"/>
          <w:lang w:val="en-GB"/>
        </w:rPr>
        <w:t xml:space="preserve">ple are economically active, </w:t>
      </w:r>
      <w:r w:rsidR="00E2582E" w:rsidRPr="0067297E">
        <w:rPr>
          <w:rFonts w:asciiTheme="minorHAnsi" w:hAnsiTheme="minorHAnsi" w:cs="Calibri"/>
          <w:lang w:val="en-GB"/>
        </w:rPr>
        <w:t xml:space="preserve">a further </w:t>
      </w:r>
      <w:r w:rsidR="00674522" w:rsidRPr="0067297E">
        <w:rPr>
          <w:rFonts w:asciiTheme="minorHAnsi" w:hAnsiTheme="minorHAnsi" w:cs="Calibri"/>
          <w:lang w:val="en-GB"/>
        </w:rPr>
        <w:t>15.1</w:t>
      </w:r>
      <w:r w:rsidR="00E2582E" w:rsidRPr="0067297E">
        <w:rPr>
          <w:rFonts w:asciiTheme="minorHAnsi" w:hAnsiTheme="minorHAnsi" w:cs="Calibri"/>
          <w:lang w:val="en-GB"/>
        </w:rPr>
        <w:t>% are retired from work</w:t>
      </w:r>
      <w:r w:rsidR="0041210F" w:rsidRPr="0067297E">
        <w:rPr>
          <w:rFonts w:asciiTheme="minorHAnsi" w:hAnsiTheme="minorHAnsi" w:cs="Calibri"/>
          <w:lang w:val="en-GB"/>
        </w:rPr>
        <w:t>, 5.2% unemployed and 11.1% other economically inactive</w:t>
      </w:r>
      <w:r w:rsidR="00674522" w:rsidRPr="0067297E">
        <w:rPr>
          <w:rStyle w:val="FootnoteReference"/>
          <w:rFonts w:asciiTheme="minorHAnsi" w:hAnsiTheme="minorHAnsi" w:cs="Calibri"/>
          <w:lang w:val="en-GB"/>
        </w:rPr>
        <w:footnoteReference w:id="12"/>
      </w:r>
      <w:r w:rsidR="00E2582E" w:rsidRPr="0067297E">
        <w:rPr>
          <w:rFonts w:asciiTheme="minorHAnsi" w:hAnsiTheme="minorHAnsi" w:cs="Calibri"/>
          <w:lang w:val="en-GB"/>
        </w:rPr>
        <w:t>.</w:t>
      </w:r>
      <w:r w:rsidR="00AB7546" w:rsidRPr="0067297E">
        <w:rPr>
          <w:rFonts w:asciiTheme="minorHAnsi" w:hAnsiTheme="minorHAnsi" w:cs="Calibri"/>
          <w:lang w:val="en-GB"/>
        </w:rPr>
        <w:t xml:space="preserve"> </w:t>
      </w:r>
      <w:r w:rsidR="0041210F" w:rsidRPr="0067297E">
        <w:rPr>
          <w:rFonts w:asciiTheme="minorHAnsi" w:hAnsiTheme="minorHAnsi" w:cs="Calibri"/>
          <w:lang w:val="en-GB"/>
        </w:rPr>
        <w:lastRenderedPageBreak/>
        <w:t>According to the latest earnings data</w:t>
      </w:r>
      <w:r w:rsidR="0041210F" w:rsidRPr="0067297E">
        <w:rPr>
          <w:rStyle w:val="FootnoteReference"/>
          <w:rFonts w:asciiTheme="minorHAnsi" w:hAnsiTheme="minorHAnsi" w:cs="Calibri"/>
          <w:lang w:val="en-GB"/>
        </w:rPr>
        <w:footnoteReference w:id="13"/>
      </w:r>
      <w:r w:rsidR="0041210F" w:rsidRPr="0067297E">
        <w:rPr>
          <w:rFonts w:asciiTheme="minorHAnsi" w:hAnsiTheme="minorHAnsi" w:cs="Calibri"/>
          <w:lang w:val="en-GB"/>
        </w:rPr>
        <w:t xml:space="preserve">, lower quartile earnings were £23,869 (compared with £20,667 across England) and median earnings were £32,266 (compared with £29,085 across England). </w:t>
      </w:r>
    </w:p>
    <w:p w14:paraId="4BA72AD7" w14:textId="202633CE" w:rsidR="00C5079C" w:rsidRDefault="00552DC8" w:rsidP="00552DC8">
      <w:pPr>
        <w:pStyle w:val="Maintext"/>
        <w:numPr>
          <w:ilvl w:val="0"/>
          <w:numId w:val="0"/>
        </w:numPr>
        <w:rPr>
          <w:rFonts w:asciiTheme="minorHAnsi" w:hAnsiTheme="minorHAnsi" w:cs="Calibri"/>
          <w:lang w:val="en-GB"/>
        </w:rPr>
      </w:pPr>
      <w:r w:rsidRPr="0067297E">
        <w:rPr>
          <w:rFonts w:asciiTheme="minorHAnsi" w:hAnsiTheme="minorHAnsi" w:cs="Calibri"/>
          <w:lang w:val="en-GB"/>
        </w:rPr>
        <w:t>The relative affordability of alternative tenures has been analysed and overall a household income of at least £</w:t>
      </w:r>
      <w:r w:rsidR="006852BE">
        <w:rPr>
          <w:rFonts w:asciiTheme="minorHAnsi" w:hAnsiTheme="minorHAnsi" w:cs="Calibri"/>
          <w:lang w:val="en-GB"/>
        </w:rPr>
        <w:t>17,426</w:t>
      </w:r>
      <w:r w:rsidRPr="0067297E">
        <w:rPr>
          <w:rFonts w:asciiTheme="minorHAnsi" w:hAnsiTheme="minorHAnsi" w:cs="Calibri"/>
          <w:lang w:val="en-GB"/>
        </w:rPr>
        <w:t xml:space="preserve"> is required for social rent (excluding housing benefit), at least £</w:t>
      </w:r>
      <w:r w:rsidR="006852BE">
        <w:rPr>
          <w:rFonts w:asciiTheme="minorHAnsi" w:hAnsiTheme="minorHAnsi" w:cs="Calibri"/>
          <w:lang w:val="en-GB"/>
        </w:rPr>
        <w:t>27,099</w:t>
      </w:r>
      <w:r w:rsidRPr="0067297E">
        <w:rPr>
          <w:rFonts w:asciiTheme="minorHAnsi" w:hAnsiTheme="minorHAnsi" w:cs="Calibri"/>
          <w:lang w:val="en-GB"/>
        </w:rPr>
        <w:t xml:space="preserve"> for London Affordable Rent and at least £</w:t>
      </w:r>
      <w:r w:rsidR="00DE2EDD">
        <w:rPr>
          <w:rFonts w:asciiTheme="minorHAnsi" w:hAnsiTheme="minorHAnsi" w:cs="Calibri"/>
          <w:lang w:val="en-GB"/>
        </w:rPr>
        <w:t>22,152</w:t>
      </w:r>
      <w:r w:rsidRPr="0067297E">
        <w:rPr>
          <w:rFonts w:asciiTheme="minorHAnsi" w:hAnsiTheme="minorHAnsi" w:cs="Calibri"/>
          <w:lang w:val="en-GB"/>
        </w:rPr>
        <w:t xml:space="preserve"> for London Living Rent. In terms of open market options, a</w:t>
      </w:r>
      <w:r w:rsidR="00DE2EDD">
        <w:rPr>
          <w:rFonts w:asciiTheme="minorHAnsi" w:hAnsiTheme="minorHAnsi" w:cs="Calibri"/>
          <w:lang w:val="en-GB"/>
        </w:rPr>
        <w:t xml:space="preserve"> minimum</w:t>
      </w:r>
      <w:r w:rsidRPr="0067297E">
        <w:rPr>
          <w:rFonts w:asciiTheme="minorHAnsi" w:hAnsiTheme="minorHAnsi" w:cs="Calibri"/>
          <w:lang w:val="en-GB"/>
        </w:rPr>
        <w:t xml:space="preserve"> income of £</w:t>
      </w:r>
      <w:r w:rsidR="00DE2EDD">
        <w:rPr>
          <w:rFonts w:asciiTheme="minorHAnsi" w:hAnsiTheme="minorHAnsi" w:cs="Calibri"/>
          <w:lang w:val="en-GB"/>
        </w:rPr>
        <w:t xml:space="preserve">18,857 </w:t>
      </w:r>
      <w:r w:rsidRPr="0067297E">
        <w:rPr>
          <w:rFonts w:asciiTheme="minorHAnsi" w:hAnsiTheme="minorHAnsi" w:cs="Calibri"/>
          <w:lang w:val="en-GB"/>
        </w:rPr>
        <w:t>is needed for entry-level market renting (lower quartile</w:t>
      </w:r>
      <w:r w:rsidR="00DE2EDD">
        <w:rPr>
          <w:rFonts w:asciiTheme="minorHAnsi" w:hAnsiTheme="minorHAnsi" w:cs="Calibri"/>
          <w:lang w:val="en-GB"/>
        </w:rPr>
        <w:t xml:space="preserve"> price in cheapest ward and assumes 35% of income is spent on rent</w:t>
      </w:r>
      <w:r w:rsidRPr="0067297E">
        <w:rPr>
          <w:rFonts w:asciiTheme="minorHAnsi" w:hAnsiTheme="minorHAnsi" w:cs="Calibri"/>
          <w:lang w:val="en-GB"/>
        </w:rPr>
        <w:t xml:space="preserve">) </w:t>
      </w:r>
      <w:r w:rsidR="00DE2EDD">
        <w:rPr>
          <w:rFonts w:asciiTheme="minorHAnsi" w:hAnsiTheme="minorHAnsi" w:cs="Calibri"/>
          <w:lang w:val="en-GB"/>
        </w:rPr>
        <w:t xml:space="preserve">and the borough average income needed is £34,320. For entry-level open market purchase the minimum income needed is </w:t>
      </w:r>
      <w:r w:rsidRPr="0067297E">
        <w:rPr>
          <w:rFonts w:asciiTheme="minorHAnsi" w:hAnsiTheme="minorHAnsi" w:cs="Calibri"/>
          <w:lang w:val="en-GB"/>
        </w:rPr>
        <w:t>£</w:t>
      </w:r>
      <w:r w:rsidR="00DE2EDD">
        <w:rPr>
          <w:rFonts w:asciiTheme="minorHAnsi" w:hAnsiTheme="minorHAnsi" w:cs="Calibri"/>
          <w:lang w:val="en-GB"/>
        </w:rPr>
        <w:t>71,646</w:t>
      </w:r>
      <w:r w:rsidRPr="0067297E">
        <w:rPr>
          <w:rFonts w:asciiTheme="minorHAnsi" w:hAnsiTheme="minorHAnsi" w:cs="Calibri"/>
          <w:lang w:val="en-GB"/>
        </w:rPr>
        <w:t xml:space="preserve"> (lower quartile</w:t>
      </w:r>
      <w:r w:rsidR="00DE2EDD">
        <w:rPr>
          <w:rFonts w:asciiTheme="minorHAnsi" w:hAnsiTheme="minorHAnsi" w:cs="Calibri"/>
          <w:lang w:val="en-GB"/>
        </w:rPr>
        <w:t xml:space="preserve"> in cheapest ward and assumes a 3.5x income multiple</w:t>
      </w:r>
      <w:r w:rsidRPr="0067297E">
        <w:rPr>
          <w:rFonts w:asciiTheme="minorHAnsi" w:hAnsiTheme="minorHAnsi" w:cs="Calibri"/>
          <w:lang w:val="en-GB"/>
        </w:rPr>
        <w:t>)</w:t>
      </w:r>
      <w:r w:rsidR="00DE2EDD">
        <w:rPr>
          <w:rFonts w:asciiTheme="minorHAnsi" w:hAnsiTheme="minorHAnsi" w:cs="Calibri"/>
          <w:lang w:val="en-GB"/>
        </w:rPr>
        <w:t xml:space="preserve"> and the borough average income needed is £82,286.</w:t>
      </w:r>
    </w:p>
    <w:p w14:paraId="1126D89D" w14:textId="4BFE6AB1" w:rsidR="00733863" w:rsidRPr="00DD5741" w:rsidRDefault="008F34B8" w:rsidP="00733863">
      <w:pPr>
        <w:pStyle w:val="Reporttext"/>
        <w:numPr>
          <w:ilvl w:val="0"/>
          <w:numId w:val="0"/>
        </w:numPr>
        <w:rPr>
          <w:rFonts w:asciiTheme="minorHAnsi" w:hAnsiTheme="minorHAnsi" w:cs="Calibri"/>
        </w:rPr>
      </w:pPr>
      <w:r>
        <w:rPr>
          <w:rFonts w:asciiTheme="minorHAnsi" w:hAnsiTheme="minorHAnsi" w:cs="Calibri"/>
          <w:lang w:val="en-GB"/>
        </w:rPr>
        <w:t>The analysis shows that m</w:t>
      </w:r>
      <w:r w:rsidR="00860B80" w:rsidRPr="00860B80">
        <w:rPr>
          <w:rFonts w:asciiTheme="minorHAnsi" w:hAnsiTheme="minorHAnsi" w:cs="Calibri"/>
          <w:lang w:val="en-GB"/>
        </w:rPr>
        <w:t>arket prices</w:t>
      </w:r>
      <w:r w:rsidR="00502395">
        <w:rPr>
          <w:rFonts w:asciiTheme="minorHAnsi" w:hAnsiTheme="minorHAnsi" w:cs="Calibri"/>
          <w:lang w:val="en-GB"/>
        </w:rPr>
        <w:t xml:space="preserve">, </w:t>
      </w:r>
      <w:r w:rsidR="00860B80" w:rsidRPr="00860B80">
        <w:rPr>
          <w:rFonts w:asciiTheme="minorHAnsi" w:hAnsiTheme="minorHAnsi" w:cs="Calibri"/>
          <w:lang w:val="en-GB"/>
        </w:rPr>
        <w:t>rents and incomes change significantly across Lewisham’s wards.</w:t>
      </w:r>
      <w:r w:rsidR="00860B80">
        <w:rPr>
          <w:rFonts w:asciiTheme="minorHAnsi" w:hAnsiTheme="minorHAnsi" w:cs="Calibri"/>
          <w:lang w:val="en-GB"/>
        </w:rPr>
        <w:t xml:space="preserve"> </w:t>
      </w:r>
      <w:r>
        <w:rPr>
          <w:rFonts w:asciiTheme="minorHAnsi" w:hAnsiTheme="minorHAnsi" w:cs="Calibri"/>
          <w:lang w:val="en-GB"/>
        </w:rPr>
        <w:t>However</w:t>
      </w:r>
      <w:r w:rsidR="00552DC8" w:rsidRPr="0067297E">
        <w:rPr>
          <w:rFonts w:asciiTheme="minorHAnsi" w:hAnsiTheme="minorHAnsi" w:cs="Calibri"/>
          <w:lang w:val="en-GB"/>
        </w:rPr>
        <w:t>, even household</w:t>
      </w:r>
      <w:r w:rsidR="00860B80">
        <w:rPr>
          <w:rFonts w:asciiTheme="minorHAnsi" w:hAnsiTheme="minorHAnsi" w:cs="Calibri"/>
          <w:lang w:val="en-GB"/>
        </w:rPr>
        <w:t>s</w:t>
      </w:r>
      <w:r w:rsidR="00552DC8" w:rsidRPr="0067297E">
        <w:rPr>
          <w:rFonts w:asciiTheme="minorHAnsi" w:hAnsiTheme="minorHAnsi" w:cs="Calibri"/>
          <w:lang w:val="en-GB"/>
        </w:rPr>
        <w:t xml:space="preserve"> on median incomes will find it difficult to afford lower quartile open market prices. They will be unable to become </w:t>
      </w:r>
      <w:r w:rsidR="00785D71" w:rsidRPr="0067297E">
        <w:rPr>
          <w:rFonts w:asciiTheme="minorHAnsi" w:hAnsiTheme="minorHAnsi" w:cs="Calibri"/>
          <w:lang w:val="en-GB"/>
        </w:rPr>
        <w:t>homeowners</w:t>
      </w:r>
      <w:r w:rsidR="00552DC8" w:rsidRPr="0067297E">
        <w:rPr>
          <w:rFonts w:asciiTheme="minorHAnsi" w:hAnsiTheme="minorHAnsi" w:cs="Calibri"/>
          <w:lang w:val="en-GB"/>
        </w:rPr>
        <w:t xml:space="preserve"> unless they can provide a substantial deposit. </w:t>
      </w:r>
      <w:r w:rsidR="00860B80">
        <w:rPr>
          <w:rFonts w:asciiTheme="minorHAnsi" w:hAnsiTheme="minorHAnsi" w:cs="Calibri"/>
          <w:lang w:val="en-GB"/>
        </w:rPr>
        <w:t xml:space="preserve"> Households on lower quartile and median incomes will also find intermediate products unaffordable</w:t>
      </w:r>
      <w:r>
        <w:rPr>
          <w:rFonts w:asciiTheme="minorHAnsi" w:hAnsiTheme="minorHAnsi" w:cs="Calibri"/>
          <w:lang w:val="en-GB"/>
        </w:rPr>
        <w:t xml:space="preserve">.  </w:t>
      </w:r>
      <w:r w:rsidR="00733863" w:rsidRPr="0067297E">
        <w:rPr>
          <w:rFonts w:asciiTheme="minorHAnsi" w:hAnsiTheme="minorHAnsi" w:cs="Calibri"/>
          <w:lang w:val="en-US"/>
        </w:rPr>
        <w:t>This analysis clearly demonstrates that social and affordable renting remains the most affordable tenure option</w:t>
      </w:r>
      <w:r w:rsidR="00293D20">
        <w:rPr>
          <w:rFonts w:asciiTheme="minorHAnsi" w:hAnsiTheme="minorHAnsi" w:cs="Calibri"/>
          <w:lang w:val="en-US"/>
        </w:rPr>
        <w:t>s</w:t>
      </w:r>
      <w:r w:rsidR="00733863" w:rsidRPr="0067297E">
        <w:rPr>
          <w:rFonts w:asciiTheme="minorHAnsi" w:hAnsiTheme="minorHAnsi" w:cs="Calibri"/>
          <w:lang w:val="en-US"/>
        </w:rPr>
        <w:t xml:space="preserve"> available to households. </w:t>
      </w:r>
      <w:r w:rsidR="00733863">
        <w:rPr>
          <w:rFonts w:asciiTheme="minorHAnsi" w:hAnsiTheme="minorHAnsi" w:cs="Calibri"/>
          <w:lang w:val="en-US"/>
        </w:rPr>
        <w:t>It</w:t>
      </w:r>
      <w:r w:rsidR="00733863" w:rsidRPr="00057E49">
        <w:rPr>
          <w:rFonts w:asciiTheme="minorHAnsi" w:hAnsiTheme="minorHAnsi" w:cs="Calibri"/>
          <w:lang w:val="en-US"/>
        </w:rPr>
        <w:t xml:space="preserve"> raises serious concerns over relative affordability of accommodation within the Borough, and particularly for the key workers and wage earners considered. </w:t>
      </w:r>
    </w:p>
    <w:p w14:paraId="07ADC6B0" w14:textId="4231D56E" w:rsidR="00552DC8" w:rsidRPr="0067297E" w:rsidRDefault="00552DC8" w:rsidP="00400C07">
      <w:pPr>
        <w:pStyle w:val="Maintext"/>
        <w:numPr>
          <w:ilvl w:val="0"/>
          <w:numId w:val="0"/>
        </w:numPr>
        <w:rPr>
          <w:rFonts w:asciiTheme="minorHAnsi" w:hAnsiTheme="minorHAnsi" w:cs="Calibri"/>
          <w:lang w:val="en-GB"/>
        </w:rPr>
      </w:pPr>
    </w:p>
    <w:p w14:paraId="03E55AB2" w14:textId="3175EF49" w:rsidR="00E2582E" w:rsidRPr="0067297E" w:rsidRDefault="00DF2714">
      <w:pPr>
        <w:pStyle w:val="Heading2"/>
        <w:ind w:left="0" w:firstLine="0"/>
        <w:rPr>
          <w:rFonts w:asciiTheme="minorHAnsi" w:hAnsiTheme="minorHAnsi" w:cs="Calibri"/>
        </w:rPr>
      </w:pPr>
      <w:bookmarkStart w:id="54" w:name="_Toc391314044"/>
      <w:bookmarkStart w:id="55" w:name="_Toc398659699"/>
      <w:bookmarkStart w:id="56" w:name="_Toc398751043"/>
      <w:bookmarkStart w:id="57" w:name="_Toc529887215"/>
      <w:bookmarkStart w:id="58" w:name="_Toc1385729"/>
      <w:bookmarkStart w:id="59" w:name="_Toc22802740"/>
      <w:bookmarkStart w:id="60" w:name="_Toc23151043"/>
      <w:r w:rsidRPr="0067297E">
        <w:rPr>
          <w:rFonts w:asciiTheme="minorHAnsi" w:hAnsiTheme="minorHAnsi" w:cs="Calibri"/>
        </w:rPr>
        <w:t>Dwelling need, type and mix</w:t>
      </w:r>
      <w:bookmarkEnd w:id="54"/>
      <w:bookmarkEnd w:id="55"/>
      <w:bookmarkEnd w:id="56"/>
      <w:bookmarkEnd w:id="57"/>
      <w:bookmarkEnd w:id="58"/>
      <w:bookmarkEnd w:id="59"/>
      <w:bookmarkEnd w:id="60"/>
    </w:p>
    <w:p w14:paraId="423EBFE6" w14:textId="4E482971" w:rsidR="007C11A8" w:rsidRPr="007C11A8" w:rsidRDefault="007C11A8" w:rsidP="00794144">
      <w:pPr>
        <w:pStyle w:val="Reporttext"/>
        <w:numPr>
          <w:ilvl w:val="0"/>
          <w:numId w:val="0"/>
        </w:numPr>
        <w:rPr>
          <w:rFonts w:asciiTheme="minorHAnsi" w:hAnsiTheme="minorHAnsi" w:cs="Calibri"/>
          <w:lang w:val="en-US"/>
        </w:rPr>
      </w:pPr>
      <w:r>
        <w:rPr>
          <w:rFonts w:asciiTheme="minorHAnsi" w:hAnsiTheme="minorHAnsi" w:cs="Calibri"/>
          <w:lang w:val="en-US"/>
        </w:rPr>
        <w:t>Regarding the future need for housing, the SHMA has considered exis</w:t>
      </w:r>
      <w:r w:rsidR="00915C6B">
        <w:rPr>
          <w:rFonts w:asciiTheme="minorHAnsi" w:hAnsiTheme="minorHAnsi" w:cs="Calibri"/>
          <w:lang w:val="en-US"/>
        </w:rPr>
        <w:t>ting policies and the standard method to calculate housing need as set out in latest Planning Practice Guidance.</w:t>
      </w:r>
      <w:r>
        <w:rPr>
          <w:rFonts w:asciiTheme="minorHAnsi" w:hAnsiTheme="minorHAnsi" w:cs="Calibri"/>
          <w:lang w:val="en-US"/>
        </w:rPr>
        <w:t xml:space="preserve"> </w:t>
      </w:r>
    </w:p>
    <w:p w14:paraId="3F04BDE0" w14:textId="7FFFA70C" w:rsidR="0067297E" w:rsidRPr="0067297E" w:rsidRDefault="0067297E" w:rsidP="00794144">
      <w:pPr>
        <w:pStyle w:val="Reporttext"/>
        <w:numPr>
          <w:ilvl w:val="0"/>
          <w:numId w:val="0"/>
        </w:numPr>
        <w:rPr>
          <w:rFonts w:asciiTheme="minorHAnsi" w:hAnsiTheme="minorHAnsi"/>
        </w:rPr>
      </w:pPr>
      <w:r w:rsidRPr="0067297E">
        <w:rPr>
          <w:rFonts w:asciiTheme="minorHAnsi" w:hAnsiTheme="minorHAnsi" w:cs="Calibri"/>
        </w:rPr>
        <w:t xml:space="preserve">The London Plan 2016 is the </w:t>
      </w:r>
      <w:r w:rsidR="004D3741">
        <w:rPr>
          <w:rFonts w:asciiTheme="minorHAnsi" w:hAnsiTheme="minorHAnsi" w:cs="Calibri"/>
          <w:lang w:val="en-GB"/>
        </w:rPr>
        <w:t xml:space="preserve">spatial development strategy for this borough and has been adopted within the last five years.  It has </w:t>
      </w:r>
      <w:r w:rsidRPr="0067297E">
        <w:rPr>
          <w:rFonts w:asciiTheme="minorHAnsi" w:hAnsiTheme="minorHAnsi" w:cs="Calibri"/>
        </w:rPr>
        <w:t>established a 10 year net annual target of 1,385 dwellings across the Borough of Lewisham. The Draft New London Plan 2017 is a material consideration in planning decisions and this has increased the net annual dwelling target to 2,117.</w:t>
      </w:r>
    </w:p>
    <w:p w14:paraId="7B81FC82" w14:textId="7CE79011" w:rsidR="00D13CF1" w:rsidRDefault="00915C6B" w:rsidP="00794144">
      <w:pPr>
        <w:jc w:val="both"/>
        <w:rPr>
          <w:rFonts w:asciiTheme="minorHAnsi" w:hAnsiTheme="minorHAnsi"/>
        </w:rPr>
      </w:pPr>
      <w:r w:rsidRPr="0015368C">
        <w:rPr>
          <w:rFonts w:asciiTheme="minorHAnsi" w:hAnsiTheme="minorHAnsi"/>
        </w:rPr>
        <w:t>The</w:t>
      </w:r>
      <w:r w:rsidR="0067297E" w:rsidRPr="0015368C">
        <w:rPr>
          <w:rFonts w:asciiTheme="minorHAnsi" w:hAnsiTheme="minorHAnsi"/>
        </w:rPr>
        <w:t xml:space="preserve"> new standard method for calculating future housing need considers demographic projections and an adjustment for affordability. This identifies a need for 3,5</w:t>
      </w:r>
      <w:r w:rsidR="001C1E55" w:rsidRPr="0015368C">
        <w:rPr>
          <w:rFonts w:asciiTheme="minorHAnsi" w:hAnsiTheme="minorHAnsi"/>
        </w:rPr>
        <w:t>84</w:t>
      </w:r>
      <w:r w:rsidR="0067297E" w:rsidRPr="0015368C">
        <w:rPr>
          <w:rFonts w:asciiTheme="minorHAnsi" w:hAnsiTheme="minorHAnsi"/>
        </w:rPr>
        <w:t xml:space="preserve"> dwellings each year over the period 20</w:t>
      </w:r>
      <w:r w:rsidR="001C1E55" w:rsidRPr="0015368C">
        <w:rPr>
          <w:rFonts w:asciiTheme="minorHAnsi" w:hAnsiTheme="minorHAnsi"/>
        </w:rPr>
        <w:t>20</w:t>
      </w:r>
      <w:r w:rsidR="0067297E" w:rsidRPr="0015368C">
        <w:rPr>
          <w:rFonts w:asciiTheme="minorHAnsi" w:hAnsiTheme="minorHAnsi"/>
        </w:rPr>
        <w:t>-20</w:t>
      </w:r>
      <w:r w:rsidR="001C1E55" w:rsidRPr="0015368C">
        <w:rPr>
          <w:rFonts w:asciiTheme="minorHAnsi" w:hAnsiTheme="minorHAnsi"/>
        </w:rPr>
        <w:t>30</w:t>
      </w:r>
      <w:r w:rsidR="0067297E" w:rsidRPr="0015368C">
        <w:rPr>
          <w:rFonts w:asciiTheme="minorHAnsi" w:hAnsiTheme="minorHAnsi"/>
        </w:rPr>
        <w:t xml:space="preserve"> and applying the need over the plan period (20</w:t>
      </w:r>
      <w:r w:rsidR="001C1E55" w:rsidRPr="0015368C">
        <w:rPr>
          <w:rFonts w:asciiTheme="minorHAnsi" w:hAnsiTheme="minorHAnsi"/>
        </w:rPr>
        <w:t>20</w:t>
      </w:r>
      <w:r w:rsidR="0067297E" w:rsidRPr="0015368C">
        <w:rPr>
          <w:rFonts w:asciiTheme="minorHAnsi" w:hAnsiTheme="minorHAnsi"/>
        </w:rPr>
        <w:t>-20</w:t>
      </w:r>
      <w:r w:rsidR="001C1E55" w:rsidRPr="0015368C">
        <w:rPr>
          <w:rFonts w:asciiTheme="minorHAnsi" w:hAnsiTheme="minorHAnsi"/>
        </w:rPr>
        <w:t>40</w:t>
      </w:r>
      <w:r w:rsidR="0067297E" w:rsidRPr="0015368C">
        <w:rPr>
          <w:rFonts w:asciiTheme="minorHAnsi" w:hAnsiTheme="minorHAnsi"/>
        </w:rPr>
        <w:t xml:space="preserve">) identifies a total need for </w:t>
      </w:r>
      <w:r w:rsidR="001C1E55" w:rsidRPr="0015368C">
        <w:rPr>
          <w:rFonts w:asciiTheme="minorHAnsi" w:hAnsiTheme="minorHAnsi"/>
        </w:rPr>
        <w:t>71,680</w:t>
      </w:r>
      <w:r w:rsidR="0067297E" w:rsidRPr="0015368C">
        <w:rPr>
          <w:rFonts w:asciiTheme="minorHAnsi" w:hAnsiTheme="minorHAnsi"/>
        </w:rPr>
        <w:t xml:space="preserve"> dwellings</w:t>
      </w:r>
      <w:r w:rsidR="0067297E">
        <w:rPr>
          <w:rFonts w:asciiTheme="minorHAnsi" w:hAnsiTheme="minorHAnsi"/>
        </w:rPr>
        <w:t xml:space="preserve">. Under the standard method, the need figure is capped at 40% above the average annual housing requirement figure set out in existing policies. Therefore, for the Borough of Lewisham, the minimum housing need is capped at </w:t>
      </w:r>
      <w:r w:rsidR="0067297E" w:rsidRPr="00411224">
        <w:rPr>
          <w:rFonts w:asciiTheme="minorHAnsi" w:hAnsiTheme="minorHAnsi"/>
          <w:b/>
        </w:rPr>
        <w:t>1,939 each year</w:t>
      </w:r>
      <w:r w:rsidR="0067297E">
        <w:rPr>
          <w:rFonts w:asciiTheme="minorHAnsi" w:hAnsiTheme="minorHAnsi"/>
        </w:rPr>
        <w:t xml:space="preserve"> </w:t>
      </w:r>
      <w:r w:rsidR="00411224">
        <w:rPr>
          <w:rFonts w:asciiTheme="minorHAnsi" w:hAnsiTheme="minorHAnsi"/>
        </w:rPr>
        <w:t>(</w:t>
      </w:r>
      <w:r w:rsidR="0067297E">
        <w:rPr>
          <w:rFonts w:asciiTheme="minorHAnsi" w:hAnsiTheme="minorHAnsi"/>
        </w:rPr>
        <w:t xml:space="preserve">40% </w:t>
      </w:r>
      <w:r w:rsidR="00411224">
        <w:rPr>
          <w:rFonts w:asciiTheme="minorHAnsi" w:hAnsiTheme="minorHAnsi"/>
        </w:rPr>
        <w:t xml:space="preserve">above the </w:t>
      </w:r>
      <w:r w:rsidR="0067297E">
        <w:rPr>
          <w:rFonts w:asciiTheme="minorHAnsi" w:hAnsiTheme="minorHAnsi"/>
        </w:rPr>
        <w:t>1,385</w:t>
      </w:r>
      <w:r w:rsidR="00411224">
        <w:rPr>
          <w:rFonts w:asciiTheme="minorHAnsi" w:hAnsiTheme="minorHAnsi"/>
        </w:rPr>
        <w:t xml:space="preserve"> target in </w:t>
      </w:r>
      <w:r>
        <w:rPr>
          <w:rFonts w:asciiTheme="minorHAnsi" w:hAnsiTheme="minorHAnsi"/>
        </w:rPr>
        <w:t xml:space="preserve">the </w:t>
      </w:r>
      <w:r w:rsidR="00411224">
        <w:rPr>
          <w:rFonts w:asciiTheme="minorHAnsi" w:hAnsiTheme="minorHAnsi"/>
        </w:rPr>
        <w:t xml:space="preserve">2016 </w:t>
      </w:r>
      <w:r>
        <w:rPr>
          <w:rFonts w:asciiTheme="minorHAnsi" w:hAnsiTheme="minorHAnsi"/>
        </w:rPr>
        <w:t>London Plan</w:t>
      </w:r>
      <w:r w:rsidR="00411224">
        <w:rPr>
          <w:rFonts w:asciiTheme="minorHAnsi" w:hAnsiTheme="minorHAnsi"/>
        </w:rPr>
        <w:t xml:space="preserve">) or </w:t>
      </w:r>
      <w:r>
        <w:rPr>
          <w:rFonts w:asciiTheme="minorHAnsi" w:hAnsiTheme="minorHAnsi"/>
        </w:rPr>
        <w:t xml:space="preserve"> </w:t>
      </w:r>
      <w:r w:rsidRPr="00411224">
        <w:rPr>
          <w:rFonts w:asciiTheme="minorHAnsi" w:hAnsiTheme="minorHAnsi"/>
          <w:b/>
        </w:rPr>
        <w:t xml:space="preserve">2,964 </w:t>
      </w:r>
      <w:r w:rsidR="00411224" w:rsidRPr="00411224">
        <w:rPr>
          <w:rFonts w:asciiTheme="minorHAnsi" w:hAnsiTheme="minorHAnsi"/>
          <w:b/>
        </w:rPr>
        <w:t>each year</w:t>
      </w:r>
      <w:r w:rsidR="00411224">
        <w:rPr>
          <w:rFonts w:asciiTheme="minorHAnsi" w:hAnsiTheme="minorHAnsi"/>
        </w:rPr>
        <w:t xml:space="preserve"> (40% above the 2,117 target in the 2017 </w:t>
      </w:r>
      <w:r>
        <w:rPr>
          <w:rFonts w:asciiTheme="minorHAnsi" w:hAnsiTheme="minorHAnsi"/>
        </w:rPr>
        <w:t>draft London Plan</w:t>
      </w:r>
      <w:r w:rsidR="00411224">
        <w:rPr>
          <w:rFonts w:asciiTheme="minorHAnsi" w:hAnsiTheme="minorHAnsi"/>
        </w:rPr>
        <w:t>)</w:t>
      </w:r>
      <w:r>
        <w:rPr>
          <w:rFonts w:asciiTheme="minorHAnsi" w:hAnsiTheme="minorHAnsi"/>
        </w:rPr>
        <w:t>.</w:t>
      </w:r>
      <w:r w:rsidR="0067297E">
        <w:rPr>
          <w:rFonts w:asciiTheme="minorHAnsi" w:hAnsiTheme="minorHAnsi"/>
        </w:rPr>
        <w:t xml:space="preserve"> </w:t>
      </w:r>
    </w:p>
    <w:p w14:paraId="6E918553" w14:textId="77777777" w:rsidR="00BE6CE3" w:rsidRDefault="00BE6CE3">
      <w:pPr>
        <w:rPr>
          <w:rFonts w:asciiTheme="minorHAnsi" w:hAnsiTheme="minorHAnsi"/>
        </w:rPr>
      </w:pPr>
    </w:p>
    <w:p w14:paraId="605C919F" w14:textId="2BCAA780" w:rsidR="00BE6CE3" w:rsidRDefault="00BE6CE3">
      <w:pPr>
        <w:rPr>
          <w:rFonts w:asciiTheme="minorHAnsi" w:hAnsiTheme="minorHAnsi"/>
        </w:rPr>
      </w:pPr>
      <w:r>
        <w:rPr>
          <w:rFonts w:asciiTheme="minorHAnsi" w:hAnsiTheme="minorHAnsi"/>
        </w:rPr>
        <w:t>Table ES1 summarises the overall mix of dwellings appropriate for Lewisham. The SHMA recommends:</w:t>
      </w:r>
    </w:p>
    <w:p w14:paraId="1888AC13" w14:textId="0E19C819" w:rsidR="00BE6CE3" w:rsidRPr="0015368C" w:rsidRDefault="00BE6CE3" w:rsidP="00794144">
      <w:pPr>
        <w:pStyle w:val="bullet"/>
        <w:ind w:left="360"/>
      </w:pPr>
      <w:r>
        <w:t>There is a need to provide 50% affordable housing on qualifying newbuild schemes;</w:t>
      </w:r>
    </w:p>
    <w:p w14:paraId="0E1E1744" w14:textId="61608C5A" w:rsidR="00BE6CE3" w:rsidRPr="0015368C" w:rsidRDefault="00BE6CE3" w:rsidP="00794144">
      <w:pPr>
        <w:pStyle w:val="bullet"/>
        <w:ind w:left="360"/>
      </w:pPr>
      <w:r>
        <w:lastRenderedPageBreak/>
        <w:t>If the Council is minded to adopt the approach taken in Policy H7 of the Draft London Plan, then all of the remaining 40% to be determined at the borough level should be social/affordable rent, creating a 70% rented and 30% intermediate tenure split. The Council could consider whether a more bespoke borough-level tenure split of 85% social/affordable rent: 15% intermediate is more appropriate. This is based on the evidence of relative affordability of housing tenure options (as set out in paragraphs 4.72- 4.90 of the SHMA report and the recommendations made in paragraph 4.98 and Table 6.4.</w:t>
      </w:r>
    </w:p>
    <w:p w14:paraId="4FF538AE" w14:textId="6B108601" w:rsidR="00BE6CE3" w:rsidRPr="0015368C" w:rsidRDefault="00BE6CE3" w:rsidP="00794144">
      <w:pPr>
        <w:pStyle w:val="bullet"/>
        <w:ind w:left="360"/>
      </w:pPr>
      <w:r>
        <w:t xml:space="preserve">There is a need to provide a mix of sizes of housing units, including family-sized accommodation to be provided as part of affordable provision, within newbuild schemes </w:t>
      </w:r>
    </w:p>
    <w:p w14:paraId="4227EFB9" w14:textId="169664CD" w:rsidR="001C1E55" w:rsidRPr="0067297E" w:rsidRDefault="001C1E55" w:rsidP="00DD5741">
      <w:pPr>
        <w:pStyle w:val="Reporttext"/>
        <w:numPr>
          <w:ilvl w:val="0"/>
          <w:numId w:val="0"/>
        </w:numPr>
        <w:rPr>
          <w:rFonts w:asciiTheme="minorHAnsi" w:hAnsiTheme="minorHAnsi"/>
          <w:shd w:val="clear" w:color="auto" w:fill="FFFFFF"/>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2690"/>
        <w:gridCol w:w="1559"/>
        <w:gridCol w:w="1136"/>
        <w:gridCol w:w="991"/>
        <w:gridCol w:w="856"/>
        <w:gridCol w:w="912"/>
        <w:gridCol w:w="1036"/>
      </w:tblGrid>
      <w:tr w:rsidR="001C1E55" w:rsidRPr="00794144" w14:paraId="3D65C0C8" w14:textId="77777777" w:rsidTr="00FF4E2D">
        <w:trPr>
          <w:trHeight w:val="240"/>
          <w:tblHeader/>
        </w:trPr>
        <w:tc>
          <w:tcPr>
            <w:tcW w:w="5000" w:type="pct"/>
            <w:gridSpan w:val="7"/>
            <w:shd w:val="clear" w:color="auto" w:fill="009999"/>
          </w:tcPr>
          <w:p w14:paraId="11246C91" w14:textId="7B1EFA0B" w:rsidR="001C1E55" w:rsidRPr="00794144" w:rsidRDefault="001C1E55" w:rsidP="0015368C">
            <w:pPr>
              <w:pStyle w:val="tableheading"/>
              <w:rPr>
                <w:rFonts w:asciiTheme="minorHAnsi" w:hAnsiTheme="minorHAnsi"/>
                <w:szCs w:val="22"/>
              </w:rPr>
            </w:pPr>
            <w:bookmarkStart w:id="61" w:name="_Toc23151141"/>
            <w:r w:rsidRPr="00794144">
              <w:rPr>
                <w:rFonts w:asciiTheme="minorHAnsi" w:hAnsiTheme="minorHAnsi"/>
                <w:szCs w:val="22"/>
              </w:rPr>
              <w:t xml:space="preserve">Table </w:t>
            </w:r>
            <w:r w:rsidRPr="00794144">
              <w:rPr>
                <w:rFonts w:asciiTheme="minorHAnsi" w:hAnsiTheme="minorHAnsi"/>
                <w:szCs w:val="22"/>
                <w:lang w:val="en-US"/>
              </w:rPr>
              <w:t>ES1</w:t>
            </w:r>
            <w:r w:rsidRPr="00794144">
              <w:rPr>
                <w:rFonts w:asciiTheme="minorHAnsi" w:hAnsiTheme="minorHAnsi"/>
                <w:szCs w:val="22"/>
              </w:rPr>
              <w:tab/>
              <w:t>Summary of dwelling mix by broad tenure group based on annual need</w:t>
            </w:r>
            <w:bookmarkEnd w:id="61"/>
          </w:p>
        </w:tc>
      </w:tr>
      <w:tr w:rsidR="00794144" w:rsidRPr="00794144" w14:paraId="62447FFD" w14:textId="77777777" w:rsidTr="00794144">
        <w:trPr>
          <w:trHeight w:val="240"/>
        </w:trPr>
        <w:tc>
          <w:tcPr>
            <w:tcW w:w="1465" w:type="pct"/>
            <w:vMerge w:val="restart"/>
            <w:shd w:val="clear" w:color="auto" w:fill="009999"/>
            <w:noWrap/>
            <w:vAlign w:val="bottom"/>
            <w:hideMark/>
          </w:tcPr>
          <w:p w14:paraId="03A184CA" w14:textId="77777777" w:rsidR="00794144" w:rsidRPr="00794144" w:rsidRDefault="00794144" w:rsidP="00794144">
            <w:pPr>
              <w:spacing w:before="20" w:after="20"/>
              <w:jc w:val="center"/>
              <w:rPr>
                <w:rFonts w:asciiTheme="minorHAnsi" w:hAnsiTheme="minorHAnsi" w:cs="Calibri"/>
                <w:b/>
                <w:color w:val="FFFFFF" w:themeColor="background1"/>
                <w:sz w:val="22"/>
                <w:szCs w:val="22"/>
              </w:rPr>
            </w:pPr>
            <w:r w:rsidRPr="00794144">
              <w:rPr>
                <w:rFonts w:asciiTheme="minorHAnsi" w:hAnsiTheme="minorHAnsi" w:cs="Calibri"/>
                <w:b/>
                <w:color w:val="FFFFFF" w:themeColor="background1"/>
                <w:sz w:val="22"/>
                <w:szCs w:val="22"/>
              </w:rPr>
              <w:t>Number of bedrooms</w:t>
            </w:r>
          </w:p>
        </w:tc>
        <w:tc>
          <w:tcPr>
            <w:tcW w:w="849" w:type="pct"/>
            <w:vMerge w:val="restart"/>
            <w:shd w:val="clear" w:color="auto" w:fill="009999"/>
            <w:noWrap/>
            <w:vAlign w:val="bottom"/>
            <w:hideMark/>
          </w:tcPr>
          <w:p w14:paraId="666FDB79" w14:textId="1652612B" w:rsidR="00794144" w:rsidRPr="00794144" w:rsidRDefault="00794144" w:rsidP="00794144">
            <w:pPr>
              <w:spacing w:before="20" w:after="20"/>
              <w:jc w:val="center"/>
              <w:rPr>
                <w:rFonts w:asciiTheme="minorHAnsi" w:hAnsiTheme="minorHAnsi" w:cs="Calibri"/>
                <w:b/>
                <w:color w:val="FFFFFF" w:themeColor="background1"/>
                <w:sz w:val="22"/>
                <w:szCs w:val="22"/>
              </w:rPr>
            </w:pPr>
            <w:r w:rsidRPr="00794144">
              <w:rPr>
                <w:rFonts w:asciiTheme="minorHAnsi" w:hAnsiTheme="minorHAnsi" w:cs="Calibri"/>
                <w:b/>
                <w:color w:val="FFFFFF" w:themeColor="background1"/>
                <w:sz w:val="22"/>
                <w:szCs w:val="22"/>
              </w:rPr>
              <w:t>% new</w:t>
            </w:r>
          </w:p>
          <w:p w14:paraId="6C43A398" w14:textId="77777777" w:rsidR="00794144" w:rsidRPr="00794144" w:rsidRDefault="00794144" w:rsidP="00794144">
            <w:pPr>
              <w:spacing w:before="20" w:after="20"/>
              <w:jc w:val="center"/>
              <w:rPr>
                <w:rFonts w:asciiTheme="minorHAnsi" w:hAnsiTheme="minorHAnsi" w:cs="Calibri"/>
                <w:b/>
                <w:color w:val="FFFFFF" w:themeColor="background1"/>
                <w:sz w:val="22"/>
                <w:szCs w:val="22"/>
              </w:rPr>
            </w:pPr>
            <w:r w:rsidRPr="00794144">
              <w:rPr>
                <w:rFonts w:asciiTheme="minorHAnsi" w:hAnsiTheme="minorHAnsi" w:cs="Calibri"/>
                <w:b/>
                <w:color w:val="FFFFFF" w:themeColor="background1"/>
                <w:sz w:val="22"/>
                <w:szCs w:val="22"/>
              </w:rPr>
              <w:t>dwelling stock</w:t>
            </w:r>
          </w:p>
        </w:tc>
        <w:tc>
          <w:tcPr>
            <w:tcW w:w="619" w:type="pct"/>
            <w:vMerge w:val="restart"/>
            <w:shd w:val="clear" w:color="auto" w:fill="009999"/>
            <w:noWrap/>
            <w:vAlign w:val="bottom"/>
            <w:hideMark/>
          </w:tcPr>
          <w:p w14:paraId="79E7FAF9" w14:textId="7166611F" w:rsidR="00794144" w:rsidRPr="00794144" w:rsidRDefault="00794144" w:rsidP="00794144">
            <w:pPr>
              <w:spacing w:before="20" w:after="20"/>
              <w:jc w:val="center"/>
              <w:rPr>
                <w:rFonts w:asciiTheme="minorHAnsi" w:hAnsiTheme="minorHAnsi" w:cs="Calibri"/>
                <w:b/>
                <w:color w:val="FFFFFF" w:themeColor="background1"/>
                <w:sz w:val="22"/>
                <w:szCs w:val="22"/>
              </w:rPr>
            </w:pPr>
            <w:r w:rsidRPr="00794144">
              <w:rPr>
                <w:rFonts w:asciiTheme="minorHAnsi" w:hAnsiTheme="minorHAnsi" w:cs="Calibri"/>
                <w:b/>
                <w:color w:val="FFFFFF" w:themeColor="background1"/>
                <w:sz w:val="22"/>
                <w:szCs w:val="22"/>
              </w:rPr>
              <w:t>Overall</w:t>
            </w:r>
          </w:p>
          <w:p w14:paraId="53940CEE" w14:textId="77777777" w:rsidR="00794144" w:rsidRPr="00794144" w:rsidRDefault="00794144" w:rsidP="00794144">
            <w:pPr>
              <w:spacing w:before="20" w:after="20"/>
              <w:jc w:val="center"/>
              <w:rPr>
                <w:rFonts w:asciiTheme="minorHAnsi" w:hAnsiTheme="minorHAnsi" w:cs="Calibri"/>
                <w:b/>
                <w:color w:val="FFFFFF" w:themeColor="background1"/>
                <w:sz w:val="22"/>
                <w:szCs w:val="22"/>
              </w:rPr>
            </w:pPr>
            <w:r w:rsidRPr="00794144">
              <w:rPr>
                <w:rFonts w:asciiTheme="minorHAnsi" w:hAnsiTheme="minorHAnsi" w:cs="Calibri"/>
                <w:b/>
                <w:color w:val="FFFFFF" w:themeColor="background1"/>
                <w:sz w:val="22"/>
                <w:szCs w:val="22"/>
              </w:rPr>
              <w:t>mix</w:t>
            </w:r>
          </w:p>
        </w:tc>
        <w:tc>
          <w:tcPr>
            <w:tcW w:w="1006" w:type="pct"/>
            <w:gridSpan w:val="2"/>
            <w:shd w:val="clear" w:color="auto" w:fill="009999"/>
            <w:noWrap/>
            <w:hideMark/>
          </w:tcPr>
          <w:p w14:paraId="71C0E4A5" w14:textId="33004A08" w:rsidR="00794144" w:rsidRPr="00794144" w:rsidRDefault="00794144" w:rsidP="0015368C">
            <w:pPr>
              <w:spacing w:before="20" w:after="20"/>
              <w:jc w:val="center"/>
              <w:rPr>
                <w:rFonts w:asciiTheme="minorHAnsi" w:hAnsiTheme="minorHAnsi" w:cs="Calibri"/>
                <w:b/>
                <w:color w:val="FFFFFF" w:themeColor="background1"/>
                <w:sz w:val="22"/>
                <w:szCs w:val="22"/>
              </w:rPr>
            </w:pPr>
            <w:r w:rsidRPr="00794144">
              <w:rPr>
                <w:rFonts w:asciiTheme="minorHAnsi" w:hAnsiTheme="minorHAnsi" w:cs="Calibri"/>
                <w:b/>
                <w:color w:val="FFFFFF" w:themeColor="background1"/>
                <w:sz w:val="22"/>
                <w:szCs w:val="22"/>
              </w:rPr>
              <w:t>Market  (50% of development)</w:t>
            </w:r>
          </w:p>
        </w:tc>
        <w:tc>
          <w:tcPr>
            <w:tcW w:w="1061" w:type="pct"/>
            <w:gridSpan w:val="2"/>
            <w:shd w:val="clear" w:color="auto" w:fill="009999"/>
            <w:noWrap/>
            <w:hideMark/>
          </w:tcPr>
          <w:p w14:paraId="10107426" w14:textId="66C8E478" w:rsidR="00794144" w:rsidRPr="00794144" w:rsidRDefault="00794144" w:rsidP="0015368C">
            <w:pPr>
              <w:spacing w:before="20" w:after="20"/>
              <w:jc w:val="center"/>
              <w:rPr>
                <w:rFonts w:asciiTheme="minorHAnsi" w:hAnsiTheme="minorHAnsi" w:cs="Calibri"/>
                <w:b/>
                <w:color w:val="FFFFFF" w:themeColor="background1"/>
                <w:sz w:val="22"/>
                <w:szCs w:val="22"/>
              </w:rPr>
            </w:pPr>
            <w:r w:rsidRPr="00794144">
              <w:rPr>
                <w:rFonts w:asciiTheme="minorHAnsi" w:hAnsiTheme="minorHAnsi" w:cs="Calibri"/>
                <w:b/>
                <w:color w:val="FFFFFF" w:themeColor="background1"/>
                <w:sz w:val="22"/>
                <w:szCs w:val="22"/>
              </w:rPr>
              <w:t>Affordable (50% of development)</w:t>
            </w:r>
          </w:p>
        </w:tc>
      </w:tr>
      <w:tr w:rsidR="00794144" w:rsidRPr="00794144" w14:paraId="7504BDB4" w14:textId="77777777" w:rsidTr="00794144">
        <w:trPr>
          <w:trHeight w:val="240"/>
        </w:trPr>
        <w:tc>
          <w:tcPr>
            <w:tcW w:w="1465" w:type="pct"/>
            <w:vMerge/>
            <w:shd w:val="clear" w:color="auto" w:fill="009999"/>
            <w:noWrap/>
          </w:tcPr>
          <w:p w14:paraId="78EEF0DD" w14:textId="77777777" w:rsidR="00794144" w:rsidRPr="00794144" w:rsidRDefault="00794144" w:rsidP="0015368C">
            <w:pPr>
              <w:spacing w:before="20" w:after="20"/>
              <w:rPr>
                <w:rFonts w:asciiTheme="minorHAnsi" w:hAnsiTheme="minorHAnsi" w:cs="Calibri"/>
                <w:b/>
                <w:color w:val="FFFFFF" w:themeColor="background1"/>
                <w:sz w:val="22"/>
                <w:szCs w:val="22"/>
              </w:rPr>
            </w:pPr>
          </w:p>
        </w:tc>
        <w:tc>
          <w:tcPr>
            <w:tcW w:w="849" w:type="pct"/>
            <w:vMerge/>
            <w:shd w:val="clear" w:color="auto" w:fill="009999"/>
            <w:noWrap/>
          </w:tcPr>
          <w:p w14:paraId="019B33F8" w14:textId="77777777" w:rsidR="00794144" w:rsidRPr="00794144" w:rsidRDefault="00794144" w:rsidP="0015368C">
            <w:pPr>
              <w:spacing w:before="20" w:after="20"/>
              <w:jc w:val="center"/>
              <w:rPr>
                <w:rFonts w:asciiTheme="minorHAnsi" w:hAnsiTheme="minorHAnsi" w:cs="Calibri"/>
                <w:b/>
                <w:color w:val="FFFFFF" w:themeColor="background1"/>
                <w:sz w:val="22"/>
                <w:szCs w:val="22"/>
              </w:rPr>
            </w:pPr>
          </w:p>
        </w:tc>
        <w:tc>
          <w:tcPr>
            <w:tcW w:w="619" w:type="pct"/>
            <w:vMerge/>
            <w:shd w:val="clear" w:color="auto" w:fill="009999"/>
            <w:noWrap/>
          </w:tcPr>
          <w:p w14:paraId="3A2550F0" w14:textId="77777777" w:rsidR="00794144" w:rsidRPr="00794144" w:rsidRDefault="00794144" w:rsidP="0015368C">
            <w:pPr>
              <w:spacing w:before="20" w:after="20"/>
              <w:jc w:val="center"/>
              <w:rPr>
                <w:rFonts w:asciiTheme="minorHAnsi" w:hAnsiTheme="minorHAnsi" w:cs="Calibri"/>
                <w:b/>
                <w:color w:val="FFFFFF" w:themeColor="background1"/>
                <w:sz w:val="22"/>
                <w:szCs w:val="22"/>
              </w:rPr>
            </w:pPr>
          </w:p>
        </w:tc>
        <w:tc>
          <w:tcPr>
            <w:tcW w:w="540" w:type="pct"/>
            <w:shd w:val="clear" w:color="auto" w:fill="009999"/>
            <w:noWrap/>
          </w:tcPr>
          <w:p w14:paraId="449EE898" w14:textId="77777777" w:rsidR="00794144" w:rsidRPr="00794144" w:rsidRDefault="00794144" w:rsidP="0015368C">
            <w:pPr>
              <w:spacing w:before="20" w:after="20"/>
              <w:jc w:val="center"/>
              <w:rPr>
                <w:rFonts w:asciiTheme="minorHAnsi" w:hAnsiTheme="minorHAnsi" w:cs="Calibri"/>
                <w:bCs/>
                <w:color w:val="FFFFFF" w:themeColor="background1"/>
                <w:sz w:val="22"/>
                <w:szCs w:val="22"/>
              </w:rPr>
            </w:pPr>
            <w:r w:rsidRPr="00794144">
              <w:rPr>
                <w:rFonts w:asciiTheme="minorHAnsi" w:hAnsiTheme="minorHAnsi" w:cs="Calibri"/>
                <w:bCs/>
                <w:color w:val="FFFFFF" w:themeColor="background1"/>
                <w:sz w:val="22"/>
                <w:szCs w:val="22"/>
              </w:rPr>
              <w:t>No.</w:t>
            </w:r>
          </w:p>
        </w:tc>
        <w:tc>
          <w:tcPr>
            <w:tcW w:w="466" w:type="pct"/>
            <w:shd w:val="clear" w:color="auto" w:fill="009999"/>
          </w:tcPr>
          <w:p w14:paraId="1F4DF99F" w14:textId="77777777" w:rsidR="00794144" w:rsidRPr="00794144" w:rsidRDefault="00794144" w:rsidP="0015368C">
            <w:pPr>
              <w:spacing w:before="20" w:after="20"/>
              <w:jc w:val="center"/>
              <w:rPr>
                <w:rFonts w:asciiTheme="minorHAnsi" w:hAnsiTheme="minorHAnsi" w:cs="Calibri"/>
                <w:bCs/>
                <w:color w:val="FFFFFF" w:themeColor="background1"/>
                <w:sz w:val="22"/>
                <w:szCs w:val="22"/>
              </w:rPr>
            </w:pPr>
            <w:r w:rsidRPr="00794144">
              <w:rPr>
                <w:rFonts w:asciiTheme="minorHAnsi" w:hAnsiTheme="minorHAnsi" w:cs="Calibri"/>
                <w:bCs/>
                <w:color w:val="FFFFFF" w:themeColor="background1"/>
                <w:sz w:val="22"/>
                <w:szCs w:val="22"/>
              </w:rPr>
              <w:t>%</w:t>
            </w:r>
          </w:p>
        </w:tc>
        <w:tc>
          <w:tcPr>
            <w:tcW w:w="497" w:type="pct"/>
            <w:shd w:val="clear" w:color="auto" w:fill="009999"/>
            <w:noWrap/>
          </w:tcPr>
          <w:p w14:paraId="0D6DF98B" w14:textId="77777777" w:rsidR="00794144" w:rsidRPr="00794144" w:rsidRDefault="00794144" w:rsidP="0015368C">
            <w:pPr>
              <w:spacing w:before="20" w:after="20"/>
              <w:jc w:val="center"/>
              <w:rPr>
                <w:rFonts w:asciiTheme="minorHAnsi" w:hAnsiTheme="minorHAnsi" w:cs="Calibri"/>
                <w:bCs/>
                <w:color w:val="FFFFFF" w:themeColor="background1"/>
                <w:sz w:val="22"/>
                <w:szCs w:val="22"/>
              </w:rPr>
            </w:pPr>
            <w:r w:rsidRPr="00794144">
              <w:rPr>
                <w:rFonts w:asciiTheme="minorHAnsi" w:hAnsiTheme="minorHAnsi" w:cs="Calibri"/>
                <w:bCs/>
                <w:color w:val="FFFFFF" w:themeColor="background1"/>
                <w:sz w:val="22"/>
                <w:szCs w:val="22"/>
              </w:rPr>
              <w:t>No.</w:t>
            </w:r>
          </w:p>
        </w:tc>
        <w:tc>
          <w:tcPr>
            <w:tcW w:w="564" w:type="pct"/>
            <w:shd w:val="clear" w:color="auto" w:fill="009999"/>
          </w:tcPr>
          <w:p w14:paraId="4F0B067D" w14:textId="77777777" w:rsidR="00794144" w:rsidRPr="00794144" w:rsidRDefault="00794144" w:rsidP="0015368C">
            <w:pPr>
              <w:spacing w:before="20" w:after="20"/>
              <w:jc w:val="center"/>
              <w:rPr>
                <w:rFonts w:asciiTheme="minorHAnsi" w:hAnsiTheme="minorHAnsi" w:cs="Calibri"/>
                <w:bCs/>
                <w:color w:val="FFFFFF" w:themeColor="background1"/>
                <w:sz w:val="22"/>
                <w:szCs w:val="22"/>
              </w:rPr>
            </w:pPr>
            <w:r w:rsidRPr="00794144">
              <w:rPr>
                <w:rFonts w:asciiTheme="minorHAnsi" w:hAnsiTheme="minorHAnsi" w:cs="Calibri"/>
                <w:bCs/>
                <w:color w:val="FFFFFF" w:themeColor="background1"/>
                <w:sz w:val="22"/>
                <w:szCs w:val="22"/>
              </w:rPr>
              <w:t>%</w:t>
            </w:r>
          </w:p>
        </w:tc>
      </w:tr>
      <w:tr w:rsidR="00794144" w:rsidRPr="00794144" w14:paraId="212D22A3" w14:textId="77777777" w:rsidTr="00794144">
        <w:trPr>
          <w:trHeight w:val="240"/>
        </w:trPr>
        <w:tc>
          <w:tcPr>
            <w:tcW w:w="1465" w:type="pct"/>
            <w:shd w:val="clear" w:color="auto" w:fill="auto"/>
            <w:noWrap/>
            <w:vAlign w:val="center"/>
          </w:tcPr>
          <w:p w14:paraId="51EE897E" w14:textId="77777777" w:rsidR="001C1E55" w:rsidRPr="00794144" w:rsidRDefault="001C1E55" w:rsidP="0015368C">
            <w:pPr>
              <w:spacing w:before="20" w:after="20"/>
              <w:rPr>
                <w:rFonts w:asciiTheme="minorHAnsi" w:hAnsiTheme="minorHAnsi" w:cs="Calibri"/>
                <w:color w:val="000000"/>
                <w:sz w:val="22"/>
                <w:szCs w:val="22"/>
              </w:rPr>
            </w:pPr>
            <w:r w:rsidRPr="00794144">
              <w:rPr>
                <w:rFonts w:asciiTheme="minorHAnsi" w:hAnsiTheme="minorHAnsi" w:cs="Calibri"/>
                <w:color w:val="000000"/>
                <w:sz w:val="22"/>
                <w:szCs w:val="22"/>
              </w:rPr>
              <w:t>Smaller 1 and 2-bedroom</w:t>
            </w:r>
          </w:p>
        </w:tc>
        <w:tc>
          <w:tcPr>
            <w:tcW w:w="849" w:type="pct"/>
            <w:shd w:val="clear" w:color="auto" w:fill="auto"/>
            <w:noWrap/>
            <w:vAlign w:val="center"/>
          </w:tcPr>
          <w:p w14:paraId="471D7E37" w14:textId="77777777" w:rsidR="001C1E55" w:rsidRPr="00794144" w:rsidRDefault="001C1E55" w:rsidP="00794144">
            <w:pPr>
              <w:spacing w:before="20" w:after="20"/>
              <w:jc w:val="right"/>
              <w:rPr>
                <w:rFonts w:asciiTheme="minorHAnsi" w:hAnsiTheme="minorHAnsi" w:cs="Calibri"/>
                <w:color w:val="000000"/>
                <w:sz w:val="22"/>
                <w:szCs w:val="22"/>
              </w:rPr>
            </w:pPr>
            <w:r w:rsidRPr="00794144">
              <w:rPr>
                <w:rFonts w:cs="Calibri"/>
                <w:color w:val="000000"/>
                <w:sz w:val="22"/>
                <w:szCs w:val="22"/>
              </w:rPr>
              <w:t>38.3</w:t>
            </w:r>
          </w:p>
        </w:tc>
        <w:tc>
          <w:tcPr>
            <w:tcW w:w="619" w:type="pct"/>
            <w:shd w:val="clear" w:color="auto" w:fill="auto"/>
            <w:noWrap/>
            <w:vAlign w:val="center"/>
          </w:tcPr>
          <w:p w14:paraId="517FDCD8" w14:textId="77777777" w:rsidR="001C1E55" w:rsidRPr="00794144" w:rsidRDefault="001C1E55" w:rsidP="00794144">
            <w:pPr>
              <w:spacing w:before="20" w:after="20"/>
              <w:jc w:val="right"/>
              <w:rPr>
                <w:rFonts w:asciiTheme="minorHAnsi" w:hAnsiTheme="minorHAnsi" w:cs="Calibri"/>
                <w:color w:val="000000"/>
                <w:sz w:val="22"/>
                <w:szCs w:val="22"/>
              </w:rPr>
            </w:pPr>
            <w:r w:rsidRPr="00794144">
              <w:rPr>
                <w:rFonts w:cs="Calibri"/>
                <w:color w:val="000000"/>
                <w:sz w:val="22"/>
                <w:szCs w:val="22"/>
              </w:rPr>
              <w:t>1136</w:t>
            </w:r>
          </w:p>
        </w:tc>
        <w:tc>
          <w:tcPr>
            <w:tcW w:w="540" w:type="pct"/>
            <w:shd w:val="clear" w:color="auto" w:fill="auto"/>
            <w:noWrap/>
            <w:vAlign w:val="center"/>
          </w:tcPr>
          <w:p w14:paraId="314834A5" w14:textId="77777777" w:rsidR="001C1E55" w:rsidRPr="00794144" w:rsidRDefault="001C1E55" w:rsidP="00794144">
            <w:pPr>
              <w:spacing w:before="20" w:after="20"/>
              <w:jc w:val="right"/>
              <w:rPr>
                <w:rFonts w:asciiTheme="minorHAnsi" w:hAnsiTheme="minorHAnsi" w:cs="Calibri"/>
                <w:color w:val="000000"/>
                <w:sz w:val="22"/>
                <w:szCs w:val="22"/>
              </w:rPr>
            </w:pPr>
            <w:r w:rsidRPr="00794144">
              <w:rPr>
                <w:rFonts w:cs="Calibri"/>
                <w:color w:val="000000"/>
                <w:sz w:val="22"/>
                <w:szCs w:val="22"/>
              </w:rPr>
              <w:t>248</w:t>
            </w:r>
          </w:p>
        </w:tc>
        <w:tc>
          <w:tcPr>
            <w:tcW w:w="466" w:type="pct"/>
            <w:vAlign w:val="center"/>
          </w:tcPr>
          <w:p w14:paraId="3A18602E" w14:textId="77777777" w:rsidR="001C1E55" w:rsidRPr="00794144" w:rsidRDefault="001C1E55" w:rsidP="00794144">
            <w:pPr>
              <w:spacing w:before="20" w:after="20"/>
              <w:jc w:val="right"/>
              <w:rPr>
                <w:rFonts w:cs="Calibri"/>
                <w:color w:val="000000"/>
                <w:sz w:val="22"/>
                <w:szCs w:val="22"/>
              </w:rPr>
            </w:pPr>
            <w:r w:rsidRPr="00794144">
              <w:rPr>
                <w:rFonts w:cs="Calibri"/>
                <w:color w:val="000000"/>
                <w:sz w:val="22"/>
                <w:szCs w:val="22"/>
              </w:rPr>
              <w:t>16.7</w:t>
            </w:r>
          </w:p>
        </w:tc>
        <w:tc>
          <w:tcPr>
            <w:tcW w:w="497" w:type="pct"/>
            <w:shd w:val="clear" w:color="auto" w:fill="auto"/>
            <w:noWrap/>
            <w:vAlign w:val="center"/>
          </w:tcPr>
          <w:p w14:paraId="542E8E11" w14:textId="77777777" w:rsidR="001C1E55" w:rsidRPr="00794144" w:rsidRDefault="001C1E55" w:rsidP="00794144">
            <w:pPr>
              <w:spacing w:before="20" w:after="20"/>
              <w:jc w:val="right"/>
              <w:rPr>
                <w:rFonts w:asciiTheme="minorHAnsi" w:hAnsiTheme="minorHAnsi" w:cs="Calibri"/>
                <w:color w:val="000000"/>
                <w:sz w:val="22"/>
                <w:szCs w:val="22"/>
              </w:rPr>
            </w:pPr>
            <w:r w:rsidRPr="00794144">
              <w:rPr>
                <w:rFonts w:cs="Calibri"/>
                <w:color w:val="000000"/>
                <w:sz w:val="22"/>
                <w:szCs w:val="22"/>
              </w:rPr>
              <w:t>888</w:t>
            </w:r>
          </w:p>
        </w:tc>
        <w:tc>
          <w:tcPr>
            <w:tcW w:w="564" w:type="pct"/>
            <w:vAlign w:val="center"/>
          </w:tcPr>
          <w:p w14:paraId="190CF559" w14:textId="77777777" w:rsidR="001C1E55" w:rsidRPr="00794144" w:rsidRDefault="001C1E55" w:rsidP="00794144">
            <w:pPr>
              <w:spacing w:before="20" w:after="20"/>
              <w:jc w:val="right"/>
              <w:rPr>
                <w:rFonts w:cs="Calibri"/>
                <w:color w:val="000000"/>
                <w:sz w:val="22"/>
                <w:szCs w:val="22"/>
              </w:rPr>
            </w:pPr>
            <w:r w:rsidRPr="00794144">
              <w:rPr>
                <w:rFonts w:cs="Calibri"/>
                <w:color w:val="000000"/>
                <w:sz w:val="22"/>
                <w:szCs w:val="22"/>
              </w:rPr>
              <w:t>59.9</w:t>
            </w:r>
          </w:p>
        </w:tc>
      </w:tr>
      <w:tr w:rsidR="00794144" w:rsidRPr="00794144" w14:paraId="62DC8C43" w14:textId="77777777" w:rsidTr="00794144">
        <w:trPr>
          <w:trHeight w:val="240"/>
        </w:trPr>
        <w:tc>
          <w:tcPr>
            <w:tcW w:w="1465" w:type="pct"/>
            <w:shd w:val="clear" w:color="auto" w:fill="auto"/>
            <w:noWrap/>
            <w:vAlign w:val="center"/>
          </w:tcPr>
          <w:p w14:paraId="5B968FBE" w14:textId="77777777" w:rsidR="001C1E55" w:rsidRPr="00794144" w:rsidRDefault="001C1E55" w:rsidP="0015368C">
            <w:pPr>
              <w:spacing w:before="20" w:after="20"/>
              <w:rPr>
                <w:rFonts w:asciiTheme="minorHAnsi" w:hAnsiTheme="minorHAnsi" w:cs="Calibri"/>
                <w:color w:val="000000"/>
                <w:sz w:val="22"/>
                <w:szCs w:val="22"/>
              </w:rPr>
            </w:pPr>
            <w:r w:rsidRPr="00794144">
              <w:rPr>
                <w:rFonts w:asciiTheme="minorHAnsi" w:hAnsiTheme="minorHAnsi" w:cs="Calibri"/>
                <w:color w:val="000000"/>
                <w:sz w:val="22"/>
                <w:szCs w:val="22"/>
              </w:rPr>
              <w:t>3-bedroom</w:t>
            </w:r>
          </w:p>
        </w:tc>
        <w:tc>
          <w:tcPr>
            <w:tcW w:w="849" w:type="pct"/>
            <w:shd w:val="clear" w:color="auto" w:fill="auto"/>
            <w:noWrap/>
            <w:vAlign w:val="center"/>
          </w:tcPr>
          <w:p w14:paraId="3A1565A2" w14:textId="77777777" w:rsidR="001C1E55" w:rsidRPr="00794144" w:rsidRDefault="001C1E55" w:rsidP="00794144">
            <w:pPr>
              <w:spacing w:before="20" w:after="20"/>
              <w:jc w:val="right"/>
              <w:rPr>
                <w:rFonts w:asciiTheme="minorHAnsi" w:hAnsiTheme="minorHAnsi" w:cs="Calibri"/>
                <w:color w:val="000000"/>
                <w:sz w:val="22"/>
                <w:szCs w:val="22"/>
              </w:rPr>
            </w:pPr>
            <w:r w:rsidRPr="00794144">
              <w:rPr>
                <w:rFonts w:cs="Calibri"/>
                <w:color w:val="000000"/>
                <w:sz w:val="22"/>
                <w:szCs w:val="22"/>
              </w:rPr>
              <w:t>42.3</w:t>
            </w:r>
          </w:p>
        </w:tc>
        <w:tc>
          <w:tcPr>
            <w:tcW w:w="619" w:type="pct"/>
            <w:shd w:val="clear" w:color="auto" w:fill="auto"/>
            <w:noWrap/>
            <w:vAlign w:val="center"/>
          </w:tcPr>
          <w:p w14:paraId="61E8CA1F" w14:textId="77777777" w:rsidR="001C1E55" w:rsidRPr="00794144" w:rsidRDefault="001C1E55" w:rsidP="00794144">
            <w:pPr>
              <w:spacing w:before="20" w:after="20"/>
              <w:jc w:val="right"/>
              <w:rPr>
                <w:rFonts w:asciiTheme="minorHAnsi" w:hAnsiTheme="minorHAnsi" w:cs="Calibri"/>
                <w:color w:val="000000"/>
                <w:sz w:val="22"/>
                <w:szCs w:val="22"/>
              </w:rPr>
            </w:pPr>
            <w:r w:rsidRPr="00794144">
              <w:rPr>
                <w:rFonts w:cs="Calibri"/>
                <w:color w:val="000000"/>
                <w:sz w:val="22"/>
                <w:szCs w:val="22"/>
              </w:rPr>
              <w:t>1254</w:t>
            </w:r>
          </w:p>
        </w:tc>
        <w:tc>
          <w:tcPr>
            <w:tcW w:w="540" w:type="pct"/>
            <w:shd w:val="clear" w:color="auto" w:fill="auto"/>
            <w:noWrap/>
            <w:vAlign w:val="center"/>
          </w:tcPr>
          <w:p w14:paraId="3A9EF209" w14:textId="77777777" w:rsidR="001C1E55" w:rsidRPr="00794144" w:rsidRDefault="001C1E55" w:rsidP="00794144">
            <w:pPr>
              <w:spacing w:before="20" w:after="20"/>
              <w:jc w:val="right"/>
              <w:rPr>
                <w:rFonts w:asciiTheme="minorHAnsi" w:hAnsiTheme="minorHAnsi" w:cs="Calibri"/>
                <w:color w:val="000000"/>
                <w:sz w:val="22"/>
                <w:szCs w:val="22"/>
              </w:rPr>
            </w:pPr>
            <w:r w:rsidRPr="00794144">
              <w:rPr>
                <w:rFonts w:cs="Calibri"/>
                <w:color w:val="000000"/>
                <w:sz w:val="22"/>
                <w:szCs w:val="22"/>
              </w:rPr>
              <w:t>848</w:t>
            </w:r>
          </w:p>
        </w:tc>
        <w:tc>
          <w:tcPr>
            <w:tcW w:w="466" w:type="pct"/>
            <w:vAlign w:val="center"/>
          </w:tcPr>
          <w:p w14:paraId="7EB816E3" w14:textId="77777777" w:rsidR="001C1E55" w:rsidRPr="00794144" w:rsidRDefault="001C1E55" w:rsidP="00794144">
            <w:pPr>
              <w:spacing w:before="20" w:after="20"/>
              <w:jc w:val="right"/>
              <w:rPr>
                <w:rFonts w:cs="Calibri"/>
                <w:color w:val="000000"/>
                <w:sz w:val="22"/>
                <w:szCs w:val="22"/>
              </w:rPr>
            </w:pPr>
            <w:r w:rsidRPr="00794144">
              <w:rPr>
                <w:rFonts w:cs="Calibri"/>
                <w:color w:val="000000"/>
                <w:sz w:val="22"/>
                <w:szCs w:val="22"/>
              </w:rPr>
              <w:t>57.2</w:t>
            </w:r>
          </w:p>
        </w:tc>
        <w:tc>
          <w:tcPr>
            <w:tcW w:w="497" w:type="pct"/>
            <w:shd w:val="clear" w:color="auto" w:fill="auto"/>
            <w:noWrap/>
            <w:vAlign w:val="center"/>
          </w:tcPr>
          <w:p w14:paraId="7752F793" w14:textId="77777777" w:rsidR="001C1E55" w:rsidRPr="00794144" w:rsidRDefault="001C1E55" w:rsidP="00794144">
            <w:pPr>
              <w:spacing w:before="20" w:after="20"/>
              <w:jc w:val="right"/>
              <w:rPr>
                <w:rFonts w:asciiTheme="minorHAnsi" w:hAnsiTheme="minorHAnsi" w:cs="Calibri"/>
                <w:color w:val="000000"/>
                <w:sz w:val="22"/>
                <w:szCs w:val="22"/>
              </w:rPr>
            </w:pPr>
            <w:r w:rsidRPr="00794144">
              <w:rPr>
                <w:rFonts w:cs="Calibri"/>
                <w:color w:val="000000"/>
                <w:sz w:val="22"/>
                <w:szCs w:val="22"/>
              </w:rPr>
              <w:t>406</w:t>
            </w:r>
          </w:p>
        </w:tc>
        <w:tc>
          <w:tcPr>
            <w:tcW w:w="564" w:type="pct"/>
            <w:vAlign w:val="center"/>
          </w:tcPr>
          <w:p w14:paraId="44F0BF02" w14:textId="77777777" w:rsidR="001C1E55" w:rsidRPr="00794144" w:rsidRDefault="001C1E55" w:rsidP="00794144">
            <w:pPr>
              <w:spacing w:before="20" w:after="20"/>
              <w:jc w:val="right"/>
              <w:rPr>
                <w:rFonts w:cs="Calibri"/>
                <w:color w:val="000000"/>
                <w:sz w:val="22"/>
                <w:szCs w:val="22"/>
              </w:rPr>
            </w:pPr>
            <w:r w:rsidRPr="00794144">
              <w:rPr>
                <w:rFonts w:cs="Calibri"/>
                <w:color w:val="000000"/>
                <w:sz w:val="22"/>
                <w:szCs w:val="22"/>
              </w:rPr>
              <w:t>27.4</w:t>
            </w:r>
          </w:p>
        </w:tc>
      </w:tr>
      <w:tr w:rsidR="00794144" w:rsidRPr="00794144" w14:paraId="7E48F156" w14:textId="77777777" w:rsidTr="00794144">
        <w:trPr>
          <w:trHeight w:val="240"/>
        </w:trPr>
        <w:tc>
          <w:tcPr>
            <w:tcW w:w="1465" w:type="pct"/>
            <w:shd w:val="clear" w:color="auto" w:fill="auto"/>
            <w:noWrap/>
            <w:vAlign w:val="center"/>
          </w:tcPr>
          <w:p w14:paraId="41FDCCB1" w14:textId="77777777" w:rsidR="001C1E55" w:rsidRPr="00794144" w:rsidRDefault="001C1E55" w:rsidP="0015368C">
            <w:pPr>
              <w:spacing w:before="20" w:after="20"/>
              <w:rPr>
                <w:rFonts w:asciiTheme="minorHAnsi" w:hAnsiTheme="minorHAnsi" w:cs="Calibri"/>
                <w:color w:val="000000"/>
                <w:sz w:val="22"/>
                <w:szCs w:val="22"/>
              </w:rPr>
            </w:pPr>
            <w:r w:rsidRPr="00794144">
              <w:rPr>
                <w:rFonts w:asciiTheme="minorHAnsi" w:hAnsiTheme="minorHAnsi" w:cs="Calibri"/>
                <w:color w:val="000000"/>
                <w:sz w:val="22"/>
                <w:szCs w:val="22"/>
              </w:rPr>
              <w:t>4-bedroom</w:t>
            </w:r>
          </w:p>
        </w:tc>
        <w:tc>
          <w:tcPr>
            <w:tcW w:w="849" w:type="pct"/>
            <w:shd w:val="clear" w:color="auto" w:fill="auto"/>
            <w:noWrap/>
            <w:vAlign w:val="center"/>
          </w:tcPr>
          <w:p w14:paraId="40A280C9" w14:textId="77777777" w:rsidR="001C1E55" w:rsidRPr="00794144" w:rsidRDefault="001C1E55" w:rsidP="00794144">
            <w:pPr>
              <w:spacing w:before="20" w:after="20"/>
              <w:jc w:val="right"/>
              <w:rPr>
                <w:rFonts w:asciiTheme="minorHAnsi" w:hAnsiTheme="minorHAnsi" w:cs="Calibri"/>
                <w:color w:val="000000"/>
                <w:sz w:val="22"/>
                <w:szCs w:val="22"/>
              </w:rPr>
            </w:pPr>
            <w:r w:rsidRPr="00794144">
              <w:rPr>
                <w:rFonts w:cs="Calibri"/>
                <w:color w:val="000000"/>
                <w:sz w:val="22"/>
                <w:szCs w:val="22"/>
              </w:rPr>
              <w:t>19.4</w:t>
            </w:r>
          </w:p>
        </w:tc>
        <w:tc>
          <w:tcPr>
            <w:tcW w:w="619" w:type="pct"/>
            <w:shd w:val="clear" w:color="auto" w:fill="auto"/>
            <w:noWrap/>
            <w:vAlign w:val="center"/>
          </w:tcPr>
          <w:p w14:paraId="35337ABC" w14:textId="77777777" w:rsidR="001C1E55" w:rsidRPr="00794144" w:rsidRDefault="001C1E55" w:rsidP="00794144">
            <w:pPr>
              <w:spacing w:before="20" w:after="20"/>
              <w:jc w:val="right"/>
              <w:rPr>
                <w:rFonts w:asciiTheme="minorHAnsi" w:hAnsiTheme="minorHAnsi" w:cs="Calibri"/>
                <w:color w:val="000000"/>
                <w:sz w:val="22"/>
                <w:szCs w:val="22"/>
              </w:rPr>
            </w:pPr>
            <w:r w:rsidRPr="00794144">
              <w:rPr>
                <w:rFonts w:cs="Calibri"/>
                <w:color w:val="000000"/>
                <w:sz w:val="22"/>
                <w:szCs w:val="22"/>
              </w:rPr>
              <w:t>574</w:t>
            </w:r>
          </w:p>
        </w:tc>
        <w:tc>
          <w:tcPr>
            <w:tcW w:w="540" w:type="pct"/>
            <w:shd w:val="clear" w:color="auto" w:fill="auto"/>
            <w:noWrap/>
            <w:vAlign w:val="center"/>
          </w:tcPr>
          <w:p w14:paraId="12F83E5D" w14:textId="77777777" w:rsidR="001C1E55" w:rsidRPr="00794144" w:rsidRDefault="001C1E55" w:rsidP="00794144">
            <w:pPr>
              <w:spacing w:before="20" w:after="20"/>
              <w:jc w:val="right"/>
              <w:rPr>
                <w:rFonts w:asciiTheme="minorHAnsi" w:hAnsiTheme="minorHAnsi" w:cs="Calibri"/>
                <w:color w:val="000000"/>
                <w:sz w:val="22"/>
                <w:szCs w:val="22"/>
              </w:rPr>
            </w:pPr>
            <w:r w:rsidRPr="00794144">
              <w:rPr>
                <w:rFonts w:cs="Calibri"/>
                <w:color w:val="000000"/>
                <w:sz w:val="22"/>
                <w:szCs w:val="22"/>
              </w:rPr>
              <w:t>386</w:t>
            </w:r>
          </w:p>
        </w:tc>
        <w:tc>
          <w:tcPr>
            <w:tcW w:w="466" w:type="pct"/>
            <w:vAlign w:val="center"/>
          </w:tcPr>
          <w:p w14:paraId="587D34E0" w14:textId="77777777" w:rsidR="001C1E55" w:rsidRPr="00794144" w:rsidRDefault="001C1E55" w:rsidP="00794144">
            <w:pPr>
              <w:spacing w:before="20" w:after="20"/>
              <w:jc w:val="right"/>
              <w:rPr>
                <w:rFonts w:cs="Calibri"/>
                <w:color w:val="000000"/>
                <w:sz w:val="22"/>
                <w:szCs w:val="22"/>
              </w:rPr>
            </w:pPr>
            <w:r w:rsidRPr="00794144">
              <w:rPr>
                <w:rFonts w:cs="Calibri"/>
                <w:color w:val="000000"/>
                <w:sz w:val="22"/>
                <w:szCs w:val="22"/>
              </w:rPr>
              <w:t>26.0</w:t>
            </w:r>
          </w:p>
        </w:tc>
        <w:tc>
          <w:tcPr>
            <w:tcW w:w="497" w:type="pct"/>
            <w:shd w:val="clear" w:color="auto" w:fill="auto"/>
            <w:noWrap/>
            <w:vAlign w:val="center"/>
          </w:tcPr>
          <w:p w14:paraId="56624CF7" w14:textId="77777777" w:rsidR="001C1E55" w:rsidRPr="00794144" w:rsidRDefault="001C1E55" w:rsidP="00794144">
            <w:pPr>
              <w:spacing w:before="20" w:after="20"/>
              <w:jc w:val="right"/>
              <w:rPr>
                <w:rFonts w:asciiTheme="minorHAnsi" w:hAnsiTheme="minorHAnsi" w:cs="Calibri"/>
                <w:color w:val="000000"/>
                <w:sz w:val="22"/>
                <w:szCs w:val="22"/>
              </w:rPr>
            </w:pPr>
            <w:r w:rsidRPr="00794144">
              <w:rPr>
                <w:rFonts w:cs="Calibri"/>
                <w:color w:val="000000"/>
                <w:sz w:val="22"/>
                <w:szCs w:val="22"/>
              </w:rPr>
              <w:t>188</w:t>
            </w:r>
          </w:p>
        </w:tc>
        <w:tc>
          <w:tcPr>
            <w:tcW w:w="564" w:type="pct"/>
            <w:vAlign w:val="center"/>
          </w:tcPr>
          <w:p w14:paraId="142F8689" w14:textId="77777777" w:rsidR="001C1E55" w:rsidRPr="00794144" w:rsidRDefault="001C1E55" w:rsidP="00794144">
            <w:pPr>
              <w:spacing w:before="20" w:after="20"/>
              <w:jc w:val="right"/>
              <w:rPr>
                <w:rFonts w:cs="Calibri"/>
                <w:color w:val="000000"/>
                <w:sz w:val="22"/>
                <w:szCs w:val="22"/>
              </w:rPr>
            </w:pPr>
            <w:r w:rsidRPr="00794144">
              <w:rPr>
                <w:rFonts w:cs="Calibri"/>
                <w:color w:val="000000"/>
                <w:sz w:val="22"/>
                <w:szCs w:val="22"/>
              </w:rPr>
              <w:t>12.7</w:t>
            </w:r>
          </w:p>
        </w:tc>
      </w:tr>
      <w:tr w:rsidR="00794144" w:rsidRPr="00794144" w14:paraId="53F6EF64" w14:textId="77777777" w:rsidTr="00794144">
        <w:trPr>
          <w:trHeight w:val="240"/>
        </w:trPr>
        <w:tc>
          <w:tcPr>
            <w:tcW w:w="1465" w:type="pct"/>
            <w:shd w:val="clear" w:color="auto" w:fill="auto"/>
            <w:noWrap/>
            <w:vAlign w:val="bottom"/>
            <w:hideMark/>
          </w:tcPr>
          <w:p w14:paraId="4F5F5997" w14:textId="77777777" w:rsidR="001C1E55" w:rsidRPr="00794144" w:rsidRDefault="001C1E55" w:rsidP="0015368C">
            <w:pPr>
              <w:spacing w:before="20" w:after="20"/>
              <w:rPr>
                <w:rFonts w:asciiTheme="minorHAnsi" w:hAnsiTheme="minorHAnsi" w:cs="Calibri"/>
                <w:b/>
                <w:color w:val="000000"/>
                <w:sz w:val="22"/>
                <w:szCs w:val="22"/>
              </w:rPr>
            </w:pPr>
            <w:r w:rsidRPr="00794144">
              <w:rPr>
                <w:rFonts w:asciiTheme="minorHAnsi" w:hAnsiTheme="minorHAnsi" w:cs="Calibri"/>
                <w:b/>
                <w:color w:val="000000"/>
                <w:sz w:val="22"/>
                <w:szCs w:val="22"/>
              </w:rPr>
              <w:t>Base (London Plan Target)</w:t>
            </w:r>
          </w:p>
        </w:tc>
        <w:tc>
          <w:tcPr>
            <w:tcW w:w="849" w:type="pct"/>
            <w:shd w:val="clear" w:color="auto" w:fill="auto"/>
            <w:noWrap/>
            <w:vAlign w:val="center"/>
            <w:hideMark/>
          </w:tcPr>
          <w:p w14:paraId="17FCDEAF" w14:textId="77777777" w:rsidR="001C1E55" w:rsidRPr="00794144" w:rsidRDefault="001C1E55" w:rsidP="00794144">
            <w:pPr>
              <w:spacing w:before="20" w:after="20"/>
              <w:jc w:val="right"/>
              <w:rPr>
                <w:rFonts w:asciiTheme="minorHAnsi" w:hAnsiTheme="minorHAnsi" w:cs="Calibri"/>
                <w:color w:val="000000"/>
                <w:sz w:val="22"/>
                <w:szCs w:val="22"/>
              </w:rPr>
            </w:pPr>
            <w:r w:rsidRPr="00794144">
              <w:rPr>
                <w:rFonts w:cs="Calibri"/>
                <w:b/>
                <w:bCs/>
                <w:color w:val="000000"/>
                <w:sz w:val="22"/>
                <w:szCs w:val="22"/>
              </w:rPr>
              <w:t>100.0</w:t>
            </w:r>
          </w:p>
        </w:tc>
        <w:tc>
          <w:tcPr>
            <w:tcW w:w="619" w:type="pct"/>
            <w:shd w:val="clear" w:color="auto" w:fill="auto"/>
            <w:noWrap/>
            <w:vAlign w:val="center"/>
            <w:hideMark/>
          </w:tcPr>
          <w:p w14:paraId="5AF79778" w14:textId="77777777" w:rsidR="001C1E55" w:rsidRPr="00794144" w:rsidRDefault="001C1E55" w:rsidP="00794144">
            <w:pPr>
              <w:spacing w:before="20" w:after="20"/>
              <w:jc w:val="right"/>
              <w:rPr>
                <w:rFonts w:asciiTheme="minorHAnsi" w:hAnsiTheme="minorHAnsi" w:cs="Calibri"/>
                <w:color w:val="000000"/>
                <w:sz w:val="22"/>
                <w:szCs w:val="22"/>
              </w:rPr>
            </w:pPr>
            <w:r w:rsidRPr="00794144">
              <w:rPr>
                <w:rFonts w:cs="Calibri"/>
                <w:b/>
                <w:bCs/>
                <w:color w:val="000000"/>
                <w:sz w:val="22"/>
                <w:szCs w:val="22"/>
              </w:rPr>
              <w:t>2964</w:t>
            </w:r>
          </w:p>
        </w:tc>
        <w:tc>
          <w:tcPr>
            <w:tcW w:w="540" w:type="pct"/>
            <w:shd w:val="clear" w:color="auto" w:fill="auto"/>
            <w:noWrap/>
            <w:vAlign w:val="center"/>
          </w:tcPr>
          <w:p w14:paraId="677AC3C3" w14:textId="77777777" w:rsidR="001C1E55" w:rsidRPr="00794144" w:rsidRDefault="001C1E55" w:rsidP="00794144">
            <w:pPr>
              <w:spacing w:before="20" w:after="20"/>
              <w:jc w:val="right"/>
              <w:rPr>
                <w:rFonts w:asciiTheme="minorHAnsi" w:hAnsiTheme="minorHAnsi" w:cs="Calibri"/>
                <w:b/>
                <w:color w:val="000000"/>
                <w:sz w:val="22"/>
                <w:szCs w:val="22"/>
              </w:rPr>
            </w:pPr>
            <w:r w:rsidRPr="00794144">
              <w:rPr>
                <w:rFonts w:cs="Calibri"/>
                <w:b/>
                <w:bCs/>
                <w:color w:val="000000"/>
                <w:sz w:val="22"/>
                <w:szCs w:val="22"/>
              </w:rPr>
              <w:t>1482</w:t>
            </w:r>
          </w:p>
        </w:tc>
        <w:tc>
          <w:tcPr>
            <w:tcW w:w="466" w:type="pct"/>
            <w:vAlign w:val="center"/>
          </w:tcPr>
          <w:p w14:paraId="6BB502A1" w14:textId="77777777" w:rsidR="001C1E55" w:rsidRPr="00794144" w:rsidRDefault="001C1E55" w:rsidP="00794144">
            <w:pPr>
              <w:spacing w:before="20" w:after="20"/>
              <w:jc w:val="right"/>
              <w:rPr>
                <w:rFonts w:cs="Calibri"/>
                <w:b/>
                <w:bCs/>
                <w:color w:val="000000"/>
                <w:sz w:val="22"/>
                <w:szCs w:val="22"/>
              </w:rPr>
            </w:pPr>
            <w:r w:rsidRPr="00794144">
              <w:rPr>
                <w:rFonts w:cs="Calibri"/>
                <w:color w:val="000000"/>
                <w:sz w:val="22"/>
                <w:szCs w:val="22"/>
              </w:rPr>
              <w:t>100.0</w:t>
            </w:r>
          </w:p>
        </w:tc>
        <w:tc>
          <w:tcPr>
            <w:tcW w:w="497" w:type="pct"/>
            <w:shd w:val="clear" w:color="auto" w:fill="auto"/>
            <w:noWrap/>
            <w:vAlign w:val="center"/>
          </w:tcPr>
          <w:p w14:paraId="1A32BED2" w14:textId="77777777" w:rsidR="001C1E55" w:rsidRPr="00794144" w:rsidRDefault="001C1E55" w:rsidP="00794144">
            <w:pPr>
              <w:spacing w:before="20" w:after="20"/>
              <w:jc w:val="right"/>
              <w:rPr>
                <w:rFonts w:asciiTheme="minorHAnsi" w:hAnsiTheme="minorHAnsi" w:cs="Calibri"/>
                <w:b/>
                <w:color w:val="000000"/>
                <w:sz w:val="22"/>
                <w:szCs w:val="22"/>
              </w:rPr>
            </w:pPr>
            <w:r w:rsidRPr="00794144">
              <w:rPr>
                <w:rFonts w:cs="Calibri"/>
                <w:b/>
                <w:bCs/>
                <w:color w:val="000000"/>
                <w:sz w:val="22"/>
                <w:szCs w:val="22"/>
              </w:rPr>
              <w:t>1482</w:t>
            </w:r>
          </w:p>
        </w:tc>
        <w:tc>
          <w:tcPr>
            <w:tcW w:w="564" w:type="pct"/>
            <w:vAlign w:val="center"/>
          </w:tcPr>
          <w:p w14:paraId="27CF3A29" w14:textId="77777777" w:rsidR="001C1E55" w:rsidRPr="00794144" w:rsidRDefault="001C1E55" w:rsidP="00794144">
            <w:pPr>
              <w:spacing w:before="20" w:after="20"/>
              <w:jc w:val="right"/>
              <w:rPr>
                <w:rFonts w:cs="Calibri"/>
                <w:b/>
                <w:bCs/>
                <w:color w:val="000000"/>
                <w:sz w:val="22"/>
                <w:szCs w:val="22"/>
              </w:rPr>
            </w:pPr>
            <w:r w:rsidRPr="00794144">
              <w:rPr>
                <w:rFonts w:cs="Calibri"/>
                <w:color w:val="000000"/>
                <w:sz w:val="22"/>
                <w:szCs w:val="22"/>
              </w:rPr>
              <w:t>100.0</w:t>
            </w:r>
          </w:p>
        </w:tc>
      </w:tr>
    </w:tbl>
    <w:p w14:paraId="42A4750F" w14:textId="77777777" w:rsidR="00BE6CE3" w:rsidRDefault="00BE6CE3">
      <w:pPr>
        <w:rPr>
          <w:rFonts w:asciiTheme="minorHAnsi" w:hAnsiTheme="minorHAnsi"/>
        </w:rPr>
      </w:pPr>
    </w:p>
    <w:p w14:paraId="54717461" w14:textId="24FB6688" w:rsidR="0015368C" w:rsidRPr="00411224" w:rsidRDefault="00C5079C" w:rsidP="00794144">
      <w:pPr>
        <w:jc w:val="both"/>
        <w:rPr>
          <w:rFonts w:asciiTheme="minorHAnsi" w:hAnsiTheme="minorHAnsi"/>
          <w:sz w:val="32"/>
          <w:szCs w:val="32"/>
        </w:rPr>
      </w:pPr>
      <w:r w:rsidRPr="0067297E">
        <w:rPr>
          <w:rFonts w:asciiTheme="minorHAnsi" w:hAnsiTheme="minorHAnsi"/>
        </w:rPr>
        <w:t>The</w:t>
      </w:r>
      <w:r>
        <w:rPr>
          <w:rFonts w:asciiTheme="minorHAnsi" w:hAnsiTheme="minorHAnsi"/>
        </w:rPr>
        <w:t xml:space="preserve"> SHMA assesses a range of housing needs arising from different sections of the community, and provides a range of recommendations as detailed below</w:t>
      </w:r>
      <w:r w:rsidR="00375659">
        <w:rPr>
          <w:rFonts w:asciiTheme="minorHAnsi" w:hAnsiTheme="minorHAnsi"/>
        </w:rPr>
        <w:t xml:space="preserve">, which should </w:t>
      </w:r>
      <w:r w:rsidR="00375659" w:rsidRPr="00375659">
        <w:rPr>
          <w:rFonts w:asciiTheme="minorHAnsi" w:hAnsiTheme="minorHAnsi"/>
        </w:rPr>
        <w:t>inform the emerging policies in the Local Plan</w:t>
      </w:r>
      <w:r>
        <w:rPr>
          <w:rFonts w:asciiTheme="minorHAnsi" w:hAnsiTheme="minorHAnsi"/>
        </w:rPr>
        <w:t xml:space="preserve">.  </w:t>
      </w:r>
    </w:p>
    <w:p w14:paraId="003464A3" w14:textId="77777777" w:rsidR="00672527" w:rsidRDefault="00672527" w:rsidP="00794144"/>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1838"/>
        <w:gridCol w:w="7342"/>
      </w:tblGrid>
      <w:tr w:rsidR="00DF4807" w:rsidRPr="001D2A84" w14:paraId="76805243" w14:textId="77777777" w:rsidTr="001D2A84">
        <w:trPr>
          <w:trHeight w:val="240"/>
          <w:tblHeader/>
        </w:trPr>
        <w:tc>
          <w:tcPr>
            <w:tcW w:w="1001" w:type="pct"/>
            <w:shd w:val="clear" w:color="auto" w:fill="009193"/>
            <w:noWrap/>
          </w:tcPr>
          <w:p w14:paraId="45173762" w14:textId="6774F7B7" w:rsidR="00DF4807" w:rsidRPr="001D2A84" w:rsidRDefault="00DF4807" w:rsidP="00672527">
            <w:pPr>
              <w:spacing w:before="20" w:after="20"/>
              <w:rPr>
                <w:rFonts w:asciiTheme="minorHAnsi" w:hAnsiTheme="minorHAnsi" w:cs="Calibri"/>
                <w:color w:val="000000"/>
              </w:rPr>
            </w:pPr>
            <w:r w:rsidRPr="001D2A84">
              <w:rPr>
                <w:rFonts w:asciiTheme="minorHAnsi" w:hAnsiTheme="minorHAnsi" w:cs="Calibri"/>
                <w:b/>
                <w:color w:val="FFFFFF" w:themeColor="background1"/>
              </w:rPr>
              <w:t>Topic</w:t>
            </w:r>
            <w:r w:rsidR="0015368C" w:rsidRPr="001D2A84">
              <w:rPr>
                <w:rFonts w:asciiTheme="minorHAnsi" w:hAnsiTheme="minorHAnsi" w:cs="Calibri"/>
                <w:b/>
                <w:color w:val="FFFFFF" w:themeColor="background1"/>
              </w:rPr>
              <w:t>/Theme</w:t>
            </w:r>
          </w:p>
        </w:tc>
        <w:tc>
          <w:tcPr>
            <w:tcW w:w="3999" w:type="pct"/>
            <w:shd w:val="clear" w:color="auto" w:fill="009193"/>
            <w:noWrap/>
          </w:tcPr>
          <w:p w14:paraId="26B485DE" w14:textId="44976CC4" w:rsidR="00DF4807" w:rsidRPr="001D2A84" w:rsidRDefault="00DF4807" w:rsidP="00672527">
            <w:pPr>
              <w:rPr>
                <w:rFonts w:asciiTheme="minorHAnsi" w:hAnsiTheme="minorHAnsi" w:cs="Calibri"/>
                <w:color w:val="000000"/>
              </w:rPr>
            </w:pPr>
            <w:r w:rsidRPr="001D2A84">
              <w:rPr>
                <w:rFonts w:asciiTheme="minorHAnsi" w:hAnsiTheme="minorHAnsi" w:cs="Calibri"/>
                <w:b/>
                <w:color w:val="FFFFFF" w:themeColor="background1"/>
              </w:rPr>
              <w:t>Main finding/recommendation</w:t>
            </w:r>
          </w:p>
        </w:tc>
      </w:tr>
      <w:tr w:rsidR="00DF4807" w:rsidRPr="001D2A84" w14:paraId="1264131F" w14:textId="77777777" w:rsidTr="001D2A84">
        <w:trPr>
          <w:trHeight w:val="240"/>
        </w:trPr>
        <w:tc>
          <w:tcPr>
            <w:tcW w:w="1001" w:type="pct"/>
            <w:shd w:val="clear" w:color="auto" w:fill="auto"/>
            <w:noWrap/>
          </w:tcPr>
          <w:p w14:paraId="2F295939" w14:textId="243E56AB" w:rsidR="00DF4807" w:rsidRPr="001D2A84" w:rsidRDefault="00DF4807" w:rsidP="00861EDD">
            <w:pPr>
              <w:spacing w:before="20" w:after="20"/>
              <w:rPr>
                <w:rFonts w:asciiTheme="minorHAnsi" w:hAnsiTheme="minorHAnsi" w:cs="Calibri"/>
                <w:color w:val="000000"/>
              </w:rPr>
            </w:pPr>
            <w:r w:rsidRPr="001D2A84">
              <w:rPr>
                <w:rFonts w:asciiTheme="minorHAnsi" w:hAnsiTheme="minorHAnsi" w:cs="Calibri"/>
                <w:color w:val="000000"/>
              </w:rPr>
              <w:t>Families</w:t>
            </w:r>
          </w:p>
        </w:tc>
        <w:tc>
          <w:tcPr>
            <w:tcW w:w="3999" w:type="pct"/>
            <w:shd w:val="clear" w:color="auto" w:fill="auto"/>
            <w:noWrap/>
          </w:tcPr>
          <w:p w14:paraId="4E099815" w14:textId="1E670DBD" w:rsidR="00DF4807" w:rsidRPr="001D2A84" w:rsidRDefault="00DF4807">
            <w:pPr>
              <w:pStyle w:val="Reporttext"/>
              <w:numPr>
                <w:ilvl w:val="0"/>
                <w:numId w:val="0"/>
              </w:numPr>
              <w:tabs>
                <w:tab w:val="clear" w:pos="709"/>
              </w:tabs>
              <w:rPr>
                <w:rFonts w:asciiTheme="minorHAnsi" w:hAnsiTheme="minorHAnsi" w:cs="Calibri"/>
                <w:lang w:val="en-GB"/>
              </w:rPr>
            </w:pPr>
            <w:r w:rsidRPr="001D2A84">
              <w:rPr>
                <w:rFonts w:asciiTheme="minorHAnsi" w:hAnsiTheme="minorHAnsi"/>
                <w:lang w:val="en-GB"/>
              </w:rPr>
              <w:t>T</w:t>
            </w:r>
            <w:r w:rsidRPr="001D2A84">
              <w:rPr>
                <w:rFonts w:asciiTheme="minorHAnsi" w:hAnsiTheme="minorHAnsi"/>
              </w:rPr>
              <w:t xml:space="preserve">here is expected to be an increase of around </w:t>
            </w:r>
            <w:r w:rsidR="006410DE" w:rsidRPr="001D2A84">
              <w:rPr>
                <w:rFonts w:asciiTheme="minorHAnsi" w:hAnsiTheme="minorHAnsi"/>
                <w:lang w:val="en-US"/>
              </w:rPr>
              <w:t>5,900</w:t>
            </w:r>
            <w:r w:rsidRPr="001D2A84">
              <w:rPr>
                <w:rFonts w:asciiTheme="minorHAnsi" w:hAnsiTheme="minorHAnsi"/>
              </w:rPr>
              <w:t xml:space="preserve"> families </w:t>
            </w:r>
            <w:r w:rsidRPr="001D2A84">
              <w:rPr>
                <w:rFonts w:asciiTheme="minorHAnsi" w:hAnsiTheme="minorHAnsi"/>
                <w:lang w:val="en-GB"/>
              </w:rPr>
              <w:t xml:space="preserve">living in the borough </w:t>
            </w:r>
            <w:r w:rsidRPr="001D2A84">
              <w:rPr>
                <w:rFonts w:asciiTheme="minorHAnsi" w:hAnsiTheme="minorHAnsi"/>
              </w:rPr>
              <w:t>over the period 20</w:t>
            </w:r>
            <w:r w:rsidR="006410DE" w:rsidRPr="001D2A84">
              <w:rPr>
                <w:rFonts w:asciiTheme="minorHAnsi" w:hAnsiTheme="minorHAnsi"/>
                <w:lang w:val="en-US"/>
              </w:rPr>
              <w:t>20</w:t>
            </w:r>
            <w:r w:rsidRPr="001D2A84">
              <w:rPr>
                <w:rFonts w:asciiTheme="minorHAnsi" w:hAnsiTheme="minorHAnsi"/>
              </w:rPr>
              <w:t>-</w:t>
            </w:r>
            <w:r w:rsidR="006410DE" w:rsidRPr="001D2A84">
              <w:rPr>
                <w:rFonts w:asciiTheme="minorHAnsi" w:hAnsiTheme="minorHAnsi"/>
              </w:rPr>
              <w:t>39</w:t>
            </w:r>
            <w:r w:rsidRPr="001D2A84">
              <w:rPr>
                <w:rFonts w:asciiTheme="minorHAnsi" w:hAnsiTheme="minorHAnsi"/>
                <w:lang w:val="en-GB"/>
              </w:rPr>
              <w:t>.  Th</w:t>
            </w:r>
            <w:r w:rsidRPr="001D2A84">
              <w:rPr>
                <w:rFonts w:asciiTheme="minorHAnsi" w:hAnsiTheme="minorHAnsi" w:cs="Calibri"/>
                <w:lang w:val="en-GB"/>
              </w:rPr>
              <w:t xml:space="preserve">ere are also disparities between different tenures with only 25.9% private rented stock and 28.6% of affordable housing stock being 3 and 4 bedroom properties, compared to 59.7% in owner occupied stock.  </w:t>
            </w:r>
          </w:p>
          <w:p w14:paraId="6050AF5B" w14:textId="4D80B24E" w:rsidR="00BE6CE3" w:rsidRPr="001D2A84" w:rsidRDefault="00BE6CE3" w:rsidP="0015368C">
            <w:pPr>
              <w:pStyle w:val="CommentText"/>
              <w:rPr>
                <w:sz w:val="24"/>
                <w:szCs w:val="24"/>
              </w:rPr>
            </w:pPr>
            <w:r w:rsidRPr="001D2A84">
              <w:rPr>
                <w:sz w:val="24"/>
                <w:szCs w:val="24"/>
              </w:rPr>
              <w:t xml:space="preserve">It will be important for family sized accommodation to be provided as part of the overall mix of housing, and in particular to be provided as part of </w:t>
            </w:r>
            <w:r w:rsidRPr="001D2A84">
              <w:rPr>
                <w:sz w:val="24"/>
                <w:szCs w:val="24"/>
                <w:lang w:val="en-GB"/>
              </w:rPr>
              <w:t>affordable provision, on new build schemes.</w:t>
            </w:r>
          </w:p>
        </w:tc>
      </w:tr>
      <w:tr w:rsidR="00DF4807" w:rsidRPr="001D2A84" w14:paraId="1630A9B0" w14:textId="77777777" w:rsidTr="001D2A84">
        <w:trPr>
          <w:trHeight w:val="240"/>
        </w:trPr>
        <w:tc>
          <w:tcPr>
            <w:tcW w:w="1001" w:type="pct"/>
            <w:shd w:val="clear" w:color="auto" w:fill="auto"/>
            <w:noWrap/>
          </w:tcPr>
          <w:p w14:paraId="3F48C81B" w14:textId="473076B1" w:rsidR="00DF4807" w:rsidRPr="001D2A84" w:rsidRDefault="00DF4807" w:rsidP="00417362">
            <w:pPr>
              <w:spacing w:before="20" w:after="20"/>
              <w:rPr>
                <w:rFonts w:asciiTheme="minorHAnsi" w:hAnsiTheme="minorHAnsi" w:cs="Calibri"/>
                <w:color w:val="000000"/>
              </w:rPr>
            </w:pPr>
            <w:r w:rsidRPr="001D2A84">
              <w:rPr>
                <w:rFonts w:asciiTheme="minorHAnsi" w:hAnsiTheme="minorHAnsi" w:cs="Calibri"/>
                <w:color w:val="000000"/>
              </w:rPr>
              <w:t>Specialist housing for older people</w:t>
            </w:r>
          </w:p>
        </w:tc>
        <w:tc>
          <w:tcPr>
            <w:tcW w:w="3999" w:type="pct"/>
            <w:shd w:val="clear" w:color="auto" w:fill="auto"/>
            <w:noWrap/>
          </w:tcPr>
          <w:p w14:paraId="49926E07" w14:textId="7E651A6C" w:rsidR="00DF4807" w:rsidRPr="001D2A84" w:rsidRDefault="00DF4807">
            <w:pPr>
              <w:spacing w:before="20" w:after="20"/>
              <w:jc w:val="both"/>
              <w:rPr>
                <w:rFonts w:asciiTheme="minorHAnsi" w:hAnsiTheme="minorHAnsi"/>
              </w:rPr>
            </w:pPr>
            <w:r w:rsidRPr="001D2A84">
              <w:rPr>
                <w:rFonts w:asciiTheme="minorHAnsi" w:hAnsiTheme="minorHAnsi"/>
              </w:rPr>
              <w:t xml:space="preserve">The number of older person households is expected to increase by around </w:t>
            </w:r>
            <w:r w:rsidR="006410DE" w:rsidRPr="001D2A84">
              <w:rPr>
                <w:rFonts w:asciiTheme="minorHAnsi" w:hAnsiTheme="minorHAnsi"/>
              </w:rPr>
              <w:t>25</w:t>
            </w:r>
            <w:r w:rsidRPr="001D2A84">
              <w:rPr>
                <w:rFonts w:asciiTheme="minorHAnsi" w:hAnsiTheme="minorHAnsi"/>
              </w:rPr>
              <w:t>,100 over the period 20</w:t>
            </w:r>
            <w:r w:rsidR="006410DE" w:rsidRPr="001D2A84">
              <w:rPr>
                <w:rFonts w:asciiTheme="minorHAnsi" w:hAnsiTheme="minorHAnsi"/>
              </w:rPr>
              <w:t>20</w:t>
            </w:r>
            <w:r w:rsidRPr="001D2A84">
              <w:rPr>
                <w:rFonts w:asciiTheme="minorHAnsi" w:hAnsiTheme="minorHAnsi"/>
              </w:rPr>
              <w:t>-3</w:t>
            </w:r>
            <w:r w:rsidR="006410DE" w:rsidRPr="001D2A84">
              <w:rPr>
                <w:rFonts w:asciiTheme="minorHAnsi" w:hAnsiTheme="minorHAnsi"/>
              </w:rPr>
              <w:t>9</w:t>
            </w:r>
            <w:r w:rsidRPr="001D2A84">
              <w:rPr>
                <w:rFonts w:asciiTheme="minorHAnsi" w:hAnsiTheme="minorHAnsi"/>
              </w:rPr>
              <w:t>. Nationally, there are particular aspirations across this group for bungalows, flats and smaller houses. Widening the choice in alternative housing options for older people would help the overall operation of the housing market</w:t>
            </w:r>
            <w:r w:rsidR="006107DB" w:rsidRPr="001D2A84">
              <w:rPr>
                <w:rFonts w:asciiTheme="minorHAnsi" w:hAnsiTheme="minorHAnsi"/>
              </w:rPr>
              <w:t xml:space="preserve"> and provide th</w:t>
            </w:r>
            <w:r w:rsidRPr="001D2A84">
              <w:rPr>
                <w:rFonts w:asciiTheme="minorHAnsi" w:hAnsiTheme="minorHAnsi"/>
              </w:rPr>
              <w:t>e ability of households to trade up into properties released by older people.</w:t>
            </w:r>
          </w:p>
          <w:p w14:paraId="1193D378" w14:textId="75CA4998" w:rsidR="00BE6CE3" w:rsidRPr="001D2A84" w:rsidRDefault="00BE6CE3" w:rsidP="00BE6CE3">
            <w:pPr>
              <w:pStyle w:val="CommentText"/>
              <w:rPr>
                <w:sz w:val="24"/>
                <w:szCs w:val="24"/>
              </w:rPr>
            </w:pPr>
            <w:r w:rsidRPr="001D2A84">
              <w:rPr>
                <w:sz w:val="24"/>
                <w:szCs w:val="24"/>
                <w:lang w:val="en-GB"/>
              </w:rPr>
              <w:t>Given the demographic changes taking place and the ageing population, d</w:t>
            </w:r>
            <w:r w:rsidRPr="001D2A84">
              <w:rPr>
                <w:sz w:val="24"/>
                <w:szCs w:val="24"/>
              </w:rPr>
              <w:t xml:space="preserve">elivering an appropriate range of new dwellings for older people needs to be a strategic priority for the Council, equivalent to about  </w:t>
            </w:r>
            <w:r w:rsidR="00827838" w:rsidRPr="001D2A84">
              <w:rPr>
                <w:sz w:val="24"/>
                <w:szCs w:val="24"/>
                <w:lang w:val="en-US"/>
              </w:rPr>
              <w:t>110</w:t>
            </w:r>
            <w:r w:rsidRPr="001D2A84">
              <w:rPr>
                <w:sz w:val="24"/>
                <w:szCs w:val="24"/>
              </w:rPr>
              <w:t xml:space="preserve"> units per year.</w:t>
            </w:r>
          </w:p>
          <w:p w14:paraId="66318E65" w14:textId="4550D89A" w:rsidR="00BE6CE3" w:rsidRPr="001D2A84" w:rsidRDefault="00BE6CE3" w:rsidP="0015368C">
            <w:pPr>
              <w:spacing w:before="20" w:after="20"/>
              <w:jc w:val="both"/>
              <w:rPr>
                <w:rFonts w:asciiTheme="minorHAnsi" w:hAnsiTheme="minorHAnsi" w:cs="Calibri"/>
                <w:color w:val="000000"/>
              </w:rPr>
            </w:pPr>
          </w:p>
        </w:tc>
      </w:tr>
      <w:tr w:rsidR="00DF4807" w:rsidRPr="001D2A84" w14:paraId="6E1EC029" w14:textId="77777777" w:rsidTr="001D2A84">
        <w:trPr>
          <w:trHeight w:val="240"/>
        </w:trPr>
        <w:tc>
          <w:tcPr>
            <w:tcW w:w="1001" w:type="pct"/>
            <w:shd w:val="clear" w:color="auto" w:fill="auto"/>
            <w:noWrap/>
          </w:tcPr>
          <w:p w14:paraId="5AC20A48" w14:textId="2CBED8E3" w:rsidR="00DF4807" w:rsidRPr="001D2A84" w:rsidRDefault="00DF4807" w:rsidP="00417362">
            <w:pPr>
              <w:spacing w:before="20" w:after="20"/>
              <w:rPr>
                <w:rFonts w:asciiTheme="minorHAnsi" w:hAnsiTheme="minorHAnsi" w:cs="Calibri"/>
                <w:color w:val="000000"/>
              </w:rPr>
            </w:pPr>
            <w:r w:rsidRPr="001D2A84">
              <w:rPr>
                <w:rFonts w:asciiTheme="minorHAnsi" w:hAnsiTheme="minorHAnsi" w:cs="Calibri"/>
                <w:color w:val="000000"/>
              </w:rPr>
              <w:lastRenderedPageBreak/>
              <w:t>Accessible housing</w:t>
            </w:r>
          </w:p>
        </w:tc>
        <w:tc>
          <w:tcPr>
            <w:tcW w:w="3999" w:type="pct"/>
            <w:shd w:val="clear" w:color="auto" w:fill="auto"/>
            <w:noWrap/>
          </w:tcPr>
          <w:p w14:paraId="0F30F613" w14:textId="77777777" w:rsidR="00DF4807" w:rsidRPr="001D2A84" w:rsidRDefault="00DF4807">
            <w:pPr>
              <w:pStyle w:val="bullet"/>
              <w:numPr>
                <w:ilvl w:val="0"/>
                <w:numId w:val="0"/>
              </w:numPr>
              <w:rPr>
                <w:rFonts w:asciiTheme="minorHAnsi" w:hAnsiTheme="minorHAnsi"/>
              </w:rPr>
            </w:pPr>
            <w:r w:rsidRPr="001D2A84">
              <w:rPr>
                <w:rFonts w:asciiTheme="minorHAnsi" w:hAnsiTheme="minorHAnsi"/>
                <w:lang w:val="en-GB"/>
              </w:rPr>
              <w:t>A</w:t>
            </w:r>
            <w:r w:rsidRPr="001D2A84">
              <w:rPr>
                <w:rFonts w:asciiTheme="minorHAnsi" w:hAnsiTheme="minorHAnsi"/>
              </w:rPr>
              <w:t xml:space="preserve">round </w:t>
            </w:r>
            <w:r w:rsidRPr="001D2A84">
              <w:rPr>
                <w:rFonts w:asciiTheme="minorHAnsi" w:hAnsiTheme="minorHAnsi"/>
                <w:lang w:val="en-US"/>
              </w:rPr>
              <w:t>13,803</w:t>
            </w:r>
            <w:r w:rsidRPr="001D2A84">
              <w:rPr>
                <w:rFonts w:asciiTheme="minorHAnsi" w:hAnsiTheme="minorHAnsi"/>
              </w:rPr>
              <w:t xml:space="preserve"> residents (</w:t>
            </w:r>
            <w:r w:rsidRPr="001D2A84">
              <w:rPr>
                <w:rFonts w:asciiTheme="minorHAnsi" w:hAnsiTheme="minorHAnsi"/>
                <w:lang w:val="en-US"/>
              </w:rPr>
              <w:t>6.1%</w:t>
            </w:r>
            <w:r w:rsidRPr="001D2A84">
              <w:rPr>
                <w:rFonts w:asciiTheme="minorHAnsi" w:hAnsiTheme="minorHAnsi"/>
              </w:rPr>
              <w:t xml:space="preserve">) were in fair or bad/very bad health.  The daily activities of around 38,400 (14.1%) were limited by their health. </w:t>
            </w:r>
            <w:r w:rsidR="006107DB" w:rsidRPr="001D2A84">
              <w:rPr>
                <w:rFonts w:asciiTheme="minorHAnsi" w:hAnsiTheme="minorHAnsi"/>
                <w:lang w:val="en-GB"/>
              </w:rPr>
              <w:t>A</w:t>
            </w:r>
            <w:r w:rsidRPr="001D2A84">
              <w:rPr>
                <w:rFonts w:asciiTheme="minorHAnsi" w:hAnsiTheme="minorHAnsi"/>
              </w:rPr>
              <w:t xml:space="preserve">round 53,900 residents had a disability </w:t>
            </w:r>
            <w:r w:rsidR="006107DB" w:rsidRPr="001D2A84">
              <w:rPr>
                <w:rFonts w:asciiTheme="minorHAnsi" w:hAnsiTheme="minorHAnsi"/>
                <w:lang w:val="en-GB"/>
              </w:rPr>
              <w:t xml:space="preserve">in 2018 </w:t>
            </w:r>
            <w:r w:rsidRPr="001D2A84">
              <w:rPr>
                <w:rFonts w:asciiTheme="minorHAnsi" w:hAnsiTheme="minorHAnsi"/>
              </w:rPr>
              <w:t xml:space="preserve">and this is expected to increase to around 66,100 by 2033 (and increase of 22.6%). Not all residents with a disability will require alternative housing or significant support in the home.  </w:t>
            </w:r>
          </w:p>
          <w:p w14:paraId="61114206" w14:textId="61438714" w:rsidR="00827838" w:rsidRPr="001D2A84" w:rsidRDefault="00827838" w:rsidP="0015368C">
            <w:pPr>
              <w:pStyle w:val="bullet"/>
              <w:numPr>
                <w:ilvl w:val="0"/>
                <w:numId w:val="0"/>
              </w:numPr>
              <w:rPr>
                <w:rFonts w:asciiTheme="minorHAnsi" w:hAnsiTheme="minorHAnsi"/>
                <w:lang w:val="en-US"/>
              </w:rPr>
            </w:pPr>
            <w:r w:rsidRPr="001D2A84">
              <w:rPr>
                <w:rFonts w:asciiTheme="minorHAnsi" w:hAnsiTheme="minorHAnsi"/>
                <w:lang w:val="en-US"/>
              </w:rPr>
              <w:t>To meet the accessibility needs of most current and future residents, 10% of housing should be built to the M4(3) wheelchair accessible standard</w:t>
            </w:r>
          </w:p>
        </w:tc>
      </w:tr>
      <w:tr w:rsidR="00DF4807" w:rsidRPr="001D2A84" w14:paraId="30D09524" w14:textId="77777777" w:rsidTr="001D2A84">
        <w:trPr>
          <w:trHeight w:val="240"/>
        </w:trPr>
        <w:tc>
          <w:tcPr>
            <w:tcW w:w="1001" w:type="pct"/>
            <w:shd w:val="clear" w:color="auto" w:fill="auto"/>
            <w:noWrap/>
          </w:tcPr>
          <w:p w14:paraId="7135CF66" w14:textId="28B0074C" w:rsidR="00DF4807" w:rsidRPr="001D2A84" w:rsidRDefault="00DF4807" w:rsidP="00417362">
            <w:pPr>
              <w:spacing w:before="20" w:after="20"/>
              <w:rPr>
                <w:rFonts w:asciiTheme="minorHAnsi" w:hAnsiTheme="minorHAnsi" w:cs="Calibri"/>
                <w:color w:val="000000"/>
              </w:rPr>
            </w:pPr>
            <w:r w:rsidRPr="001D2A84">
              <w:rPr>
                <w:rFonts w:asciiTheme="minorHAnsi" w:hAnsiTheme="minorHAnsi" w:cs="Calibri"/>
                <w:color w:val="000000"/>
              </w:rPr>
              <w:t>Self-build housing</w:t>
            </w:r>
          </w:p>
        </w:tc>
        <w:tc>
          <w:tcPr>
            <w:tcW w:w="3999" w:type="pct"/>
            <w:shd w:val="clear" w:color="auto" w:fill="auto"/>
            <w:noWrap/>
          </w:tcPr>
          <w:p w14:paraId="40253E87" w14:textId="77777777" w:rsidR="00DF4807" w:rsidRPr="001D2A84" w:rsidRDefault="00DF4807">
            <w:pPr>
              <w:pStyle w:val="bullet"/>
              <w:numPr>
                <w:ilvl w:val="0"/>
                <w:numId w:val="0"/>
              </w:numPr>
              <w:ind w:left="34"/>
              <w:rPr>
                <w:rFonts w:asciiTheme="minorHAnsi" w:hAnsiTheme="minorHAnsi"/>
                <w:lang w:val="en-GB"/>
              </w:rPr>
            </w:pPr>
            <w:r w:rsidRPr="001D2A84">
              <w:rPr>
                <w:rFonts w:asciiTheme="minorHAnsi" w:hAnsiTheme="minorHAnsi"/>
                <w:lang w:val="en-GB"/>
              </w:rPr>
              <w:t xml:space="preserve">There is significant evidence </w:t>
            </w:r>
            <w:r w:rsidR="002D5652" w:rsidRPr="001D2A84">
              <w:rPr>
                <w:rFonts w:asciiTheme="minorHAnsi" w:hAnsiTheme="minorHAnsi"/>
                <w:lang w:val="en-GB"/>
              </w:rPr>
              <w:t xml:space="preserve">of </w:t>
            </w:r>
            <w:r w:rsidRPr="001D2A84">
              <w:rPr>
                <w:rFonts w:asciiTheme="minorHAnsi" w:hAnsiTheme="minorHAnsi"/>
                <w:lang w:val="en-GB"/>
              </w:rPr>
              <w:t>demand for self and custom build plots according to the self and custom build register however, based upon a snapshot of weekly planning applications, there is no evidence that self and custom build plots are being supplied by the market</w:t>
            </w:r>
            <w:r w:rsidR="002D5652" w:rsidRPr="001D2A84">
              <w:rPr>
                <w:rFonts w:asciiTheme="minorHAnsi" w:hAnsiTheme="minorHAnsi"/>
                <w:lang w:val="en-GB"/>
              </w:rPr>
              <w:t>.</w:t>
            </w:r>
          </w:p>
          <w:p w14:paraId="38625E83" w14:textId="5EF94D3C" w:rsidR="00827838" w:rsidRPr="001D2A84" w:rsidRDefault="00827838">
            <w:pPr>
              <w:pStyle w:val="bullet"/>
              <w:numPr>
                <w:ilvl w:val="0"/>
                <w:numId w:val="0"/>
              </w:numPr>
              <w:ind w:left="34"/>
              <w:rPr>
                <w:rFonts w:asciiTheme="minorHAnsi" w:hAnsiTheme="minorHAnsi"/>
              </w:rPr>
            </w:pPr>
            <w:r w:rsidRPr="001D2A84">
              <w:rPr>
                <w:rFonts w:asciiTheme="minorHAnsi" w:hAnsiTheme="minorHAnsi"/>
                <w:lang w:val="en-GB"/>
              </w:rPr>
              <w:t>The Council should ensure that the needs of self- and custom-house builders are accommodated</w:t>
            </w:r>
          </w:p>
        </w:tc>
      </w:tr>
      <w:tr w:rsidR="00DF4807" w:rsidRPr="001D2A84" w14:paraId="73413725" w14:textId="77777777" w:rsidTr="001D2A84">
        <w:trPr>
          <w:trHeight w:val="240"/>
        </w:trPr>
        <w:tc>
          <w:tcPr>
            <w:tcW w:w="1001" w:type="pct"/>
            <w:shd w:val="clear" w:color="auto" w:fill="auto"/>
            <w:noWrap/>
          </w:tcPr>
          <w:p w14:paraId="46376C16" w14:textId="635E726B" w:rsidR="00DF4807" w:rsidRPr="001D2A84" w:rsidRDefault="00DF4807" w:rsidP="00417362">
            <w:pPr>
              <w:spacing w:before="20" w:after="20"/>
              <w:rPr>
                <w:rFonts w:asciiTheme="minorHAnsi" w:hAnsiTheme="minorHAnsi" w:cs="Calibri"/>
                <w:color w:val="000000"/>
              </w:rPr>
            </w:pPr>
            <w:r w:rsidRPr="001D2A84">
              <w:rPr>
                <w:rFonts w:asciiTheme="minorHAnsi" w:hAnsiTheme="minorHAnsi" w:cs="Calibri"/>
                <w:color w:val="000000"/>
              </w:rPr>
              <w:t>HMOs</w:t>
            </w:r>
          </w:p>
        </w:tc>
        <w:tc>
          <w:tcPr>
            <w:tcW w:w="3999" w:type="pct"/>
            <w:shd w:val="clear" w:color="auto" w:fill="auto"/>
            <w:noWrap/>
          </w:tcPr>
          <w:p w14:paraId="33E32A76" w14:textId="77777777" w:rsidR="00DF4807" w:rsidRPr="001D2A84" w:rsidRDefault="00DF4807">
            <w:pPr>
              <w:pStyle w:val="bullet"/>
              <w:numPr>
                <w:ilvl w:val="0"/>
                <w:numId w:val="0"/>
              </w:numPr>
              <w:ind w:left="34" w:hanging="34"/>
              <w:rPr>
                <w:rFonts w:asciiTheme="minorHAnsi" w:hAnsiTheme="minorHAnsi"/>
                <w:lang w:val="en-GB"/>
              </w:rPr>
            </w:pPr>
            <w:r w:rsidRPr="001D2A84">
              <w:rPr>
                <w:rFonts w:asciiTheme="minorHAnsi" w:hAnsiTheme="minorHAnsi"/>
                <w:lang w:val="en-GB"/>
              </w:rPr>
              <w:t>Given the unaffordability of housing to those households with lower quartile or median incomes, growth in HMOs is expected to continue</w:t>
            </w:r>
            <w:r w:rsidR="002D5652" w:rsidRPr="001D2A84">
              <w:rPr>
                <w:rFonts w:asciiTheme="minorHAnsi" w:hAnsiTheme="minorHAnsi"/>
                <w:lang w:val="en-GB"/>
              </w:rPr>
              <w:t>.  HMOs have a place in the market in that they form an</w:t>
            </w:r>
            <w:r w:rsidRPr="001D2A84">
              <w:rPr>
                <w:rFonts w:asciiTheme="minorHAnsi" w:hAnsiTheme="minorHAnsi"/>
                <w:lang w:val="en-GB"/>
              </w:rPr>
              <w:t xml:space="preserve"> alternative, more affordable form of housing</w:t>
            </w:r>
            <w:r w:rsidR="002D5652" w:rsidRPr="001D2A84">
              <w:rPr>
                <w:rFonts w:asciiTheme="minorHAnsi" w:hAnsiTheme="minorHAnsi"/>
                <w:lang w:val="en-GB"/>
              </w:rPr>
              <w:t>.</w:t>
            </w:r>
            <w:r w:rsidRPr="001D2A84">
              <w:rPr>
                <w:rFonts w:asciiTheme="minorHAnsi" w:hAnsiTheme="minorHAnsi"/>
                <w:lang w:val="en-GB"/>
              </w:rPr>
              <w:t xml:space="preserve"> </w:t>
            </w:r>
          </w:p>
          <w:p w14:paraId="573A50F9" w14:textId="7D4031E8" w:rsidR="00827838" w:rsidRPr="001D2A84" w:rsidRDefault="00827838" w:rsidP="0015368C">
            <w:pPr>
              <w:pStyle w:val="CommentText"/>
              <w:rPr>
                <w:sz w:val="24"/>
                <w:szCs w:val="24"/>
                <w:lang w:val="en-GB"/>
              </w:rPr>
            </w:pPr>
            <w:r w:rsidRPr="001D2A84">
              <w:rPr>
                <w:sz w:val="24"/>
                <w:szCs w:val="24"/>
                <w:lang w:val="en-GB"/>
              </w:rPr>
              <w:t xml:space="preserve">Whilst recognising the need for HMOs, careful consideration will need to be given to ensure that new HMOs </w:t>
            </w:r>
            <w:r w:rsidRPr="001D2A84">
              <w:rPr>
                <w:rFonts w:cs="Arial"/>
                <w:sz w:val="24"/>
                <w:szCs w:val="24"/>
              </w:rPr>
              <w:t>contribute to a beneficial mix and balance of uses within an area, do not result in the loss of family occupation, an overconcentration of HMOs or adverse impacts on amenity, are located in areas of good transport accessibility and are well-designed and well managed</w:t>
            </w:r>
            <w:r w:rsidRPr="001D2A84">
              <w:rPr>
                <w:rFonts w:cs="Arial"/>
                <w:sz w:val="24"/>
                <w:szCs w:val="24"/>
                <w:lang w:val="en-GB"/>
              </w:rPr>
              <w:t>.</w:t>
            </w:r>
          </w:p>
        </w:tc>
      </w:tr>
      <w:tr w:rsidR="00DF4807" w:rsidRPr="001D2A84" w14:paraId="69C886BD" w14:textId="77777777" w:rsidTr="001D2A84">
        <w:trPr>
          <w:trHeight w:val="240"/>
        </w:trPr>
        <w:tc>
          <w:tcPr>
            <w:tcW w:w="1001" w:type="pct"/>
            <w:shd w:val="clear" w:color="auto" w:fill="auto"/>
            <w:noWrap/>
          </w:tcPr>
          <w:p w14:paraId="086E8BA3" w14:textId="04682666" w:rsidR="00DF4807" w:rsidRPr="001D2A84" w:rsidRDefault="00DF4807" w:rsidP="0015368C">
            <w:pPr>
              <w:tabs>
                <w:tab w:val="left" w:pos="328"/>
              </w:tabs>
              <w:spacing w:before="20" w:after="20"/>
              <w:rPr>
                <w:rFonts w:asciiTheme="minorHAnsi" w:hAnsiTheme="minorHAnsi" w:cs="Calibri"/>
                <w:color w:val="000000"/>
              </w:rPr>
            </w:pPr>
            <w:r w:rsidRPr="001D2A84">
              <w:rPr>
                <w:rFonts w:asciiTheme="minorHAnsi" w:hAnsiTheme="minorHAnsi" w:cs="Calibri"/>
                <w:color w:val="000000"/>
              </w:rPr>
              <w:t>BAME Groups</w:t>
            </w:r>
          </w:p>
        </w:tc>
        <w:tc>
          <w:tcPr>
            <w:tcW w:w="3999" w:type="pct"/>
            <w:shd w:val="clear" w:color="auto" w:fill="auto"/>
            <w:noWrap/>
          </w:tcPr>
          <w:p w14:paraId="19F461AB" w14:textId="77777777" w:rsidR="00370B71" w:rsidRPr="001D2A84" w:rsidRDefault="00DF4807" w:rsidP="0015368C">
            <w:pPr>
              <w:pStyle w:val="bullet"/>
              <w:numPr>
                <w:ilvl w:val="0"/>
                <w:numId w:val="0"/>
              </w:numPr>
              <w:tabs>
                <w:tab w:val="left" w:pos="328"/>
              </w:tabs>
              <w:ind w:left="34"/>
              <w:rPr>
                <w:rFonts w:asciiTheme="minorHAnsi" w:hAnsiTheme="minorHAnsi"/>
                <w:lang w:val="en-GB"/>
              </w:rPr>
            </w:pPr>
            <w:r w:rsidRPr="001D2A84">
              <w:rPr>
                <w:rFonts w:asciiTheme="minorHAnsi" w:hAnsiTheme="minorHAnsi"/>
                <w:lang w:val="en-GB"/>
              </w:rPr>
              <w:t xml:space="preserve">BAME groups are </w:t>
            </w:r>
            <w:r w:rsidR="00370B71" w:rsidRPr="001D2A84">
              <w:rPr>
                <w:rFonts w:asciiTheme="minorHAnsi" w:hAnsiTheme="minorHAnsi"/>
                <w:lang w:val="en-GB"/>
              </w:rPr>
              <w:t xml:space="preserve">more likely to be social renters (38.1%) compared with all households (31.1%).  BAME groups are also </w:t>
            </w:r>
            <w:r w:rsidRPr="001D2A84">
              <w:rPr>
                <w:rFonts w:asciiTheme="minorHAnsi" w:hAnsiTheme="minorHAnsi"/>
                <w:lang w:val="en-GB"/>
              </w:rPr>
              <w:t>disproportionately affected by overcrowding</w:t>
            </w:r>
            <w:r w:rsidR="00370B71" w:rsidRPr="001D2A84">
              <w:rPr>
                <w:rFonts w:asciiTheme="minorHAnsi" w:hAnsiTheme="minorHAnsi"/>
                <w:lang w:val="en-GB"/>
              </w:rPr>
              <w:t xml:space="preserve">, with 17.1% compared to 12.1% of all households, due to the low proportion of family homes within the affordable stock and the uneven distribution of such housing across the borough. </w:t>
            </w:r>
          </w:p>
          <w:p w14:paraId="13EF98E0" w14:textId="1F8A87C1" w:rsidR="00827838" w:rsidRPr="001D2A84" w:rsidRDefault="00827838" w:rsidP="0015368C">
            <w:pPr>
              <w:pStyle w:val="CommentText"/>
              <w:tabs>
                <w:tab w:val="left" w:pos="328"/>
              </w:tabs>
              <w:rPr>
                <w:sz w:val="24"/>
                <w:szCs w:val="24"/>
              </w:rPr>
            </w:pPr>
            <w:r w:rsidRPr="001D2A84">
              <w:rPr>
                <w:rFonts w:asciiTheme="minorHAnsi" w:hAnsiTheme="minorHAnsi"/>
                <w:sz w:val="24"/>
                <w:szCs w:val="24"/>
                <w:lang w:val="en-GB"/>
              </w:rPr>
              <w:t>A mix of tenures with a focus on social rented family sized properties will help to address the needs of BAME groups.</w:t>
            </w:r>
          </w:p>
        </w:tc>
      </w:tr>
      <w:tr w:rsidR="00DF4807" w:rsidRPr="001D2A84" w14:paraId="7E17C958" w14:textId="77777777" w:rsidTr="001D2A84">
        <w:trPr>
          <w:trHeight w:val="240"/>
        </w:trPr>
        <w:tc>
          <w:tcPr>
            <w:tcW w:w="1001" w:type="pct"/>
            <w:shd w:val="clear" w:color="auto" w:fill="auto"/>
            <w:noWrap/>
          </w:tcPr>
          <w:p w14:paraId="60B4F9ED" w14:textId="71942236" w:rsidR="00DF4807" w:rsidRPr="001D2A84" w:rsidRDefault="00DF4807" w:rsidP="00417362">
            <w:pPr>
              <w:spacing w:before="20" w:after="20"/>
              <w:rPr>
                <w:rFonts w:asciiTheme="minorHAnsi" w:hAnsiTheme="minorHAnsi" w:cs="Calibri"/>
                <w:color w:val="000000"/>
              </w:rPr>
            </w:pPr>
            <w:r w:rsidRPr="001D2A84">
              <w:rPr>
                <w:rFonts w:asciiTheme="minorHAnsi" w:hAnsiTheme="minorHAnsi" w:cs="Calibri"/>
                <w:color w:val="000000"/>
              </w:rPr>
              <w:t>Overcrowded households</w:t>
            </w:r>
          </w:p>
        </w:tc>
        <w:tc>
          <w:tcPr>
            <w:tcW w:w="3999" w:type="pct"/>
            <w:shd w:val="clear" w:color="auto" w:fill="auto"/>
            <w:noWrap/>
          </w:tcPr>
          <w:p w14:paraId="479C9959" w14:textId="77777777" w:rsidR="00DF4807" w:rsidRPr="001D2A84" w:rsidRDefault="00DF4807">
            <w:pPr>
              <w:pStyle w:val="bullet"/>
              <w:numPr>
                <w:ilvl w:val="0"/>
                <w:numId w:val="0"/>
              </w:numPr>
              <w:ind w:left="34" w:hanging="34"/>
              <w:rPr>
                <w:rFonts w:asciiTheme="minorHAnsi" w:hAnsiTheme="minorHAnsi"/>
                <w:lang w:val="en-GB"/>
              </w:rPr>
            </w:pPr>
            <w:r w:rsidRPr="001D2A84">
              <w:rPr>
                <w:rFonts w:asciiTheme="minorHAnsi" w:hAnsiTheme="minorHAnsi"/>
                <w:lang w:val="en-GB"/>
              </w:rPr>
              <w:t>O</w:t>
            </w:r>
            <w:r w:rsidRPr="001D2A84">
              <w:rPr>
                <w:rFonts w:asciiTheme="minorHAnsi" w:hAnsiTheme="minorHAnsi"/>
              </w:rPr>
              <w:t xml:space="preserve">vercrowding is a major issue in the borough. There are around 8,200 more households than there are dwellings and according to the 2011 </w:t>
            </w:r>
            <w:r w:rsidRPr="001D2A84">
              <w:rPr>
                <w:rFonts w:asciiTheme="minorHAnsi" w:hAnsiTheme="minorHAnsi"/>
                <w:lang w:val="en-GB"/>
              </w:rPr>
              <w:t>C</w:t>
            </w:r>
            <w:r w:rsidRPr="001D2A84">
              <w:rPr>
                <w:rFonts w:asciiTheme="minorHAnsi" w:hAnsiTheme="minorHAnsi"/>
              </w:rPr>
              <w:t xml:space="preserve">ensus around 14,000 households (12.1%) were overcrowded. This </w:t>
            </w:r>
            <w:r w:rsidRPr="001D2A84">
              <w:rPr>
                <w:rFonts w:asciiTheme="minorHAnsi" w:hAnsiTheme="minorHAnsi"/>
                <w:lang w:val="en-GB"/>
              </w:rPr>
              <w:t xml:space="preserve">mismatch of dwelling type and size verses actual occupancy </w:t>
            </w:r>
            <w:r w:rsidRPr="001D2A84">
              <w:rPr>
                <w:rFonts w:asciiTheme="minorHAnsi" w:hAnsiTheme="minorHAnsi"/>
              </w:rPr>
              <w:t>is a key driver of affordable housing need</w:t>
            </w:r>
            <w:r w:rsidR="00370B71" w:rsidRPr="001D2A84">
              <w:rPr>
                <w:rFonts w:asciiTheme="minorHAnsi" w:hAnsiTheme="minorHAnsi"/>
                <w:lang w:val="en-GB"/>
              </w:rPr>
              <w:t>.</w:t>
            </w:r>
            <w:r w:rsidRPr="001D2A84">
              <w:rPr>
                <w:rFonts w:asciiTheme="minorHAnsi" w:hAnsiTheme="minorHAnsi"/>
                <w:lang w:val="en-GB"/>
              </w:rPr>
              <w:t xml:space="preserve"> </w:t>
            </w:r>
          </w:p>
          <w:p w14:paraId="19E4EAFE" w14:textId="6BB81897" w:rsidR="00827838" w:rsidRPr="001D2A84" w:rsidRDefault="00827838" w:rsidP="0015368C">
            <w:pPr>
              <w:pStyle w:val="CommentText"/>
              <w:rPr>
                <w:sz w:val="24"/>
                <w:szCs w:val="24"/>
                <w:lang w:val="en-GB"/>
              </w:rPr>
            </w:pPr>
            <w:r w:rsidRPr="001D2A84">
              <w:rPr>
                <w:sz w:val="24"/>
                <w:szCs w:val="24"/>
              </w:rPr>
              <w:t>To help overcome overcrowding,</w:t>
            </w:r>
            <w:r w:rsidRPr="001D2A84">
              <w:rPr>
                <w:sz w:val="24"/>
                <w:szCs w:val="24"/>
                <w:lang w:val="en-GB"/>
              </w:rPr>
              <w:t xml:space="preserve"> free up suitable sized housing and allow movement in the housing market, </w:t>
            </w:r>
            <w:r w:rsidRPr="001D2A84">
              <w:rPr>
                <w:sz w:val="24"/>
                <w:szCs w:val="24"/>
              </w:rPr>
              <w:t>there is a need to provide a mix in the size of housing to be built on new development sites.</w:t>
            </w:r>
          </w:p>
        </w:tc>
      </w:tr>
      <w:tr w:rsidR="00DF4807" w:rsidRPr="001D2A84" w14:paraId="70B50ADF" w14:textId="77777777" w:rsidTr="001D2A84">
        <w:trPr>
          <w:trHeight w:val="240"/>
        </w:trPr>
        <w:tc>
          <w:tcPr>
            <w:tcW w:w="1001" w:type="pct"/>
            <w:shd w:val="clear" w:color="auto" w:fill="auto"/>
            <w:noWrap/>
          </w:tcPr>
          <w:p w14:paraId="026FC34C" w14:textId="47A36B76" w:rsidR="00DF4807" w:rsidRPr="001D2A84" w:rsidRDefault="00DF4807" w:rsidP="00417362">
            <w:pPr>
              <w:spacing w:before="20" w:after="20"/>
              <w:rPr>
                <w:rFonts w:asciiTheme="minorHAnsi" w:hAnsiTheme="minorHAnsi" w:cs="Calibri"/>
                <w:color w:val="000000"/>
              </w:rPr>
            </w:pPr>
            <w:r w:rsidRPr="001D2A84">
              <w:rPr>
                <w:rFonts w:asciiTheme="minorHAnsi" w:hAnsiTheme="minorHAnsi" w:cs="Calibri"/>
                <w:color w:val="000000"/>
              </w:rPr>
              <w:lastRenderedPageBreak/>
              <w:t>Student housing</w:t>
            </w:r>
          </w:p>
        </w:tc>
        <w:tc>
          <w:tcPr>
            <w:tcW w:w="3999" w:type="pct"/>
            <w:shd w:val="clear" w:color="auto" w:fill="auto"/>
            <w:noWrap/>
          </w:tcPr>
          <w:p w14:paraId="33046011" w14:textId="5084983E" w:rsidR="00DF4807" w:rsidRPr="001D2A84" w:rsidRDefault="00DF4807" w:rsidP="00417362">
            <w:pPr>
              <w:rPr>
                <w:rFonts w:asciiTheme="minorHAnsi" w:hAnsiTheme="minorHAnsi" w:cs="Calibri"/>
              </w:rPr>
            </w:pPr>
            <w:r w:rsidRPr="001D2A84">
              <w:rPr>
                <w:rFonts w:asciiTheme="minorHAnsi" w:hAnsiTheme="minorHAnsi"/>
              </w:rPr>
              <w:t>There is a significant student population in Lewisham that is partly housed in the private rented sector.  The future housing requirements for this group is uncertain due to global economic issues and Brexit.  Whilst pressure on the private rented sector from students has been mitigated by purpose built student housing, the sector will continue to be subject to extreme levels of demand from students unable to afford purpose built housing and the growing trend of non-student households being able to afford home ownership and being ineligible for social housing.</w:t>
            </w:r>
            <w:r w:rsidRPr="001D2A84">
              <w:rPr>
                <w:rFonts w:asciiTheme="minorHAnsi" w:hAnsiTheme="minorHAnsi" w:cs="Calibri"/>
              </w:rPr>
              <w:t xml:space="preserve"> </w:t>
            </w:r>
          </w:p>
          <w:p w14:paraId="14A3F32F" w14:textId="07B39E38" w:rsidR="00DF4807" w:rsidRPr="001D2A84" w:rsidRDefault="00827838" w:rsidP="0015368C">
            <w:pPr>
              <w:pStyle w:val="CommentText"/>
              <w:rPr>
                <w:sz w:val="24"/>
                <w:szCs w:val="24"/>
              </w:rPr>
            </w:pPr>
            <w:r w:rsidRPr="001D2A84">
              <w:rPr>
                <w:sz w:val="24"/>
                <w:szCs w:val="24"/>
              </w:rPr>
              <w:t>35% of student housing should be provided as affordable units, to help meet students’ needs.</w:t>
            </w:r>
          </w:p>
        </w:tc>
      </w:tr>
    </w:tbl>
    <w:p w14:paraId="69B682A5" w14:textId="77777777" w:rsidR="009F6AA0" w:rsidRDefault="009F6AA0">
      <w:pPr>
        <w:rPr>
          <w:rFonts w:asciiTheme="minorHAnsi" w:hAnsiTheme="minorHAnsi" w:cs="Calibri"/>
        </w:rPr>
      </w:pPr>
    </w:p>
    <w:p w14:paraId="44EE0556" w14:textId="773AE045" w:rsidR="00293D20" w:rsidRPr="0067297E" w:rsidRDefault="00F25BBF" w:rsidP="00293D20">
      <w:pPr>
        <w:pStyle w:val="bullet"/>
        <w:rPr>
          <w:rFonts w:asciiTheme="minorHAnsi" w:hAnsiTheme="minorHAnsi"/>
        </w:rPr>
      </w:pPr>
      <w:r w:rsidRPr="0067297E">
        <w:rPr>
          <w:rFonts w:asciiTheme="minorHAnsi" w:hAnsiTheme="minorHAnsi" w:cs="Calibri"/>
        </w:rPr>
        <w:br w:type="page"/>
      </w:r>
    </w:p>
    <w:p w14:paraId="11CCA7EF" w14:textId="057FC0E7" w:rsidR="00EB2522" w:rsidRPr="0067297E" w:rsidRDefault="00CC5CC3" w:rsidP="002C70BC">
      <w:pPr>
        <w:pStyle w:val="Heading1"/>
        <w:numPr>
          <w:ilvl w:val="0"/>
          <w:numId w:val="17"/>
        </w:numPr>
        <w:rPr>
          <w:rFonts w:asciiTheme="minorHAnsi" w:hAnsiTheme="minorHAnsi" w:cs="Calibri"/>
        </w:rPr>
      </w:pPr>
      <w:bookmarkStart w:id="62" w:name="_Toc22802741"/>
      <w:bookmarkStart w:id="63" w:name="_Toc399864319"/>
      <w:bookmarkStart w:id="64" w:name="_Toc430084547"/>
      <w:bookmarkStart w:id="65" w:name="_Toc430782002"/>
      <w:bookmarkStart w:id="66" w:name="_Toc1385730"/>
      <w:bookmarkStart w:id="67" w:name="_Toc23151044"/>
      <w:bookmarkEnd w:id="62"/>
      <w:r w:rsidRPr="0067297E">
        <w:rPr>
          <w:rFonts w:asciiTheme="minorHAnsi" w:hAnsiTheme="minorHAnsi" w:cs="Calibri"/>
        </w:rPr>
        <w:lastRenderedPageBreak/>
        <w:t>Introduction</w:t>
      </w:r>
      <w:bookmarkEnd w:id="63"/>
      <w:bookmarkEnd w:id="64"/>
      <w:bookmarkEnd w:id="65"/>
      <w:bookmarkEnd w:id="66"/>
      <w:bookmarkEnd w:id="67"/>
    </w:p>
    <w:p w14:paraId="73534793" w14:textId="40436820" w:rsidR="00CC5CC3" w:rsidRPr="0067297E" w:rsidRDefault="00CC5CC3">
      <w:pPr>
        <w:pStyle w:val="Heading2"/>
        <w:rPr>
          <w:rFonts w:asciiTheme="minorHAnsi" w:hAnsiTheme="minorHAnsi" w:cs="Calibri"/>
        </w:rPr>
      </w:pPr>
      <w:bookmarkStart w:id="68" w:name="_Toc225941488"/>
      <w:bookmarkStart w:id="69" w:name="_Toc399864320"/>
      <w:bookmarkStart w:id="70" w:name="_Toc430084548"/>
      <w:bookmarkStart w:id="71" w:name="_Toc430782003"/>
      <w:bookmarkStart w:id="72" w:name="_Toc1385731"/>
      <w:bookmarkStart w:id="73" w:name="_Toc23151045"/>
      <w:r w:rsidRPr="0067297E">
        <w:rPr>
          <w:rFonts w:asciiTheme="minorHAnsi" w:hAnsiTheme="minorHAnsi" w:cs="Calibri"/>
        </w:rPr>
        <w:t>Background and objectives</w:t>
      </w:r>
      <w:bookmarkEnd w:id="68"/>
      <w:bookmarkEnd w:id="69"/>
      <w:bookmarkEnd w:id="70"/>
      <w:bookmarkEnd w:id="71"/>
      <w:bookmarkEnd w:id="72"/>
      <w:bookmarkEnd w:id="73"/>
    </w:p>
    <w:p w14:paraId="5CEDC4BE" w14:textId="3BF87A13" w:rsidR="00CC5CC3" w:rsidRPr="00C5079C" w:rsidRDefault="00290451" w:rsidP="002C70BC">
      <w:pPr>
        <w:pStyle w:val="Reporttext"/>
        <w:numPr>
          <w:ilvl w:val="1"/>
          <w:numId w:val="39"/>
        </w:numPr>
        <w:rPr>
          <w:rFonts w:asciiTheme="minorHAnsi" w:hAnsiTheme="minorHAnsi" w:cs="Calibri"/>
        </w:rPr>
      </w:pPr>
      <w:r w:rsidRPr="001D2A84">
        <w:rPr>
          <w:rFonts w:asciiTheme="minorHAnsi" w:hAnsiTheme="minorHAnsi" w:cs="Calibri"/>
        </w:rPr>
        <w:t xml:space="preserve">The </w:t>
      </w:r>
      <w:r w:rsidR="006F038F" w:rsidRPr="001D2A84">
        <w:rPr>
          <w:rFonts w:asciiTheme="minorHAnsi" w:hAnsiTheme="minorHAnsi" w:cs="Calibri"/>
        </w:rPr>
        <w:t xml:space="preserve">Borough of </w:t>
      </w:r>
      <w:r w:rsidR="00C30DAD" w:rsidRPr="001D2A84">
        <w:rPr>
          <w:rFonts w:asciiTheme="minorHAnsi" w:hAnsiTheme="minorHAnsi" w:cs="Calibri"/>
        </w:rPr>
        <w:t>Lewisham</w:t>
      </w:r>
      <w:r w:rsidR="00AB7546" w:rsidRPr="001D2A84">
        <w:rPr>
          <w:rFonts w:asciiTheme="minorHAnsi" w:hAnsiTheme="minorHAnsi" w:cs="Calibri"/>
        </w:rPr>
        <w:t xml:space="preserve"> Strategic Housing Market Assessment (SHMA</w:t>
      </w:r>
      <w:r w:rsidR="007E0738" w:rsidRPr="001D2A84">
        <w:rPr>
          <w:rFonts w:asciiTheme="minorHAnsi" w:hAnsiTheme="minorHAnsi" w:cs="Calibri"/>
        </w:rPr>
        <w:t xml:space="preserve">) </w:t>
      </w:r>
      <w:r w:rsidR="0003078B" w:rsidRPr="001D2A84">
        <w:rPr>
          <w:rFonts w:asciiTheme="minorHAnsi" w:hAnsiTheme="minorHAnsi" w:cs="Calibri"/>
        </w:rPr>
        <w:t>201</w:t>
      </w:r>
      <w:r w:rsidR="00D55A8B" w:rsidRPr="001D2A84">
        <w:rPr>
          <w:rFonts w:asciiTheme="minorHAnsi" w:hAnsiTheme="minorHAnsi" w:cs="Calibri"/>
        </w:rPr>
        <w:t>9</w:t>
      </w:r>
      <w:r w:rsidR="0003078B" w:rsidRPr="001D2A84">
        <w:rPr>
          <w:rFonts w:asciiTheme="minorHAnsi" w:hAnsiTheme="minorHAnsi" w:cs="Calibri"/>
        </w:rPr>
        <w:t xml:space="preserve"> </w:t>
      </w:r>
      <w:r w:rsidR="0059389E" w:rsidRPr="00C5079C">
        <w:rPr>
          <w:rFonts w:asciiTheme="minorHAnsi" w:hAnsiTheme="minorHAnsi" w:cs="Calibri"/>
        </w:rPr>
        <w:t xml:space="preserve">has been commissioned </w:t>
      </w:r>
      <w:r w:rsidRPr="001D2A84">
        <w:rPr>
          <w:rFonts w:asciiTheme="minorHAnsi" w:hAnsiTheme="minorHAnsi" w:cs="Calibri"/>
        </w:rPr>
        <w:t xml:space="preserve">by </w:t>
      </w:r>
      <w:r w:rsidR="00AB7546" w:rsidRPr="001D2A84">
        <w:rPr>
          <w:rFonts w:asciiTheme="minorHAnsi" w:hAnsiTheme="minorHAnsi" w:cs="Calibri"/>
        </w:rPr>
        <w:t xml:space="preserve">the London Borough of </w:t>
      </w:r>
      <w:r w:rsidR="00C30DAD" w:rsidRPr="001D2A84">
        <w:rPr>
          <w:rFonts w:asciiTheme="minorHAnsi" w:hAnsiTheme="minorHAnsi" w:cs="Calibri"/>
        </w:rPr>
        <w:t>Lewisham</w:t>
      </w:r>
      <w:r w:rsidR="00AB7546" w:rsidRPr="001D2A84">
        <w:rPr>
          <w:rFonts w:asciiTheme="minorHAnsi" w:hAnsiTheme="minorHAnsi" w:cs="Calibri"/>
        </w:rPr>
        <w:t xml:space="preserve"> </w:t>
      </w:r>
      <w:r w:rsidRPr="001D2A84">
        <w:rPr>
          <w:rFonts w:asciiTheme="minorHAnsi" w:hAnsiTheme="minorHAnsi" w:cs="Calibri"/>
        </w:rPr>
        <w:t>(</w:t>
      </w:r>
      <w:r w:rsidR="00AB7546" w:rsidRPr="001D2A84">
        <w:rPr>
          <w:rFonts w:asciiTheme="minorHAnsi" w:hAnsiTheme="minorHAnsi" w:cs="Calibri"/>
        </w:rPr>
        <w:t>‘</w:t>
      </w:r>
      <w:r w:rsidRPr="001D2A84">
        <w:rPr>
          <w:rFonts w:asciiTheme="minorHAnsi" w:hAnsiTheme="minorHAnsi" w:cs="Calibri"/>
        </w:rPr>
        <w:t>the Council</w:t>
      </w:r>
      <w:r w:rsidR="00AB7546" w:rsidRPr="001D2A84">
        <w:rPr>
          <w:rFonts w:asciiTheme="minorHAnsi" w:hAnsiTheme="minorHAnsi" w:cs="Calibri"/>
        </w:rPr>
        <w:t>’</w:t>
      </w:r>
      <w:r w:rsidRPr="001D2A84">
        <w:rPr>
          <w:rFonts w:asciiTheme="minorHAnsi" w:hAnsiTheme="minorHAnsi" w:cs="Calibri"/>
        </w:rPr>
        <w:t xml:space="preserve">) </w:t>
      </w:r>
      <w:r w:rsidR="0059389E" w:rsidRPr="00C5079C">
        <w:rPr>
          <w:rFonts w:asciiTheme="minorHAnsi" w:hAnsiTheme="minorHAnsi" w:cs="Calibri"/>
        </w:rPr>
        <w:t>to provide an up-to-date evidence base to inform the development of the Co</w:t>
      </w:r>
      <w:r w:rsidR="00A539D3" w:rsidRPr="00C5079C">
        <w:rPr>
          <w:rFonts w:asciiTheme="minorHAnsi" w:hAnsiTheme="minorHAnsi" w:cs="Calibri"/>
        </w:rPr>
        <w:t>u</w:t>
      </w:r>
      <w:r w:rsidR="0059389E" w:rsidRPr="00C5079C">
        <w:rPr>
          <w:rFonts w:asciiTheme="minorHAnsi" w:hAnsiTheme="minorHAnsi" w:cs="Calibri"/>
        </w:rPr>
        <w:t xml:space="preserve">ncil’s Local Plan and other strategies. </w:t>
      </w:r>
    </w:p>
    <w:p w14:paraId="28A18E0F" w14:textId="76896B76" w:rsidR="00AC3A2D" w:rsidRPr="0067297E" w:rsidRDefault="0059389E" w:rsidP="002C70BC">
      <w:pPr>
        <w:pStyle w:val="Reporttext"/>
        <w:numPr>
          <w:ilvl w:val="1"/>
          <w:numId w:val="39"/>
        </w:numPr>
        <w:rPr>
          <w:rFonts w:asciiTheme="minorHAnsi" w:hAnsiTheme="minorHAnsi" w:cs="Calibri"/>
        </w:rPr>
      </w:pPr>
      <w:r w:rsidRPr="0067297E">
        <w:rPr>
          <w:rFonts w:asciiTheme="minorHAnsi" w:hAnsiTheme="minorHAnsi" w:cs="Calibri"/>
        </w:rPr>
        <w:t>The</w:t>
      </w:r>
      <w:r w:rsidR="00AC3A2D" w:rsidRPr="001D2A84">
        <w:rPr>
          <w:rFonts w:asciiTheme="minorHAnsi" w:hAnsiTheme="minorHAnsi" w:cs="Calibri"/>
        </w:rPr>
        <w:t xml:space="preserve"> </w:t>
      </w:r>
      <w:r w:rsidR="006F038F" w:rsidRPr="001D2A84">
        <w:rPr>
          <w:rFonts w:asciiTheme="minorHAnsi" w:hAnsiTheme="minorHAnsi" w:cs="Calibri"/>
        </w:rPr>
        <w:t xml:space="preserve">Borough of </w:t>
      </w:r>
      <w:r w:rsidR="00C30DAD" w:rsidRPr="001D2A84">
        <w:rPr>
          <w:rFonts w:asciiTheme="minorHAnsi" w:hAnsiTheme="minorHAnsi" w:cs="Calibri"/>
        </w:rPr>
        <w:t>Lewisham</w:t>
      </w:r>
      <w:r w:rsidR="00AB7546" w:rsidRPr="001D2A84">
        <w:rPr>
          <w:rFonts w:asciiTheme="minorHAnsi" w:hAnsiTheme="minorHAnsi" w:cs="Calibri"/>
        </w:rPr>
        <w:t xml:space="preserve"> SHMA</w:t>
      </w:r>
      <w:r w:rsidRPr="0067297E">
        <w:rPr>
          <w:rFonts w:asciiTheme="minorHAnsi" w:hAnsiTheme="minorHAnsi" w:cs="Calibri"/>
        </w:rPr>
        <w:t xml:space="preserve"> </w:t>
      </w:r>
      <w:r w:rsidR="0003078B" w:rsidRPr="001D2A84">
        <w:rPr>
          <w:rFonts w:asciiTheme="minorHAnsi" w:hAnsiTheme="minorHAnsi" w:cs="Calibri"/>
        </w:rPr>
        <w:t>201</w:t>
      </w:r>
      <w:r w:rsidR="00D55A8B" w:rsidRPr="001D2A84">
        <w:rPr>
          <w:rFonts w:asciiTheme="minorHAnsi" w:hAnsiTheme="minorHAnsi" w:cs="Calibri"/>
        </w:rPr>
        <w:t>9</w:t>
      </w:r>
      <w:r w:rsidR="0003078B" w:rsidRPr="001D2A84">
        <w:rPr>
          <w:rFonts w:asciiTheme="minorHAnsi" w:hAnsiTheme="minorHAnsi" w:cs="Calibri"/>
        </w:rPr>
        <w:t xml:space="preserve"> </w:t>
      </w:r>
      <w:r w:rsidR="00F237FB" w:rsidRPr="0067297E">
        <w:rPr>
          <w:rFonts w:asciiTheme="minorHAnsi" w:hAnsiTheme="minorHAnsi" w:cs="Calibri"/>
        </w:rPr>
        <w:t>supports the requirements of the National Planning Policy Framework (NPPF</w:t>
      </w:r>
      <w:r w:rsidR="00D55A8B" w:rsidRPr="001D2A84">
        <w:rPr>
          <w:rFonts w:asciiTheme="minorHAnsi" w:hAnsiTheme="minorHAnsi" w:cs="Calibri"/>
        </w:rPr>
        <w:t>) February</w:t>
      </w:r>
      <w:r w:rsidR="00F237FB" w:rsidRPr="001D2A84">
        <w:rPr>
          <w:rFonts w:asciiTheme="minorHAnsi" w:hAnsiTheme="minorHAnsi" w:cs="Calibri"/>
        </w:rPr>
        <w:t xml:space="preserve"> 201</w:t>
      </w:r>
      <w:r w:rsidR="00D55A8B" w:rsidRPr="001D2A84">
        <w:rPr>
          <w:rFonts w:asciiTheme="minorHAnsi" w:hAnsiTheme="minorHAnsi" w:cs="Calibri"/>
        </w:rPr>
        <w:t>9</w:t>
      </w:r>
      <w:r w:rsidR="00F237FB" w:rsidRPr="0067297E">
        <w:rPr>
          <w:rFonts w:asciiTheme="minorHAnsi" w:hAnsiTheme="minorHAnsi" w:cs="Calibri"/>
        </w:rPr>
        <w:t xml:space="preserve">) </w:t>
      </w:r>
      <w:r w:rsidR="00D55A8B" w:rsidRPr="001D2A84">
        <w:rPr>
          <w:rFonts w:asciiTheme="minorHAnsi" w:hAnsiTheme="minorHAnsi" w:cs="Calibri"/>
        </w:rPr>
        <w:t xml:space="preserve">and associated </w:t>
      </w:r>
      <w:r w:rsidR="00F237FB" w:rsidRPr="0067297E">
        <w:rPr>
          <w:rFonts w:asciiTheme="minorHAnsi" w:hAnsiTheme="minorHAnsi" w:cs="Calibri"/>
        </w:rPr>
        <w:t xml:space="preserve">Planning </w:t>
      </w:r>
      <w:r w:rsidR="00F237FB" w:rsidRPr="001D2A84">
        <w:rPr>
          <w:rFonts w:asciiTheme="minorHAnsi" w:hAnsiTheme="minorHAnsi" w:cs="Calibri"/>
        </w:rPr>
        <w:t>Practice</w:t>
      </w:r>
      <w:r w:rsidR="00F237FB" w:rsidRPr="0067297E">
        <w:rPr>
          <w:rFonts w:asciiTheme="minorHAnsi" w:hAnsiTheme="minorHAnsi" w:cs="Calibri"/>
        </w:rPr>
        <w:t xml:space="preserve"> Guidance</w:t>
      </w:r>
      <w:r w:rsidR="00F237FB" w:rsidRPr="001D2A84">
        <w:rPr>
          <w:rFonts w:asciiTheme="minorHAnsi" w:hAnsiTheme="minorHAnsi" w:cs="Calibri"/>
        </w:rPr>
        <w:t xml:space="preserve"> (PPG)</w:t>
      </w:r>
      <w:r w:rsidR="00D55A8B" w:rsidRPr="001D2A84">
        <w:rPr>
          <w:rFonts w:asciiTheme="minorHAnsi" w:hAnsiTheme="minorHAnsi" w:cs="Calibri"/>
        </w:rPr>
        <w:t>, including the February 2019 PPG Housing Need Assessment which sets out the standard method for assessing housing need</w:t>
      </w:r>
      <w:r w:rsidR="00C9289A" w:rsidRPr="001D2A84">
        <w:rPr>
          <w:rFonts w:asciiTheme="minorHAnsi" w:hAnsiTheme="minorHAnsi" w:cs="Calibri"/>
        </w:rPr>
        <w:t>.</w:t>
      </w:r>
    </w:p>
    <w:p w14:paraId="58D3918A" w14:textId="77777777" w:rsidR="00C2445B" w:rsidRPr="0067297E" w:rsidRDefault="00C2445B" w:rsidP="002C70BC">
      <w:pPr>
        <w:pStyle w:val="Reporttext"/>
        <w:numPr>
          <w:ilvl w:val="1"/>
          <w:numId w:val="39"/>
        </w:numPr>
        <w:rPr>
          <w:rFonts w:asciiTheme="minorHAnsi" w:hAnsiTheme="minorHAnsi" w:cs="Calibri"/>
        </w:rPr>
      </w:pPr>
      <w:r w:rsidRPr="0067297E">
        <w:rPr>
          <w:rFonts w:asciiTheme="minorHAnsi" w:hAnsiTheme="minorHAnsi" w:cs="Calibri"/>
        </w:rPr>
        <w:t xml:space="preserve">This </w:t>
      </w:r>
      <w:r w:rsidRPr="001D2A84">
        <w:rPr>
          <w:rFonts w:asciiTheme="minorHAnsi" w:hAnsiTheme="minorHAnsi" w:cs="Calibri"/>
        </w:rPr>
        <w:t>SHMA</w:t>
      </w:r>
      <w:r w:rsidRPr="0067297E">
        <w:rPr>
          <w:rFonts w:asciiTheme="minorHAnsi" w:hAnsiTheme="minorHAnsi" w:cs="Calibri"/>
        </w:rPr>
        <w:t xml:space="preserve"> includes a review of the </w:t>
      </w:r>
      <w:r w:rsidRPr="001D2A84">
        <w:rPr>
          <w:rFonts w:asciiTheme="minorHAnsi" w:hAnsiTheme="minorHAnsi" w:cs="Calibri"/>
        </w:rPr>
        <w:t>housing market</w:t>
      </w:r>
      <w:r w:rsidRPr="0067297E">
        <w:rPr>
          <w:rFonts w:asciiTheme="minorHAnsi" w:hAnsiTheme="minorHAnsi" w:cs="Calibri"/>
        </w:rPr>
        <w:t xml:space="preserve">, </w:t>
      </w:r>
      <w:r w:rsidRPr="001D2A84">
        <w:rPr>
          <w:rFonts w:asciiTheme="minorHAnsi" w:hAnsiTheme="minorHAnsi" w:cs="Calibri"/>
        </w:rPr>
        <w:t>an assessment of future need, the identification of the housing needs of specific groups and a consideration of the requirement for affordable housing</w:t>
      </w:r>
      <w:r w:rsidRPr="0067297E">
        <w:rPr>
          <w:rFonts w:asciiTheme="minorHAnsi" w:hAnsiTheme="minorHAnsi" w:cs="Calibri"/>
        </w:rPr>
        <w:t>.</w:t>
      </w:r>
    </w:p>
    <w:p w14:paraId="47834EE6" w14:textId="63AB047E" w:rsidR="00C2445B" w:rsidRPr="0067297E" w:rsidRDefault="00C2445B" w:rsidP="002C70BC">
      <w:pPr>
        <w:pStyle w:val="Reporttext"/>
        <w:numPr>
          <w:ilvl w:val="1"/>
          <w:numId w:val="39"/>
        </w:numPr>
        <w:rPr>
          <w:rFonts w:asciiTheme="minorHAnsi" w:hAnsiTheme="minorHAnsi" w:cs="Calibri"/>
        </w:rPr>
      </w:pPr>
      <w:r w:rsidRPr="0067297E">
        <w:rPr>
          <w:rFonts w:asciiTheme="minorHAnsi" w:hAnsiTheme="minorHAnsi" w:cs="Calibri"/>
        </w:rPr>
        <w:t>Collectively</w:t>
      </w:r>
      <w:r w:rsidRPr="001D2A84">
        <w:rPr>
          <w:rFonts w:asciiTheme="minorHAnsi" w:hAnsiTheme="minorHAnsi" w:cs="Calibri"/>
        </w:rPr>
        <w:t>,</w:t>
      </w:r>
      <w:r w:rsidRPr="0067297E">
        <w:rPr>
          <w:rFonts w:asciiTheme="minorHAnsi" w:hAnsiTheme="minorHAnsi" w:cs="Calibri"/>
        </w:rPr>
        <w:t xml:space="preserve"> the overall evidence base will satisfy the requirements of </w:t>
      </w:r>
      <w:r w:rsidRPr="001D2A84">
        <w:rPr>
          <w:rFonts w:asciiTheme="minorHAnsi" w:hAnsiTheme="minorHAnsi" w:cs="Calibri"/>
        </w:rPr>
        <w:t xml:space="preserve">Government policy and guidance, as set out </w:t>
      </w:r>
      <w:r w:rsidR="00F237FB" w:rsidRPr="001D2A84">
        <w:rPr>
          <w:rFonts w:asciiTheme="minorHAnsi" w:hAnsiTheme="minorHAnsi" w:cs="Calibri"/>
        </w:rPr>
        <w:t xml:space="preserve">within </w:t>
      </w:r>
      <w:r w:rsidRPr="0067297E">
        <w:rPr>
          <w:rFonts w:asciiTheme="minorHAnsi" w:hAnsiTheme="minorHAnsi" w:cs="Calibri"/>
        </w:rPr>
        <w:t xml:space="preserve">NPPF and </w:t>
      </w:r>
      <w:r w:rsidRPr="001D2A84">
        <w:rPr>
          <w:rFonts w:asciiTheme="minorHAnsi" w:hAnsiTheme="minorHAnsi" w:cs="Calibri"/>
        </w:rPr>
        <w:t>PPG</w:t>
      </w:r>
      <w:r w:rsidRPr="0067297E">
        <w:rPr>
          <w:rFonts w:asciiTheme="minorHAnsi" w:hAnsiTheme="minorHAnsi" w:cs="Calibri"/>
        </w:rPr>
        <w:t>.</w:t>
      </w:r>
    </w:p>
    <w:p w14:paraId="13769963" w14:textId="77777777" w:rsidR="00C2445B" w:rsidRPr="0067297E" w:rsidRDefault="00C2445B" w:rsidP="00FA273F">
      <w:pPr>
        <w:pStyle w:val="Reporttext"/>
        <w:numPr>
          <w:ilvl w:val="0"/>
          <w:numId w:val="0"/>
        </w:numPr>
        <w:ind w:left="709"/>
        <w:rPr>
          <w:rFonts w:asciiTheme="minorHAnsi" w:hAnsiTheme="minorHAnsi" w:cs="Calibri"/>
          <w:lang w:val="en-GB"/>
        </w:rPr>
      </w:pPr>
    </w:p>
    <w:p w14:paraId="47E7178C" w14:textId="364269BF" w:rsidR="00C2445B" w:rsidRPr="0067297E" w:rsidRDefault="00C2445B" w:rsidP="00543A76">
      <w:pPr>
        <w:pStyle w:val="Heading2"/>
        <w:rPr>
          <w:rFonts w:asciiTheme="minorHAnsi" w:hAnsiTheme="minorHAnsi" w:cs="Calibri"/>
          <w:lang w:val="en-GB"/>
        </w:rPr>
      </w:pPr>
      <w:bookmarkStart w:id="74" w:name="_Toc1385732"/>
      <w:bookmarkStart w:id="75" w:name="_Toc23151046"/>
      <w:r w:rsidRPr="0067297E">
        <w:rPr>
          <w:rFonts w:asciiTheme="minorHAnsi" w:hAnsiTheme="minorHAnsi" w:cs="Calibri"/>
          <w:lang w:val="en-GB"/>
        </w:rPr>
        <w:t>Government policy and guidance</w:t>
      </w:r>
      <w:bookmarkEnd w:id="74"/>
      <w:bookmarkEnd w:id="75"/>
    </w:p>
    <w:p w14:paraId="0A392BA0" w14:textId="77777777" w:rsidR="00D55A8B" w:rsidRPr="0067297E" w:rsidRDefault="00D55A8B" w:rsidP="002C70BC">
      <w:pPr>
        <w:pStyle w:val="Reporttext"/>
        <w:numPr>
          <w:ilvl w:val="1"/>
          <w:numId w:val="39"/>
        </w:numPr>
        <w:rPr>
          <w:rFonts w:asciiTheme="minorHAnsi" w:hAnsiTheme="minorHAnsi" w:cs="Calibri"/>
        </w:rPr>
      </w:pPr>
      <w:r w:rsidRPr="0067297E">
        <w:rPr>
          <w:rFonts w:asciiTheme="minorHAnsi" w:hAnsiTheme="minorHAnsi" w:cs="Calibri"/>
        </w:rPr>
        <w:t xml:space="preserve">The latest National Planning Policy Framework (NPPF) and associated Planning Practice Guidance (PPG) was published in February  2019. The NPPF 2019 sets out the Government’s planning policies for England and how these are expected to be applied. Paragraph 10 of the NPPF states that plans and decisions should apply a </w:t>
      </w:r>
      <w:r w:rsidRPr="0067297E">
        <w:rPr>
          <w:rFonts w:asciiTheme="minorHAnsi" w:hAnsiTheme="minorHAnsi" w:cs="Calibri"/>
          <w:i/>
        </w:rPr>
        <w:t>‘presumption in favour of sustainable development’</w:t>
      </w:r>
      <w:r w:rsidRPr="0067297E">
        <w:rPr>
          <w:rFonts w:asciiTheme="minorHAnsi" w:hAnsiTheme="minorHAnsi" w:cs="Calibri"/>
        </w:rPr>
        <w:t xml:space="preserve">. As part of this, in relation to plan-making, it sets out that this means that </w:t>
      </w:r>
      <w:r w:rsidRPr="0067297E">
        <w:rPr>
          <w:rFonts w:asciiTheme="minorHAnsi" w:hAnsiTheme="minorHAnsi" w:cs="Calibri"/>
          <w:i/>
        </w:rPr>
        <w:t>‘strategic policies should, as a minimum, provide for objectively assessed needs for housing…’</w:t>
      </w:r>
      <w:r w:rsidRPr="0067297E">
        <w:rPr>
          <w:rStyle w:val="FootnoteReference"/>
          <w:rFonts w:asciiTheme="minorHAnsi" w:hAnsiTheme="minorHAnsi" w:cs="Calibri"/>
          <w:i/>
        </w:rPr>
        <w:footnoteReference w:id="14"/>
      </w:r>
      <w:r w:rsidRPr="0067297E">
        <w:rPr>
          <w:rFonts w:asciiTheme="minorHAnsi" w:hAnsiTheme="minorHAnsi" w:cs="Calibri"/>
          <w:i/>
        </w:rPr>
        <w:t>.</w:t>
      </w:r>
    </w:p>
    <w:p w14:paraId="4E4B5272" w14:textId="77777777" w:rsidR="00D55A8B" w:rsidRPr="0067297E" w:rsidRDefault="00D55A8B" w:rsidP="002C70BC">
      <w:pPr>
        <w:pStyle w:val="Reporttext"/>
        <w:numPr>
          <w:ilvl w:val="1"/>
          <w:numId w:val="39"/>
        </w:numPr>
        <w:rPr>
          <w:rFonts w:asciiTheme="minorHAnsi" w:hAnsiTheme="minorHAnsi" w:cs="Calibri"/>
        </w:rPr>
      </w:pPr>
      <w:r w:rsidRPr="0067297E">
        <w:rPr>
          <w:rFonts w:asciiTheme="minorHAnsi" w:hAnsiTheme="minorHAnsi" w:cs="Calibri"/>
        </w:rPr>
        <w:t xml:space="preserve">Paragraph 59 provides an important context to the policy for housing delivery, as follows: </w:t>
      </w:r>
    </w:p>
    <w:p w14:paraId="3AA6B788" w14:textId="77777777" w:rsidR="00D55A8B" w:rsidRPr="0067297E" w:rsidRDefault="00D55A8B" w:rsidP="00D55A8B">
      <w:pPr>
        <w:pStyle w:val="Reporttext"/>
        <w:numPr>
          <w:ilvl w:val="0"/>
          <w:numId w:val="0"/>
        </w:numPr>
        <w:ind w:left="709"/>
        <w:rPr>
          <w:rFonts w:asciiTheme="minorHAnsi" w:hAnsiTheme="minorHAnsi" w:cs="Calibri"/>
        </w:rPr>
      </w:pPr>
      <w:r w:rsidRPr="0067297E">
        <w:rPr>
          <w:rFonts w:asciiTheme="minorHAnsi" w:hAnsiTheme="minorHAnsi" w:cs="Calibri"/>
          <w:i/>
        </w:rPr>
        <w:t>‘To support the Government’s objective of significantly boosting the supply of homes, it is important that a sufficient amount and variety of land can come forward where it is needed, that the needs of groups with specific housing requirements are addressed and that land with permission is developed without unnecessary delay.’</w:t>
      </w:r>
    </w:p>
    <w:p w14:paraId="28DBA743" w14:textId="77777777" w:rsidR="00D55A8B" w:rsidRPr="0067297E" w:rsidRDefault="00D55A8B" w:rsidP="002C70BC">
      <w:pPr>
        <w:pStyle w:val="Reporttext"/>
        <w:numPr>
          <w:ilvl w:val="1"/>
          <w:numId w:val="39"/>
        </w:numPr>
        <w:rPr>
          <w:rFonts w:asciiTheme="minorHAnsi" w:hAnsiTheme="minorHAnsi" w:cs="Calibri"/>
        </w:rPr>
      </w:pPr>
      <w:r w:rsidRPr="0067297E">
        <w:rPr>
          <w:rFonts w:asciiTheme="minorHAnsi" w:hAnsiTheme="minorHAnsi" w:cs="Calibri"/>
        </w:rPr>
        <w:t>It goes on to state (paragraph 60) that:</w:t>
      </w:r>
    </w:p>
    <w:p w14:paraId="0DAC7A6D" w14:textId="77777777" w:rsidR="00D55A8B" w:rsidRPr="0067297E" w:rsidRDefault="00D55A8B" w:rsidP="00D55A8B">
      <w:pPr>
        <w:pStyle w:val="Reporttext"/>
        <w:numPr>
          <w:ilvl w:val="0"/>
          <w:numId w:val="0"/>
        </w:numPr>
        <w:ind w:left="709"/>
        <w:rPr>
          <w:rFonts w:asciiTheme="minorHAnsi" w:hAnsiTheme="minorHAnsi" w:cs="Calibri"/>
          <w:i/>
        </w:rPr>
      </w:pPr>
      <w:r w:rsidRPr="0067297E">
        <w:rPr>
          <w:rFonts w:asciiTheme="minorHAnsi" w:hAnsiTheme="minorHAnsi" w:cs="Calibri"/>
          <w:i/>
        </w:rPr>
        <w:t>‘To determine the minimum number of homes needed, strategic policies should be informed by a local housing need assessment, conducted using the standard method in national planning guidance – unless exceptional circumstances justify an alternative approach which also reflects current and future demographic trends and market signals. In addition to the local housing need figure, any needs that cannot be met within neighbouring areas should also be taken into account in establishing the amount of housing to be planned for.’</w:t>
      </w:r>
    </w:p>
    <w:p w14:paraId="5F275A47" w14:textId="7C2DAEF1" w:rsidR="00D55A8B" w:rsidRPr="0067297E" w:rsidRDefault="00D55A8B" w:rsidP="002C70BC">
      <w:pPr>
        <w:pStyle w:val="Reporttext"/>
        <w:numPr>
          <w:ilvl w:val="1"/>
          <w:numId w:val="39"/>
        </w:numPr>
        <w:rPr>
          <w:rFonts w:asciiTheme="minorHAnsi" w:hAnsiTheme="minorHAnsi" w:cs="Calibri"/>
        </w:rPr>
      </w:pPr>
      <w:r w:rsidRPr="0067297E">
        <w:rPr>
          <w:rFonts w:asciiTheme="minorHAnsi" w:hAnsiTheme="minorHAnsi" w:cs="Calibri"/>
        </w:rPr>
        <w:lastRenderedPageBreak/>
        <w:t>The NPPF 2019 (paragraph 61) states that the size, type and tenure of housing need for different groups in the community, should be assessed and reflected in planning policies. This is identified as including, but not limited to:</w:t>
      </w:r>
    </w:p>
    <w:p w14:paraId="03BF2F56" w14:textId="77777777" w:rsidR="00D55A8B" w:rsidRPr="0067297E" w:rsidRDefault="00D55A8B" w:rsidP="00D55A8B">
      <w:pPr>
        <w:pStyle w:val="bullet"/>
        <w:jc w:val="left"/>
        <w:rPr>
          <w:rFonts w:asciiTheme="minorHAnsi" w:hAnsiTheme="minorHAnsi"/>
        </w:rPr>
      </w:pPr>
      <w:r w:rsidRPr="0067297E">
        <w:rPr>
          <w:rFonts w:asciiTheme="minorHAnsi" w:hAnsiTheme="minorHAnsi" w:cstheme="minorHAnsi"/>
        </w:rPr>
        <w:t>those who require affordable housing,</w:t>
      </w:r>
    </w:p>
    <w:p w14:paraId="5887AC0A" w14:textId="77777777" w:rsidR="00D55A8B" w:rsidRPr="0067297E" w:rsidRDefault="00D55A8B" w:rsidP="00D55A8B">
      <w:pPr>
        <w:pStyle w:val="bullet"/>
        <w:jc w:val="left"/>
        <w:rPr>
          <w:rFonts w:asciiTheme="minorHAnsi" w:hAnsiTheme="minorHAnsi"/>
        </w:rPr>
      </w:pPr>
      <w:r w:rsidRPr="0067297E">
        <w:rPr>
          <w:rFonts w:asciiTheme="minorHAnsi" w:hAnsiTheme="minorHAnsi" w:cstheme="minorHAnsi"/>
        </w:rPr>
        <w:t xml:space="preserve">families with children, </w:t>
      </w:r>
    </w:p>
    <w:p w14:paraId="67DFE581" w14:textId="77777777" w:rsidR="00D55A8B" w:rsidRPr="0067297E" w:rsidRDefault="00D55A8B" w:rsidP="00D55A8B">
      <w:pPr>
        <w:pStyle w:val="bullet"/>
        <w:jc w:val="left"/>
        <w:rPr>
          <w:rFonts w:asciiTheme="minorHAnsi" w:hAnsiTheme="minorHAnsi"/>
        </w:rPr>
      </w:pPr>
      <w:r w:rsidRPr="0067297E">
        <w:rPr>
          <w:rFonts w:asciiTheme="minorHAnsi" w:hAnsiTheme="minorHAnsi" w:cstheme="minorHAnsi"/>
        </w:rPr>
        <w:t>older people,</w:t>
      </w:r>
    </w:p>
    <w:p w14:paraId="137478F5" w14:textId="77777777" w:rsidR="00D55A8B" w:rsidRPr="0067297E" w:rsidRDefault="00D55A8B" w:rsidP="00D55A8B">
      <w:pPr>
        <w:pStyle w:val="bullet"/>
        <w:jc w:val="left"/>
        <w:rPr>
          <w:rFonts w:asciiTheme="minorHAnsi" w:hAnsiTheme="minorHAnsi"/>
        </w:rPr>
      </w:pPr>
      <w:r w:rsidRPr="0067297E">
        <w:rPr>
          <w:rFonts w:asciiTheme="minorHAnsi" w:hAnsiTheme="minorHAnsi" w:cstheme="minorHAnsi"/>
        </w:rPr>
        <w:t>students,</w:t>
      </w:r>
    </w:p>
    <w:p w14:paraId="7651027A" w14:textId="77777777" w:rsidR="00D55A8B" w:rsidRPr="0067297E" w:rsidRDefault="00D55A8B" w:rsidP="00D55A8B">
      <w:pPr>
        <w:pStyle w:val="bullet"/>
        <w:jc w:val="left"/>
        <w:rPr>
          <w:rFonts w:asciiTheme="minorHAnsi" w:hAnsiTheme="minorHAnsi"/>
        </w:rPr>
      </w:pPr>
      <w:r w:rsidRPr="0067297E">
        <w:rPr>
          <w:rFonts w:asciiTheme="minorHAnsi" w:hAnsiTheme="minorHAnsi" w:cstheme="minorHAnsi"/>
        </w:rPr>
        <w:t>people with disabilities,</w:t>
      </w:r>
    </w:p>
    <w:p w14:paraId="1CD8FA5C" w14:textId="77777777" w:rsidR="00D55A8B" w:rsidRPr="0067297E" w:rsidRDefault="00D55A8B" w:rsidP="00D55A8B">
      <w:pPr>
        <w:pStyle w:val="bullet"/>
        <w:jc w:val="left"/>
        <w:rPr>
          <w:rFonts w:asciiTheme="minorHAnsi" w:hAnsiTheme="minorHAnsi"/>
        </w:rPr>
      </w:pPr>
      <w:r w:rsidRPr="0067297E">
        <w:rPr>
          <w:rFonts w:asciiTheme="minorHAnsi" w:hAnsiTheme="minorHAnsi" w:cstheme="minorHAnsi"/>
        </w:rPr>
        <w:t>service families,</w:t>
      </w:r>
    </w:p>
    <w:p w14:paraId="4B094E99" w14:textId="77777777" w:rsidR="00D55A8B" w:rsidRPr="0067297E" w:rsidRDefault="00D55A8B" w:rsidP="00D55A8B">
      <w:pPr>
        <w:pStyle w:val="bullet"/>
        <w:jc w:val="left"/>
        <w:rPr>
          <w:rFonts w:asciiTheme="minorHAnsi" w:hAnsiTheme="minorHAnsi"/>
        </w:rPr>
      </w:pPr>
      <w:r w:rsidRPr="0067297E">
        <w:rPr>
          <w:rFonts w:asciiTheme="minorHAnsi" w:hAnsiTheme="minorHAnsi" w:cstheme="minorHAnsi"/>
        </w:rPr>
        <w:t>travellers,</w:t>
      </w:r>
    </w:p>
    <w:p w14:paraId="3F191FBF" w14:textId="77777777" w:rsidR="00D55A8B" w:rsidRPr="0067297E" w:rsidRDefault="00D55A8B" w:rsidP="00D55A8B">
      <w:pPr>
        <w:pStyle w:val="bullet"/>
        <w:jc w:val="left"/>
        <w:rPr>
          <w:rFonts w:asciiTheme="minorHAnsi" w:hAnsiTheme="minorHAnsi"/>
        </w:rPr>
      </w:pPr>
      <w:r w:rsidRPr="0067297E">
        <w:rPr>
          <w:rFonts w:asciiTheme="minorHAnsi" w:hAnsiTheme="minorHAnsi" w:cstheme="minorHAnsi"/>
        </w:rPr>
        <w:t>people who rent their homes, and</w:t>
      </w:r>
    </w:p>
    <w:p w14:paraId="41E3A5E6" w14:textId="77777777" w:rsidR="00D55A8B" w:rsidRPr="0067297E" w:rsidRDefault="00D55A8B" w:rsidP="00D55A8B">
      <w:pPr>
        <w:pStyle w:val="bullet"/>
        <w:jc w:val="left"/>
        <w:rPr>
          <w:rFonts w:asciiTheme="minorHAnsi" w:hAnsiTheme="minorHAnsi"/>
        </w:rPr>
      </w:pPr>
      <w:r w:rsidRPr="0067297E">
        <w:rPr>
          <w:rFonts w:asciiTheme="minorHAnsi" w:hAnsiTheme="minorHAnsi" w:cstheme="minorHAnsi"/>
        </w:rPr>
        <w:t>people wishing to commission or build their own homes.</w:t>
      </w:r>
    </w:p>
    <w:p w14:paraId="55603548" w14:textId="77777777" w:rsidR="00D55A8B" w:rsidRPr="001D2A84" w:rsidRDefault="00D55A8B" w:rsidP="002C70BC">
      <w:pPr>
        <w:pStyle w:val="Reporttext"/>
        <w:numPr>
          <w:ilvl w:val="1"/>
          <w:numId w:val="39"/>
        </w:numPr>
        <w:jc w:val="left"/>
        <w:rPr>
          <w:rFonts w:asciiTheme="minorHAnsi" w:hAnsiTheme="minorHAnsi" w:cs="Calibri"/>
          <w:iCs/>
        </w:rPr>
      </w:pPr>
      <w:r w:rsidRPr="0067297E">
        <w:rPr>
          <w:rFonts w:asciiTheme="minorHAnsi" w:hAnsiTheme="minorHAnsi" w:cs="Calibri"/>
        </w:rPr>
        <w:t>In addition, the NPPF 2019 paragraph 62 sets out that:</w:t>
      </w:r>
      <w:r w:rsidRPr="0067297E">
        <w:rPr>
          <w:rFonts w:asciiTheme="minorHAnsi" w:hAnsiTheme="minorHAnsi" w:cs="Calibri"/>
          <w:i/>
        </w:rPr>
        <w:t xml:space="preserve"> ‘where a need for affordable housing is identified, planning policies should specify the type of affordable housing required…’.</w:t>
      </w:r>
    </w:p>
    <w:p w14:paraId="66E8E4FE" w14:textId="77777777" w:rsidR="00D55A8B" w:rsidRPr="0067297E" w:rsidRDefault="00D55A8B" w:rsidP="002C70BC">
      <w:pPr>
        <w:pStyle w:val="Reporttext"/>
        <w:numPr>
          <w:ilvl w:val="1"/>
          <w:numId w:val="39"/>
        </w:numPr>
        <w:rPr>
          <w:rFonts w:asciiTheme="minorHAnsi" w:hAnsiTheme="minorHAnsi" w:cs="Calibri"/>
        </w:rPr>
      </w:pPr>
      <w:r w:rsidRPr="0067297E">
        <w:rPr>
          <w:rFonts w:asciiTheme="minorHAnsi" w:hAnsiTheme="minorHAnsi" w:cs="Calibri"/>
        </w:rPr>
        <w:t>The NPPF 2019 (paragraph 65) requires that ‘strategic policy-making authorities should establish a housing requirement figure for their whole area, which shows the extent to which their identified housing need (and any needs that cannot be met within neighbouring areas) can be met over the plan period. Within this overall requirement, strategic policies should set out a housing requirement for designated neighbourhood areas which reflects the overall strategy for the pattern and scale of development and any relevant allocations.</w:t>
      </w:r>
    </w:p>
    <w:p w14:paraId="0FA5DC50" w14:textId="77777777" w:rsidR="00D55A8B" w:rsidRPr="0067297E" w:rsidRDefault="00D55A8B" w:rsidP="002C70BC">
      <w:pPr>
        <w:pStyle w:val="Reporttext"/>
        <w:numPr>
          <w:ilvl w:val="1"/>
          <w:numId w:val="39"/>
        </w:numPr>
        <w:rPr>
          <w:rFonts w:asciiTheme="minorHAnsi" w:hAnsiTheme="minorHAnsi" w:cs="Calibri"/>
        </w:rPr>
      </w:pPr>
      <w:r w:rsidRPr="0067297E">
        <w:rPr>
          <w:rFonts w:asciiTheme="minorHAnsi" w:hAnsiTheme="minorHAnsi" w:cs="Calibri"/>
        </w:rPr>
        <w:t>The Localism Act 2010 introduced the ‘Duty to Co-operate’ as a replacement for Regional Spatial Strategy and this requirement is also established in National Planning Policy (NPPF 2019, paragraphs 24-27). Section 110 of the Localism Act requires local authorities to co-operate with other local authorities in maximising the effectiveness with which strategic matters within development plan documents are prepared. The provision of housing development is a strategic priority and the Council will have to ensure that they are legally compliant with the Localism Act at examination. The Duty to Co-operate applies to all local planning authorities, working with neighbouring authorities and other bodies, including Local Enterprise Partnerships, on strategic priorities.</w:t>
      </w:r>
    </w:p>
    <w:p w14:paraId="69019C16" w14:textId="77777777" w:rsidR="00D55A8B" w:rsidRPr="0067297E" w:rsidRDefault="00D55A8B" w:rsidP="00D55A8B">
      <w:pPr>
        <w:rPr>
          <w:rFonts w:asciiTheme="minorHAnsi" w:hAnsiTheme="minorHAnsi" w:cs="Calibri"/>
        </w:rPr>
      </w:pPr>
    </w:p>
    <w:p w14:paraId="7DCDEC94" w14:textId="77777777" w:rsidR="00D55A8B" w:rsidRPr="0067297E" w:rsidRDefault="00D55A8B" w:rsidP="00D55A8B">
      <w:pPr>
        <w:pStyle w:val="Heading2"/>
        <w:rPr>
          <w:rFonts w:asciiTheme="minorHAnsi" w:hAnsiTheme="minorHAnsi" w:cs="Calibri"/>
        </w:rPr>
      </w:pPr>
      <w:bookmarkStart w:id="76" w:name="_Toc395193534"/>
      <w:bookmarkStart w:id="77" w:name="_Toc2456820"/>
      <w:bookmarkStart w:id="78" w:name="_Toc3373111"/>
      <w:bookmarkStart w:id="79" w:name="_Toc23151047"/>
      <w:r w:rsidRPr="0067297E">
        <w:rPr>
          <w:rFonts w:asciiTheme="minorHAnsi" w:hAnsiTheme="minorHAnsi" w:cs="Calibri"/>
        </w:rPr>
        <w:t>Definitions</w:t>
      </w:r>
      <w:bookmarkEnd w:id="76"/>
      <w:bookmarkEnd w:id="77"/>
      <w:bookmarkEnd w:id="78"/>
      <w:bookmarkEnd w:id="79"/>
    </w:p>
    <w:p w14:paraId="5FF9DBE1" w14:textId="77777777" w:rsidR="00D55A8B" w:rsidRPr="0067297E" w:rsidRDefault="00D55A8B" w:rsidP="002C70BC">
      <w:pPr>
        <w:pStyle w:val="Reporttext"/>
        <w:numPr>
          <w:ilvl w:val="1"/>
          <w:numId w:val="39"/>
        </w:numPr>
        <w:rPr>
          <w:rFonts w:asciiTheme="minorHAnsi" w:hAnsiTheme="minorHAnsi" w:cs="Calibri"/>
        </w:rPr>
      </w:pPr>
      <w:r w:rsidRPr="0067297E">
        <w:rPr>
          <w:rFonts w:asciiTheme="minorHAnsi" w:hAnsiTheme="minorHAnsi" w:cs="Calibri"/>
        </w:rPr>
        <w:t>Definitions relating to affordable housing are presented in the NPPF 2019 (Annex 2):</w:t>
      </w:r>
    </w:p>
    <w:p w14:paraId="0F753928" w14:textId="77777777" w:rsidR="00D55A8B" w:rsidRPr="0067297E" w:rsidRDefault="00D55A8B" w:rsidP="00D55A8B">
      <w:pPr>
        <w:pStyle w:val="Reporttext"/>
        <w:numPr>
          <w:ilvl w:val="0"/>
          <w:numId w:val="0"/>
        </w:numPr>
        <w:ind w:left="709"/>
        <w:rPr>
          <w:rFonts w:asciiTheme="minorHAnsi" w:hAnsiTheme="minorHAnsi" w:cs="Calibri"/>
        </w:rPr>
      </w:pPr>
      <w:r w:rsidRPr="0067297E">
        <w:rPr>
          <w:rFonts w:asciiTheme="minorHAnsi" w:hAnsiTheme="minorHAnsi" w:cs="Calibri"/>
          <w:b/>
        </w:rPr>
        <w:t>Affordable housing</w:t>
      </w:r>
      <w:r w:rsidRPr="0067297E">
        <w:rPr>
          <w:rFonts w:asciiTheme="minorHAnsi" w:hAnsiTheme="minorHAnsi" w:cs="Calibri"/>
        </w:rPr>
        <w:t xml:space="preserve">: housing for sale or rent, for those whose needs are not met by the market (including housing that provides a subsidised route to home ownership and/or is for essential local workers); and which complies with one or more of the following definitions: </w:t>
      </w:r>
    </w:p>
    <w:p w14:paraId="1F1E7505" w14:textId="77777777" w:rsidR="00D55A8B" w:rsidRPr="0067297E" w:rsidRDefault="00D55A8B" w:rsidP="00D55A8B">
      <w:pPr>
        <w:pStyle w:val="Reporttext"/>
        <w:numPr>
          <w:ilvl w:val="0"/>
          <w:numId w:val="0"/>
        </w:numPr>
        <w:ind w:left="1440" w:hanging="731"/>
        <w:rPr>
          <w:rFonts w:asciiTheme="minorHAnsi" w:hAnsiTheme="minorHAnsi" w:cs="Calibri"/>
        </w:rPr>
      </w:pPr>
      <w:r w:rsidRPr="0067297E">
        <w:rPr>
          <w:rFonts w:asciiTheme="minorHAnsi" w:hAnsiTheme="minorHAnsi" w:cs="Calibri"/>
        </w:rPr>
        <w:lastRenderedPageBreak/>
        <w:t xml:space="preserve">a) </w:t>
      </w:r>
      <w:r w:rsidRPr="0067297E">
        <w:rPr>
          <w:rFonts w:asciiTheme="minorHAnsi" w:hAnsiTheme="minorHAnsi" w:cs="Calibri"/>
        </w:rPr>
        <w:tab/>
      </w:r>
      <w:r w:rsidRPr="0067297E">
        <w:rPr>
          <w:rFonts w:asciiTheme="minorHAnsi" w:hAnsiTheme="minorHAnsi" w:cs="Calibri"/>
          <w:b/>
        </w:rPr>
        <w:t>Affordable housing for rent</w:t>
      </w:r>
      <w:r w:rsidRPr="0067297E">
        <w:rPr>
          <w:rFonts w:asciiTheme="minorHAnsi" w:hAnsiTheme="minorHAnsi" w:cs="Calibri"/>
        </w:rPr>
        <w:t xml:space="preserve">: meets all of the following conditions: (a) the rent is set in accordance with the Government’s rent policy for social rent or affordable rent, or is at least 20% below local market rents (including service charges where applicable); (b) the landlord is a registered provider, except where it is included as part of a Build to Rent scheme (in which case the landlord need not be a registered provider); and (c) it includes provisions to remain at an affordable price for future eligible households, or for the subsidy to be recycled for alternative affordable housing provision. For Build to Rent schemes, affordable housing for rent is expected to be the normal form of affordable housing provision (and, in this context, is known as Affordable Private Rent). </w:t>
      </w:r>
    </w:p>
    <w:p w14:paraId="6E7C1136" w14:textId="77777777" w:rsidR="00D55A8B" w:rsidRPr="0067297E" w:rsidRDefault="00D55A8B" w:rsidP="00D55A8B">
      <w:pPr>
        <w:pStyle w:val="Reporttext"/>
        <w:numPr>
          <w:ilvl w:val="0"/>
          <w:numId w:val="0"/>
        </w:numPr>
        <w:ind w:left="1440" w:hanging="731"/>
        <w:rPr>
          <w:rFonts w:asciiTheme="minorHAnsi" w:hAnsiTheme="minorHAnsi" w:cs="Calibri"/>
        </w:rPr>
      </w:pPr>
      <w:r w:rsidRPr="0067297E">
        <w:rPr>
          <w:rFonts w:asciiTheme="minorHAnsi" w:hAnsiTheme="minorHAnsi" w:cs="Calibri"/>
        </w:rPr>
        <w:t xml:space="preserve">b) </w:t>
      </w:r>
      <w:r w:rsidRPr="0067297E">
        <w:rPr>
          <w:rFonts w:asciiTheme="minorHAnsi" w:hAnsiTheme="minorHAnsi" w:cs="Calibri"/>
        </w:rPr>
        <w:tab/>
      </w:r>
      <w:r w:rsidRPr="0067297E">
        <w:rPr>
          <w:rFonts w:asciiTheme="minorHAnsi" w:hAnsiTheme="minorHAnsi" w:cs="Calibri"/>
          <w:b/>
        </w:rPr>
        <w:t>Starter homes</w:t>
      </w:r>
      <w:r w:rsidRPr="0067297E">
        <w:rPr>
          <w:rFonts w:asciiTheme="minorHAnsi" w:hAnsiTheme="minorHAnsi" w:cs="Calibri"/>
        </w:rPr>
        <w:t>: is as specified in Sections 2 and 3 of the Housing and Planning Act 2016 and any secondary legislation made under these sections. The definition of a starter home should reflect the meaning set out in statute and any such secondary legislation at the time of plan-preparation or decision-making. Where secondary legislation has the effect of limiting a household’s eligibility to purchase a starter home to those with a particular maximum level of household income, those restrictions should be used.</w:t>
      </w:r>
    </w:p>
    <w:p w14:paraId="28AD4100" w14:textId="77777777" w:rsidR="00D55A8B" w:rsidRPr="0067297E" w:rsidRDefault="00D55A8B" w:rsidP="00D55A8B">
      <w:pPr>
        <w:pStyle w:val="Reporttext"/>
        <w:numPr>
          <w:ilvl w:val="0"/>
          <w:numId w:val="0"/>
        </w:numPr>
        <w:ind w:left="1440" w:hanging="731"/>
        <w:rPr>
          <w:rFonts w:asciiTheme="minorHAnsi" w:hAnsiTheme="minorHAnsi" w:cs="Calibri"/>
        </w:rPr>
      </w:pPr>
      <w:r w:rsidRPr="0067297E">
        <w:rPr>
          <w:rFonts w:asciiTheme="minorHAnsi" w:hAnsiTheme="minorHAnsi" w:cs="Calibri"/>
        </w:rPr>
        <w:t xml:space="preserve">c) </w:t>
      </w:r>
      <w:r w:rsidRPr="0067297E">
        <w:rPr>
          <w:rFonts w:asciiTheme="minorHAnsi" w:hAnsiTheme="minorHAnsi" w:cs="Calibri"/>
        </w:rPr>
        <w:tab/>
      </w:r>
      <w:r w:rsidRPr="0067297E">
        <w:rPr>
          <w:rFonts w:asciiTheme="minorHAnsi" w:hAnsiTheme="minorHAnsi" w:cs="Calibri"/>
          <w:b/>
        </w:rPr>
        <w:t>Discounted market sales housing</w:t>
      </w:r>
      <w:r w:rsidRPr="0067297E">
        <w:rPr>
          <w:rFonts w:asciiTheme="minorHAnsi" w:hAnsiTheme="minorHAnsi" w:cs="Calibri"/>
        </w:rPr>
        <w:t xml:space="preserve">: is that sold at a discount of at least 20% below local market value. Eligibility is determined with regard to local incomes and local house prices. Provisions should be in place to ensure housing remains at a discount for future eligible households. </w:t>
      </w:r>
    </w:p>
    <w:p w14:paraId="6D44FA09" w14:textId="336B4149" w:rsidR="00D55A8B" w:rsidRPr="00DD5741" w:rsidRDefault="00D55A8B" w:rsidP="00DD5741">
      <w:pPr>
        <w:pStyle w:val="Reporttext"/>
        <w:numPr>
          <w:ilvl w:val="0"/>
          <w:numId w:val="0"/>
        </w:numPr>
        <w:ind w:left="1440" w:hanging="731"/>
        <w:rPr>
          <w:rFonts w:asciiTheme="minorHAnsi" w:hAnsiTheme="minorHAnsi" w:cs="Calibri"/>
        </w:rPr>
      </w:pPr>
      <w:r w:rsidRPr="0067297E">
        <w:rPr>
          <w:rFonts w:asciiTheme="minorHAnsi" w:hAnsiTheme="minorHAnsi" w:cs="Calibri"/>
        </w:rPr>
        <w:t xml:space="preserve">d) </w:t>
      </w:r>
      <w:r w:rsidRPr="0067297E">
        <w:rPr>
          <w:rFonts w:asciiTheme="minorHAnsi" w:hAnsiTheme="minorHAnsi" w:cs="Calibri"/>
        </w:rPr>
        <w:tab/>
      </w:r>
      <w:r w:rsidRPr="0067297E">
        <w:rPr>
          <w:rFonts w:asciiTheme="minorHAnsi" w:hAnsiTheme="minorHAnsi" w:cs="Calibri"/>
          <w:b/>
        </w:rPr>
        <w:t>Other affordable routes to home ownership</w:t>
      </w:r>
      <w:r w:rsidRPr="0067297E">
        <w:rPr>
          <w:rFonts w:asciiTheme="minorHAnsi" w:hAnsiTheme="minorHAnsi" w:cs="Calibri"/>
        </w:rPr>
        <w:t xml:space="preserve">: is housing provided for sale that provides a route to ownership for those who could not achieve home ownership through the market. It includes shared ownership, relevant equity loans, other low cost homes for sale (at a price equivalent to at least 20% below local market value) and rent to buy (which includes a period of intermediate rent). Where public grant funding is provided, there should be provisions for the homes to remain at an affordable price for future eligible households, or for any receipts to be recycled for alternative affordable housing provision or refunded to Government or the relevant authority specified in the funding agreement. </w:t>
      </w:r>
    </w:p>
    <w:p w14:paraId="3234E5DC" w14:textId="77777777" w:rsidR="003C54D7" w:rsidRPr="0067297E" w:rsidRDefault="003C54D7" w:rsidP="002C70BC">
      <w:pPr>
        <w:pStyle w:val="Reporttext"/>
        <w:numPr>
          <w:ilvl w:val="1"/>
          <w:numId w:val="39"/>
        </w:numPr>
        <w:rPr>
          <w:lang w:val="en-GB"/>
        </w:rPr>
      </w:pPr>
      <w:r w:rsidRPr="0067297E">
        <w:t xml:space="preserve">In addition, this SHMA recognises a further range of tenures which are being promoted by the Mayor of London in the </w:t>
      </w:r>
      <w:r w:rsidR="00C30DAD" w:rsidRPr="0067297E">
        <w:rPr>
          <w:lang w:val="en-GB"/>
        </w:rPr>
        <w:t>Draft New</w:t>
      </w:r>
      <w:r w:rsidRPr="0067297E">
        <w:t xml:space="preserve"> London Plan:</w:t>
      </w:r>
    </w:p>
    <w:p w14:paraId="3262FB0B" w14:textId="03C537D0" w:rsidR="003C54D7" w:rsidRPr="0067297E" w:rsidRDefault="003C54D7" w:rsidP="00543A76">
      <w:pPr>
        <w:pStyle w:val="bullet"/>
        <w:rPr>
          <w:rFonts w:asciiTheme="minorHAnsi" w:hAnsiTheme="minorHAnsi"/>
        </w:rPr>
      </w:pPr>
      <w:r w:rsidRPr="0067297E">
        <w:rPr>
          <w:rFonts w:asciiTheme="minorHAnsi" w:hAnsiTheme="minorHAnsi"/>
        </w:rPr>
        <w:t xml:space="preserve">Homes based on </w:t>
      </w:r>
      <w:r w:rsidRPr="0067297E">
        <w:rPr>
          <w:rFonts w:asciiTheme="minorHAnsi" w:hAnsiTheme="minorHAnsi"/>
          <w:b/>
        </w:rPr>
        <w:t>social rent</w:t>
      </w:r>
      <w:r w:rsidRPr="0067297E">
        <w:rPr>
          <w:rFonts w:asciiTheme="minorHAnsi" w:hAnsiTheme="minorHAnsi"/>
        </w:rPr>
        <w:t xml:space="preserve"> levels (which includes London Affordable Rent</w:t>
      </w:r>
      <w:r w:rsidR="0056541A" w:rsidRPr="0067297E">
        <w:rPr>
          <w:rFonts w:asciiTheme="minorHAnsi" w:hAnsiTheme="minorHAnsi"/>
        </w:rPr>
        <w:t xml:space="preserve"> which is described in the draft London Plan as rent for households on low income with the rent level based on social rent levels. Nationally, affordable rent is set at up to 80% of market rent, but in London benchmarks are set substantially below this to ensure rents in London are genuinely affordable</w:t>
      </w:r>
      <w:r w:rsidRPr="0067297E">
        <w:rPr>
          <w:rFonts w:asciiTheme="minorHAnsi" w:hAnsiTheme="minorHAnsi"/>
        </w:rPr>
        <w:t>);</w:t>
      </w:r>
    </w:p>
    <w:p w14:paraId="1A45B1D6" w14:textId="021AD737" w:rsidR="003C54D7" w:rsidRPr="0067297E" w:rsidRDefault="003C54D7" w:rsidP="00543A76">
      <w:pPr>
        <w:pStyle w:val="bullet"/>
        <w:rPr>
          <w:rFonts w:asciiTheme="minorHAnsi" w:hAnsiTheme="minorHAnsi"/>
        </w:rPr>
      </w:pPr>
      <w:r w:rsidRPr="0067297E">
        <w:rPr>
          <w:rFonts w:asciiTheme="minorHAnsi" w:hAnsiTheme="minorHAnsi"/>
          <w:b/>
        </w:rPr>
        <w:t>London Living Rent</w:t>
      </w:r>
      <w:r w:rsidRPr="0067297E">
        <w:rPr>
          <w:rFonts w:asciiTheme="minorHAnsi" w:hAnsiTheme="minorHAnsi"/>
        </w:rPr>
        <w:t xml:space="preserve"> which offers Londoners on average incomes a below-market rent, enabling them to save for a deposit. The Mayor has set out London Living Rent levels that vary by ward across London, set at a third of local average household incomes. When funded through the Mayor’s Affordable Homes Programme, London Living Rent is designed to offer sub-market rents for up to 10 years, helping households to save for a deposit. </w:t>
      </w:r>
      <w:r w:rsidR="005B2517" w:rsidRPr="0067297E">
        <w:rPr>
          <w:rFonts w:asciiTheme="minorHAnsi" w:hAnsiTheme="minorHAnsi"/>
        </w:rPr>
        <w:t>Eligibility</w:t>
      </w:r>
      <w:r w:rsidRPr="0067297E">
        <w:rPr>
          <w:rFonts w:asciiTheme="minorHAnsi" w:hAnsiTheme="minorHAnsi"/>
        </w:rPr>
        <w:t xml:space="preserve"> is restricted to </w:t>
      </w:r>
      <w:r w:rsidR="00AD57C4" w:rsidRPr="0067297E">
        <w:rPr>
          <w:rFonts w:asciiTheme="minorHAnsi" w:hAnsiTheme="minorHAnsi"/>
        </w:rPr>
        <w:t>households</w:t>
      </w:r>
      <w:r w:rsidRPr="0067297E">
        <w:rPr>
          <w:rFonts w:asciiTheme="minorHAnsi" w:hAnsiTheme="minorHAnsi"/>
        </w:rPr>
        <w:t xml:space="preserve"> that are currently renting, with a maximum income of £60,000 and who are not currently </w:t>
      </w:r>
      <w:r w:rsidRPr="0067297E">
        <w:rPr>
          <w:rFonts w:asciiTheme="minorHAnsi" w:hAnsiTheme="minorHAnsi"/>
        </w:rPr>
        <w:lastRenderedPageBreak/>
        <w:t>able to purchase a home (including through share</w:t>
      </w:r>
      <w:r w:rsidR="00660AC0" w:rsidRPr="0067297E">
        <w:rPr>
          <w:rFonts w:asciiTheme="minorHAnsi" w:hAnsiTheme="minorHAnsi"/>
        </w:rPr>
        <w:t>d ownership) in the local areas; and</w:t>
      </w:r>
    </w:p>
    <w:p w14:paraId="7EC4143D" w14:textId="77777777" w:rsidR="003C54D7" w:rsidRPr="0067297E" w:rsidRDefault="003C54D7" w:rsidP="00543A76">
      <w:pPr>
        <w:pStyle w:val="bullet"/>
        <w:rPr>
          <w:rFonts w:asciiTheme="minorHAnsi" w:hAnsiTheme="minorHAnsi"/>
        </w:rPr>
      </w:pPr>
      <w:r w:rsidRPr="0067297E">
        <w:rPr>
          <w:rFonts w:asciiTheme="minorHAnsi" w:hAnsiTheme="minorHAnsi"/>
          <w:b/>
        </w:rPr>
        <w:t xml:space="preserve">London Shared </w:t>
      </w:r>
      <w:r w:rsidR="00AD57C4" w:rsidRPr="0067297E">
        <w:rPr>
          <w:rFonts w:asciiTheme="minorHAnsi" w:hAnsiTheme="minorHAnsi"/>
          <w:b/>
        </w:rPr>
        <w:t>Ownership</w:t>
      </w:r>
      <w:r w:rsidRPr="0067297E">
        <w:rPr>
          <w:rFonts w:asciiTheme="minorHAnsi" w:hAnsiTheme="minorHAnsi"/>
        </w:rPr>
        <w:t xml:space="preserve">: is based on the national shared ownership model but with extra assurances for Londoners over service charges. </w:t>
      </w:r>
    </w:p>
    <w:p w14:paraId="43495C86" w14:textId="77777777" w:rsidR="00CC5CC3" w:rsidRPr="0067297E" w:rsidRDefault="00CC5CC3" w:rsidP="00543A76">
      <w:pPr>
        <w:pStyle w:val="Maintext"/>
        <w:numPr>
          <w:ilvl w:val="0"/>
          <w:numId w:val="0"/>
        </w:numPr>
        <w:rPr>
          <w:rFonts w:asciiTheme="minorHAnsi" w:hAnsiTheme="minorHAnsi" w:cs="Calibri"/>
        </w:rPr>
      </w:pPr>
    </w:p>
    <w:p w14:paraId="706F5DF6" w14:textId="77777777" w:rsidR="00CC5CC3" w:rsidRPr="0067297E" w:rsidRDefault="00CC5CC3" w:rsidP="00543A76">
      <w:pPr>
        <w:pStyle w:val="Heading2"/>
        <w:rPr>
          <w:rFonts w:asciiTheme="minorHAnsi" w:hAnsiTheme="minorHAnsi" w:cs="Calibri"/>
        </w:rPr>
      </w:pPr>
      <w:bookmarkStart w:id="80" w:name="_Toc225941493"/>
      <w:bookmarkStart w:id="81" w:name="_Toc399864323"/>
      <w:bookmarkStart w:id="82" w:name="_Toc428528459"/>
      <w:bookmarkStart w:id="83" w:name="_Toc430084551"/>
      <w:bookmarkStart w:id="84" w:name="_Toc430782006"/>
      <w:bookmarkStart w:id="85" w:name="_Toc1385734"/>
      <w:bookmarkStart w:id="86" w:name="_Toc23151048"/>
      <w:bookmarkStart w:id="87" w:name="_Toc180919689"/>
      <w:bookmarkStart w:id="88" w:name="_Toc180982867"/>
      <w:bookmarkStart w:id="89" w:name="_Toc184198245"/>
      <w:r w:rsidRPr="0067297E">
        <w:rPr>
          <w:rFonts w:asciiTheme="minorHAnsi" w:hAnsiTheme="minorHAnsi" w:cs="Calibri"/>
        </w:rPr>
        <w:t>Geography</w:t>
      </w:r>
      <w:bookmarkEnd w:id="80"/>
      <w:bookmarkEnd w:id="81"/>
      <w:bookmarkEnd w:id="82"/>
      <w:bookmarkEnd w:id="83"/>
      <w:bookmarkEnd w:id="84"/>
      <w:bookmarkEnd w:id="85"/>
      <w:bookmarkEnd w:id="86"/>
    </w:p>
    <w:bookmarkEnd w:id="87"/>
    <w:bookmarkEnd w:id="88"/>
    <w:bookmarkEnd w:id="89"/>
    <w:p w14:paraId="7B74AC09" w14:textId="77777777" w:rsidR="008A11B4" w:rsidRPr="0067297E" w:rsidRDefault="00CC5CC3" w:rsidP="002C70BC">
      <w:pPr>
        <w:pStyle w:val="Reporttext"/>
        <w:numPr>
          <w:ilvl w:val="1"/>
          <w:numId w:val="39"/>
        </w:numPr>
        <w:rPr>
          <w:rFonts w:asciiTheme="minorHAnsi" w:hAnsiTheme="minorHAnsi" w:cs="Calibri"/>
          <w:lang w:val="en-GB"/>
        </w:rPr>
      </w:pPr>
      <w:r w:rsidRPr="0067297E">
        <w:rPr>
          <w:rFonts w:asciiTheme="minorHAnsi" w:hAnsiTheme="minorHAnsi" w:cs="Calibri"/>
        </w:rPr>
        <w:t xml:space="preserve">Map 1.1 illustrates the geographical context of </w:t>
      </w:r>
      <w:r w:rsidR="00D84BA3" w:rsidRPr="0067297E">
        <w:rPr>
          <w:rFonts w:asciiTheme="minorHAnsi" w:hAnsiTheme="minorHAnsi" w:cs="Calibri"/>
          <w:lang w:val="en-GB"/>
        </w:rPr>
        <w:t>the Borough of</w:t>
      </w:r>
      <w:r w:rsidR="008A666B" w:rsidRPr="0067297E">
        <w:rPr>
          <w:rFonts w:asciiTheme="minorHAnsi" w:hAnsiTheme="minorHAnsi" w:cs="Calibri"/>
        </w:rPr>
        <w:t xml:space="preserve"> </w:t>
      </w:r>
      <w:r w:rsidR="00C30DAD" w:rsidRPr="0067297E">
        <w:rPr>
          <w:rFonts w:asciiTheme="minorHAnsi" w:hAnsiTheme="minorHAnsi" w:cs="Calibri"/>
          <w:lang w:val="en-GB"/>
        </w:rPr>
        <w:t>Lewisham</w:t>
      </w:r>
      <w:r w:rsidR="00FC386C" w:rsidRPr="0067297E">
        <w:rPr>
          <w:rFonts w:asciiTheme="minorHAnsi" w:hAnsiTheme="minorHAnsi" w:cs="Calibri"/>
        </w:rPr>
        <w:t xml:space="preserve"> </w:t>
      </w:r>
      <w:r w:rsidR="00103D0D" w:rsidRPr="0067297E">
        <w:rPr>
          <w:rFonts w:asciiTheme="minorHAnsi" w:hAnsiTheme="minorHAnsi" w:cs="Calibri"/>
        </w:rPr>
        <w:t xml:space="preserve">and </w:t>
      </w:r>
      <w:r w:rsidR="00103D0D" w:rsidRPr="0067297E">
        <w:rPr>
          <w:rFonts w:asciiTheme="minorHAnsi" w:hAnsiTheme="minorHAnsi" w:cs="Calibri"/>
          <w:lang w:val="en-GB"/>
        </w:rPr>
        <w:t>the</w:t>
      </w:r>
      <w:r w:rsidRPr="0067297E">
        <w:rPr>
          <w:rFonts w:asciiTheme="minorHAnsi" w:hAnsiTheme="minorHAnsi" w:cs="Calibri"/>
        </w:rPr>
        <w:t xml:space="preserve"> </w:t>
      </w:r>
      <w:r w:rsidR="00103D0D" w:rsidRPr="0067297E">
        <w:rPr>
          <w:rFonts w:asciiTheme="minorHAnsi" w:hAnsiTheme="minorHAnsi" w:cs="Calibri"/>
          <w:lang w:val="en-GB"/>
        </w:rPr>
        <w:t>neighbouring local authorities</w:t>
      </w:r>
      <w:r w:rsidR="001867F8" w:rsidRPr="0067297E">
        <w:rPr>
          <w:rFonts w:asciiTheme="minorHAnsi" w:hAnsiTheme="minorHAnsi" w:cs="Calibri"/>
          <w:lang w:val="en-GB"/>
        </w:rPr>
        <w:t>.</w:t>
      </w:r>
      <w:bookmarkStart w:id="90" w:name="OLE_LINK1"/>
      <w:bookmarkStart w:id="91" w:name="_Toc428528380"/>
    </w:p>
    <w:bookmarkEnd w:id="90"/>
    <w:p w14:paraId="45F8D745" w14:textId="77777777" w:rsidR="003C54D7" w:rsidRPr="0067297E" w:rsidRDefault="003C54D7" w:rsidP="00543A76">
      <w:pPr>
        <w:pStyle w:val="Reporttext"/>
        <w:numPr>
          <w:ilvl w:val="0"/>
          <w:numId w:val="0"/>
        </w:numPr>
        <w:rPr>
          <w:rFonts w:asciiTheme="minorHAnsi" w:hAnsiTheme="minorHAnsi" w:cs="Calibri"/>
        </w:rPr>
      </w:pPr>
    </w:p>
    <w:p w14:paraId="76675199" w14:textId="77777777" w:rsidR="0082541C" w:rsidRPr="0067297E" w:rsidRDefault="001867F8" w:rsidP="000256AC">
      <w:pPr>
        <w:pStyle w:val="mapheading"/>
        <w:rPr>
          <w:rFonts w:asciiTheme="minorHAnsi" w:hAnsiTheme="minorHAnsi" w:cs="Calibri"/>
          <w:lang w:val="en-GB"/>
        </w:rPr>
      </w:pPr>
      <w:bookmarkStart w:id="92" w:name="_Toc23151240"/>
      <w:r w:rsidRPr="0067297E">
        <w:rPr>
          <w:rFonts w:asciiTheme="minorHAnsi" w:hAnsiTheme="minorHAnsi" w:cs="Calibri"/>
          <w:lang w:val="en-GB"/>
        </w:rPr>
        <w:t>Map 1.1</w:t>
      </w:r>
      <w:r w:rsidRPr="0067297E">
        <w:rPr>
          <w:rFonts w:asciiTheme="minorHAnsi" w:hAnsiTheme="minorHAnsi" w:cs="Calibri"/>
          <w:lang w:val="en-GB"/>
        </w:rPr>
        <w:tab/>
      </w:r>
      <w:r w:rsidR="00DE7365" w:rsidRPr="0067297E">
        <w:rPr>
          <w:rFonts w:asciiTheme="minorHAnsi" w:hAnsiTheme="minorHAnsi" w:cs="Calibri"/>
          <w:lang w:val="en-GB"/>
        </w:rPr>
        <w:t xml:space="preserve">The Borough of </w:t>
      </w:r>
      <w:r w:rsidR="00C30DAD" w:rsidRPr="0067297E">
        <w:rPr>
          <w:rFonts w:asciiTheme="minorHAnsi" w:hAnsiTheme="minorHAnsi" w:cs="Calibri"/>
          <w:lang w:val="en-GB"/>
        </w:rPr>
        <w:t>Lewisham</w:t>
      </w:r>
      <w:r w:rsidR="000267BA" w:rsidRPr="0067297E">
        <w:rPr>
          <w:rFonts w:asciiTheme="minorHAnsi" w:hAnsiTheme="minorHAnsi" w:cs="Calibri"/>
          <w:lang w:val="en-GB"/>
        </w:rPr>
        <w:t xml:space="preserve"> </w:t>
      </w:r>
      <w:r w:rsidRPr="0067297E">
        <w:rPr>
          <w:rFonts w:asciiTheme="minorHAnsi" w:hAnsiTheme="minorHAnsi" w:cs="Calibri"/>
          <w:lang w:val="en-GB"/>
        </w:rPr>
        <w:t>geographical context</w:t>
      </w:r>
      <w:bookmarkEnd w:id="92"/>
    </w:p>
    <w:p w14:paraId="74B24B1F" w14:textId="77777777" w:rsidR="006A725E" w:rsidRPr="0067297E" w:rsidRDefault="006E2A9D" w:rsidP="00FA273F">
      <w:pPr>
        <w:rPr>
          <w:rFonts w:asciiTheme="minorHAnsi" w:hAnsiTheme="minorHAnsi" w:cs="Calibri"/>
        </w:rPr>
      </w:pPr>
      <w:r w:rsidRPr="0067297E">
        <w:rPr>
          <w:rFonts w:asciiTheme="minorHAnsi" w:hAnsiTheme="minorHAnsi"/>
          <w:noProof/>
          <w:lang w:eastAsia="en-GB"/>
        </w:rPr>
        <w:drawing>
          <wp:inline distT="0" distB="0" distL="0" distR="0" wp14:anchorId="59DD77D7" wp14:editId="31B10940">
            <wp:extent cx="5848350" cy="3793865"/>
            <wp:effectExtent l="0" t="0" r="0" b="0"/>
            <wp:docPr id="14" name="Picture 14" descr="Map shows the location of Lewisham in relation to surrounding labeled boroughs. " title="Map 1.1 The Borough of Lewisham geographic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wisham_la.png"/>
                    <pic:cNvPicPr/>
                  </pic:nvPicPr>
                  <pic:blipFill rotWithShape="1">
                    <a:blip r:embed="rId14">
                      <a:extLst>
                        <a:ext uri="{28A0092B-C50C-407E-A947-70E740481C1C}">
                          <a14:useLocalDpi xmlns:a14="http://schemas.microsoft.com/office/drawing/2010/main" val="0"/>
                        </a:ext>
                      </a:extLst>
                    </a:blip>
                    <a:srcRect l="5152" t="6586" r="17738" b="22624"/>
                    <a:stretch/>
                  </pic:blipFill>
                  <pic:spPr bwMode="auto">
                    <a:xfrm>
                      <a:off x="0" y="0"/>
                      <a:ext cx="5854993" cy="37981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6F8DDDE" w14:textId="77777777" w:rsidR="006E2A9D" w:rsidRPr="0067297E" w:rsidRDefault="006E2A9D" w:rsidP="00FA273F">
      <w:pPr>
        <w:pStyle w:val="Reporttext"/>
        <w:numPr>
          <w:ilvl w:val="0"/>
          <w:numId w:val="0"/>
        </w:numPr>
        <w:ind w:left="709" w:hanging="709"/>
        <w:rPr>
          <w:rFonts w:asciiTheme="minorHAnsi" w:hAnsiTheme="minorHAnsi" w:cs="Calibri"/>
        </w:rPr>
      </w:pPr>
    </w:p>
    <w:p w14:paraId="4464865C" w14:textId="760640CF" w:rsidR="00B52071" w:rsidRPr="0067297E" w:rsidRDefault="00B52071" w:rsidP="002C70BC">
      <w:pPr>
        <w:pStyle w:val="Reporttext"/>
        <w:numPr>
          <w:ilvl w:val="1"/>
          <w:numId w:val="39"/>
        </w:numPr>
        <w:rPr>
          <w:rFonts w:asciiTheme="minorHAnsi" w:hAnsiTheme="minorHAnsi" w:cs="Calibri"/>
        </w:rPr>
      </w:pPr>
      <w:r w:rsidRPr="0067297E">
        <w:rPr>
          <w:rFonts w:asciiTheme="minorHAnsi" w:hAnsiTheme="minorHAnsi" w:cs="Calibri"/>
        </w:rPr>
        <w:t>T</w:t>
      </w:r>
      <w:r w:rsidRPr="0067297E">
        <w:rPr>
          <w:rFonts w:asciiTheme="minorHAnsi" w:hAnsiTheme="minorHAnsi" w:cs="Calibri"/>
          <w:lang w:val="en-GB"/>
        </w:rPr>
        <w:t xml:space="preserve">he Borough of </w:t>
      </w:r>
      <w:r w:rsidR="00C30DAD" w:rsidRPr="0067297E">
        <w:rPr>
          <w:rFonts w:asciiTheme="minorHAnsi" w:hAnsiTheme="minorHAnsi" w:cs="Calibri"/>
          <w:lang w:val="en-GB"/>
        </w:rPr>
        <w:t>Lewisham</w:t>
      </w:r>
      <w:r w:rsidRPr="0067297E">
        <w:rPr>
          <w:rFonts w:asciiTheme="minorHAnsi" w:hAnsiTheme="minorHAnsi" w:cs="Calibri"/>
        </w:rPr>
        <w:t xml:space="preserve"> is located within </w:t>
      </w:r>
      <w:r w:rsidRPr="0067297E">
        <w:rPr>
          <w:rFonts w:asciiTheme="minorHAnsi" w:hAnsiTheme="minorHAnsi" w:cs="Calibri"/>
          <w:lang w:val="en-GB"/>
        </w:rPr>
        <w:t>south east London</w:t>
      </w:r>
      <w:r w:rsidR="00FC5952" w:rsidRPr="0067297E">
        <w:rPr>
          <w:rFonts w:asciiTheme="minorHAnsi" w:hAnsiTheme="minorHAnsi" w:cs="Calibri"/>
          <w:lang w:val="en-GB"/>
        </w:rPr>
        <w:t>, England</w:t>
      </w:r>
      <w:r w:rsidR="00660AC0" w:rsidRPr="0067297E">
        <w:rPr>
          <w:rFonts w:asciiTheme="minorHAnsi" w:hAnsiTheme="minorHAnsi" w:cs="Calibri"/>
          <w:lang w:val="en-GB"/>
        </w:rPr>
        <w:t>,</w:t>
      </w:r>
      <w:r w:rsidR="00FC5952" w:rsidRPr="0067297E">
        <w:rPr>
          <w:rFonts w:asciiTheme="minorHAnsi" w:hAnsiTheme="minorHAnsi" w:cs="Calibri"/>
          <w:lang w:val="en-GB"/>
        </w:rPr>
        <w:t xml:space="preserve"> and forms one of the Inner London boroughs</w:t>
      </w:r>
      <w:r w:rsidRPr="0067297E">
        <w:rPr>
          <w:rFonts w:asciiTheme="minorHAnsi" w:hAnsiTheme="minorHAnsi" w:cs="Calibri"/>
        </w:rPr>
        <w:t xml:space="preserve">. </w:t>
      </w:r>
      <w:r w:rsidR="00157BD0" w:rsidRPr="0067297E">
        <w:rPr>
          <w:rFonts w:asciiTheme="minorHAnsi" w:hAnsiTheme="minorHAnsi" w:cs="Calibri"/>
          <w:lang w:val="en-GB"/>
        </w:rPr>
        <w:t>Covering around 3,515 hectares, t</w:t>
      </w:r>
      <w:r w:rsidRPr="0067297E">
        <w:rPr>
          <w:rFonts w:asciiTheme="minorHAnsi" w:hAnsiTheme="minorHAnsi" w:cs="Calibri"/>
        </w:rPr>
        <w:t xml:space="preserve">he resident population of </w:t>
      </w:r>
      <w:r w:rsidRPr="0067297E">
        <w:rPr>
          <w:rFonts w:asciiTheme="minorHAnsi" w:hAnsiTheme="minorHAnsi" w:cs="Calibri"/>
          <w:lang w:val="en-GB"/>
        </w:rPr>
        <w:t>the</w:t>
      </w:r>
      <w:r w:rsidR="009C3189" w:rsidRPr="0067297E">
        <w:rPr>
          <w:rFonts w:asciiTheme="minorHAnsi" w:hAnsiTheme="minorHAnsi" w:cs="Calibri"/>
        </w:rPr>
        <w:t xml:space="preserve"> b</w:t>
      </w:r>
      <w:r w:rsidRPr="0067297E">
        <w:rPr>
          <w:rFonts w:asciiTheme="minorHAnsi" w:hAnsiTheme="minorHAnsi" w:cs="Calibri"/>
        </w:rPr>
        <w:t>orough is</w:t>
      </w:r>
      <w:r w:rsidRPr="0067297E">
        <w:rPr>
          <w:rFonts w:asciiTheme="minorHAnsi" w:hAnsiTheme="minorHAnsi" w:cs="Calibri"/>
          <w:lang w:val="en-GB"/>
        </w:rPr>
        <w:t xml:space="preserve"> estimated at around </w:t>
      </w:r>
      <w:r w:rsidR="007B0B2D" w:rsidRPr="0067297E">
        <w:rPr>
          <w:rFonts w:asciiTheme="minorHAnsi" w:hAnsiTheme="minorHAnsi" w:cs="Calibri"/>
          <w:lang w:val="en-GB"/>
        </w:rPr>
        <w:t>307,100</w:t>
      </w:r>
      <w:r w:rsidRPr="0067297E">
        <w:rPr>
          <w:rFonts w:asciiTheme="minorHAnsi" w:hAnsiTheme="minorHAnsi" w:cs="Calibri"/>
          <w:lang w:val="en-GB"/>
        </w:rPr>
        <w:t xml:space="preserve"> people in 2018</w:t>
      </w:r>
      <w:r w:rsidRPr="0067297E">
        <w:rPr>
          <w:rStyle w:val="FootnoteReference"/>
          <w:rFonts w:asciiTheme="minorHAnsi" w:hAnsiTheme="minorHAnsi" w:cs="Calibri"/>
        </w:rPr>
        <w:footnoteReference w:id="15"/>
      </w:r>
      <w:r w:rsidRPr="0067297E">
        <w:rPr>
          <w:rFonts w:asciiTheme="minorHAnsi" w:hAnsiTheme="minorHAnsi" w:cs="Calibri"/>
        </w:rPr>
        <w:t xml:space="preserve">. </w:t>
      </w:r>
      <w:r w:rsidR="00F14AD5" w:rsidRPr="0067297E">
        <w:rPr>
          <w:rFonts w:asciiTheme="minorHAnsi" w:hAnsiTheme="minorHAnsi" w:cs="Calibri"/>
          <w:lang w:val="en-GB"/>
        </w:rPr>
        <w:t xml:space="preserve">To the </w:t>
      </w:r>
      <w:r w:rsidR="00C30DAD" w:rsidRPr="0067297E">
        <w:rPr>
          <w:rFonts w:asciiTheme="minorHAnsi" w:hAnsiTheme="minorHAnsi" w:cs="Calibri"/>
          <w:lang w:val="en-GB"/>
        </w:rPr>
        <w:t>east</w:t>
      </w:r>
      <w:r w:rsidR="00F14AD5" w:rsidRPr="0067297E">
        <w:rPr>
          <w:rFonts w:asciiTheme="minorHAnsi" w:hAnsiTheme="minorHAnsi" w:cs="Calibri"/>
          <w:lang w:val="en-GB"/>
        </w:rPr>
        <w:t xml:space="preserve"> of the </w:t>
      </w:r>
      <w:r w:rsidR="009C3189" w:rsidRPr="0067297E">
        <w:rPr>
          <w:rFonts w:asciiTheme="minorHAnsi" w:hAnsiTheme="minorHAnsi" w:cs="Calibri"/>
          <w:lang w:val="en-GB"/>
        </w:rPr>
        <w:t>borough</w:t>
      </w:r>
      <w:r w:rsidR="00F14AD5" w:rsidRPr="0067297E">
        <w:rPr>
          <w:rFonts w:asciiTheme="minorHAnsi" w:hAnsiTheme="minorHAnsi" w:cs="Calibri"/>
          <w:lang w:val="en-GB"/>
        </w:rPr>
        <w:t xml:space="preserve"> </w:t>
      </w:r>
      <w:r w:rsidR="00C30DAD" w:rsidRPr="0067297E">
        <w:rPr>
          <w:rFonts w:asciiTheme="minorHAnsi" w:hAnsiTheme="minorHAnsi" w:cs="Calibri"/>
          <w:lang w:val="en-GB"/>
        </w:rPr>
        <w:t>lies</w:t>
      </w:r>
      <w:r w:rsidR="00F14AD5" w:rsidRPr="0067297E">
        <w:rPr>
          <w:rFonts w:asciiTheme="minorHAnsi" w:hAnsiTheme="minorHAnsi" w:cs="Calibri"/>
          <w:lang w:val="en-GB"/>
        </w:rPr>
        <w:t xml:space="preserve"> the </w:t>
      </w:r>
      <w:r w:rsidR="00F34660" w:rsidRPr="0067297E">
        <w:rPr>
          <w:rFonts w:asciiTheme="minorHAnsi" w:hAnsiTheme="minorHAnsi" w:cs="Calibri"/>
          <w:lang w:val="en-GB"/>
        </w:rPr>
        <w:t xml:space="preserve">Royal </w:t>
      </w:r>
      <w:r w:rsidR="00F14AD5" w:rsidRPr="0067297E">
        <w:rPr>
          <w:rFonts w:asciiTheme="minorHAnsi" w:hAnsiTheme="minorHAnsi" w:cs="Calibri"/>
          <w:lang w:val="en-GB"/>
        </w:rPr>
        <w:t>Borough of Greenwich, to the south</w:t>
      </w:r>
      <w:r w:rsidR="00FC5952" w:rsidRPr="0067297E">
        <w:rPr>
          <w:rFonts w:asciiTheme="minorHAnsi" w:hAnsiTheme="minorHAnsi" w:cs="Calibri"/>
          <w:lang w:val="en-GB"/>
        </w:rPr>
        <w:t xml:space="preserve"> lies</w:t>
      </w:r>
      <w:r w:rsidR="00F14AD5" w:rsidRPr="0067297E">
        <w:rPr>
          <w:rFonts w:asciiTheme="minorHAnsi" w:hAnsiTheme="minorHAnsi" w:cs="Calibri"/>
          <w:lang w:val="en-GB"/>
        </w:rPr>
        <w:t xml:space="preserve"> the London Borough of Bromley</w:t>
      </w:r>
      <w:r w:rsidR="00FC5952" w:rsidRPr="0067297E">
        <w:rPr>
          <w:rFonts w:asciiTheme="minorHAnsi" w:hAnsiTheme="minorHAnsi" w:cs="Calibri"/>
          <w:lang w:val="en-GB"/>
        </w:rPr>
        <w:t xml:space="preserve">, to the west lies the London Borough of Southwark. The River Thames </w:t>
      </w:r>
      <w:r w:rsidR="009C3189" w:rsidRPr="0067297E">
        <w:rPr>
          <w:rFonts w:asciiTheme="minorHAnsi" w:hAnsiTheme="minorHAnsi" w:cs="Calibri"/>
          <w:lang w:val="en-GB"/>
        </w:rPr>
        <w:t>runs</w:t>
      </w:r>
      <w:r w:rsidR="00FC5952" w:rsidRPr="0067297E">
        <w:rPr>
          <w:rFonts w:asciiTheme="minorHAnsi" w:hAnsiTheme="minorHAnsi" w:cs="Calibri"/>
          <w:lang w:val="en-GB"/>
        </w:rPr>
        <w:t xml:space="preserve"> along a section of the northern boundary</w:t>
      </w:r>
      <w:r w:rsidR="00D410F2" w:rsidRPr="0067297E">
        <w:rPr>
          <w:rFonts w:asciiTheme="minorHAnsi" w:hAnsiTheme="minorHAnsi" w:cs="Calibri"/>
          <w:lang w:val="en-GB"/>
        </w:rPr>
        <w:t>, beyond which lies the Borough of Tower Hamlets</w:t>
      </w:r>
      <w:r w:rsidR="00F14AD5" w:rsidRPr="0067297E">
        <w:rPr>
          <w:rFonts w:asciiTheme="minorHAnsi" w:hAnsiTheme="minorHAnsi" w:cs="Calibri"/>
          <w:lang w:val="en-GB"/>
        </w:rPr>
        <w:t>.</w:t>
      </w:r>
    </w:p>
    <w:p w14:paraId="5F8342E0" w14:textId="3AD7E2B4" w:rsidR="00B52071" w:rsidRPr="0067297E" w:rsidRDefault="00FC5952" w:rsidP="002C70BC">
      <w:pPr>
        <w:pStyle w:val="Reporttext"/>
        <w:numPr>
          <w:ilvl w:val="1"/>
          <w:numId w:val="39"/>
        </w:numPr>
        <w:rPr>
          <w:rFonts w:asciiTheme="minorHAnsi" w:hAnsiTheme="minorHAnsi" w:cs="Calibri"/>
        </w:rPr>
      </w:pPr>
      <w:r w:rsidRPr="0067297E">
        <w:rPr>
          <w:rFonts w:asciiTheme="minorHAnsi" w:hAnsiTheme="minorHAnsi" w:cs="Calibri"/>
          <w:lang w:val="en-GB"/>
        </w:rPr>
        <w:t xml:space="preserve">The </w:t>
      </w:r>
      <w:r w:rsidR="009C3189" w:rsidRPr="0067297E">
        <w:rPr>
          <w:rFonts w:asciiTheme="minorHAnsi" w:hAnsiTheme="minorHAnsi" w:cs="Calibri"/>
          <w:lang w:val="en-GB"/>
        </w:rPr>
        <w:t>b</w:t>
      </w:r>
      <w:r w:rsidR="00B52071" w:rsidRPr="0067297E">
        <w:rPr>
          <w:rFonts w:asciiTheme="minorHAnsi" w:hAnsiTheme="minorHAnsi" w:cs="Calibri"/>
          <w:lang w:val="en-GB"/>
        </w:rPr>
        <w:t>orough</w:t>
      </w:r>
      <w:r w:rsidRPr="0067297E">
        <w:rPr>
          <w:rFonts w:asciiTheme="minorHAnsi" w:hAnsiTheme="minorHAnsi" w:cs="Calibri"/>
          <w:lang w:val="en-GB"/>
        </w:rPr>
        <w:t xml:space="preserve"> includes </w:t>
      </w:r>
      <w:r w:rsidR="000D367D" w:rsidRPr="0067297E">
        <w:rPr>
          <w:rFonts w:asciiTheme="minorHAnsi" w:hAnsiTheme="minorHAnsi" w:cs="Calibri"/>
          <w:lang w:val="en-GB"/>
        </w:rPr>
        <w:t xml:space="preserve">extensive residential areas, including older settlements and </w:t>
      </w:r>
      <w:r w:rsidR="000D367D" w:rsidRPr="001D2A84">
        <w:rPr>
          <w:rFonts w:asciiTheme="minorHAnsi" w:hAnsiTheme="minorHAnsi" w:cs="Calibri"/>
        </w:rPr>
        <w:t>suburban</w:t>
      </w:r>
      <w:r w:rsidR="000D367D" w:rsidRPr="0067297E">
        <w:rPr>
          <w:rFonts w:asciiTheme="minorHAnsi" w:hAnsiTheme="minorHAnsi" w:cs="Calibri"/>
          <w:lang w:val="en-GB"/>
        </w:rPr>
        <w:t xml:space="preserve"> infill development. The main </w:t>
      </w:r>
      <w:r w:rsidR="00F34660" w:rsidRPr="0067297E">
        <w:rPr>
          <w:rFonts w:asciiTheme="minorHAnsi" w:hAnsiTheme="minorHAnsi" w:cs="Calibri"/>
          <w:lang w:val="en-GB"/>
        </w:rPr>
        <w:t xml:space="preserve">town </w:t>
      </w:r>
      <w:r w:rsidR="000F0E2F" w:rsidRPr="0067297E">
        <w:rPr>
          <w:rFonts w:asciiTheme="minorHAnsi" w:hAnsiTheme="minorHAnsi" w:cs="Calibri"/>
          <w:lang w:val="en-GB"/>
        </w:rPr>
        <w:t>centres</w:t>
      </w:r>
      <w:r w:rsidR="000D367D" w:rsidRPr="0067297E">
        <w:rPr>
          <w:rFonts w:asciiTheme="minorHAnsi" w:hAnsiTheme="minorHAnsi" w:cs="Calibri"/>
          <w:lang w:val="en-GB"/>
        </w:rPr>
        <w:t xml:space="preserve"> </w:t>
      </w:r>
      <w:r w:rsidR="000F0E2F" w:rsidRPr="0067297E">
        <w:rPr>
          <w:rFonts w:asciiTheme="minorHAnsi" w:hAnsiTheme="minorHAnsi" w:cs="Calibri"/>
          <w:lang w:val="en-GB"/>
        </w:rPr>
        <w:t>ar</w:t>
      </w:r>
      <w:r w:rsidR="009C3189" w:rsidRPr="0067297E">
        <w:rPr>
          <w:rFonts w:asciiTheme="minorHAnsi" w:hAnsiTheme="minorHAnsi" w:cs="Calibri"/>
          <w:lang w:val="en-GB"/>
        </w:rPr>
        <w:t xml:space="preserve">e Lewisham and Catford; there </w:t>
      </w:r>
      <w:r w:rsidR="009C3189" w:rsidRPr="0067297E">
        <w:rPr>
          <w:rFonts w:asciiTheme="minorHAnsi" w:hAnsiTheme="minorHAnsi" w:cs="Calibri"/>
          <w:lang w:val="en-GB"/>
        </w:rPr>
        <w:lastRenderedPageBreak/>
        <w:t>are</w:t>
      </w:r>
      <w:r w:rsidR="000F0E2F" w:rsidRPr="0067297E">
        <w:rPr>
          <w:rFonts w:asciiTheme="minorHAnsi" w:hAnsiTheme="minorHAnsi" w:cs="Calibri"/>
          <w:lang w:val="en-GB"/>
        </w:rPr>
        <w:t xml:space="preserve"> also a range of district and local centres including </w:t>
      </w:r>
      <w:r w:rsidR="000D367D" w:rsidRPr="0067297E">
        <w:rPr>
          <w:rFonts w:asciiTheme="minorHAnsi" w:hAnsiTheme="minorHAnsi" w:cs="Calibri"/>
          <w:lang w:val="en-GB"/>
        </w:rPr>
        <w:t xml:space="preserve">New Cross, </w:t>
      </w:r>
      <w:r w:rsidR="00F34660" w:rsidRPr="0067297E">
        <w:rPr>
          <w:rFonts w:asciiTheme="minorHAnsi" w:hAnsiTheme="minorHAnsi" w:cs="Calibri"/>
          <w:lang w:val="en-GB"/>
        </w:rPr>
        <w:t xml:space="preserve">New Cross Gate, </w:t>
      </w:r>
      <w:r w:rsidR="000F0E2F" w:rsidRPr="0067297E">
        <w:rPr>
          <w:rFonts w:asciiTheme="minorHAnsi" w:hAnsiTheme="minorHAnsi" w:cs="Calibri"/>
          <w:lang w:val="en-GB"/>
        </w:rPr>
        <w:t>Deptford, Blackheath, Lee Green, Forest Hill, Sydenham and Downham</w:t>
      </w:r>
      <w:r w:rsidR="000D367D" w:rsidRPr="0067297E">
        <w:rPr>
          <w:rFonts w:asciiTheme="minorHAnsi" w:hAnsiTheme="minorHAnsi" w:cs="Calibri"/>
          <w:lang w:val="en-GB"/>
        </w:rPr>
        <w:t>.</w:t>
      </w:r>
    </w:p>
    <w:p w14:paraId="49A961D8" w14:textId="17112CE6" w:rsidR="000D367D" w:rsidRPr="0067297E" w:rsidRDefault="00B52071" w:rsidP="002C70BC">
      <w:pPr>
        <w:pStyle w:val="Reporttext"/>
        <w:numPr>
          <w:ilvl w:val="1"/>
          <w:numId w:val="39"/>
        </w:numPr>
        <w:rPr>
          <w:rFonts w:asciiTheme="minorHAnsi" w:hAnsiTheme="minorHAnsi" w:cs="Calibri"/>
        </w:rPr>
      </w:pPr>
      <w:r w:rsidRPr="0067297E">
        <w:rPr>
          <w:rFonts w:asciiTheme="minorHAnsi" w:hAnsiTheme="minorHAnsi" w:cs="Calibri"/>
          <w:lang w:val="en-GB"/>
        </w:rPr>
        <w:t>In terms of access, th</w:t>
      </w:r>
      <w:r w:rsidR="009C3189" w:rsidRPr="0067297E">
        <w:rPr>
          <w:rFonts w:asciiTheme="minorHAnsi" w:hAnsiTheme="minorHAnsi" w:cs="Calibri"/>
          <w:lang w:val="en-GB"/>
        </w:rPr>
        <w:t>e main road-routes through the b</w:t>
      </w:r>
      <w:r w:rsidRPr="0067297E">
        <w:rPr>
          <w:rFonts w:asciiTheme="minorHAnsi" w:hAnsiTheme="minorHAnsi" w:cs="Calibri"/>
          <w:lang w:val="en-GB"/>
        </w:rPr>
        <w:t xml:space="preserve">orough are </w:t>
      </w:r>
      <w:r w:rsidR="000D367D" w:rsidRPr="0067297E">
        <w:rPr>
          <w:rFonts w:asciiTheme="minorHAnsi" w:hAnsiTheme="minorHAnsi" w:cs="Calibri"/>
          <w:lang w:val="en-GB"/>
        </w:rPr>
        <w:t xml:space="preserve">the A2 from </w:t>
      </w:r>
      <w:r w:rsidR="000D367D" w:rsidRPr="001D2A84">
        <w:rPr>
          <w:rFonts w:asciiTheme="minorHAnsi" w:hAnsiTheme="minorHAnsi" w:cs="Calibri"/>
        </w:rPr>
        <w:t>Kidbrooke</w:t>
      </w:r>
      <w:r w:rsidR="000D367D" w:rsidRPr="0067297E">
        <w:rPr>
          <w:rFonts w:asciiTheme="minorHAnsi" w:hAnsiTheme="minorHAnsi" w:cs="Calibri"/>
          <w:lang w:val="en-GB"/>
        </w:rPr>
        <w:t xml:space="preserve"> (east) to Old Kent Road (west), the A20 from New Cross to Eltham (east), the A21 from Lewisham to Bromley (south), the A202 from New Cross Gate to Peckham (west) and the A205 South Circular from Dulwich </w:t>
      </w:r>
      <w:r w:rsidR="00F34660" w:rsidRPr="0067297E">
        <w:rPr>
          <w:rFonts w:asciiTheme="minorHAnsi" w:hAnsiTheme="minorHAnsi" w:cs="Calibri"/>
          <w:lang w:val="en-GB"/>
        </w:rPr>
        <w:t xml:space="preserve">(west) </w:t>
      </w:r>
      <w:r w:rsidR="000D367D" w:rsidRPr="0067297E">
        <w:rPr>
          <w:rFonts w:asciiTheme="minorHAnsi" w:hAnsiTheme="minorHAnsi" w:cs="Calibri"/>
          <w:lang w:val="en-GB"/>
        </w:rPr>
        <w:t>to Eltham (east)</w:t>
      </w:r>
      <w:r w:rsidRPr="0067297E">
        <w:rPr>
          <w:rFonts w:asciiTheme="minorHAnsi" w:hAnsiTheme="minorHAnsi" w:cs="Calibri"/>
          <w:lang w:val="en-GB"/>
        </w:rPr>
        <w:t xml:space="preserve">. </w:t>
      </w:r>
    </w:p>
    <w:p w14:paraId="021B667A" w14:textId="0D178D9E" w:rsidR="00B52071" w:rsidRPr="0067297E" w:rsidRDefault="000D367D" w:rsidP="002C70BC">
      <w:pPr>
        <w:pStyle w:val="Reporttext"/>
        <w:numPr>
          <w:ilvl w:val="1"/>
          <w:numId w:val="39"/>
        </w:numPr>
        <w:rPr>
          <w:rFonts w:asciiTheme="minorHAnsi" w:hAnsiTheme="minorHAnsi" w:cs="Calibri"/>
        </w:rPr>
      </w:pPr>
      <w:r w:rsidRPr="0067297E">
        <w:rPr>
          <w:rFonts w:asciiTheme="minorHAnsi" w:hAnsiTheme="minorHAnsi" w:cs="Calibri"/>
          <w:lang w:val="en-GB"/>
        </w:rPr>
        <w:t>S</w:t>
      </w:r>
      <w:r w:rsidR="0096543E" w:rsidRPr="0067297E">
        <w:rPr>
          <w:rFonts w:asciiTheme="minorHAnsi" w:hAnsiTheme="minorHAnsi" w:cs="Calibri"/>
          <w:lang w:val="en-GB"/>
        </w:rPr>
        <w:t>uburban</w:t>
      </w:r>
      <w:r w:rsidR="00B52071" w:rsidRPr="0067297E">
        <w:rPr>
          <w:rFonts w:asciiTheme="minorHAnsi" w:hAnsiTheme="minorHAnsi" w:cs="Calibri"/>
          <w:lang w:val="en-GB"/>
        </w:rPr>
        <w:t xml:space="preserve"> tra</w:t>
      </w:r>
      <w:r w:rsidRPr="0067297E">
        <w:rPr>
          <w:rFonts w:asciiTheme="minorHAnsi" w:hAnsiTheme="minorHAnsi" w:cs="Calibri"/>
          <w:lang w:val="en-GB"/>
        </w:rPr>
        <w:t xml:space="preserve">inlines pass through Lewisham </w:t>
      </w:r>
      <w:r w:rsidR="00D410F2" w:rsidRPr="0067297E">
        <w:rPr>
          <w:rFonts w:asciiTheme="minorHAnsi" w:hAnsiTheme="minorHAnsi" w:cs="Calibri"/>
          <w:lang w:val="en-GB"/>
        </w:rPr>
        <w:t>S</w:t>
      </w:r>
      <w:r w:rsidRPr="0067297E">
        <w:rPr>
          <w:rFonts w:asciiTheme="minorHAnsi" w:hAnsiTheme="minorHAnsi" w:cs="Calibri"/>
          <w:lang w:val="en-GB"/>
        </w:rPr>
        <w:t>tation on route to Dartford</w:t>
      </w:r>
      <w:r w:rsidR="00F34660" w:rsidRPr="0067297E">
        <w:rPr>
          <w:rFonts w:asciiTheme="minorHAnsi" w:hAnsiTheme="minorHAnsi" w:cs="Calibri"/>
          <w:lang w:val="en-GB"/>
        </w:rPr>
        <w:t xml:space="preserve"> (Kent)</w:t>
      </w:r>
      <w:r w:rsidR="0046289D" w:rsidRPr="0067297E">
        <w:rPr>
          <w:rFonts w:asciiTheme="minorHAnsi" w:hAnsiTheme="minorHAnsi" w:cs="Calibri"/>
          <w:lang w:val="en-GB"/>
        </w:rPr>
        <w:t xml:space="preserve"> and </w:t>
      </w:r>
      <w:r w:rsidR="0046289D" w:rsidRPr="001D2A84">
        <w:rPr>
          <w:rFonts w:asciiTheme="minorHAnsi" w:hAnsiTheme="minorHAnsi" w:cs="Calibri"/>
        </w:rPr>
        <w:t>Hayes</w:t>
      </w:r>
      <w:r w:rsidR="0046289D" w:rsidRPr="0067297E">
        <w:rPr>
          <w:rFonts w:asciiTheme="minorHAnsi" w:hAnsiTheme="minorHAnsi" w:cs="Calibri"/>
          <w:lang w:val="en-GB"/>
        </w:rPr>
        <w:t xml:space="preserve"> (Bromley). The East London Line serves New Cross and New Cross Gate, with an extension to the London Overground network serving Brockley, Honor Oak Park, Forest Hill and Sydenham since 2010. There are proposals for a new station at New Bermondsey on the South London Line, linking to Clapham Junction. </w:t>
      </w:r>
      <w:r w:rsidR="00F34660" w:rsidRPr="0067297E">
        <w:rPr>
          <w:rFonts w:asciiTheme="minorHAnsi" w:hAnsiTheme="minorHAnsi" w:cs="Calibri"/>
          <w:lang w:val="en-GB"/>
        </w:rPr>
        <w:t xml:space="preserve"> There are proposals for a Phase 1 extension of the Bakerloo Line through New Cross Gate to Lewish</w:t>
      </w:r>
      <w:r w:rsidR="00CB17DE" w:rsidRPr="0067297E">
        <w:rPr>
          <w:rFonts w:asciiTheme="minorHAnsi" w:hAnsiTheme="minorHAnsi" w:cs="Calibri"/>
          <w:lang w:val="en-GB"/>
        </w:rPr>
        <w:t>am</w:t>
      </w:r>
      <w:r w:rsidR="00F34660" w:rsidRPr="0067297E">
        <w:rPr>
          <w:rFonts w:asciiTheme="minorHAnsi" w:hAnsiTheme="minorHAnsi" w:cs="Calibri"/>
          <w:lang w:val="en-GB"/>
        </w:rPr>
        <w:t xml:space="preserve"> and consideration </w:t>
      </w:r>
      <w:r w:rsidR="00AC3D92" w:rsidRPr="0067297E">
        <w:rPr>
          <w:rFonts w:asciiTheme="minorHAnsi" w:hAnsiTheme="minorHAnsi" w:cs="Calibri"/>
          <w:lang w:val="en-GB"/>
        </w:rPr>
        <w:t xml:space="preserve">for a further </w:t>
      </w:r>
      <w:r w:rsidR="001B50FB" w:rsidRPr="0067297E">
        <w:rPr>
          <w:rFonts w:asciiTheme="minorHAnsi" w:hAnsiTheme="minorHAnsi" w:cs="Calibri"/>
          <w:lang w:val="en-GB"/>
        </w:rPr>
        <w:t>p</w:t>
      </w:r>
      <w:r w:rsidR="00AC3D92" w:rsidRPr="0067297E">
        <w:rPr>
          <w:rFonts w:asciiTheme="minorHAnsi" w:hAnsiTheme="minorHAnsi" w:cs="Calibri"/>
          <w:lang w:val="en-GB"/>
        </w:rPr>
        <w:t>hase 2 extension south to beyond the borough boundary at Hayes.</w:t>
      </w:r>
    </w:p>
    <w:p w14:paraId="703702FA" w14:textId="77777777" w:rsidR="0082541C" w:rsidRPr="0067297E" w:rsidRDefault="009F77E2" w:rsidP="002C70BC">
      <w:pPr>
        <w:pStyle w:val="Reporttext"/>
        <w:numPr>
          <w:ilvl w:val="1"/>
          <w:numId w:val="39"/>
        </w:numPr>
        <w:rPr>
          <w:rFonts w:asciiTheme="minorHAnsi" w:hAnsiTheme="minorHAnsi" w:cs="Calibri"/>
        </w:rPr>
      </w:pPr>
      <w:r w:rsidRPr="001D2A84">
        <w:rPr>
          <w:rFonts w:asciiTheme="minorHAnsi" w:hAnsiTheme="minorHAnsi" w:cs="Calibri"/>
        </w:rPr>
        <w:t>Census</w:t>
      </w:r>
      <w:r w:rsidR="0082541C" w:rsidRPr="0067297E">
        <w:rPr>
          <w:rFonts w:asciiTheme="minorHAnsi" w:hAnsiTheme="minorHAnsi" w:cs="Calibri"/>
        </w:rPr>
        <w:t xml:space="preserve"> data is available down to postcode level and for the purposes of this report, data has been presented </w:t>
      </w:r>
      <w:r w:rsidR="0082541C" w:rsidRPr="0067297E">
        <w:rPr>
          <w:rFonts w:asciiTheme="minorHAnsi" w:hAnsiTheme="minorHAnsi" w:cs="Calibri"/>
          <w:lang w:val="en-GB"/>
        </w:rPr>
        <w:t xml:space="preserve">based on </w:t>
      </w:r>
      <w:r w:rsidR="0046289D" w:rsidRPr="0067297E">
        <w:rPr>
          <w:rFonts w:asciiTheme="minorHAnsi" w:hAnsiTheme="minorHAnsi" w:cs="Calibri"/>
          <w:lang w:val="en-GB"/>
        </w:rPr>
        <w:t>the following wards</w:t>
      </w:r>
      <w:r w:rsidR="00AB7546" w:rsidRPr="0067297E">
        <w:rPr>
          <w:rFonts w:asciiTheme="minorHAnsi" w:hAnsiTheme="minorHAnsi" w:cs="Calibri"/>
          <w:lang w:val="en-GB"/>
        </w:rPr>
        <w:t>,</w:t>
      </w:r>
      <w:r w:rsidR="0082541C" w:rsidRPr="0067297E">
        <w:rPr>
          <w:rFonts w:asciiTheme="minorHAnsi" w:hAnsiTheme="minorHAnsi" w:cs="Calibri"/>
          <w:lang w:val="en-GB"/>
        </w:rPr>
        <w:t xml:space="preserve"> </w:t>
      </w:r>
      <w:r w:rsidR="00942EE7" w:rsidRPr="0067297E">
        <w:rPr>
          <w:rFonts w:asciiTheme="minorHAnsi" w:hAnsiTheme="minorHAnsi" w:cs="Calibri"/>
          <w:lang w:val="en-GB"/>
        </w:rPr>
        <w:t>as shown by Map 1.2 as follows:</w:t>
      </w:r>
    </w:p>
    <w:p w14:paraId="097A148E"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Bellingham</w:t>
      </w:r>
    </w:p>
    <w:p w14:paraId="2B734D00"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Blackheath</w:t>
      </w:r>
    </w:p>
    <w:p w14:paraId="015DC26F"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Brockley</w:t>
      </w:r>
    </w:p>
    <w:p w14:paraId="04F8D01B"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Catford South</w:t>
      </w:r>
    </w:p>
    <w:p w14:paraId="58543CA1"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Crofton Park</w:t>
      </w:r>
    </w:p>
    <w:p w14:paraId="32A6C0E4"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Downham</w:t>
      </w:r>
    </w:p>
    <w:p w14:paraId="4242C198"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Evelyn</w:t>
      </w:r>
    </w:p>
    <w:p w14:paraId="1609CB19"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Forest Hill</w:t>
      </w:r>
    </w:p>
    <w:p w14:paraId="10C1409F"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Grove Park</w:t>
      </w:r>
    </w:p>
    <w:p w14:paraId="60D8D2A0"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Ladywell</w:t>
      </w:r>
    </w:p>
    <w:p w14:paraId="79152D2C"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Lee Green</w:t>
      </w:r>
    </w:p>
    <w:p w14:paraId="3C72E426"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Lewisham Central</w:t>
      </w:r>
    </w:p>
    <w:p w14:paraId="1EA766B0"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New Cross</w:t>
      </w:r>
    </w:p>
    <w:p w14:paraId="171B4276"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 xml:space="preserve">Perry Vale </w:t>
      </w:r>
    </w:p>
    <w:p w14:paraId="0BD15827"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Rushey Green</w:t>
      </w:r>
    </w:p>
    <w:p w14:paraId="792F74E1"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Sydenham</w:t>
      </w:r>
    </w:p>
    <w:p w14:paraId="2CA3DC18" w14:textId="77777777" w:rsidR="0046289D" w:rsidRPr="0067297E" w:rsidRDefault="0046289D" w:rsidP="00FA273F">
      <w:pPr>
        <w:pStyle w:val="bullet"/>
        <w:spacing w:before="60" w:after="60"/>
        <w:ind w:left="1066" w:hanging="357"/>
        <w:rPr>
          <w:rFonts w:asciiTheme="minorHAnsi" w:hAnsiTheme="minorHAnsi" w:cs="Calibri"/>
        </w:rPr>
      </w:pPr>
      <w:r w:rsidRPr="0067297E">
        <w:rPr>
          <w:rFonts w:asciiTheme="minorHAnsi" w:hAnsiTheme="minorHAnsi" w:cs="Calibri"/>
        </w:rPr>
        <w:t>Telegraph Hill</w:t>
      </w:r>
    </w:p>
    <w:p w14:paraId="253F3E0A" w14:textId="6CEB8AB8" w:rsidR="006E2A9D" w:rsidRPr="0067297E" w:rsidRDefault="0046289D" w:rsidP="00FA273F">
      <w:pPr>
        <w:pStyle w:val="bullet"/>
        <w:spacing w:before="60" w:after="60"/>
        <w:ind w:left="1066" w:hanging="357"/>
        <w:rPr>
          <w:rFonts w:asciiTheme="minorHAnsi" w:hAnsiTheme="minorHAnsi"/>
          <w:b/>
          <w:color w:val="009999"/>
          <w:sz w:val="22"/>
        </w:rPr>
      </w:pPr>
      <w:r w:rsidRPr="0067297E">
        <w:rPr>
          <w:rFonts w:asciiTheme="minorHAnsi" w:hAnsiTheme="minorHAnsi" w:cs="Calibri"/>
        </w:rPr>
        <w:t>Whitefoot</w:t>
      </w:r>
    </w:p>
    <w:p w14:paraId="300D08CE" w14:textId="57CAC23C" w:rsidR="000E4BDE" w:rsidRPr="0067297E" w:rsidRDefault="001B50FB" w:rsidP="002C70BC">
      <w:pPr>
        <w:pStyle w:val="Reporttext"/>
        <w:numPr>
          <w:ilvl w:val="1"/>
          <w:numId w:val="39"/>
        </w:numPr>
        <w:rPr>
          <w:rFonts w:asciiTheme="minorHAnsi" w:hAnsiTheme="minorHAnsi" w:cs="Calibri"/>
          <w:lang w:val="en-GB"/>
        </w:rPr>
      </w:pPr>
      <w:r w:rsidRPr="001D2A84">
        <w:rPr>
          <w:rFonts w:asciiTheme="minorHAnsi" w:hAnsiTheme="minorHAnsi" w:cs="Calibri"/>
        </w:rPr>
        <w:t>Data</w:t>
      </w:r>
      <w:r w:rsidRPr="0067297E">
        <w:rPr>
          <w:rFonts w:asciiTheme="minorHAnsi" w:hAnsiTheme="minorHAnsi" w:cs="Calibri"/>
          <w:lang w:val="en-GB"/>
        </w:rPr>
        <w:t xml:space="preserve"> have also been prepared for the five sub-areas as shown in Map 1.</w:t>
      </w:r>
      <w:r w:rsidR="000E4BDE" w:rsidRPr="0067297E">
        <w:rPr>
          <w:rFonts w:asciiTheme="minorHAnsi" w:hAnsiTheme="minorHAnsi" w:cs="Calibri"/>
          <w:lang w:val="en-GB"/>
        </w:rPr>
        <w:t>2</w:t>
      </w:r>
      <w:r w:rsidRPr="0067297E">
        <w:rPr>
          <w:rFonts w:asciiTheme="minorHAnsi" w:hAnsiTheme="minorHAnsi" w:cs="Calibri"/>
          <w:lang w:val="en-GB"/>
        </w:rPr>
        <w:t xml:space="preserve">. Within this report, reference is made to the ‘borough’ </w:t>
      </w:r>
      <w:r w:rsidR="005372A5" w:rsidRPr="0067297E">
        <w:rPr>
          <w:rFonts w:asciiTheme="minorHAnsi" w:hAnsiTheme="minorHAnsi" w:cs="Calibri"/>
          <w:lang w:val="en-GB"/>
        </w:rPr>
        <w:t>which is</w:t>
      </w:r>
      <w:r w:rsidRPr="0067297E">
        <w:rPr>
          <w:rFonts w:asciiTheme="minorHAnsi" w:hAnsiTheme="minorHAnsi" w:cs="Calibri"/>
          <w:lang w:val="en-GB"/>
        </w:rPr>
        <w:t xml:space="preserve"> used as a short-hand term where </w:t>
      </w:r>
      <w:r w:rsidR="005372A5" w:rsidRPr="0067297E">
        <w:rPr>
          <w:rFonts w:asciiTheme="minorHAnsi" w:hAnsiTheme="minorHAnsi" w:cs="Calibri"/>
          <w:lang w:val="en-GB"/>
        </w:rPr>
        <w:t>information</w:t>
      </w:r>
      <w:r w:rsidRPr="0067297E">
        <w:rPr>
          <w:rFonts w:asciiTheme="minorHAnsi" w:hAnsiTheme="minorHAnsi" w:cs="Calibri"/>
          <w:lang w:val="en-GB"/>
        </w:rPr>
        <w:t xml:space="preserve"> is being presented </w:t>
      </w:r>
      <w:r w:rsidR="005372A5" w:rsidRPr="0067297E">
        <w:rPr>
          <w:rFonts w:asciiTheme="minorHAnsi" w:hAnsiTheme="minorHAnsi" w:cs="Calibri"/>
          <w:lang w:val="en-GB"/>
        </w:rPr>
        <w:t>about</w:t>
      </w:r>
      <w:r w:rsidRPr="0067297E">
        <w:rPr>
          <w:rFonts w:asciiTheme="minorHAnsi" w:hAnsiTheme="minorHAnsi" w:cs="Calibri"/>
          <w:lang w:val="en-GB"/>
        </w:rPr>
        <w:t xml:space="preserve"> the Borough of Lewisham.</w:t>
      </w:r>
    </w:p>
    <w:p w14:paraId="0E8AD31C" w14:textId="77777777" w:rsidR="000E4BDE" w:rsidRPr="0067297E" w:rsidRDefault="000E4BDE" w:rsidP="00F25BBF">
      <w:pPr>
        <w:rPr>
          <w:rFonts w:asciiTheme="minorHAnsi" w:hAnsiTheme="minorHAnsi"/>
        </w:rPr>
      </w:pPr>
    </w:p>
    <w:p w14:paraId="23483B6C" w14:textId="1C1FE46C" w:rsidR="004272D0" w:rsidRPr="0067297E" w:rsidRDefault="004272D0">
      <w:pPr>
        <w:pStyle w:val="mapheading"/>
        <w:rPr>
          <w:rFonts w:asciiTheme="minorHAnsi" w:hAnsiTheme="minorHAnsi" w:cs="Calibri"/>
          <w:lang w:val="en-GB"/>
        </w:rPr>
      </w:pPr>
      <w:bookmarkStart w:id="93" w:name="_Toc23151241"/>
      <w:r w:rsidRPr="0067297E">
        <w:rPr>
          <w:rFonts w:asciiTheme="minorHAnsi" w:hAnsiTheme="minorHAnsi" w:cs="Calibri"/>
          <w:lang w:val="en-GB"/>
        </w:rPr>
        <w:lastRenderedPageBreak/>
        <w:t>Map 1.</w:t>
      </w:r>
      <w:r w:rsidR="000E4BDE" w:rsidRPr="0067297E">
        <w:rPr>
          <w:rFonts w:asciiTheme="minorHAnsi" w:hAnsiTheme="minorHAnsi" w:cs="Calibri"/>
          <w:lang w:val="en-GB"/>
        </w:rPr>
        <w:t>2</w:t>
      </w:r>
      <w:r w:rsidRPr="0067297E">
        <w:rPr>
          <w:rFonts w:asciiTheme="minorHAnsi" w:hAnsiTheme="minorHAnsi" w:cs="Calibri"/>
          <w:lang w:val="en-GB"/>
        </w:rPr>
        <w:tab/>
      </w:r>
      <w:r w:rsidR="000E4BDE" w:rsidRPr="0067297E">
        <w:rPr>
          <w:rFonts w:asciiTheme="minorHAnsi" w:hAnsiTheme="minorHAnsi" w:cs="Calibri"/>
          <w:lang w:val="en-GB"/>
        </w:rPr>
        <w:t xml:space="preserve">Wards and </w:t>
      </w:r>
      <w:r w:rsidRPr="0067297E">
        <w:rPr>
          <w:rFonts w:asciiTheme="minorHAnsi" w:hAnsiTheme="minorHAnsi" w:cs="Calibri"/>
          <w:lang w:val="en-GB"/>
        </w:rPr>
        <w:t>Sub-areas within the Borough of Lewisham</w:t>
      </w:r>
      <w:bookmarkEnd w:id="93"/>
    </w:p>
    <w:p w14:paraId="4C910C9B" w14:textId="188A6379" w:rsidR="006E2A9D" w:rsidRPr="0067297E" w:rsidRDefault="000E4BDE">
      <w:pPr>
        <w:rPr>
          <w:rFonts w:asciiTheme="minorHAnsi" w:hAnsiTheme="minorHAnsi" w:cs="Calibri"/>
          <w:color w:val="FF0000"/>
        </w:rPr>
      </w:pPr>
      <w:r w:rsidRPr="0067297E">
        <w:rPr>
          <w:rFonts w:asciiTheme="minorHAnsi" w:hAnsiTheme="minorHAnsi" w:cs="Calibri"/>
          <w:noProof/>
          <w:color w:val="FF0000"/>
          <w:lang w:eastAsia="en-GB"/>
        </w:rPr>
        <w:drawing>
          <wp:inline distT="0" distB="0" distL="0" distR="0" wp14:anchorId="4F3DAEF2" wp14:editId="45B4A43C">
            <wp:extent cx="4799965" cy="5925820"/>
            <wp:effectExtent l="0" t="0" r="635" b="0"/>
            <wp:docPr id="20" name="Picture 20" descr="Map shows wards (colour coded) and labeled Sub-areas in Lewisham. " title="Map 1.2 Wards and Sub-areas within the Borough of Lewis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wisham ward and sub area boundaries map.jpeg"/>
                    <pic:cNvPicPr/>
                  </pic:nvPicPr>
                  <pic:blipFill>
                    <a:blip r:embed="rId15"/>
                    <a:stretch>
                      <a:fillRect/>
                    </a:stretch>
                  </pic:blipFill>
                  <pic:spPr>
                    <a:xfrm>
                      <a:off x="0" y="0"/>
                      <a:ext cx="4799965" cy="5925820"/>
                    </a:xfrm>
                    <a:prstGeom prst="rect">
                      <a:avLst/>
                    </a:prstGeom>
                  </pic:spPr>
                </pic:pic>
              </a:graphicData>
            </a:graphic>
          </wp:inline>
        </w:drawing>
      </w:r>
    </w:p>
    <w:p w14:paraId="79519A12" w14:textId="06ED6713" w:rsidR="0046289D" w:rsidRPr="0067297E" w:rsidRDefault="0046289D" w:rsidP="00FA273F">
      <w:pPr>
        <w:rPr>
          <w:rFonts w:asciiTheme="minorHAnsi" w:hAnsiTheme="minorHAnsi" w:cs="Calibri"/>
        </w:rPr>
      </w:pPr>
    </w:p>
    <w:p w14:paraId="26FF01F3" w14:textId="5EF3BC0A" w:rsidR="00CC5CC3" w:rsidRPr="0067297E" w:rsidRDefault="00F4470D" w:rsidP="00F25BBF">
      <w:pPr>
        <w:pStyle w:val="Heading2"/>
        <w:rPr>
          <w:rFonts w:asciiTheme="minorHAnsi" w:hAnsiTheme="minorHAnsi"/>
        </w:rPr>
      </w:pPr>
      <w:bookmarkStart w:id="94" w:name="_Toc428528460"/>
      <w:bookmarkStart w:id="95" w:name="_Toc399864324"/>
      <w:bookmarkStart w:id="96" w:name="_Toc430084552"/>
      <w:bookmarkStart w:id="97" w:name="_Toc430782007"/>
      <w:bookmarkStart w:id="98" w:name="_Toc1385735"/>
      <w:bookmarkStart w:id="99" w:name="_Toc23151049"/>
      <w:bookmarkEnd w:id="91"/>
      <w:r w:rsidRPr="0067297E">
        <w:rPr>
          <w:rFonts w:asciiTheme="minorHAnsi" w:hAnsiTheme="minorHAnsi"/>
          <w:lang w:val="en-GB"/>
        </w:rPr>
        <w:t>Re</w:t>
      </w:r>
      <w:r w:rsidR="00CC5CC3" w:rsidRPr="0067297E">
        <w:rPr>
          <w:rFonts w:asciiTheme="minorHAnsi" w:hAnsiTheme="minorHAnsi"/>
        </w:rPr>
        <w:t>search methodology</w:t>
      </w:r>
      <w:bookmarkEnd w:id="94"/>
      <w:bookmarkEnd w:id="95"/>
      <w:bookmarkEnd w:id="96"/>
      <w:bookmarkEnd w:id="97"/>
      <w:bookmarkEnd w:id="98"/>
      <w:bookmarkEnd w:id="99"/>
    </w:p>
    <w:p w14:paraId="1FFA89AB" w14:textId="0F603602" w:rsidR="003310A8" w:rsidRPr="0067297E" w:rsidRDefault="00CC5CC3" w:rsidP="002C70BC">
      <w:pPr>
        <w:pStyle w:val="Reporttext"/>
        <w:numPr>
          <w:ilvl w:val="1"/>
          <w:numId w:val="39"/>
        </w:numPr>
        <w:rPr>
          <w:rFonts w:asciiTheme="minorHAnsi" w:hAnsiTheme="minorHAnsi" w:cs="Calibri"/>
          <w:iCs/>
          <w:caps/>
        </w:rPr>
      </w:pPr>
      <w:r w:rsidRPr="0067297E">
        <w:rPr>
          <w:rFonts w:asciiTheme="minorHAnsi" w:hAnsiTheme="minorHAnsi" w:cs="Calibri"/>
        </w:rPr>
        <w:t>To deliver the</w:t>
      </w:r>
      <w:r w:rsidR="006F038F" w:rsidRPr="0067297E">
        <w:rPr>
          <w:rFonts w:asciiTheme="minorHAnsi" w:hAnsiTheme="minorHAnsi" w:cs="Calibri"/>
          <w:lang w:val="en-GB"/>
        </w:rPr>
        <w:t xml:space="preserve"> Borough of</w:t>
      </w:r>
      <w:r w:rsidR="009C3B31" w:rsidRPr="0067297E">
        <w:rPr>
          <w:rFonts w:asciiTheme="minorHAnsi" w:hAnsiTheme="minorHAnsi" w:cs="Calibri"/>
          <w:lang w:val="en-GB"/>
        </w:rPr>
        <w:t xml:space="preserve"> </w:t>
      </w:r>
      <w:r w:rsidR="009F77E2" w:rsidRPr="0067297E">
        <w:rPr>
          <w:rFonts w:asciiTheme="minorHAnsi" w:hAnsiTheme="minorHAnsi" w:cs="Calibri"/>
          <w:lang w:val="en-GB"/>
        </w:rPr>
        <w:t>Lewisham</w:t>
      </w:r>
      <w:r w:rsidR="00AB7546" w:rsidRPr="0067297E">
        <w:rPr>
          <w:rFonts w:asciiTheme="minorHAnsi" w:hAnsiTheme="minorHAnsi" w:cs="Calibri"/>
          <w:lang w:val="en-GB"/>
        </w:rPr>
        <w:t xml:space="preserve"> SHMA</w:t>
      </w:r>
      <w:r w:rsidR="00865697" w:rsidRPr="0067297E">
        <w:rPr>
          <w:rFonts w:asciiTheme="minorHAnsi" w:hAnsiTheme="minorHAnsi" w:cs="Calibri"/>
          <w:lang w:val="en-GB"/>
        </w:rPr>
        <w:t xml:space="preserve"> 201</w:t>
      </w:r>
      <w:r w:rsidR="00D55A8B" w:rsidRPr="0067297E">
        <w:rPr>
          <w:rFonts w:asciiTheme="minorHAnsi" w:hAnsiTheme="minorHAnsi" w:cs="Calibri"/>
          <w:lang w:val="en-GB"/>
        </w:rPr>
        <w:t>9</w:t>
      </w:r>
      <w:r w:rsidRPr="0067297E">
        <w:rPr>
          <w:rFonts w:asciiTheme="minorHAnsi" w:hAnsiTheme="minorHAnsi" w:cs="Calibri"/>
        </w:rPr>
        <w:t xml:space="preserve">, a multi-method approach </w:t>
      </w:r>
      <w:r w:rsidR="00865697" w:rsidRPr="0067297E">
        <w:rPr>
          <w:rFonts w:asciiTheme="minorHAnsi" w:hAnsiTheme="minorHAnsi" w:cs="Calibri"/>
          <w:lang w:val="en-GB"/>
        </w:rPr>
        <w:t>has been</w:t>
      </w:r>
      <w:r w:rsidR="00865697" w:rsidRPr="0067297E">
        <w:rPr>
          <w:rFonts w:asciiTheme="minorHAnsi" w:hAnsiTheme="minorHAnsi" w:cs="Calibri"/>
        </w:rPr>
        <w:t xml:space="preserve"> adopted, which comprise</w:t>
      </w:r>
      <w:r w:rsidR="00865697" w:rsidRPr="0067297E">
        <w:rPr>
          <w:rFonts w:asciiTheme="minorHAnsi" w:hAnsiTheme="minorHAnsi" w:cs="Calibri"/>
          <w:lang w:val="en-GB"/>
        </w:rPr>
        <w:t>s</w:t>
      </w:r>
      <w:r w:rsidRPr="0067297E">
        <w:rPr>
          <w:rFonts w:asciiTheme="minorHAnsi" w:hAnsiTheme="minorHAnsi" w:cs="Calibri"/>
        </w:rPr>
        <w:t>:</w:t>
      </w:r>
    </w:p>
    <w:p w14:paraId="6980160C" w14:textId="6E84A6E3" w:rsidR="00A61B2B" w:rsidRPr="0067297E" w:rsidRDefault="005372A5">
      <w:pPr>
        <w:pStyle w:val="bullet"/>
        <w:rPr>
          <w:rFonts w:asciiTheme="minorHAnsi" w:hAnsiTheme="minorHAnsi" w:cs="Calibri"/>
        </w:rPr>
      </w:pPr>
      <w:r w:rsidRPr="0067297E">
        <w:rPr>
          <w:rFonts w:asciiTheme="minorHAnsi" w:hAnsiTheme="minorHAnsi" w:cs="Calibri"/>
          <w:lang w:val="en-GB"/>
        </w:rPr>
        <w:t>a</w:t>
      </w:r>
      <w:r w:rsidR="00A61B2B" w:rsidRPr="0067297E">
        <w:rPr>
          <w:rFonts w:asciiTheme="minorHAnsi" w:hAnsiTheme="minorHAnsi" w:cs="Calibri"/>
        </w:rPr>
        <w:t xml:space="preserve"> review of existing (secondary) data including the 2011 Census, house price trends, CORE lettings data</w:t>
      </w:r>
      <w:r w:rsidR="00A61B2B" w:rsidRPr="0067297E">
        <w:rPr>
          <w:rFonts w:asciiTheme="minorHAnsi" w:hAnsiTheme="minorHAnsi" w:cs="Calibri"/>
          <w:lang w:val="en-GB"/>
        </w:rPr>
        <w:t>, MH</w:t>
      </w:r>
      <w:r w:rsidR="00A61B2B" w:rsidRPr="0067297E">
        <w:rPr>
          <w:rFonts w:asciiTheme="minorHAnsi" w:hAnsiTheme="minorHAnsi" w:cs="Calibri"/>
        </w:rPr>
        <w:t>CLG Statistics</w:t>
      </w:r>
      <w:r w:rsidR="00A61B2B" w:rsidRPr="0067297E">
        <w:rPr>
          <w:rFonts w:asciiTheme="minorHAnsi" w:hAnsiTheme="minorHAnsi" w:cs="Calibri"/>
          <w:lang w:val="en-GB"/>
        </w:rPr>
        <w:t>, GLA statistics and Council information;</w:t>
      </w:r>
      <w:r w:rsidR="00A61B2B" w:rsidRPr="0067297E">
        <w:rPr>
          <w:rFonts w:asciiTheme="minorHAnsi" w:hAnsiTheme="minorHAnsi" w:cs="Calibri"/>
        </w:rPr>
        <w:t xml:space="preserve"> </w:t>
      </w:r>
    </w:p>
    <w:p w14:paraId="71DABBA6" w14:textId="1DECB718" w:rsidR="00A61B2B" w:rsidRPr="0067297E" w:rsidRDefault="005372A5">
      <w:pPr>
        <w:pStyle w:val="bullet"/>
        <w:rPr>
          <w:rFonts w:asciiTheme="minorHAnsi" w:hAnsiTheme="minorHAnsi" w:cs="Calibri"/>
        </w:rPr>
      </w:pPr>
      <w:r w:rsidRPr="0067297E">
        <w:rPr>
          <w:rFonts w:asciiTheme="minorHAnsi" w:hAnsiTheme="minorHAnsi" w:cs="Calibri"/>
          <w:lang w:val="en-GB"/>
        </w:rPr>
        <w:t>s</w:t>
      </w:r>
      <w:r w:rsidR="00E41505" w:rsidRPr="0067297E">
        <w:rPr>
          <w:rFonts w:asciiTheme="minorHAnsi" w:hAnsiTheme="minorHAnsi" w:cs="Calibri"/>
          <w:lang w:val="en-GB"/>
        </w:rPr>
        <w:t>takeholder consultation</w:t>
      </w:r>
      <w:r w:rsidR="00A61B2B" w:rsidRPr="0067297E">
        <w:rPr>
          <w:rFonts w:asciiTheme="minorHAnsi" w:hAnsiTheme="minorHAnsi" w:cs="Calibri"/>
        </w:rPr>
        <w:t>; and</w:t>
      </w:r>
    </w:p>
    <w:p w14:paraId="6F5DC1B8" w14:textId="1D38CC71" w:rsidR="00A61B2B" w:rsidRPr="0067297E" w:rsidRDefault="005372A5">
      <w:pPr>
        <w:pStyle w:val="bullet"/>
        <w:rPr>
          <w:rFonts w:asciiTheme="minorHAnsi" w:hAnsiTheme="minorHAnsi" w:cs="Calibri"/>
        </w:rPr>
      </w:pPr>
      <w:r w:rsidRPr="0067297E">
        <w:rPr>
          <w:rFonts w:asciiTheme="minorHAnsi" w:hAnsiTheme="minorHAnsi" w:cs="Calibri"/>
          <w:lang w:val="en-GB"/>
        </w:rPr>
        <w:t>i</w:t>
      </w:r>
      <w:r w:rsidR="00A61B2B" w:rsidRPr="0067297E">
        <w:rPr>
          <w:rFonts w:asciiTheme="minorHAnsi" w:hAnsiTheme="minorHAnsi" w:cs="Calibri"/>
        </w:rPr>
        <w:t>nterviews with estate and letting agents.</w:t>
      </w:r>
    </w:p>
    <w:p w14:paraId="7ADD97C4" w14:textId="2707D1C9" w:rsidR="00CC5CC3" w:rsidRPr="0067297E" w:rsidRDefault="005372A5" w:rsidP="002C70BC">
      <w:pPr>
        <w:pStyle w:val="Reporttext"/>
        <w:numPr>
          <w:ilvl w:val="1"/>
          <w:numId w:val="39"/>
        </w:numPr>
        <w:rPr>
          <w:rFonts w:asciiTheme="minorHAnsi" w:hAnsiTheme="minorHAnsi" w:cs="Calibri"/>
          <w:caps/>
        </w:rPr>
      </w:pPr>
      <w:r w:rsidRPr="001D2A84">
        <w:rPr>
          <w:rFonts w:asciiTheme="minorHAnsi" w:hAnsiTheme="minorHAnsi" w:cs="Calibri"/>
        </w:rPr>
        <w:t>All</w:t>
      </w:r>
      <w:r w:rsidRPr="0067297E">
        <w:rPr>
          <w:rFonts w:asciiTheme="minorHAnsi" w:hAnsiTheme="minorHAnsi" w:cs="Calibri"/>
          <w:lang w:val="en-US"/>
        </w:rPr>
        <w:t xml:space="preserve"> </w:t>
      </w:r>
      <w:r w:rsidR="00DF121C" w:rsidRPr="0067297E">
        <w:rPr>
          <w:rFonts w:asciiTheme="minorHAnsi" w:hAnsiTheme="minorHAnsi" w:cs="Calibri"/>
          <w:lang w:val="en-US"/>
        </w:rPr>
        <w:t>data sources are fully referenced</w:t>
      </w:r>
      <w:r w:rsidR="00CC5CC3" w:rsidRPr="0067297E">
        <w:rPr>
          <w:rFonts w:asciiTheme="minorHAnsi" w:hAnsiTheme="minorHAnsi" w:cs="Calibri"/>
          <w:caps/>
        </w:rPr>
        <w:t>.</w:t>
      </w:r>
    </w:p>
    <w:p w14:paraId="106B40AC" w14:textId="77777777" w:rsidR="00DF121C" w:rsidRPr="0067297E" w:rsidRDefault="00DF121C">
      <w:pPr>
        <w:rPr>
          <w:rFonts w:asciiTheme="minorHAnsi" w:hAnsiTheme="minorHAnsi"/>
          <w:lang w:val="x-none"/>
        </w:rPr>
      </w:pPr>
    </w:p>
    <w:p w14:paraId="7CB57DAA" w14:textId="5CF50C74" w:rsidR="00CC5CC3" w:rsidRPr="0067297E" w:rsidRDefault="00CC5CC3">
      <w:pPr>
        <w:pStyle w:val="Heading2"/>
        <w:rPr>
          <w:rFonts w:asciiTheme="minorHAnsi" w:hAnsiTheme="minorHAnsi" w:cs="Calibri"/>
        </w:rPr>
      </w:pPr>
      <w:bookmarkStart w:id="100" w:name="_Toc225941496"/>
      <w:bookmarkStart w:id="101" w:name="_Toc399864326"/>
      <w:bookmarkStart w:id="102" w:name="_Toc428528462"/>
      <w:bookmarkStart w:id="103" w:name="_Toc430084554"/>
      <w:bookmarkStart w:id="104" w:name="_Toc430782009"/>
      <w:bookmarkStart w:id="105" w:name="_Toc1385736"/>
      <w:bookmarkStart w:id="106" w:name="_Toc23151050"/>
      <w:r w:rsidRPr="0067297E">
        <w:rPr>
          <w:rFonts w:asciiTheme="minorHAnsi" w:hAnsiTheme="minorHAnsi" w:cs="Calibri"/>
        </w:rPr>
        <w:lastRenderedPageBreak/>
        <w:t>Report structure</w:t>
      </w:r>
      <w:bookmarkEnd w:id="100"/>
      <w:bookmarkEnd w:id="101"/>
      <w:bookmarkEnd w:id="102"/>
      <w:bookmarkEnd w:id="103"/>
      <w:bookmarkEnd w:id="104"/>
      <w:bookmarkEnd w:id="105"/>
      <w:bookmarkEnd w:id="106"/>
    </w:p>
    <w:p w14:paraId="59A2D3E6" w14:textId="7904AD8F" w:rsidR="00855FF7" w:rsidRPr="0067297E" w:rsidRDefault="00855FF7" w:rsidP="002C70BC">
      <w:pPr>
        <w:pStyle w:val="Reporttext"/>
        <w:numPr>
          <w:ilvl w:val="1"/>
          <w:numId w:val="39"/>
        </w:numPr>
        <w:rPr>
          <w:rFonts w:asciiTheme="minorHAnsi" w:hAnsiTheme="minorHAnsi" w:cs="Calibri"/>
        </w:rPr>
      </w:pPr>
      <w:r w:rsidRPr="0067297E">
        <w:rPr>
          <w:rFonts w:asciiTheme="minorHAnsi" w:hAnsiTheme="minorHAnsi" w:cs="Calibri"/>
        </w:rPr>
        <w:t>The</w:t>
      </w:r>
      <w:r w:rsidR="006F038F" w:rsidRPr="0067297E">
        <w:rPr>
          <w:rFonts w:asciiTheme="minorHAnsi" w:hAnsiTheme="minorHAnsi" w:cs="Calibri"/>
          <w:lang w:val="en-GB"/>
        </w:rPr>
        <w:t xml:space="preserve"> </w:t>
      </w:r>
      <w:r w:rsidR="006F038F" w:rsidRPr="001D2A84">
        <w:rPr>
          <w:rFonts w:asciiTheme="minorHAnsi" w:hAnsiTheme="minorHAnsi" w:cs="Calibri"/>
        </w:rPr>
        <w:t>Borough</w:t>
      </w:r>
      <w:r w:rsidR="006F038F" w:rsidRPr="0067297E">
        <w:rPr>
          <w:rFonts w:asciiTheme="minorHAnsi" w:hAnsiTheme="minorHAnsi" w:cs="Calibri"/>
          <w:lang w:val="en-GB"/>
        </w:rPr>
        <w:t xml:space="preserve"> of</w:t>
      </w:r>
      <w:r w:rsidRPr="0067297E">
        <w:rPr>
          <w:rFonts w:asciiTheme="minorHAnsi" w:hAnsiTheme="minorHAnsi" w:cs="Calibri"/>
        </w:rPr>
        <w:t xml:space="preserve"> </w:t>
      </w:r>
      <w:r w:rsidR="009F77E2" w:rsidRPr="0067297E">
        <w:rPr>
          <w:rFonts w:asciiTheme="minorHAnsi" w:hAnsiTheme="minorHAnsi" w:cs="Calibri"/>
          <w:lang w:val="en-GB"/>
        </w:rPr>
        <w:t>Lewisham</w:t>
      </w:r>
      <w:r w:rsidR="0054503A" w:rsidRPr="0067297E">
        <w:rPr>
          <w:rFonts w:asciiTheme="minorHAnsi" w:hAnsiTheme="minorHAnsi" w:cs="Calibri"/>
          <w:lang w:val="en-GB"/>
        </w:rPr>
        <w:t xml:space="preserve"> SHMA</w:t>
      </w:r>
      <w:r w:rsidRPr="0067297E">
        <w:rPr>
          <w:rFonts w:asciiTheme="minorHAnsi" w:hAnsiTheme="minorHAnsi" w:cs="Calibri"/>
        </w:rPr>
        <w:t xml:space="preserve"> </w:t>
      </w:r>
      <w:r w:rsidR="00865697" w:rsidRPr="0067297E">
        <w:rPr>
          <w:rFonts w:asciiTheme="minorHAnsi" w:hAnsiTheme="minorHAnsi" w:cs="Calibri"/>
          <w:lang w:val="en-GB"/>
        </w:rPr>
        <w:t>201</w:t>
      </w:r>
      <w:r w:rsidR="00D55A8B" w:rsidRPr="0067297E">
        <w:rPr>
          <w:rFonts w:asciiTheme="minorHAnsi" w:hAnsiTheme="minorHAnsi" w:cs="Calibri"/>
          <w:lang w:val="en-GB"/>
        </w:rPr>
        <w:t>9</w:t>
      </w:r>
      <w:r w:rsidR="00865697" w:rsidRPr="0067297E">
        <w:rPr>
          <w:rFonts w:asciiTheme="minorHAnsi" w:hAnsiTheme="minorHAnsi" w:cs="Calibri"/>
          <w:lang w:val="en-GB"/>
        </w:rPr>
        <w:t xml:space="preserve"> </w:t>
      </w:r>
      <w:r w:rsidRPr="0067297E">
        <w:rPr>
          <w:rFonts w:asciiTheme="minorHAnsi" w:hAnsiTheme="minorHAnsi" w:cs="Calibri"/>
        </w:rPr>
        <w:t>report is structured as follows:</w:t>
      </w:r>
      <w:r w:rsidR="00DA0B3E" w:rsidRPr="0067297E">
        <w:rPr>
          <w:rFonts w:asciiTheme="minorHAnsi" w:hAnsiTheme="minorHAnsi" w:cs="Calibri"/>
          <w:lang w:val="en-GB"/>
        </w:rPr>
        <w:t xml:space="preserve">  </w:t>
      </w:r>
    </w:p>
    <w:p w14:paraId="56A8032F" w14:textId="77777777" w:rsidR="00855FF7" w:rsidRPr="0067297E" w:rsidRDefault="00855FF7">
      <w:pPr>
        <w:pStyle w:val="bullet"/>
        <w:rPr>
          <w:rFonts w:asciiTheme="minorHAnsi" w:hAnsiTheme="minorHAnsi" w:cs="Calibri"/>
        </w:rPr>
      </w:pPr>
      <w:r w:rsidRPr="0067297E">
        <w:rPr>
          <w:rFonts w:asciiTheme="minorHAnsi" w:hAnsiTheme="minorHAnsi" w:cs="Calibri"/>
          <w:b/>
        </w:rPr>
        <w:t>Chapter 2</w:t>
      </w:r>
      <w:r w:rsidRPr="0067297E">
        <w:rPr>
          <w:rFonts w:asciiTheme="minorHAnsi" w:hAnsiTheme="minorHAnsi" w:cs="Calibri"/>
        </w:rPr>
        <w:t xml:space="preserve"> reviews the national and regional policy context within which the research needs to be positioned; </w:t>
      </w:r>
    </w:p>
    <w:p w14:paraId="068EF9BF" w14:textId="77777777" w:rsidR="00855FF7" w:rsidRPr="0067297E" w:rsidRDefault="00855FF7">
      <w:pPr>
        <w:pStyle w:val="bullet"/>
        <w:rPr>
          <w:rFonts w:asciiTheme="minorHAnsi" w:hAnsiTheme="minorHAnsi" w:cs="Calibri"/>
        </w:rPr>
      </w:pPr>
      <w:r w:rsidRPr="0067297E">
        <w:rPr>
          <w:rFonts w:asciiTheme="minorHAnsi" w:hAnsiTheme="minorHAnsi" w:cs="Calibri"/>
          <w:b/>
        </w:rPr>
        <w:t>Chapter 3</w:t>
      </w:r>
      <w:r w:rsidRPr="0067297E">
        <w:rPr>
          <w:rFonts w:asciiTheme="minorHAnsi" w:hAnsiTheme="minorHAnsi" w:cs="Calibri"/>
        </w:rPr>
        <w:t xml:space="preserve"> considers the </w:t>
      </w:r>
      <w:r w:rsidR="003310A8" w:rsidRPr="0067297E">
        <w:rPr>
          <w:rFonts w:asciiTheme="minorHAnsi" w:hAnsiTheme="minorHAnsi" w:cs="Calibri"/>
          <w:lang w:val="en-GB"/>
        </w:rPr>
        <w:t xml:space="preserve">main features of the </w:t>
      </w:r>
      <w:r w:rsidR="0054503A" w:rsidRPr="0067297E">
        <w:rPr>
          <w:rFonts w:asciiTheme="minorHAnsi" w:hAnsiTheme="minorHAnsi" w:cs="Calibri"/>
          <w:lang w:val="en-GB"/>
        </w:rPr>
        <w:t xml:space="preserve">housing </w:t>
      </w:r>
      <w:r w:rsidR="004A4AD3" w:rsidRPr="0067297E">
        <w:rPr>
          <w:rFonts w:asciiTheme="minorHAnsi" w:hAnsiTheme="minorHAnsi" w:cs="Calibri"/>
          <w:lang w:val="en-GB"/>
        </w:rPr>
        <w:t>market including house price and rental trends, migration and travel to work patterns</w:t>
      </w:r>
      <w:r w:rsidRPr="0067297E">
        <w:rPr>
          <w:rFonts w:asciiTheme="minorHAnsi" w:hAnsiTheme="minorHAnsi" w:cs="Calibri"/>
        </w:rPr>
        <w:t>;</w:t>
      </w:r>
    </w:p>
    <w:p w14:paraId="360FB56E" w14:textId="0E533946" w:rsidR="00855FF7" w:rsidRPr="0067297E" w:rsidRDefault="00855FF7">
      <w:pPr>
        <w:pStyle w:val="bullet"/>
        <w:rPr>
          <w:rFonts w:asciiTheme="minorHAnsi" w:hAnsiTheme="minorHAnsi" w:cs="Calibri"/>
        </w:rPr>
      </w:pPr>
      <w:r w:rsidRPr="0067297E">
        <w:rPr>
          <w:rFonts w:asciiTheme="minorHAnsi" w:hAnsiTheme="minorHAnsi" w:cs="Calibri"/>
          <w:b/>
        </w:rPr>
        <w:t>Chapter 4</w:t>
      </w:r>
      <w:r w:rsidRPr="0067297E">
        <w:rPr>
          <w:rFonts w:asciiTheme="minorHAnsi" w:hAnsiTheme="minorHAnsi" w:cs="Calibri"/>
        </w:rPr>
        <w:t xml:space="preserve"> reviews </w:t>
      </w:r>
      <w:r w:rsidR="00E63CD0" w:rsidRPr="0067297E">
        <w:rPr>
          <w:rFonts w:asciiTheme="minorHAnsi" w:hAnsiTheme="minorHAnsi" w:cs="Calibri"/>
        </w:rPr>
        <w:t xml:space="preserve">the current housing </w:t>
      </w:r>
      <w:r w:rsidR="0056541A" w:rsidRPr="0067297E">
        <w:rPr>
          <w:rFonts w:asciiTheme="minorHAnsi" w:hAnsiTheme="minorHAnsi" w:cs="Calibri"/>
          <w:lang w:val="en-US"/>
        </w:rPr>
        <w:t>stock</w:t>
      </w:r>
      <w:r w:rsidR="0056541A" w:rsidRPr="0067297E">
        <w:rPr>
          <w:rFonts w:asciiTheme="minorHAnsi" w:hAnsiTheme="minorHAnsi" w:cs="Calibri"/>
        </w:rPr>
        <w:t xml:space="preserve"> </w:t>
      </w:r>
      <w:r w:rsidR="00E63CD0" w:rsidRPr="0067297E">
        <w:rPr>
          <w:rFonts w:asciiTheme="minorHAnsi" w:hAnsiTheme="minorHAnsi" w:cs="Calibri"/>
        </w:rPr>
        <w:t>and provides a detailed analysis of the main tenures</w:t>
      </w:r>
      <w:r w:rsidRPr="0067297E">
        <w:rPr>
          <w:rFonts w:asciiTheme="minorHAnsi" w:hAnsiTheme="minorHAnsi" w:cs="Calibri"/>
        </w:rPr>
        <w:t>;</w:t>
      </w:r>
    </w:p>
    <w:p w14:paraId="13C63B1F" w14:textId="36D6DBBF" w:rsidR="0056541A" w:rsidRPr="0067297E" w:rsidRDefault="00855FF7">
      <w:pPr>
        <w:pStyle w:val="bullet"/>
        <w:rPr>
          <w:rFonts w:asciiTheme="minorHAnsi" w:hAnsiTheme="minorHAnsi" w:cs="Calibri"/>
        </w:rPr>
      </w:pPr>
      <w:r w:rsidRPr="0067297E">
        <w:rPr>
          <w:rFonts w:asciiTheme="minorHAnsi" w:hAnsiTheme="minorHAnsi" w:cs="Calibri"/>
          <w:b/>
        </w:rPr>
        <w:t xml:space="preserve">Chapter </w:t>
      </w:r>
      <w:r w:rsidR="009C3189" w:rsidRPr="0067297E">
        <w:rPr>
          <w:rFonts w:asciiTheme="minorHAnsi" w:hAnsiTheme="minorHAnsi" w:cs="Calibri"/>
          <w:b/>
        </w:rPr>
        <w:t>5</w:t>
      </w:r>
      <w:r w:rsidR="000D029A" w:rsidRPr="0067297E">
        <w:rPr>
          <w:rFonts w:asciiTheme="minorHAnsi" w:hAnsiTheme="minorHAnsi" w:cs="Calibri"/>
        </w:rPr>
        <w:t xml:space="preserve"> </w:t>
      </w:r>
      <w:r w:rsidR="0056541A" w:rsidRPr="0067297E">
        <w:rPr>
          <w:rFonts w:asciiTheme="minorHAnsi" w:hAnsiTheme="minorHAnsi" w:cs="Calibri"/>
          <w:lang w:val="en-US"/>
        </w:rPr>
        <w:t>considers future housing need which takes account of the Government’s standard methodology and alternative demographic assumption</w:t>
      </w:r>
    </w:p>
    <w:p w14:paraId="13B01AC6" w14:textId="3BACF3EB" w:rsidR="00E63CD0" w:rsidRPr="0067297E" w:rsidRDefault="0056541A">
      <w:pPr>
        <w:pStyle w:val="bullet"/>
        <w:rPr>
          <w:rFonts w:asciiTheme="minorHAnsi" w:hAnsiTheme="minorHAnsi" w:cs="Calibri"/>
        </w:rPr>
      </w:pPr>
      <w:r w:rsidRPr="0067297E">
        <w:rPr>
          <w:rFonts w:asciiTheme="minorHAnsi" w:hAnsiTheme="minorHAnsi" w:cs="Calibri"/>
          <w:b/>
          <w:lang w:val="en-US"/>
        </w:rPr>
        <w:t>Chapter 6</w:t>
      </w:r>
      <w:r w:rsidRPr="0067297E">
        <w:rPr>
          <w:rFonts w:asciiTheme="minorHAnsi" w:hAnsiTheme="minorHAnsi" w:cs="Calibri"/>
          <w:lang w:val="en-US"/>
        </w:rPr>
        <w:t xml:space="preserve"> </w:t>
      </w:r>
      <w:r w:rsidR="00E63CD0" w:rsidRPr="0067297E">
        <w:rPr>
          <w:rFonts w:asciiTheme="minorHAnsi" w:hAnsiTheme="minorHAnsi" w:cs="Calibri"/>
        </w:rPr>
        <w:t xml:space="preserve">considers </w:t>
      </w:r>
      <w:r w:rsidR="0054503A" w:rsidRPr="0067297E">
        <w:rPr>
          <w:rFonts w:asciiTheme="minorHAnsi" w:hAnsiTheme="minorHAnsi" w:cs="Calibri"/>
          <w:lang w:val="en-GB"/>
        </w:rPr>
        <w:t>the need for all types of housing, including affordable housing need</w:t>
      </w:r>
      <w:r w:rsidR="00E63CD0" w:rsidRPr="0067297E">
        <w:rPr>
          <w:rFonts w:asciiTheme="minorHAnsi" w:hAnsiTheme="minorHAnsi" w:cs="Calibri"/>
        </w:rPr>
        <w:t xml:space="preserve"> and a consideration of household groups with particular housing requirements; </w:t>
      </w:r>
    </w:p>
    <w:p w14:paraId="343A33E7" w14:textId="27D28314" w:rsidR="00AC3D92" w:rsidRPr="0067297E" w:rsidRDefault="009C3189">
      <w:pPr>
        <w:pStyle w:val="bullet"/>
        <w:rPr>
          <w:rFonts w:asciiTheme="minorHAnsi" w:hAnsiTheme="minorHAnsi" w:cs="Calibri"/>
        </w:rPr>
      </w:pPr>
      <w:r w:rsidRPr="0067297E">
        <w:rPr>
          <w:rFonts w:asciiTheme="minorHAnsi" w:hAnsiTheme="minorHAnsi" w:cs="Calibri"/>
          <w:b/>
        </w:rPr>
        <w:t xml:space="preserve">Chapter </w:t>
      </w:r>
      <w:r w:rsidR="0056541A" w:rsidRPr="0067297E">
        <w:rPr>
          <w:rFonts w:asciiTheme="minorHAnsi" w:hAnsiTheme="minorHAnsi" w:cs="Calibri"/>
          <w:b/>
          <w:lang w:val="en-US"/>
        </w:rPr>
        <w:t>7</w:t>
      </w:r>
      <w:r w:rsidR="00E63CD0" w:rsidRPr="0067297E">
        <w:rPr>
          <w:rFonts w:asciiTheme="minorHAnsi" w:hAnsiTheme="minorHAnsi" w:cs="Calibri"/>
          <w:b/>
        </w:rPr>
        <w:t xml:space="preserve"> </w:t>
      </w:r>
      <w:r w:rsidR="0054503A" w:rsidRPr="0067297E">
        <w:rPr>
          <w:rFonts w:asciiTheme="minorHAnsi" w:hAnsiTheme="minorHAnsi" w:cs="Calibri"/>
          <w:lang w:val="en-GB"/>
        </w:rPr>
        <w:t xml:space="preserve">sets out an assessment of dwelling type and mix for future </w:t>
      </w:r>
      <w:r w:rsidRPr="0067297E">
        <w:rPr>
          <w:rFonts w:asciiTheme="minorHAnsi" w:hAnsiTheme="minorHAnsi" w:cs="Calibri"/>
          <w:lang w:val="en-GB"/>
        </w:rPr>
        <w:t>housing development within the b</w:t>
      </w:r>
      <w:r w:rsidR="0054503A" w:rsidRPr="0067297E">
        <w:rPr>
          <w:rFonts w:asciiTheme="minorHAnsi" w:hAnsiTheme="minorHAnsi" w:cs="Calibri"/>
          <w:lang w:val="en-GB"/>
        </w:rPr>
        <w:t>orough; and</w:t>
      </w:r>
    </w:p>
    <w:p w14:paraId="2472B90A" w14:textId="35CF1011" w:rsidR="000D029A" w:rsidRPr="0067297E" w:rsidRDefault="009C3189">
      <w:pPr>
        <w:pStyle w:val="bullet"/>
        <w:rPr>
          <w:rFonts w:asciiTheme="minorHAnsi" w:hAnsiTheme="minorHAnsi" w:cs="Calibri"/>
        </w:rPr>
      </w:pPr>
      <w:r w:rsidRPr="0067297E">
        <w:rPr>
          <w:rFonts w:asciiTheme="minorHAnsi" w:hAnsiTheme="minorHAnsi" w:cs="Calibri"/>
          <w:b/>
          <w:lang w:val="en-GB"/>
        </w:rPr>
        <w:t xml:space="preserve">Chapter </w:t>
      </w:r>
      <w:r w:rsidR="00AC3D92" w:rsidRPr="0067297E">
        <w:rPr>
          <w:rFonts w:asciiTheme="minorHAnsi" w:hAnsiTheme="minorHAnsi" w:cs="Calibri"/>
          <w:b/>
          <w:lang w:val="en-GB"/>
        </w:rPr>
        <w:t xml:space="preserve">8 </w:t>
      </w:r>
      <w:r w:rsidR="000D029A" w:rsidRPr="0067297E">
        <w:rPr>
          <w:rFonts w:asciiTheme="minorHAnsi" w:hAnsiTheme="minorHAnsi" w:cs="Calibri"/>
        </w:rPr>
        <w:t>concludes the report with</w:t>
      </w:r>
      <w:r w:rsidR="00E63CD0" w:rsidRPr="0067297E">
        <w:rPr>
          <w:rFonts w:asciiTheme="minorHAnsi" w:hAnsiTheme="minorHAnsi" w:cs="Calibri"/>
        </w:rPr>
        <w:t xml:space="preserve"> a summary of findings </w:t>
      </w:r>
      <w:r w:rsidR="000D029A" w:rsidRPr="0067297E">
        <w:rPr>
          <w:rFonts w:asciiTheme="minorHAnsi" w:hAnsiTheme="minorHAnsi" w:cs="Calibri"/>
        </w:rPr>
        <w:t>and a consideration of strategic issues.</w:t>
      </w:r>
    </w:p>
    <w:p w14:paraId="60317059" w14:textId="016A7ABA" w:rsidR="00CC5CC3" w:rsidRPr="0067297E" w:rsidRDefault="005372A5" w:rsidP="002C70BC">
      <w:pPr>
        <w:pStyle w:val="Reporttext"/>
        <w:numPr>
          <w:ilvl w:val="1"/>
          <w:numId w:val="39"/>
        </w:numPr>
        <w:rPr>
          <w:rFonts w:asciiTheme="minorHAnsi" w:hAnsiTheme="minorHAnsi" w:cs="Calibri"/>
        </w:rPr>
      </w:pPr>
      <w:r w:rsidRPr="0067297E">
        <w:rPr>
          <w:rFonts w:asciiTheme="minorHAnsi" w:hAnsiTheme="minorHAnsi" w:cs="Calibri"/>
          <w:lang w:val="en-GB"/>
        </w:rPr>
        <w:t xml:space="preserve">A </w:t>
      </w:r>
      <w:r w:rsidR="00CC5CC3" w:rsidRPr="0067297E">
        <w:rPr>
          <w:rFonts w:asciiTheme="minorHAnsi" w:hAnsiTheme="minorHAnsi" w:cs="Calibri"/>
        </w:rPr>
        <w:t>technical appendix, provides detailed material that underpins</w:t>
      </w:r>
      <w:r w:rsidR="00F14081" w:rsidRPr="0067297E">
        <w:rPr>
          <w:rFonts w:asciiTheme="minorHAnsi" w:hAnsiTheme="minorHAnsi" w:cs="Calibri"/>
        </w:rPr>
        <w:t xml:space="preserve"> the core outputs of </w:t>
      </w:r>
      <w:r w:rsidR="00CB17DE" w:rsidRPr="0067297E">
        <w:rPr>
          <w:rFonts w:asciiTheme="minorHAnsi" w:hAnsiTheme="minorHAnsi" w:cs="Calibri"/>
          <w:lang w:val="en-GB"/>
        </w:rPr>
        <w:t>this report</w:t>
      </w:r>
      <w:r w:rsidR="00F14081" w:rsidRPr="0067297E">
        <w:rPr>
          <w:rFonts w:asciiTheme="minorHAnsi" w:hAnsiTheme="minorHAnsi" w:cs="Calibri"/>
        </w:rPr>
        <w:t xml:space="preserve">. </w:t>
      </w:r>
      <w:r w:rsidR="00CC5CC3" w:rsidRPr="0067297E">
        <w:rPr>
          <w:rFonts w:asciiTheme="minorHAnsi" w:hAnsiTheme="minorHAnsi" w:cs="Calibri"/>
        </w:rPr>
        <w:t>The technical appendix includes:</w:t>
      </w:r>
    </w:p>
    <w:p w14:paraId="71A176D4" w14:textId="6CF2DB9A" w:rsidR="00394330" w:rsidRPr="0067297E" w:rsidRDefault="005372A5">
      <w:pPr>
        <w:pStyle w:val="bullet"/>
        <w:rPr>
          <w:rFonts w:asciiTheme="minorHAnsi" w:hAnsiTheme="minorHAnsi" w:cs="Calibri"/>
        </w:rPr>
      </w:pPr>
      <w:r w:rsidRPr="0067297E">
        <w:rPr>
          <w:rFonts w:asciiTheme="minorHAnsi" w:hAnsiTheme="minorHAnsi" w:cs="Calibri"/>
          <w:lang w:val="en-GB"/>
        </w:rPr>
        <w:t>a p</w:t>
      </w:r>
      <w:r w:rsidR="00394330" w:rsidRPr="0067297E">
        <w:rPr>
          <w:rFonts w:asciiTheme="minorHAnsi" w:hAnsiTheme="minorHAnsi" w:cs="Calibri"/>
          <w:lang w:val="en-GB"/>
        </w:rPr>
        <w:t xml:space="preserve">olicy review (Appendix </w:t>
      </w:r>
      <w:r w:rsidR="00DF121C" w:rsidRPr="0067297E">
        <w:rPr>
          <w:rFonts w:asciiTheme="minorHAnsi" w:hAnsiTheme="minorHAnsi" w:cs="Calibri"/>
          <w:lang w:val="en-GB"/>
        </w:rPr>
        <w:t>A</w:t>
      </w:r>
      <w:r w:rsidR="00394330" w:rsidRPr="0067297E">
        <w:rPr>
          <w:rFonts w:asciiTheme="minorHAnsi" w:hAnsiTheme="minorHAnsi" w:cs="Calibri"/>
          <w:lang w:val="en-GB"/>
        </w:rPr>
        <w:t>);</w:t>
      </w:r>
    </w:p>
    <w:p w14:paraId="5A589A73" w14:textId="0CF02C9D" w:rsidR="00CC5CC3" w:rsidRPr="0067297E" w:rsidRDefault="00F4470D">
      <w:pPr>
        <w:pStyle w:val="bullet"/>
        <w:rPr>
          <w:rFonts w:asciiTheme="minorHAnsi" w:hAnsiTheme="minorHAnsi" w:cs="Calibri"/>
        </w:rPr>
      </w:pPr>
      <w:r w:rsidRPr="0067297E">
        <w:rPr>
          <w:rFonts w:asciiTheme="minorHAnsi" w:hAnsiTheme="minorHAnsi" w:cs="Calibri"/>
          <w:lang w:val="en-GB"/>
        </w:rPr>
        <w:t>ho</w:t>
      </w:r>
      <w:r w:rsidR="00E63205" w:rsidRPr="0067297E">
        <w:rPr>
          <w:rFonts w:asciiTheme="minorHAnsi" w:hAnsiTheme="minorHAnsi" w:cs="Calibri"/>
        </w:rPr>
        <w:t xml:space="preserve">using need </w:t>
      </w:r>
      <w:r w:rsidR="00394330" w:rsidRPr="0067297E">
        <w:rPr>
          <w:rFonts w:asciiTheme="minorHAnsi" w:hAnsiTheme="minorHAnsi" w:cs="Calibri"/>
          <w:lang w:val="en-GB"/>
        </w:rPr>
        <w:t xml:space="preserve">calculations </w:t>
      </w:r>
      <w:r w:rsidR="00E63205" w:rsidRPr="0067297E">
        <w:rPr>
          <w:rFonts w:asciiTheme="minorHAnsi" w:hAnsiTheme="minorHAnsi" w:cs="Calibri"/>
        </w:rPr>
        <w:t xml:space="preserve">(Appendix </w:t>
      </w:r>
      <w:r w:rsidR="00DF121C" w:rsidRPr="0067297E">
        <w:rPr>
          <w:rFonts w:asciiTheme="minorHAnsi" w:hAnsiTheme="minorHAnsi" w:cs="Calibri"/>
          <w:lang w:val="en-GB"/>
        </w:rPr>
        <w:t>B</w:t>
      </w:r>
      <w:r w:rsidR="00AC3A2D" w:rsidRPr="0067297E">
        <w:rPr>
          <w:rFonts w:asciiTheme="minorHAnsi" w:hAnsiTheme="minorHAnsi" w:cs="Calibri"/>
        </w:rPr>
        <w:t>);</w:t>
      </w:r>
    </w:p>
    <w:p w14:paraId="2E8C6661" w14:textId="53D051C1" w:rsidR="00066EF9" w:rsidRPr="0067297E" w:rsidRDefault="005372A5">
      <w:pPr>
        <w:pStyle w:val="bullet"/>
        <w:rPr>
          <w:rFonts w:asciiTheme="minorHAnsi" w:hAnsiTheme="minorHAnsi" w:cs="Calibri"/>
        </w:rPr>
      </w:pPr>
      <w:r w:rsidRPr="0067297E">
        <w:rPr>
          <w:rFonts w:asciiTheme="minorHAnsi" w:hAnsiTheme="minorHAnsi" w:cs="Calibri"/>
          <w:lang w:val="en-GB"/>
        </w:rPr>
        <w:t>s</w:t>
      </w:r>
      <w:r w:rsidR="00066EF9" w:rsidRPr="0067297E">
        <w:rPr>
          <w:rFonts w:asciiTheme="minorHAnsi" w:hAnsiTheme="minorHAnsi" w:cs="Calibri"/>
          <w:lang w:val="en-GB"/>
        </w:rPr>
        <w:t xml:space="preserve">takeholder survey </w:t>
      </w:r>
      <w:r w:rsidRPr="0067297E">
        <w:rPr>
          <w:rFonts w:asciiTheme="minorHAnsi" w:hAnsiTheme="minorHAnsi" w:cs="Calibri"/>
          <w:lang w:val="en-GB"/>
        </w:rPr>
        <w:t xml:space="preserve">detailed findings </w:t>
      </w:r>
      <w:r w:rsidR="00066EF9" w:rsidRPr="0067297E">
        <w:rPr>
          <w:rFonts w:asciiTheme="minorHAnsi" w:hAnsiTheme="minorHAnsi" w:cs="Calibri"/>
          <w:lang w:val="en-GB"/>
        </w:rPr>
        <w:t xml:space="preserve">(Appendix </w:t>
      </w:r>
      <w:r w:rsidR="00CB17DE" w:rsidRPr="0067297E">
        <w:rPr>
          <w:rFonts w:asciiTheme="minorHAnsi" w:hAnsiTheme="minorHAnsi" w:cs="Calibri"/>
          <w:lang w:val="en-GB"/>
        </w:rPr>
        <w:t>C</w:t>
      </w:r>
      <w:r w:rsidR="00066EF9" w:rsidRPr="0067297E">
        <w:rPr>
          <w:rFonts w:asciiTheme="minorHAnsi" w:hAnsiTheme="minorHAnsi" w:cs="Calibri"/>
          <w:lang w:val="en-GB"/>
        </w:rPr>
        <w:t>)</w:t>
      </w:r>
      <w:r w:rsidR="00953B93" w:rsidRPr="0067297E">
        <w:rPr>
          <w:rFonts w:asciiTheme="minorHAnsi" w:hAnsiTheme="minorHAnsi" w:cs="Calibri"/>
          <w:lang w:val="en-GB"/>
        </w:rPr>
        <w:t>;</w:t>
      </w:r>
    </w:p>
    <w:p w14:paraId="7C87D704" w14:textId="059360EE" w:rsidR="00CB17DE" w:rsidRPr="0067297E" w:rsidRDefault="005372A5">
      <w:pPr>
        <w:pStyle w:val="bullet"/>
        <w:rPr>
          <w:rFonts w:asciiTheme="minorHAnsi" w:hAnsiTheme="minorHAnsi" w:cs="Calibri"/>
        </w:rPr>
      </w:pPr>
      <w:bookmarkStart w:id="107" w:name="_Toc225847840"/>
      <w:bookmarkStart w:id="108" w:name="_Toc225941497"/>
      <w:bookmarkStart w:id="109" w:name="_Toc225847841"/>
      <w:bookmarkStart w:id="110" w:name="_Toc225941498"/>
      <w:bookmarkStart w:id="111" w:name="_Toc225847851"/>
      <w:bookmarkStart w:id="112" w:name="_Toc225941508"/>
      <w:bookmarkStart w:id="113" w:name="_Toc225941509"/>
      <w:bookmarkEnd w:id="107"/>
      <w:bookmarkEnd w:id="108"/>
      <w:bookmarkEnd w:id="109"/>
      <w:bookmarkEnd w:id="110"/>
      <w:bookmarkEnd w:id="111"/>
      <w:bookmarkEnd w:id="112"/>
      <w:r w:rsidRPr="0067297E">
        <w:rPr>
          <w:rFonts w:asciiTheme="minorHAnsi" w:hAnsiTheme="minorHAnsi" w:cs="Calibri"/>
          <w:lang w:val="en-GB"/>
        </w:rPr>
        <w:t>detailed p</w:t>
      </w:r>
      <w:r w:rsidR="00AC3D92" w:rsidRPr="0067297E">
        <w:rPr>
          <w:rFonts w:asciiTheme="minorHAnsi" w:hAnsiTheme="minorHAnsi" w:cs="Calibri"/>
          <w:lang w:val="en-GB"/>
        </w:rPr>
        <w:t xml:space="preserve">rivate </w:t>
      </w:r>
      <w:r w:rsidRPr="0067297E">
        <w:rPr>
          <w:rFonts w:asciiTheme="minorHAnsi" w:hAnsiTheme="minorHAnsi" w:cs="Calibri"/>
          <w:lang w:val="en-GB"/>
        </w:rPr>
        <w:t>r</w:t>
      </w:r>
      <w:r w:rsidR="00AC3D92" w:rsidRPr="0067297E">
        <w:rPr>
          <w:rFonts w:asciiTheme="minorHAnsi" w:hAnsiTheme="minorHAnsi" w:cs="Calibri"/>
          <w:lang w:val="en-GB"/>
        </w:rPr>
        <w:t xml:space="preserve">ented </w:t>
      </w:r>
      <w:r w:rsidRPr="0067297E">
        <w:rPr>
          <w:rFonts w:asciiTheme="minorHAnsi" w:hAnsiTheme="minorHAnsi" w:cs="Calibri"/>
          <w:lang w:val="en-GB"/>
        </w:rPr>
        <w:t>s</w:t>
      </w:r>
      <w:r w:rsidR="00AC3D92" w:rsidRPr="0067297E">
        <w:rPr>
          <w:rFonts w:asciiTheme="minorHAnsi" w:hAnsiTheme="minorHAnsi" w:cs="Calibri"/>
          <w:lang w:val="en-GB"/>
        </w:rPr>
        <w:t xml:space="preserve">ector </w:t>
      </w:r>
      <w:r w:rsidRPr="0067297E">
        <w:rPr>
          <w:rFonts w:asciiTheme="minorHAnsi" w:hAnsiTheme="minorHAnsi" w:cs="Calibri"/>
          <w:lang w:val="en-GB"/>
        </w:rPr>
        <w:t xml:space="preserve">analysis </w:t>
      </w:r>
      <w:r w:rsidR="00AC3D92" w:rsidRPr="0067297E">
        <w:rPr>
          <w:rFonts w:asciiTheme="minorHAnsi" w:hAnsiTheme="minorHAnsi" w:cs="Calibri"/>
          <w:lang w:val="en-GB"/>
        </w:rPr>
        <w:t xml:space="preserve">(Appendix </w:t>
      </w:r>
      <w:r w:rsidR="00CB17DE" w:rsidRPr="0067297E">
        <w:rPr>
          <w:rFonts w:asciiTheme="minorHAnsi" w:hAnsiTheme="minorHAnsi" w:cs="Calibri"/>
          <w:lang w:val="en-GB"/>
        </w:rPr>
        <w:t>D</w:t>
      </w:r>
      <w:r w:rsidR="00AC3D92" w:rsidRPr="0067297E">
        <w:rPr>
          <w:rFonts w:asciiTheme="minorHAnsi" w:hAnsiTheme="minorHAnsi" w:cs="Calibri"/>
          <w:lang w:val="en-GB"/>
        </w:rPr>
        <w:t>)</w:t>
      </w:r>
      <w:r w:rsidR="00CB17DE" w:rsidRPr="0067297E">
        <w:rPr>
          <w:rFonts w:asciiTheme="minorHAnsi" w:hAnsiTheme="minorHAnsi" w:cs="Calibri"/>
          <w:lang w:val="en-GB"/>
        </w:rPr>
        <w:t>; and</w:t>
      </w:r>
      <w:r w:rsidR="00CB17DE" w:rsidRPr="0067297E">
        <w:rPr>
          <w:rFonts w:asciiTheme="minorHAnsi" w:hAnsiTheme="minorHAnsi" w:cs="Calibri"/>
        </w:rPr>
        <w:t xml:space="preserve"> </w:t>
      </w:r>
    </w:p>
    <w:p w14:paraId="5B4057C0" w14:textId="77E7B4B4" w:rsidR="00CC5CC3" w:rsidRPr="0067297E" w:rsidRDefault="005372A5">
      <w:pPr>
        <w:pStyle w:val="bullet"/>
        <w:rPr>
          <w:rFonts w:asciiTheme="minorHAnsi" w:hAnsiTheme="minorHAnsi" w:cs="Calibri"/>
        </w:rPr>
      </w:pPr>
      <w:r w:rsidRPr="0067297E">
        <w:rPr>
          <w:rFonts w:asciiTheme="minorHAnsi" w:hAnsiTheme="minorHAnsi" w:cs="Calibri"/>
          <w:lang w:val="en-GB"/>
        </w:rPr>
        <w:t>a g</w:t>
      </w:r>
      <w:r w:rsidR="00CB17DE" w:rsidRPr="0067297E">
        <w:rPr>
          <w:rFonts w:asciiTheme="minorHAnsi" w:hAnsiTheme="minorHAnsi" w:cs="Calibri"/>
          <w:lang w:val="en-GB"/>
        </w:rPr>
        <w:t xml:space="preserve">lossary of </w:t>
      </w:r>
      <w:r w:rsidRPr="0067297E">
        <w:rPr>
          <w:rFonts w:asciiTheme="minorHAnsi" w:hAnsiTheme="minorHAnsi" w:cs="Calibri"/>
          <w:lang w:val="en-GB"/>
        </w:rPr>
        <w:t>t</w:t>
      </w:r>
      <w:r w:rsidR="00CB17DE" w:rsidRPr="0067297E">
        <w:rPr>
          <w:rFonts w:asciiTheme="minorHAnsi" w:hAnsiTheme="minorHAnsi" w:cs="Calibri"/>
          <w:lang w:val="en-GB"/>
        </w:rPr>
        <w:t>erms (Appendix E).</w:t>
      </w:r>
      <w:r w:rsidR="00CC5CC3" w:rsidRPr="0067297E">
        <w:rPr>
          <w:rFonts w:asciiTheme="minorHAnsi" w:hAnsiTheme="minorHAnsi" w:cs="Calibri"/>
        </w:rPr>
        <w:br w:type="page"/>
      </w:r>
      <w:bookmarkStart w:id="114" w:name="_Toc177981221"/>
      <w:bookmarkStart w:id="115" w:name="_Toc179707418"/>
      <w:bookmarkStart w:id="116" w:name="_Toc179866243"/>
      <w:bookmarkStart w:id="117" w:name="_Toc179889247"/>
      <w:bookmarkStart w:id="118" w:name="_Toc179898441"/>
      <w:bookmarkStart w:id="119" w:name="_Toc180919692"/>
      <w:bookmarkStart w:id="120" w:name="_Toc180982870"/>
      <w:bookmarkStart w:id="121" w:name="_Toc184198248"/>
      <w:bookmarkStart w:id="122" w:name="_Toc211168718"/>
      <w:bookmarkStart w:id="123" w:name="_Toc212639306"/>
      <w:bookmarkStart w:id="124" w:name="_Toc214433409"/>
      <w:bookmarkStart w:id="125" w:name="_Toc122427224"/>
      <w:bookmarkStart w:id="126" w:name="_Toc171741150"/>
      <w:bookmarkStart w:id="127" w:name="_Toc171741220"/>
      <w:bookmarkEnd w:id="113"/>
    </w:p>
    <w:p w14:paraId="4E7349A6" w14:textId="77777777" w:rsidR="008E08D4" w:rsidRPr="0067297E" w:rsidRDefault="00CC5CC3">
      <w:pPr>
        <w:pStyle w:val="Heading1"/>
        <w:rPr>
          <w:rFonts w:asciiTheme="minorHAnsi" w:hAnsiTheme="minorHAnsi" w:cs="Calibri"/>
        </w:rPr>
      </w:pPr>
      <w:bookmarkStart w:id="128" w:name="_Toc326091197"/>
      <w:bookmarkStart w:id="129" w:name="_Toc397090856"/>
      <w:bookmarkStart w:id="130" w:name="_Toc428528463"/>
      <w:bookmarkStart w:id="131" w:name="_Toc430084556"/>
      <w:bookmarkStart w:id="132" w:name="_Toc430782010"/>
      <w:bookmarkStart w:id="133" w:name="_Toc399864327"/>
      <w:bookmarkStart w:id="134" w:name="_Toc1385737"/>
      <w:bookmarkStart w:id="135" w:name="_Toc23151051"/>
      <w:r w:rsidRPr="0067297E">
        <w:rPr>
          <w:rFonts w:asciiTheme="minorHAnsi" w:hAnsiTheme="minorHAnsi" w:cs="Calibri"/>
        </w:rPr>
        <w:lastRenderedPageBreak/>
        <w:t>Policy and strategic revie</w:t>
      </w:r>
      <w:bookmarkStart w:id="136" w:name="_Toc225941524"/>
      <w:bookmarkEnd w:id="114"/>
      <w:bookmarkEnd w:id="115"/>
      <w:bookmarkEnd w:id="116"/>
      <w:bookmarkEnd w:id="117"/>
      <w:bookmarkEnd w:id="118"/>
      <w:bookmarkEnd w:id="119"/>
      <w:bookmarkEnd w:id="120"/>
      <w:bookmarkEnd w:id="121"/>
      <w:bookmarkEnd w:id="122"/>
      <w:bookmarkEnd w:id="123"/>
      <w:bookmarkEnd w:id="124"/>
      <w:bookmarkEnd w:id="128"/>
      <w:bookmarkEnd w:id="129"/>
      <w:bookmarkEnd w:id="130"/>
      <w:bookmarkEnd w:id="131"/>
      <w:bookmarkEnd w:id="132"/>
      <w:bookmarkEnd w:id="133"/>
      <w:r w:rsidR="001E17B0" w:rsidRPr="0067297E">
        <w:rPr>
          <w:rFonts w:asciiTheme="minorHAnsi" w:hAnsiTheme="minorHAnsi" w:cs="Calibri"/>
          <w:lang w:val="en-GB"/>
        </w:rPr>
        <w:t>w</w:t>
      </w:r>
      <w:bookmarkStart w:id="137" w:name="_Toc328213032"/>
      <w:bookmarkEnd w:id="134"/>
      <w:bookmarkEnd w:id="135"/>
    </w:p>
    <w:p w14:paraId="3F812C75" w14:textId="5C97F1C2" w:rsidR="00C60F83" w:rsidRPr="0067297E" w:rsidRDefault="00C60F83" w:rsidP="00543A76">
      <w:pPr>
        <w:pStyle w:val="Heading2"/>
        <w:rPr>
          <w:rFonts w:asciiTheme="minorHAnsi" w:hAnsiTheme="minorHAnsi" w:cs="Calibri"/>
          <w:lang w:val="en-GB"/>
        </w:rPr>
      </w:pPr>
      <w:bookmarkStart w:id="138" w:name="_Toc1385738"/>
      <w:bookmarkStart w:id="139" w:name="_Toc23151052"/>
      <w:bookmarkEnd w:id="137"/>
      <w:r w:rsidRPr="0067297E">
        <w:rPr>
          <w:rFonts w:asciiTheme="minorHAnsi" w:hAnsiTheme="minorHAnsi" w:cs="Calibri"/>
          <w:lang w:val="en-GB"/>
        </w:rPr>
        <w:t>Introduction</w:t>
      </w:r>
      <w:bookmarkEnd w:id="138"/>
      <w:bookmarkEnd w:id="139"/>
    </w:p>
    <w:p w14:paraId="03A2FE26" w14:textId="644366DC" w:rsidR="000E3484" w:rsidRPr="0067297E" w:rsidRDefault="000E3484" w:rsidP="002C70BC">
      <w:pPr>
        <w:pStyle w:val="Reporttext"/>
        <w:numPr>
          <w:ilvl w:val="1"/>
          <w:numId w:val="39"/>
        </w:numPr>
        <w:rPr>
          <w:rFonts w:asciiTheme="minorHAnsi" w:hAnsiTheme="minorHAnsi" w:cs="Calibri"/>
        </w:rPr>
      </w:pPr>
      <w:r w:rsidRPr="0067297E">
        <w:rPr>
          <w:rFonts w:asciiTheme="minorHAnsi" w:hAnsiTheme="minorHAnsi" w:cs="Calibri"/>
        </w:rPr>
        <w:t>The purpose of this chapter is to set out the policy and strategic context for housing delivery in</w:t>
      </w:r>
      <w:r w:rsidR="008A666B" w:rsidRPr="0067297E">
        <w:rPr>
          <w:rFonts w:asciiTheme="minorHAnsi" w:hAnsiTheme="minorHAnsi" w:cs="Calibri"/>
        </w:rPr>
        <w:t xml:space="preserve"> the</w:t>
      </w:r>
      <w:r w:rsidRPr="0067297E">
        <w:rPr>
          <w:rFonts w:asciiTheme="minorHAnsi" w:hAnsiTheme="minorHAnsi" w:cs="Calibri"/>
        </w:rPr>
        <w:t xml:space="preserve"> </w:t>
      </w:r>
      <w:r w:rsidR="009C3189" w:rsidRPr="0067297E">
        <w:rPr>
          <w:rFonts w:asciiTheme="minorHAnsi" w:hAnsiTheme="minorHAnsi" w:cs="Calibri"/>
          <w:lang w:val="en-GB"/>
        </w:rPr>
        <w:t>borough</w:t>
      </w:r>
      <w:r w:rsidRPr="0067297E">
        <w:rPr>
          <w:rFonts w:asciiTheme="minorHAnsi" w:hAnsiTheme="minorHAnsi" w:cs="Calibri"/>
        </w:rPr>
        <w:t>.</w:t>
      </w:r>
      <w:r w:rsidR="00C60F83" w:rsidRPr="0067297E">
        <w:rPr>
          <w:rFonts w:asciiTheme="minorHAnsi" w:hAnsiTheme="minorHAnsi" w:cs="Calibri"/>
        </w:rPr>
        <w:t xml:space="preserve"> It sets out the national and local strategic planning context. A comprehensive national policy review is set out at Appendix </w:t>
      </w:r>
      <w:r w:rsidR="000F7CC5" w:rsidRPr="0067297E">
        <w:rPr>
          <w:rFonts w:asciiTheme="minorHAnsi" w:hAnsiTheme="minorHAnsi" w:cs="Calibri"/>
          <w:lang w:val="en-GB"/>
        </w:rPr>
        <w:t>A</w:t>
      </w:r>
      <w:r w:rsidR="00C20E54" w:rsidRPr="0067297E">
        <w:rPr>
          <w:rFonts w:asciiTheme="minorHAnsi" w:hAnsiTheme="minorHAnsi" w:cs="Calibri"/>
        </w:rPr>
        <w:t>.</w:t>
      </w:r>
    </w:p>
    <w:p w14:paraId="1EFC9EFF" w14:textId="77777777" w:rsidR="00F678DE" w:rsidRPr="0067297E" w:rsidRDefault="00F678DE" w:rsidP="00543A76">
      <w:pPr>
        <w:rPr>
          <w:rFonts w:asciiTheme="minorHAnsi" w:hAnsiTheme="minorHAnsi"/>
          <w:lang w:val="x-none"/>
        </w:rPr>
      </w:pPr>
    </w:p>
    <w:p w14:paraId="5C6C5009" w14:textId="77777777" w:rsidR="00DE7365" w:rsidRPr="0067297E" w:rsidRDefault="00DE7365" w:rsidP="00543A76">
      <w:pPr>
        <w:pStyle w:val="Heading2"/>
        <w:rPr>
          <w:rFonts w:asciiTheme="minorHAnsi" w:hAnsiTheme="minorHAnsi" w:cs="Calibri"/>
          <w:lang w:val="en-GB"/>
        </w:rPr>
      </w:pPr>
      <w:bookmarkStart w:id="140" w:name="_Toc1385739"/>
      <w:bookmarkStart w:id="141" w:name="_Toc23151053"/>
      <w:r w:rsidRPr="0067297E">
        <w:rPr>
          <w:rFonts w:asciiTheme="minorHAnsi" w:hAnsiTheme="minorHAnsi" w:cs="Calibri"/>
          <w:lang w:val="en-GB"/>
        </w:rPr>
        <w:t>National context</w:t>
      </w:r>
      <w:bookmarkEnd w:id="140"/>
      <w:bookmarkEnd w:id="141"/>
    </w:p>
    <w:p w14:paraId="42475A56" w14:textId="77777777" w:rsidR="000E3484" w:rsidRPr="0067297E" w:rsidRDefault="000E3484" w:rsidP="00543A76">
      <w:pPr>
        <w:pStyle w:val="Reporttext"/>
        <w:rPr>
          <w:rFonts w:asciiTheme="minorHAnsi" w:hAnsiTheme="minorHAnsi" w:cs="Calibri"/>
        </w:rPr>
      </w:pPr>
      <w:r w:rsidRPr="0067297E">
        <w:rPr>
          <w:rFonts w:asciiTheme="minorHAnsi" w:hAnsiTheme="minorHAnsi" w:cs="Calibri"/>
        </w:rPr>
        <w:t xml:space="preserve">Under the previous Coalition Government, the </w:t>
      </w:r>
      <w:r w:rsidR="008A37D2" w:rsidRPr="0067297E">
        <w:rPr>
          <w:rFonts w:asciiTheme="minorHAnsi" w:hAnsiTheme="minorHAnsi" w:cs="Calibri"/>
          <w:lang w:val="en-GB"/>
        </w:rPr>
        <w:t>period</w:t>
      </w:r>
      <w:r w:rsidRPr="0067297E">
        <w:rPr>
          <w:rFonts w:asciiTheme="minorHAnsi" w:hAnsiTheme="minorHAnsi" w:cs="Calibri"/>
        </w:rPr>
        <w:t xml:space="preserve"> 2010-2015 saw a radical and sustained programme of reform of welfare, housing and planning policy, set within the context of national austerity and an economic policy of deficit reduction and public spending cuts. These reforms championed localism, decentralisation and economic growth. </w:t>
      </w:r>
    </w:p>
    <w:p w14:paraId="466172C1" w14:textId="5D6E8AD1" w:rsidR="00793C8E" w:rsidRPr="0067297E" w:rsidRDefault="00793C8E" w:rsidP="00543A76">
      <w:pPr>
        <w:pStyle w:val="Reporttext"/>
        <w:rPr>
          <w:rFonts w:asciiTheme="minorHAnsi" w:hAnsiTheme="minorHAnsi"/>
        </w:rPr>
      </w:pPr>
      <w:r w:rsidRPr="0067297E">
        <w:rPr>
          <w:rFonts w:asciiTheme="minorHAnsi" w:hAnsiTheme="minorHAnsi"/>
        </w:rPr>
        <w:t>This agenda continued to be pursued under the leadership of David Cameron following the election of a majority Conservative Government in May 2015. Further welfare reforms were accompanied by policies seeking to increase the rate of housebuilding and promoting home ownership as the tenure of choice. The Housing and Planning Act 2016 was intended to provide the legislative basis for a number of Conservative Manifesto commitments, including the flagship Starter Homes scheme. The Act also made provisions for other aspects of housing policy such as</w:t>
      </w:r>
      <w:r w:rsidR="00812810" w:rsidRPr="0067297E">
        <w:rPr>
          <w:rFonts w:asciiTheme="minorHAnsi" w:hAnsiTheme="minorHAnsi"/>
          <w:lang w:val="en-US"/>
        </w:rPr>
        <w:t xml:space="preserve"> </w:t>
      </w:r>
      <w:r w:rsidRPr="0067297E">
        <w:rPr>
          <w:rFonts w:asciiTheme="minorHAnsi" w:hAnsiTheme="minorHAnsi"/>
        </w:rPr>
        <w:t xml:space="preserve"> Right to Buy, high value sales and ending lifetime tenancies. </w:t>
      </w:r>
    </w:p>
    <w:p w14:paraId="237C23F7" w14:textId="14569D47" w:rsidR="00793C8E" w:rsidRPr="0067297E" w:rsidRDefault="00793C8E" w:rsidP="000256AC">
      <w:pPr>
        <w:pStyle w:val="Reporttext"/>
        <w:rPr>
          <w:rFonts w:asciiTheme="minorHAnsi" w:hAnsiTheme="minorHAnsi"/>
        </w:rPr>
      </w:pPr>
      <w:r w:rsidRPr="0067297E">
        <w:rPr>
          <w:rFonts w:asciiTheme="minorHAnsi" w:hAnsiTheme="minorHAnsi"/>
        </w:rPr>
        <w:t>The European Union Referendum of June 2016 resulted in significant changes in the political climate at a number of levels. Changes in Government leadership – with the appointment of Theresa May as Prime Minister – quickly led to discussions regarding the direction of housing and planning policy. Alongside significant delays (and in some cases abandonment) in the implementation of secondary legislation relating to aspects of the Housing and Planning Act 2016</w:t>
      </w:r>
      <w:r w:rsidR="00953B93" w:rsidRPr="0067297E">
        <w:rPr>
          <w:rFonts w:asciiTheme="minorHAnsi" w:hAnsiTheme="minorHAnsi"/>
          <w:lang w:val="en-GB"/>
        </w:rPr>
        <w:t>;</w:t>
      </w:r>
      <w:r w:rsidRPr="0067297E">
        <w:rPr>
          <w:rFonts w:asciiTheme="minorHAnsi" w:hAnsiTheme="minorHAnsi"/>
        </w:rPr>
        <w:t xml:space="preserve"> conference speeches, ministerial statements and the Housing White Paper (February 2017) indicate</w:t>
      </w:r>
      <w:r w:rsidRPr="0067297E">
        <w:rPr>
          <w:rFonts w:asciiTheme="minorHAnsi" w:hAnsiTheme="minorHAnsi"/>
          <w:lang w:val="en-GB"/>
        </w:rPr>
        <w:t>d</w:t>
      </w:r>
      <w:r w:rsidRPr="0067297E">
        <w:rPr>
          <w:rFonts w:asciiTheme="minorHAnsi" w:hAnsiTheme="minorHAnsi"/>
        </w:rPr>
        <w:t xml:space="preserve"> a change in attitude towards housing policy. The 2016-17 Administration </w:t>
      </w:r>
      <w:r w:rsidR="001B50FB" w:rsidRPr="0067297E">
        <w:rPr>
          <w:rFonts w:asciiTheme="minorHAnsi" w:hAnsiTheme="minorHAnsi"/>
        </w:rPr>
        <w:t>signal</w:t>
      </w:r>
      <w:r w:rsidR="005372A5" w:rsidRPr="0067297E">
        <w:rPr>
          <w:rFonts w:asciiTheme="minorHAnsi" w:hAnsiTheme="minorHAnsi"/>
          <w:lang w:val="en-GB"/>
        </w:rPr>
        <w:t>l</w:t>
      </w:r>
      <w:r w:rsidR="001B50FB" w:rsidRPr="0067297E">
        <w:rPr>
          <w:rFonts w:asciiTheme="minorHAnsi" w:hAnsiTheme="minorHAnsi"/>
        </w:rPr>
        <w:t>ed</w:t>
      </w:r>
      <w:r w:rsidRPr="0067297E">
        <w:rPr>
          <w:rFonts w:asciiTheme="minorHAnsi" w:hAnsiTheme="minorHAnsi"/>
        </w:rPr>
        <w:t xml:space="preserve"> a broader ‘multi-tenure’ housing strategy, including support for a range of tenures in addition to home ownership. The Neighbourhood Planning Act 2017 was passed with the intention of strengthening neighbourhood planning by ensuring </w:t>
      </w:r>
      <w:r w:rsidR="00953B93" w:rsidRPr="0067297E">
        <w:rPr>
          <w:rFonts w:asciiTheme="minorHAnsi" w:hAnsiTheme="minorHAnsi"/>
          <w:lang w:val="en-GB"/>
        </w:rPr>
        <w:t xml:space="preserve">that </w:t>
      </w:r>
      <w:r w:rsidRPr="0067297E">
        <w:rPr>
          <w:rFonts w:asciiTheme="minorHAnsi" w:hAnsiTheme="minorHAnsi"/>
        </w:rPr>
        <w:t>decision-makers take account of well-advanced neighbourhood development plans and giving these plans full legal weight at an earlier stage.</w:t>
      </w:r>
    </w:p>
    <w:p w14:paraId="6C7C8A01" w14:textId="1DFE1384" w:rsidR="00793C8E" w:rsidRPr="0067297E" w:rsidRDefault="00793C8E" w:rsidP="006C722F">
      <w:pPr>
        <w:pStyle w:val="Reporttext"/>
        <w:rPr>
          <w:rFonts w:asciiTheme="minorHAnsi" w:hAnsiTheme="minorHAnsi"/>
        </w:rPr>
      </w:pPr>
      <w:r w:rsidRPr="0067297E">
        <w:rPr>
          <w:rFonts w:asciiTheme="minorHAnsi" w:hAnsiTheme="minorHAnsi"/>
        </w:rPr>
        <w:t xml:space="preserve">The </w:t>
      </w:r>
      <w:r w:rsidR="00F4470D" w:rsidRPr="0067297E">
        <w:rPr>
          <w:rFonts w:asciiTheme="minorHAnsi" w:hAnsiTheme="minorHAnsi"/>
          <w:lang w:val="en-GB"/>
        </w:rPr>
        <w:t>general</w:t>
      </w:r>
      <w:r w:rsidRPr="0067297E">
        <w:rPr>
          <w:rFonts w:asciiTheme="minorHAnsi" w:hAnsiTheme="minorHAnsi"/>
        </w:rPr>
        <w:t xml:space="preserve"> </w:t>
      </w:r>
      <w:r w:rsidR="005372A5" w:rsidRPr="0067297E">
        <w:rPr>
          <w:rFonts w:asciiTheme="minorHAnsi" w:hAnsiTheme="minorHAnsi"/>
          <w:lang w:val="en-GB"/>
        </w:rPr>
        <w:t>e</w:t>
      </w:r>
      <w:r w:rsidRPr="0067297E">
        <w:rPr>
          <w:rFonts w:asciiTheme="minorHAnsi" w:hAnsiTheme="minorHAnsi"/>
        </w:rPr>
        <w:t xml:space="preserve">lection of June 2017 created a new wave of political change and uncertainty, although the overall Government leadership remains under Conservative control and ministers </w:t>
      </w:r>
      <w:r w:rsidR="0004316B" w:rsidRPr="0067297E">
        <w:rPr>
          <w:rFonts w:asciiTheme="minorHAnsi" w:hAnsiTheme="minorHAnsi"/>
          <w:lang w:val="en-GB"/>
        </w:rPr>
        <w:t>are</w:t>
      </w:r>
      <w:r w:rsidRPr="0067297E">
        <w:rPr>
          <w:rFonts w:asciiTheme="minorHAnsi" w:hAnsiTheme="minorHAnsi"/>
        </w:rPr>
        <w:t xml:space="preserve"> keen to keep housing as a key domestic policy priority.</w:t>
      </w:r>
      <w:r w:rsidR="0004316B" w:rsidRPr="0067297E">
        <w:rPr>
          <w:rFonts w:asciiTheme="minorHAnsi" w:hAnsiTheme="minorHAnsi"/>
          <w:lang w:val="en-GB"/>
        </w:rPr>
        <w:t xml:space="preserve"> The 2017-18 Administration witnessed continued efforts to boost home ownership amongst first-time buyers, with the Autumn Budget 2017 scrapping the first £300,000 of </w:t>
      </w:r>
      <w:r w:rsidR="005372A5" w:rsidRPr="0067297E">
        <w:rPr>
          <w:rFonts w:asciiTheme="minorHAnsi" w:hAnsiTheme="minorHAnsi"/>
          <w:lang w:val="en-GB"/>
        </w:rPr>
        <w:t>s</w:t>
      </w:r>
      <w:r w:rsidR="0004316B" w:rsidRPr="0067297E">
        <w:rPr>
          <w:rFonts w:asciiTheme="minorHAnsi" w:hAnsiTheme="minorHAnsi"/>
          <w:lang w:val="en-GB"/>
        </w:rPr>
        <w:t xml:space="preserve">tamp </w:t>
      </w:r>
      <w:r w:rsidR="005372A5" w:rsidRPr="0067297E">
        <w:rPr>
          <w:rFonts w:asciiTheme="minorHAnsi" w:hAnsiTheme="minorHAnsi"/>
          <w:lang w:val="en-GB"/>
        </w:rPr>
        <w:t>d</w:t>
      </w:r>
      <w:r w:rsidR="0004316B" w:rsidRPr="0067297E">
        <w:rPr>
          <w:rFonts w:asciiTheme="minorHAnsi" w:hAnsiTheme="minorHAnsi"/>
          <w:lang w:val="en-GB"/>
        </w:rPr>
        <w:t>uty. Significant planning policy developments also occurred during this Parliament, including the emergence and establishment of the new ‘standard method’ for the calculation of housing need figures at local authority level and the consultation and final publication of the Revised National Planning Policy Framework (NPPF 2018)</w:t>
      </w:r>
      <w:r w:rsidR="00D42764">
        <w:rPr>
          <w:rFonts w:asciiTheme="minorHAnsi" w:hAnsiTheme="minorHAnsi"/>
          <w:lang w:val="en-GB"/>
        </w:rPr>
        <w:t xml:space="preserve"> and </w:t>
      </w:r>
      <w:r w:rsidR="00D84CD5">
        <w:rPr>
          <w:rFonts w:asciiTheme="minorHAnsi" w:hAnsiTheme="minorHAnsi"/>
          <w:lang w:val="en-GB"/>
        </w:rPr>
        <w:t xml:space="preserve">its </w:t>
      </w:r>
      <w:r w:rsidR="00D42764">
        <w:rPr>
          <w:rFonts w:asciiTheme="minorHAnsi" w:hAnsiTheme="minorHAnsi"/>
          <w:lang w:val="en-GB"/>
        </w:rPr>
        <w:t>latest update in February 2019</w:t>
      </w:r>
      <w:r w:rsidR="0004316B" w:rsidRPr="0067297E">
        <w:rPr>
          <w:rFonts w:asciiTheme="minorHAnsi" w:hAnsiTheme="minorHAnsi"/>
          <w:lang w:val="en-GB"/>
        </w:rPr>
        <w:t>.</w:t>
      </w:r>
    </w:p>
    <w:p w14:paraId="00C728F3" w14:textId="5F279553" w:rsidR="000E3484" w:rsidRPr="0067297E" w:rsidRDefault="000E3484" w:rsidP="006C722F">
      <w:pPr>
        <w:pStyle w:val="Reporttext"/>
        <w:rPr>
          <w:rFonts w:asciiTheme="minorHAnsi" w:hAnsiTheme="minorHAnsi" w:cs="Calibri"/>
        </w:rPr>
      </w:pPr>
      <w:r w:rsidRPr="0067297E">
        <w:rPr>
          <w:rFonts w:asciiTheme="minorHAnsi" w:hAnsiTheme="minorHAnsi" w:cs="Calibri"/>
        </w:rPr>
        <w:lastRenderedPageBreak/>
        <w:t xml:space="preserve">A detailed national policy review is presented at Appendix </w:t>
      </w:r>
      <w:r w:rsidR="000F7CC5" w:rsidRPr="0067297E">
        <w:rPr>
          <w:rFonts w:asciiTheme="minorHAnsi" w:hAnsiTheme="minorHAnsi" w:cs="Calibri"/>
          <w:lang w:val="en-GB"/>
        </w:rPr>
        <w:t>A</w:t>
      </w:r>
      <w:r w:rsidRPr="0067297E">
        <w:rPr>
          <w:rFonts w:asciiTheme="minorHAnsi" w:hAnsiTheme="minorHAnsi" w:cs="Calibri"/>
        </w:rPr>
        <w:t>.</w:t>
      </w:r>
    </w:p>
    <w:p w14:paraId="737AAAFF" w14:textId="77777777" w:rsidR="008E08D4" w:rsidRPr="0067297E" w:rsidRDefault="008E08D4" w:rsidP="00FA273F">
      <w:pPr>
        <w:pStyle w:val="Reporttext"/>
        <w:numPr>
          <w:ilvl w:val="0"/>
          <w:numId w:val="0"/>
        </w:numPr>
        <w:ind w:left="709"/>
        <w:rPr>
          <w:rFonts w:asciiTheme="minorHAnsi" w:hAnsiTheme="minorHAnsi" w:cs="Calibri"/>
        </w:rPr>
      </w:pPr>
    </w:p>
    <w:p w14:paraId="43FEE5BC" w14:textId="77777777" w:rsidR="008E08D4" w:rsidRPr="0067297E" w:rsidRDefault="00DE7365" w:rsidP="00543A76">
      <w:pPr>
        <w:pStyle w:val="Heading2"/>
        <w:rPr>
          <w:rFonts w:asciiTheme="minorHAnsi" w:hAnsiTheme="minorHAnsi" w:cs="Calibri"/>
          <w:lang w:val="en-GB"/>
        </w:rPr>
      </w:pPr>
      <w:bookmarkStart w:id="142" w:name="_Toc1385740"/>
      <w:bookmarkStart w:id="143" w:name="_Toc23151054"/>
      <w:r w:rsidRPr="0067297E">
        <w:rPr>
          <w:rFonts w:asciiTheme="minorHAnsi" w:hAnsiTheme="minorHAnsi" w:cs="Calibri"/>
          <w:lang w:val="en-GB"/>
        </w:rPr>
        <w:t>Strategic context</w:t>
      </w:r>
      <w:bookmarkEnd w:id="142"/>
      <w:bookmarkEnd w:id="143"/>
    </w:p>
    <w:p w14:paraId="24C02E4C" w14:textId="77777777" w:rsidR="00326767" w:rsidRPr="0067297E" w:rsidRDefault="005C3619" w:rsidP="00543A76">
      <w:pPr>
        <w:keepNext/>
        <w:ind w:left="709"/>
        <w:outlineLvl w:val="2"/>
        <w:rPr>
          <w:rFonts w:asciiTheme="minorHAnsi" w:hAnsiTheme="minorHAnsi" w:cs="Calibri"/>
          <w:color w:val="009999"/>
          <w:sz w:val="28"/>
          <w:szCs w:val="28"/>
        </w:rPr>
      </w:pPr>
      <w:r w:rsidRPr="0067297E">
        <w:rPr>
          <w:rFonts w:asciiTheme="minorHAnsi" w:hAnsiTheme="minorHAnsi" w:cs="Calibri"/>
          <w:color w:val="009999"/>
          <w:sz w:val="28"/>
          <w:szCs w:val="28"/>
        </w:rPr>
        <w:t>London Plan</w:t>
      </w:r>
    </w:p>
    <w:p w14:paraId="7BBCDAA5" w14:textId="77777777" w:rsidR="00D622F0" w:rsidRPr="0067297E" w:rsidRDefault="00D622F0" w:rsidP="002C70BC">
      <w:pPr>
        <w:pStyle w:val="Reporttext"/>
        <w:numPr>
          <w:ilvl w:val="1"/>
          <w:numId w:val="21"/>
        </w:numPr>
        <w:rPr>
          <w:rFonts w:asciiTheme="minorHAnsi" w:hAnsiTheme="minorHAnsi" w:cs="Calibri"/>
        </w:rPr>
      </w:pPr>
      <w:r w:rsidRPr="0067297E">
        <w:rPr>
          <w:rFonts w:asciiTheme="minorHAnsi" w:hAnsiTheme="minorHAnsi" w:cs="Calibri"/>
          <w:lang w:val="en-GB"/>
        </w:rPr>
        <w:t>The London Plan i</w:t>
      </w:r>
      <w:r w:rsidR="00D60C4F" w:rsidRPr="0067297E">
        <w:rPr>
          <w:rFonts w:asciiTheme="minorHAnsi" w:hAnsiTheme="minorHAnsi" w:cs="Calibri"/>
          <w:lang w:val="en-GB"/>
        </w:rPr>
        <w:t>s the statutory Spatial D</w:t>
      </w:r>
      <w:r w:rsidRPr="0067297E">
        <w:rPr>
          <w:rFonts w:asciiTheme="minorHAnsi" w:hAnsiTheme="minorHAnsi" w:cs="Calibri"/>
          <w:lang w:val="en-GB"/>
        </w:rPr>
        <w:t>evelopment Strategy for Greater London</w:t>
      </w:r>
      <w:r w:rsidR="00A80CB3" w:rsidRPr="0067297E">
        <w:rPr>
          <w:rFonts w:asciiTheme="minorHAnsi" w:hAnsiTheme="minorHAnsi" w:cs="Calibri"/>
          <w:lang w:val="en-GB"/>
        </w:rPr>
        <w:t>, prepared by the Mayor of London</w:t>
      </w:r>
      <w:r w:rsidRPr="0067297E">
        <w:rPr>
          <w:rFonts w:asciiTheme="minorHAnsi" w:hAnsiTheme="minorHAnsi" w:cs="Calibri"/>
          <w:lang w:val="en-GB"/>
        </w:rPr>
        <w:t xml:space="preserve">. </w:t>
      </w:r>
    </w:p>
    <w:p w14:paraId="171CDF42" w14:textId="77777777" w:rsidR="00D622F0" w:rsidRPr="0067297E" w:rsidRDefault="00D622F0" w:rsidP="002C70BC">
      <w:pPr>
        <w:pStyle w:val="Reporttext"/>
        <w:numPr>
          <w:ilvl w:val="1"/>
          <w:numId w:val="21"/>
        </w:numPr>
        <w:rPr>
          <w:rFonts w:asciiTheme="minorHAnsi" w:hAnsiTheme="minorHAnsi" w:cs="Calibri"/>
        </w:rPr>
      </w:pPr>
      <w:r w:rsidRPr="0067297E">
        <w:rPr>
          <w:rFonts w:asciiTheme="minorHAnsi" w:hAnsiTheme="minorHAnsi" w:cs="Calibri"/>
          <w:lang w:val="en-GB"/>
        </w:rPr>
        <w:t>The London Plan 2016</w:t>
      </w:r>
      <w:r w:rsidR="00A80CB3" w:rsidRPr="0067297E">
        <w:rPr>
          <w:rFonts w:asciiTheme="minorHAnsi" w:hAnsiTheme="minorHAnsi" w:cs="Calibri"/>
          <w:lang w:val="en-GB"/>
        </w:rPr>
        <w:t xml:space="preserve"> (the London Plan consolidated with amendments since 2011) is the adopted development plan. It</w:t>
      </w:r>
      <w:r w:rsidR="005C3619" w:rsidRPr="0067297E">
        <w:rPr>
          <w:rFonts w:asciiTheme="minorHAnsi" w:hAnsiTheme="minorHAnsi" w:cs="Calibri"/>
          <w:lang w:val="en-GB"/>
        </w:rPr>
        <w:t xml:space="preserve"> sets </w:t>
      </w:r>
      <w:r w:rsidR="00981F7F" w:rsidRPr="0067297E">
        <w:rPr>
          <w:rFonts w:asciiTheme="minorHAnsi" w:hAnsiTheme="minorHAnsi" w:cs="Calibri"/>
          <w:lang w:val="en-GB"/>
        </w:rPr>
        <w:t>out an integrated framework for the development of the whole of London</w:t>
      </w:r>
      <w:r w:rsidR="00E173CE" w:rsidRPr="0067297E">
        <w:rPr>
          <w:rFonts w:asciiTheme="minorHAnsi" w:hAnsiTheme="minorHAnsi" w:cs="Calibri"/>
          <w:lang w:val="en-GB"/>
        </w:rPr>
        <w:t xml:space="preserve">, taking into account economic, environmental, transport and social factors. </w:t>
      </w:r>
    </w:p>
    <w:p w14:paraId="49ADAF6F" w14:textId="77777777" w:rsidR="00D622F0" w:rsidRPr="0067297E" w:rsidRDefault="00D622F0" w:rsidP="002C70BC">
      <w:pPr>
        <w:pStyle w:val="Reporttext"/>
        <w:numPr>
          <w:ilvl w:val="1"/>
          <w:numId w:val="21"/>
        </w:numPr>
        <w:rPr>
          <w:rFonts w:asciiTheme="minorHAnsi" w:hAnsiTheme="minorHAnsi" w:cs="Calibri"/>
        </w:rPr>
      </w:pPr>
      <w:r w:rsidRPr="0067297E">
        <w:rPr>
          <w:rFonts w:asciiTheme="minorHAnsi" w:hAnsiTheme="minorHAnsi" w:cs="Calibri"/>
          <w:lang w:val="en-GB"/>
        </w:rPr>
        <w:t xml:space="preserve">Policy 3.3, </w:t>
      </w:r>
      <w:r w:rsidRPr="0067297E">
        <w:rPr>
          <w:rFonts w:asciiTheme="minorHAnsi" w:hAnsiTheme="minorHAnsi" w:cs="Calibri"/>
          <w:i/>
          <w:lang w:val="en-GB"/>
        </w:rPr>
        <w:t xml:space="preserve">Increasing Housing </w:t>
      </w:r>
      <w:r w:rsidRPr="0067297E">
        <w:rPr>
          <w:rFonts w:asciiTheme="minorHAnsi" w:hAnsiTheme="minorHAnsi" w:cs="Calibri"/>
          <w:lang w:val="en-GB"/>
        </w:rPr>
        <w:t xml:space="preserve">Supply, sets out the need for more homes in London, </w:t>
      </w:r>
      <w:r w:rsidRPr="0067297E">
        <w:rPr>
          <w:rFonts w:asciiTheme="minorHAnsi" w:hAnsiTheme="minorHAnsi" w:cs="Calibri"/>
          <w:i/>
          <w:lang w:val="en-GB"/>
        </w:rPr>
        <w:t xml:space="preserve">‘in order to promote opportunity and provide a real choice for all Londoners in ways that meet their needs at a price they can </w:t>
      </w:r>
      <w:r w:rsidRPr="0067297E">
        <w:rPr>
          <w:rFonts w:asciiTheme="minorHAnsi" w:hAnsiTheme="minorHAnsi" w:cs="Calibri"/>
          <w:lang w:val="en-GB"/>
        </w:rPr>
        <w:t>afford’. The Policy sets out a target of at least an annual average of 42,000 net additional homes across London. For the ten-year period 2015-2025, this is also broken down by borough area (Table 3.1</w:t>
      </w:r>
      <w:r w:rsidR="003C4D9B" w:rsidRPr="0067297E">
        <w:rPr>
          <w:rFonts w:asciiTheme="minorHAnsi" w:hAnsiTheme="minorHAnsi" w:cs="Calibri"/>
          <w:lang w:val="en-GB"/>
        </w:rPr>
        <w:t xml:space="preserve"> of the London Plan</w:t>
      </w:r>
      <w:r w:rsidRPr="0067297E">
        <w:rPr>
          <w:rFonts w:asciiTheme="minorHAnsi" w:hAnsiTheme="minorHAnsi" w:cs="Calibri"/>
          <w:lang w:val="en-GB"/>
        </w:rPr>
        <w:t xml:space="preserve">). For the Borough of </w:t>
      </w:r>
      <w:r w:rsidR="003C4D9B" w:rsidRPr="0067297E">
        <w:rPr>
          <w:rFonts w:asciiTheme="minorHAnsi" w:hAnsiTheme="minorHAnsi" w:cs="Calibri"/>
          <w:lang w:val="en-GB"/>
        </w:rPr>
        <w:t>Lewisham</w:t>
      </w:r>
      <w:r w:rsidR="000639BC" w:rsidRPr="0067297E">
        <w:rPr>
          <w:rFonts w:asciiTheme="minorHAnsi" w:hAnsiTheme="minorHAnsi" w:cs="Calibri"/>
          <w:lang w:val="en-GB"/>
        </w:rPr>
        <w:t>, a ten-</w:t>
      </w:r>
      <w:r w:rsidRPr="0067297E">
        <w:rPr>
          <w:rFonts w:asciiTheme="minorHAnsi" w:hAnsiTheme="minorHAnsi" w:cs="Calibri"/>
          <w:lang w:val="en-GB"/>
        </w:rPr>
        <w:t xml:space="preserve">year target of </w:t>
      </w:r>
      <w:r w:rsidR="00C666D8" w:rsidRPr="0067297E">
        <w:rPr>
          <w:rFonts w:asciiTheme="minorHAnsi" w:hAnsiTheme="minorHAnsi" w:cs="Calibri"/>
          <w:lang w:val="en-GB"/>
        </w:rPr>
        <w:t>13,847</w:t>
      </w:r>
      <w:r w:rsidR="003C4D9B" w:rsidRPr="0067297E">
        <w:rPr>
          <w:rFonts w:asciiTheme="minorHAnsi" w:hAnsiTheme="minorHAnsi" w:cs="Calibri"/>
          <w:lang w:val="en-GB"/>
        </w:rPr>
        <w:t xml:space="preserve"> </w:t>
      </w:r>
      <w:r w:rsidRPr="0067297E">
        <w:rPr>
          <w:rFonts w:asciiTheme="minorHAnsi" w:hAnsiTheme="minorHAnsi" w:cs="Calibri"/>
          <w:lang w:val="en-GB"/>
        </w:rPr>
        <w:t xml:space="preserve">is set equating to an annual monitoring target of </w:t>
      </w:r>
      <w:r w:rsidR="00C666D8" w:rsidRPr="0067297E">
        <w:rPr>
          <w:rFonts w:asciiTheme="minorHAnsi" w:hAnsiTheme="minorHAnsi" w:cs="Calibri"/>
          <w:lang w:val="en-GB"/>
        </w:rPr>
        <w:t>1,385</w:t>
      </w:r>
      <w:r w:rsidRPr="0067297E">
        <w:rPr>
          <w:rFonts w:asciiTheme="minorHAnsi" w:hAnsiTheme="minorHAnsi" w:cs="Calibri"/>
          <w:lang w:val="en-GB"/>
        </w:rPr>
        <w:t>.</w:t>
      </w:r>
    </w:p>
    <w:p w14:paraId="2730019A" w14:textId="77777777" w:rsidR="00981F7F" w:rsidRPr="0067297E" w:rsidRDefault="00E173CE" w:rsidP="002C70BC">
      <w:pPr>
        <w:pStyle w:val="Reporttext"/>
        <w:numPr>
          <w:ilvl w:val="1"/>
          <w:numId w:val="21"/>
        </w:numPr>
        <w:rPr>
          <w:rFonts w:asciiTheme="minorHAnsi" w:hAnsiTheme="minorHAnsi" w:cs="Calibri"/>
        </w:rPr>
      </w:pPr>
      <w:r w:rsidRPr="0067297E">
        <w:rPr>
          <w:rFonts w:asciiTheme="minorHAnsi" w:hAnsiTheme="minorHAnsi" w:cs="Calibri"/>
          <w:lang w:val="en-GB"/>
        </w:rPr>
        <w:t xml:space="preserve">Opportunity Areas are identified in the London Plan as </w:t>
      </w:r>
      <w:r w:rsidR="00D622F0" w:rsidRPr="0067297E">
        <w:rPr>
          <w:rFonts w:asciiTheme="minorHAnsi" w:hAnsiTheme="minorHAnsi" w:cs="Calibri"/>
          <w:lang w:val="en-GB"/>
        </w:rPr>
        <w:t>places</w:t>
      </w:r>
      <w:r w:rsidRPr="0067297E">
        <w:rPr>
          <w:rFonts w:asciiTheme="minorHAnsi" w:hAnsiTheme="minorHAnsi" w:cs="Calibri"/>
          <w:lang w:val="en-GB"/>
        </w:rPr>
        <w:t xml:space="preserve"> that offer scope for change and growth, including new homes and jobs. The scope for growth is strongly linked to existing or potential transport improvements. The Opportunity Areas </w:t>
      </w:r>
      <w:r w:rsidR="00C666D8" w:rsidRPr="0067297E">
        <w:rPr>
          <w:rFonts w:asciiTheme="minorHAnsi" w:hAnsiTheme="minorHAnsi" w:cs="Calibri"/>
          <w:lang w:val="en-GB"/>
        </w:rPr>
        <w:t>that lie within (or partially within)</w:t>
      </w:r>
      <w:r w:rsidRPr="0067297E">
        <w:rPr>
          <w:rFonts w:asciiTheme="minorHAnsi" w:hAnsiTheme="minorHAnsi" w:cs="Calibri"/>
          <w:lang w:val="en-GB"/>
        </w:rPr>
        <w:t xml:space="preserve"> </w:t>
      </w:r>
      <w:r w:rsidR="003C4D9B" w:rsidRPr="0067297E">
        <w:rPr>
          <w:rFonts w:asciiTheme="minorHAnsi" w:hAnsiTheme="minorHAnsi" w:cs="Calibri"/>
          <w:lang w:val="en-GB"/>
        </w:rPr>
        <w:t>Lewisham</w:t>
      </w:r>
      <w:r w:rsidRPr="0067297E">
        <w:rPr>
          <w:rFonts w:asciiTheme="minorHAnsi" w:hAnsiTheme="minorHAnsi" w:cs="Calibri"/>
          <w:lang w:val="en-GB"/>
        </w:rPr>
        <w:t xml:space="preserve"> are:</w:t>
      </w:r>
    </w:p>
    <w:p w14:paraId="77BA4756" w14:textId="77777777" w:rsidR="00E173CE" w:rsidRPr="0067297E" w:rsidRDefault="00C666D8" w:rsidP="006C722F">
      <w:pPr>
        <w:pStyle w:val="bullet"/>
        <w:rPr>
          <w:rFonts w:asciiTheme="minorHAnsi" w:hAnsiTheme="minorHAnsi"/>
        </w:rPr>
      </w:pPr>
      <w:r w:rsidRPr="0067297E">
        <w:rPr>
          <w:rFonts w:asciiTheme="minorHAnsi" w:hAnsiTheme="minorHAnsi" w:cs="Calibri"/>
          <w:lang w:val="en-GB"/>
        </w:rPr>
        <w:t>Deptford Creek/Greenwich Riverside, and</w:t>
      </w:r>
    </w:p>
    <w:p w14:paraId="404F98A4" w14:textId="77777777" w:rsidR="00C666D8" w:rsidRPr="0067297E" w:rsidRDefault="001B2534" w:rsidP="006C722F">
      <w:pPr>
        <w:pStyle w:val="bullet"/>
        <w:rPr>
          <w:rFonts w:asciiTheme="minorHAnsi" w:hAnsiTheme="minorHAnsi"/>
        </w:rPr>
      </w:pPr>
      <w:r w:rsidRPr="0067297E">
        <w:rPr>
          <w:rFonts w:asciiTheme="minorHAnsi" w:hAnsiTheme="minorHAnsi" w:cs="Calibri"/>
          <w:lang w:val="en-GB"/>
        </w:rPr>
        <w:t>Lewisham, Catford and N</w:t>
      </w:r>
      <w:r w:rsidR="00C666D8" w:rsidRPr="0067297E">
        <w:rPr>
          <w:rFonts w:asciiTheme="minorHAnsi" w:hAnsiTheme="minorHAnsi" w:cs="Calibri"/>
          <w:lang w:val="en-GB"/>
        </w:rPr>
        <w:t>ew Cross.</w:t>
      </w:r>
    </w:p>
    <w:p w14:paraId="489FA2B8" w14:textId="77777777" w:rsidR="00E173CE" w:rsidRPr="0067297E" w:rsidRDefault="00C666D8" w:rsidP="002C70BC">
      <w:pPr>
        <w:pStyle w:val="Reporttext"/>
        <w:numPr>
          <w:ilvl w:val="1"/>
          <w:numId w:val="21"/>
        </w:numPr>
        <w:rPr>
          <w:rFonts w:asciiTheme="minorHAnsi" w:hAnsiTheme="minorHAnsi" w:cs="Calibri"/>
        </w:rPr>
      </w:pPr>
      <w:r w:rsidRPr="0067297E">
        <w:rPr>
          <w:rFonts w:asciiTheme="minorHAnsi" w:hAnsiTheme="minorHAnsi" w:cs="Calibri"/>
          <w:lang w:val="en-GB"/>
        </w:rPr>
        <w:t>A N</w:t>
      </w:r>
      <w:r w:rsidR="00D622F0" w:rsidRPr="0067297E">
        <w:rPr>
          <w:rFonts w:asciiTheme="minorHAnsi" w:hAnsiTheme="minorHAnsi" w:cs="Calibri"/>
          <w:lang w:val="en-GB"/>
        </w:rPr>
        <w:t>ew</w:t>
      </w:r>
      <w:r w:rsidR="00E173CE" w:rsidRPr="0067297E">
        <w:rPr>
          <w:rFonts w:asciiTheme="minorHAnsi" w:hAnsiTheme="minorHAnsi" w:cs="Calibri"/>
          <w:lang w:val="en-GB"/>
        </w:rPr>
        <w:t xml:space="preserve"> London Plan </w:t>
      </w:r>
      <w:r w:rsidR="00D622F0" w:rsidRPr="0067297E">
        <w:rPr>
          <w:rFonts w:asciiTheme="minorHAnsi" w:hAnsiTheme="minorHAnsi" w:cs="Calibri"/>
          <w:lang w:val="en-GB"/>
        </w:rPr>
        <w:t>is being developed</w:t>
      </w:r>
      <w:r w:rsidR="00A80CB3" w:rsidRPr="0067297E">
        <w:rPr>
          <w:rFonts w:asciiTheme="minorHAnsi" w:hAnsiTheme="minorHAnsi" w:cs="Calibri"/>
          <w:lang w:val="en-GB"/>
        </w:rPr>
        <w:t xml:space="preserve">. The Draft </w:t>
      </w:r>
      <w:r w:rsidR="003C4D9B" w:rsidRPr="0067297E">
        <w:rPr>
          <w:rFonts w:asciiTheme="minorHAnsi" w:hAnsiTheme="minorHAnsi" w:cs="Calibri"/>
          <w:lang w:val="en-GB"/>
        </w:rPr>
        <w:t xml:space="preserve">New </w:t>
      </w:r>
      <w:r w:rsidR="00A80CB3" w:rsidRPr="0067297E">
        <w:rPr>
          <w:rFonts w:asciiTheme="minorHAnsi" w:hAnsiTheme="minorHAnsi" w:cs="Calibri"/>
          <w:lang w:val="en-GB"/>
        </w:rPr>
        <w:t xml:space="preserve">London Plan 2017 is a material consideration in planning decisions. Published for consultation in December 2017, the Draft </w:t>
      </w:r>
      <w:r w:rsidR="003C4D9B" w:rsidRPr="0067297E">
        <w:rPr>
          <w:rFonts w:asciiTheme="minorHAnsi" w:hAnsiTheme="minorHAnsi" w:cs="Calibri"/>
          <w:lang w:val="en-GB"/>
        </w:rPr>
        <w:t xml:space="preserve">New </w:t>
      </w:r>
      <w:r w:rsidR="00A80CB3" w:rsidRPr="0067297E">
        <w:rPr>
          <w:rFonts w:asciiTheme="minorHAnsi" w:hAnsiTheme="minorHAnsi" w:cs="Calibri"/>
          <w:lang w:val="en-GB"/>
        </w:rPr>
        <w:t xml:space="preserve">London Plan has a Plan Period of 2019 to 2041. </w:t>
      </w:r>
    </w:p>
    <w:p w14:paraId="2F325033" w14:textId="77777777" w:rsidR="00A80CB3" w:rsidRPr="0067297E" w:rsidRDefault="00A80CB3" w:rsidP="002C70BC">
      <w:pPr>
        <w:pStyle w:val="Reporttext"/>
        <w:numPr>
          <w:ilvl w:val="1"/>
          <w:numId w:val="21"/>
        </w:numPr>
        <w:rPr>
          <w:rFonts w:asciiTheme="minorHAnsi" w:hAnsiTheme="minorHAnsi" w:cs="Calibri"/>
        </w:rPr>
      </w:pPr>
      <w:r w:rsidRPr="0067297E">
        <w:rPr>
          <w:rFonts w:asciiTheme="minorHAnsi" w:hAnsiTheme="minorHAnsi" w:cs="Calibri"/>
          <w:lang w:val="en-GB"/>
        </w:rPr>
        <w:t>The Draft</w:t>
      </w:r>
      <w:r w:rsidR="003C4D9B" w:rsidRPr="0067297E">
        <w:rPr>
          <w:rFonts w:asciiTheme="minorHAnsi" w:hAnsiTheme="minorHAnsi" w:cs="Calibri"/>
          <w:lang w:val="en-GB"/>
        </w:rPr>
        <w:t xml:space="preserve"> New</w:t>
      </w:r>
      <w:r w:rsidRPr="0067297E">
        <w:rPr>
          <w:rFonts w:asciiTheme="minorHAnsi" w:hAnsiTheme="minorHAnsi" w:cs="Calibri"/>
          <w:lang w:val="en-GB"/>
        </w:rPr>
        <w:t xml:space="preserve"> London Plan seeks to be ‘different’ to previous plans (paragraph 0.0.18):</w:t>
      </w:r>
    </w:p>
    <w:p w14:paraId="383B88D3" w14:textId="77777777" w:rsidR="00A80CB3" w:rsidRPr="0067297E" w:rsidRDefault="00A80CB3" w:rsidP="00FA273F">
      <w:pPr>
        <w:pStyle w:val="Reporttext"/>
        <w:numPr>
          <w:ilvl w:val="0"/>
          <w:numId w:val="0"/>
        </w:numPr>
        <w:ind w:left="709"/>
        <w:rPr>
          <w:rFonts w:asciiTheme="minorHAnsi" w:hAnsiTheme="minorHAnsi" w:cs="Calibri"/>
          <w:i/>
          <w:lang w:val="en-GB"/>
        </w:rPr>
      </w:pPr>
      <w:r w:rsidRPr="0067297E">
        <w:rPr>
          <w:rFonts w:asciiTheme="minorHAnsi" w:hAnsiTheme="minorHAnsi" w:cs="Calibri"/>
          <w:i/>
          <w:lang w:val="en-GB"/>
        </w:rPr>
        <w:t>‘It is more ambitious and focused than any previous Plans. The concept of Good Growth – growth that is socially and economically inclusive and environmentally sustainable – underpins the Plan and ensures that it is focused on sustainable development.’</w:t>
      </w:r>
    </w:p>
    <w:p w14:paraId="5EFCC764" w14:textId="77777777" w:rsidR="00A80CB3" w:rsidRPr="0067297E" w:rsidRDefault="00C666D8" w:rsidP="00543A76">
      <w:pPr>
        <w:pStyle w:val="Reporttext"/>
        <w:rPr>
          <w:rFonts w:asciiTheme="minorHAnsi" w:hAnsiTheme="minorHAnsi"/>
        </w:rPr>
      </w:pPr>
      <w:r w:rsidRPr="0067297E">
        <w:rPr>
          <w:rFonts w:asciiTheme="minorHAnsi" w:hAnsiTheme="minorHAnsi" w:cs="Calibri"/>
          <w:lang w:val="en-GB"/>
        </w:rPr>
        <w:t xml:space="preserve">Draft New London Plan </w:t>
      </w:r>
      <w:r w:rsidR="00A80CB3" w:rsidRPr="0067297E">
        <w:rPr>
          <w:rFonts w:asciiTheme="minorHAnsi" w:hAnsiTheme="minorHAnsi" w:cs="Calibri"/>
          <w:lang w:val="en-GB"/>
        </w:rPr>
        <w:t xml:space="preserve">Policy GG4, </w:t>
      </w:r>
      <w:r w:rsidR="00A80CB3" w:rsidRPr="0067297E">
        <w:rPr>
          <w:rFonts w:asciiTheme="minorHAnsi" w:hAnsiTheme="minorHAnsi" w:cs="Calibri"/>
          <w:i/>
          <w:lang w:val="en-GB"/>
        </w:rPr>
        <w:t>Delivering the homes Londoners need</w:t>
      </w:r>
      <w:r w:rsidR="00A80CB3" w:rsidRPr="0067297E">
        <w:rPr>
          <w:rFonts w:asciiTheme="minorHAnsi" w:hAnsiTheme="minorHAnsi" w:cs="Calibri"/>
          <w:lang w:val="en-GB"/>
        </w:rPr>
        <w:t>, seeks to create a housing market that works better for all Londoners. This includes ensuring that more homes are delivered and supporting the delivery of the strategic target of 50% of all new homes being ‘genuinely affordable’. The supporting text to Policy GG4 draws on the findings of the London Strategic Housing Market Assessment 2017, setting out that London needs 66,000 new homes each year for at least 20 years, of which 43,000 should be genuinely affordable.</w:t>
      </w:r>
    </w:p>
    <w:p w14:paraId="227A1EC6" w14:textId="4FFF37BE" w:rsidR="00A80CB3" w:rsidRPr="0067297E" w:rsidRDefault="00C666D8" w:rsidP="00543A76">
      <w:pPr>
        <w:pStyle w:val="Reporttext"/>
        <w:rPr>
          <w:rFonts w:asciiTheme="minorHAnsi" w:hAnsiTheme="minorHAnsi"/>
        </w:rPr>
      </w:pPr>
      <w:r w:rsidRPr="0067297E">
        <w:rPr>
          <w:rFonts w:asciiTheme="minorHAnsi" w:hAnsiTheme="minorHAnsi" w:cs="Calibri"/>
          <w:lang w:val="en-GB"/>
        </w:rPr>
        <w:t xml:space="preserve">Draft New London Plan </w:t>
      </w:r>
      <w:r w:rsidR="00A80CB3" w:rsidRPr="0067297E">
        <w:rPr>
          <w:rFonts w:asciiTheme="minorHAnsi" w:hAnsiTheme="minorHAnsi" w:cs="Calibri"/>
          <w:lang w:val="en-GB"/>
        </w:rPr>
        <w:t xml:space="preserve">Policy H1, </w:t>
      </w:r>
      <w:r w:rsidR="00A80CB3" w:rsidRPr="0067297E">
        <w:rPr>
          <w:rFonts w:asciiTheme="minorHAnsi" w:hAnsiTheme="minorHAnsi" w:cs="Calibri"/>
          <w:i/>
          <w:lang w:val="en-GB"/>
        </w:rPr>
        <w:t>Increasing housing supply</w:t>
      </w:r>
      <w:r w:rsidR="00C40A24" w:rsidRPr="0067297E">
        <w:rPr>
          <w:rFonts w:asciiTheme="minorHAnsi" w:hAnsiTheme="minorHAnsi" w:cs="Calibri"/>
          <w:lang w:val="en-GB"/>
        </w:rPr>
        <w:t>, sets out ten-y</w:t>
      </w:r>
      <w:r w:rsidR="00A80CB3" w:rsidRPr="0067297E">
        <w:rPr>
          <w:rFonts w:asciiTheme="minorHAnsi" w:hAnsiTheme="minorHAnsi" w:cs="Calibri"/>
          <w:lang w:val="en-GB"/>
        </w:rPr>
        <w:t>ear targets for net housing completions</w:t>
      </w:r>
      <w:r w:rsidR="00C40A24" w:rsidRPr="0067297E">
        <w:rPr>
          <w:rFonts w:asciiTheme="minorHAnsi" w:hAnsiTheme="minorHAnsi" w:cs="Calibri"/>
          <w:lang w:val="en-GB"/>
        </w:rPr>
        <w:t xml:space="preserve">. </w:t>
      </w:r>
      <w:r w:rsidR="003C4D9B" w:rsidRPr="0067297E">
        <w:rPr>
          <w:rFonts w:asciiTheme="minorHAnsi" w:hAnsiTheme="minorHAnsi" w:cs="Calibri"/>
          <w:lang w:val="en-GB"/>
        </w:rPr>
        <w:t>Lewisham’s</w:t>
      </w:r>
      <w:r w:rsidR="00C40A24" w:rsidRPr="0067297E">
        <w:rPr>
          <w:rFonts w:asciiTheme="minorHAnsi" w:hAnsiTheme="minorHAnsi" w:cs="Calibri"/>
          <w:lang w:val="en-GB"/>
        </w:rPr>
        <w:t xml:space="preserve"> ten-year target is </w:t>
      </w:r>
      <w:r w:rsidRPr="0067297E">
        <w:rPr>
          <w:rFonts w:asciiTheme="minorHAnsi" w:hAnsiTheme="minorHAnsi" w:cs="Calibri"/>
          <w:lang w:val="en-GB"/>
        </w:rPr>
        <w:t>21,</w:t>
      </w:r>
      <w:r w:rsidR="000E46DF">
        <w:rPr>
          <w:rFonts w:asciiTheme="minorHAnsi" w:hAnsiTheme="minorHAnsi" w:cs="Calibri"/>
          <w:lang w:val="en-GB"/>
        </w:rPr>
        <w:t>1</w:t>
      </w:r>
      <w:r w:rsidR="000E46DF" w:rsidRPr="0067297E">
        <w:rPr>
          <w:rFonts w:asciiTheme="minorHAnsi" w:hAnsiTheme="minorHAnsi" w:cs="Calibri"/>
          <w:lang w:val="en-GB"/>
        </w:rPr>
        <w:t xml:space="preserve">70 </w:t>
      </w:r>
      <w:r w:rsidR="00C40A24" w:rsidRPr="0067297E">
        <w:rPr>
          <w:rFonts w:asciiTheme="minorHAnsi" w:hAnsiTheme="minorHAnsi" w:cs="Calibri"/>
          <w:lang w:val="en-GB"/>
        </w:rPr>
        <w:t>completions, or an ann</w:t>
      </w:r>
      <w:r w:rsidR="003C4D9B" w:rsidRPr="0067297E">
        <w:rPr>
          <w:rFonts w:asciiTheme="minorHAnsi" w:hAnsiTheme="minorHAnsi" w:cs="Calibri"/>
          <w:lang w:val="en-GB"/>
        </w:rPr>
        <w:t xml:space="preserve">ualised average of </w:t>
      </w:r>
      <w:r w:rsidRPr="0067297E">
        <w:rPr>
          <w:rFonts w:asciiTheme="minorHAnsi" w:hAnsiTheme="minorHAnsi" w:cs="Calibri"/>
          <w:lang w:val="en-GB"/>
        </w:rPr>
        <w:t>2,117</w:t>
      </w:r>
      <w:r w:rsidR="003C4D9B" w:rsidRPr="0067297E">
        <w:rPr>
          <w:rFonts w:asciiTheme="minorHAnsi" w:hAnsiTheme="minorHAnsi" w:cs="Calibri"/>
          <w:lang w:val="en-GB"/>
        </w:rPr>
        <w:t xml:space="preserve"> </w:t>
      </w:r>
      <w:r w:rsidR="00C40A24" w:rsidRPr="0067297E">
        <w:rPr>
          <w:rFonts w:asciiTheme="minorHAnsi" w:hAnsiTheme="minorHAnsi" w:cs="Calibri"/>
          <w:lang w:val="en-GB"/>
        </w:rPr>
        <w:t>dwelling completions per year.</w:t>
      </w:r>
    </w:p>
    <w:p w14:paraId="5F7D1A22" w14:textId="77777777" w:rsidR="00B976A0" w:rsidRPr="0067297E" w:rsidRDefault="005C3619" w:rsidP="00543A76">
      <w:pPr>
        <w:pStyle w:val="Heading2"/>
        <w:rPr>
          <w:rFonts w:asciiTheme="minorHAnsi" w:hAnsiTheme="minorHAnsi" w:cs="Calibri"/>
          <w:lang w:val="en-GB"/>
        </w:rPr>
      </w:pPr>
      <w:bookmarkStart w:id="144" w:name="_Toc1385741"/>
      <w:bookmarkStart w:id="145" w:name="_Toc23151055"/>
      <w:bookmarkStart w:id="146" w:name="_Toc211168726"/>
      <w:bookmarkStart w:id="147" w:name="_Toc212639310"/>
      <w:bookmarkStart w:id="148" w:name="_Toc225941523"/>
      <w:bookmarkStart w:id="149" w:name="_Toc328213036"/>
      <w:r w:rsidRPr="0067297E">
        <w:rPr>
          <w:rFonts w:asciiTheme="minorHAnsi" w:hAnsiTheme="minorHAnsi" w:cs="Calibri"/>
          <w:lang w:val="en-GB"/>
        </w:rPr>
        <w:lastRenderedPageBreak/>
        <w:t>L</w:t>
      </w:r>
      <w:r w:rsidR="00DE7365" w:rsidRPr="0067297E">
        <w:rPr>
          <w:rFonts w:asciiTheme="minorHAnsi" w:hAnsiTheme="minorHAnsi" w:cs="Calibri"/>
          <w:lang w:val="en-GB"/>
        </w:rPr>
        <w:t>ocal context</w:t>
      </w:r>
      <w:bookmarkEnd w:id="144"/>
      <w:bookmarkEnd w:id="145"/>
    </w:p>
    <w:p w14:paraId="5D6072F3" w14:textId="77777777" w:rsidR="005C3619" w:rsidRPr="0067297E" w:rsidRDefault="005C3619" w:rsidP="00543A76">
      <w:pPr>
        <w:pStyle w:val="Reporttext"/>
        <w:rPr>
          <w:rFonts w:asciiTheme="minorHAnsi" w:hAnsiTheme="minorHAnsi" w:cs="Calibri"/>
        </w:rPr>
      </w:pPr>
      <w:r w:rsidRPr="0067297E">
        <w:rPr>
          <w:rFonts w:asciiTheme="minorHAnsi" w:hAnsiTheme="minorHAnsi" w:cs="Calibri"/>
          <w:lang w:val="en-GB"/>
        </w:rPr>
        <w:t>The South East London</w:t>
      </w:r>
      <w:r w:rsidRPr="0067297E">
        <w:rPr>
          <w:rFonts w:asciiTheme="minorHAnsi" w:hAnsiTheme="minorHAnsi" w:cs="Calibri"/>
        </w:rPr>
        <w:t xml:space="preserve"> </w:t>
      </w:r>
      <w:r w:rsidRPr="0067297E">
        <w:rPr>
          <w:rFonts w:asciiTheme="minorHAnsi" w:hAnsiTheme="minorHAnsi" w:cs="Calibri"/>
          <w:lang w:val="en-GB"/>
        </w:rPr>
        <w:t xml:space="preserve">Strategic Housing Market Assessment (SHMA) was undertaken by Cobweb Consulting on behalf of the South East London Housing Partnership (published in June 2014), covering the five boroughs of Bexley, Bromley, Greenwich, Lewisham and Southwark. The South East London SHMA identified a requirement for just under 7,200 </w:t>
      </w:r>
      <w:r w:rsidR="00AD57C4" w:rsidRPr="0067297E">
        <w:rPr>
          <w:rFonts w:asciiTheme="minorHAnsi" w:hAnsiTheme="minorHAnsi" w:cs="Calibri"/>
          <w:lang w:val="en-GB"/>
        </w:rPr>
        <w:t>dwellings</w:t>
      </w:r>
      <w:r w:rsidRPr="0067297E">
        <w:rPr>
          <w:rFonts w:asciiTheme="minorHAnsi" w:hAnsiTheme="minorHAnsi" w:cs="Calibri"/>
          <w:lang w:val="en-GB"/>
        </w:rPr>
        <w:t xml:space="preserve"> per annum over the 2011-2031 period. However, it also identified a backlog of unmet need for affordable housing in South East London, identified at around 55,500.</w:t>
      </w:r>
    </w:p>
    <w:p w14:paraId="5826C3FF" w14:textId="446FC66B" w:rsidR="00B976A0" w:rsidRPr="0067297E" w:rsidRDefault="007D6D57" w:rsidP="00543A76">
      <w:pPr>
        <w:pStyle w:val="Reporttext"/>
        <w:rPr>
          <w:rFonts w:asciiTheme="minorHAnsi" w:hAnsiTheme="minorHAnsi" w:cs="Calibri"/>
        </w:rPr>
      </w:pPr>
      <w:r w:rsidRPr="0067297E">
        <w:rPr>
          <w:rFonts w:asciiTheme="minorHAnsi" w:hAnsiTheme="minorHAnsi" w:cs="Calibri"/>
          <w:lang w:val="en-GB"/>
        </w:rPr>
        <w:t xml:space="preserve">Within the </w:t>
      </w:r>
      <w:r w:rsidR="00C20E54" w:rsidRPr="0067297E">
        <w:rPr>
          <w:rFonts w:asciiTheme="minorHAnsi" w:hAnsiTheme="minorHAnsi" w:cs="Calibri"/>
          <w:lang w:val="en-GB"/>
        </w:rPr>
        <w:t>borough</w:t>
      </w:r>
      <w:r w:rsidRPr="0067297E">
        <w:rPr>
          <w:rFonts w:asciiTheme="minorHAnsi" w:hAnsiTheme="minorHAnsi" w:cs="Calibri"/>
          <w:lang w:val="en-GB"/>
        </w:rPr>
        <w:t xml:space="preserve">, the development plan consists of the London Plan </w:t>
      </w:r>
      <w:r w:rsidR="00AC3D92" w:rsidRPr="0067297E">
        <w:rPr>
          <w:rFonts w:asciiTheme="minorHAnsi" w:hAnsiTheme="minorHAnsi" w:cs="Calibri"/>
          <w:lang w:val="en-GB"/>
        </w:rPr>
        <w:t xml:space="preserve">(2016) </w:t>
      </w:r>
      <w:r w:rsidRPr="0067297E">
        <w:rPr>
          <w:rFonts w:asciiTheme="minorHAnsi" w:hAnsiTheme="minorHAnsi" w:cs="Calibri"/>
          <w:lang w:val="en-GB"/>
        </w:rPr>
        <w:t>and the Lewisham Core Strategy</w:t>
      </w:r>
      <w:r w:rsidR="00AC3D92" w:rsidRPr="0067297E">
        <w:rPr>
          <w:rFonts w:asciiTheme="minorHAnsi" w:hAnsiTheme="minorHAnsi" w:cs="Calibri"/>
          <w:lang w:val="en-GB"/>
        </w:rPr>
        <w:t xml:space="preserve"> (2011)</w:t>
      </w:r>
      <w:r w:rsidRPr="0067297E">
        <w:rPr>
          <w:rFonts w:asciiTheme="minorHAnsi" w:hAnsiTheme="minorHAnsi" w:cs="Calibri"/>
          <w:lang w:val="en-GB"/>
        </w:rPr>
        <w:t>, the Site Allocations Local Plan</w:t>
      </w:r>
      <w:r w:rsidR="00AC3D92" w:rsidRPr="0067297E">
        <w:rPr>
          <w:rFonts w:asciiTheme="minorHAnsi" w:hAnsiTheme="minorHAnsi" w:cs="Calibri"/>
          <w:lang w:val="en-GB"/>
        </w:rPr>
        <w:t xml:space="preserve"> (2013)</w:t>
      </w:r>
      <w:r w:rsidR="00223FE9" w:rsidRPr="0067297E">
        <w:rPr>
          <w:rFonts w:asciiTheme="minorHAnsi" w:hAnsiTheme="minorHAnsi" w:cs="Calibri"/>
          <w:lang w:val="en-GB"/>
        </w:rPr>
        <w:t>, the Lewisham Town Centre Local</w:t>
      </w:r>
      <w:r w:rsidRPr="0067297E">
        <w:rPr>
          <w:rFonts w:asciiTheme="minorHAnsi" w:hAnsiTheme="minorHAnsi" w:cs="Calibri"/>
          <w:lang w:val="en-GB"/>
        </w:rPr>
        <w:t xml:space="preserve"> Plan</w:t>
      </w:r>
      <w:r w:rsidR="00AC3D92" w:rsidRPr="0067297E">
        <w:rPr>
          <w:rFonts w:asciiTheme="minorHAnsi" w:hAnsiTheme="minorHAnsi" w:cs="Calibri"/>
          <w:lang w:val="en-GB"/>
        </w:rPr>
        <w:t xml:space="preserve"> (2014)</w:t>
      </w:r>
      <w:r w:rsidRPr="0067297E">
        <w:rPr>
          <w:rFonts w:asciiTheme="minorHAnsi" w:hAnsiTheme="minorHAnsi" w:cs="Calibri"/>
          <w:lang w:val="en-GB"/>
        </w:rPr>
        <w:t xml:space="preserve"> and the Development Management Local Plan</w:t>
      </w:r>
      <w:r w:rsidR="00AC3D92" w:rsidRPr="0067297E">
        <w:rPr>
          <w:rFonts w:asciiTheme="minorHAnsi" w:hAnsiTheme="minorHAnsi" w:cs="Calibri"/>
          <w:lang w:val="en-GB"/>
        </w:rPr>
        <w:t xml:space="preserve"> (2014)</w:t>
      </w:r>
      <w:r w:rsidRPr="0067297E">
        <w:rPr>
          <w:rFonts w:asciiTheme="minorHAnsi" w:hAnsiTheme="minorHAnsi" w:cs="Calibri"/>
          <w:lang w:val="en-GB"/>
        </w:rPr>
        <w:t>. These documents replaced the</w:t>
      </w:r>
      <w:r w:rsidR="00AC3D92" w:rsidRPr="0067297E">
        <w:rPr>
          <w:rFonts w:asciiTheme="minorHAnsi" w:hAnsiTheme="minorHAnsi" w:cs="Calibri"/>
          <w:lang w:val="en-GB"/>
        </w:rPr>
        <w:t xml:space="preserve"> 2004 </w:t>
      </w:r>
      <w:r w:rsidRPr="0067297E">
        <w:rPr>
          <w:rFonts w:asciiTheme="minorHAnsi" w:hAnsiTheme="minorHAnsi" w:cs="Calibri"/>
          <w:lang w:val="en-GB"/>
        </w:rPr>
        <w:t>Lewisham Unitary Development Plan (UDP).</w:t>
      </w:r>
    </w:p>
    <w:p w14:paraId="1EFF8F40" w14:textId="610ED572" w:rsidR="006E165C" w:rsidRPr="0015368C" w:rsidRDefault="007D6D57" w:rsidP="0015553B">
      <w:pPr>
        <w:pStyle w:val="Reporttext"/>
        <w:rPr>
          <w:rFonts w:asciiTheme="minorHAnsi" w:hAnsiTheme="minorHAnsi" w:cs="Calibri"/>
        </w:rPr>
      </w:pPr>
      <w:r w:rsidRPr="0067297E">
        <w:rPr>
          <w:rFonts w:asciiTheme="minorHAnsi" w:hAnsiTheme="minorHAnsi" w:cs="Calibri"/>
          <w:lang w:val="en-GB"/>
        </w:rPr>
        <w:t>The Council has starte</w:t>
      </w:r>
      <w:r w:rsidR="009C3189" w:rsidRPr="0067297E">
        <w:rPr>
          <w:rFonts w:asciiTheme="minorHAnsi" w:hAnsiTheme="minorHAnsi" w:cs="Calibri"/>
          <w:lang w:val="en-GB"/>
        </w:rPr>
        <w:t>d work on a new Local Plan for the borough</w:t>
      </w:r>
      <w:r w:rsidRPr="0067297E">
        <w:rPr>
          <w:rFonts w:asciiTheme="minorHAnsi" w:hAnsiTheme="minorHAnsi" w:cs="Calibri"/>
          <w:lang w:val="en-GB"/>
        </w:rPr>
        <w:t xml:space="preserve">. This will provide the basis for future development, with a plan period of </w:t>
      </w:r>
      <w:r w:rsidR="00375659">
        <w:rPr>
          <w:rFonts w:asciiTheme="minorHAnsi" w:hAnsiTheme="minorHAnsi" w:cs="Calibri"/>
          <w:lang w:val="en-GB"/>
        </w:rPr>
        <w:t>20</w:t>
      </w:r>
      <w:r w:rsidR="00375659" w:rsidRPr="0067297E">
        <w:rPr>
          <w:rFonts w:asciiTheme="minorHAnsi" w:hAnsiTheme="minorHAnsi" w:cs="Calibri"/>
          <w:lang w:val="en-GB"/>
        </w:rPr>
        <w:t xml:space="preserve"> </w:t>
      </w:r>
      <w:r w:rsidRPr="0067297E">
        <w:rPr>
          <w:rFonts w:asciiTheme="minorHAnsi" w:hAnsiTheme="minorHAnsi" w:cs="Calibri"/>
          <w:lang w:val="en-GB"/>
        </w:rPr>
        <w:t xml:space="preserve">years, </w:t>
      </w:r>
      <w:r w:rsidR="00375659">
        <w:rPr>
          <w:rFonts w:asciiTheme="minorHAnsi" w:hAnsiTheme="minorHAnsi" w:cs="Calibri"/>
          <w:lang w:val="en-GB"/>
        </w:rPr>
        <w:t>2020</w:t>
      </w:r>
      <w:r w:rsidR="00375659" w:rsidRPr="0067297E">
        <w:rPr>
          <w:rFonts w:asciiTheme="minorHAnsi" w:hAnsiTheme="minorHAnsi" w:cs="Calibri"/>
          <w:lang w:val="en-GB"/>
        </w:rPr>
        <w:t xml:space="preserve"> </w:t>
      </w:r>
      <w:r w:rsidRPr="0067297E">
        <w:rPr>
          <w:rFonts w:asciiTheme="minorHAnsi" w:hAnsiTheme="minorHAnsi" w:cs="Calibri"/>
          <w:lang w:val="en-GB"/>
        </w:rPr>
        <w:t>to</w:t>
      </w:r>
      <w:r w:rsidR="00375659">
        <w:rPr>
          <w:rFonts w:asciiTheme="minorHAnsi" w:hAnsiTheme="minorHAnsi" w:cs="Calibri"/>
          <w:lang w:val="en-GB"/>
        </w:rPr>
        <w:t xml:space="preserve"> 2040</w:t>
      </w:r>
      <w:r w:rsidRPr="0067297E">
        <w:rPr>
          <w:rFonts w:asciiTheme="minorHAnsi" w:hAnsiTheme="minorHAnsi" w:cs="Calibri"/>
          <w:lang w:val="en-GB"/>
        </w:rPr>
        <w:t xml:space="preserve"> </w:t>
      </w:r>
      <w:r w:rsidR="004E7BC5" w:rsidRPr="0067297E">
        <w:rPr>
          <w:rFonts w:asciiTheme="minorHAnsi" w:hAnsiTheme="minorHAnsi" w:cs="Calibri"/>
          <w:lang w:val="en-GB"/>
        </w:rPr>
        <w:t xml:space="preserve">An initial Stage One </w:t>
      </w:r>
      <w:r w:rsidR="004E7BC5" w:rsidRPr="0067297E">
        <w:rPr>
          <w:rFonts w:asciiTheme="minorHAnsi" w:hAnsiTheme="minorHAnsi" w:cs="Calibri"/>
          <w:i/>
          <w:lang w:val="en-GB"/>
        </w:rPr>
        <w:t>Consultation on Main Issues</w:t>
      </w:r>
      <w:r w:rsidR="004E7BC5" w:rsidRPr="0067297E">
        <w:rPr>
          <w:rFonts w:asciiTheme="minorHAnsi" w:hAnsiTheme="minorHAnsi" w:cs="Calibri"/>
          <w:lang w:val="en-GB"/>
        </w:rPr>
        <w:t xml:space="preserve"> was undertaken in 2015. This included a section on housing. It reported on the adopted London Plan’s increased housing target for Lewisham at 1,385 </w:t>
      </w:r>
      <w:r w:rsidR="005B2517" w:rsidRPr="0067297E">
        <w:rPr>
          <w:rFonts w:asciiTheme="minorHAnsi" w:hAnsiTheme="minorHAnsi" w:cs="Calibri"/>
          <w:lang w:val="en-GB"/>
        </w:rPr>
        <w:t>dwellings</w:t>
      </w:r>
      <w:r w:rsidR="004E7BC5" w:rsidRPr="0067297E">
        <w:rPr>
          <w:rFonts w:asciiTheme="minorHAnsi" w:hAnsiTheme="minorHAnsi" w:cs="Calibri"/>
          <w:lang w:val="en-GB"/>
        </w:rPr>
        <w:t xml:space="preserve"> per year. It also referenced the findings of the South East London SHMA (2014</w:t>
      </w:r>
      <w:r w:rsidR="004E7BC5" w:rsidRPr="00BF1349">
        <w:rPr>
          <w:rFonts w:asciiTheme="minorHAnsi" w:hAnsiTheme="minorHAnsi" w:cs="Calibri"/>
          <w:lang w:val="en-GB"/>
        </w:rPr>
        <w:t>)</w:t>
      </w:r>
      <w:r w:rsidR="004D24DA" w:rsidRPr="00BF1349">
        <w:rPr>
          <w:rFonts w:asciiTheme="minorHAnsi" w:hAnsiTheme="minorHAnsi" w:cs="Calibri"/>
          <w:lang w:val="en-GB"/>
        </w:rPr>
        <w:t xml:space="preserve">. The </w:t>
      </w:r>
      <w:r w:rsidR="004D24DA" w:rsidRPr="00BF1349">
        <w:rPr>
          <w:rFonts w:asciiTheme="minorHAnsi" w:hAnsiTheme="minorHAnsi" w:cs="Calibri"/>
          <w:i/>
          <w:lang w:val="en-GB"/>
        </w:rPr>
        <w:t>Main Issues</w:t>
      </w:r>
      <w:r w:rsidR="004D24DA" w:rsidRPr="00BF1349">
        <w:rPr>
          <w:rFonts w:asciiTheme="minorHAnsi" w:hAnsiTheme="minorHAnsi" w:cs="Calibri"/>
          <w:lang w:val="en-GB"/>
        </w:rPr>
        <w:t xml:space="preserve"> consultation proposed that the Council will need to identify enough housing sites in the Borough to accommodate 25,000 additional dwellings during the Plan Period 2018-2033.</w:t>
      </w:r>
      <w:r w:rsidR="00FC2076" w:rsidRPr="0067297E">
        <w:rPr>
          <w:rFonts w:asciiTheme="minorHAnsi" w:hAnsiTheme="minorHAnsi" w:cs="Calibri"/>
          <w:lang w:val="en-GB"/>
        </w:rPr>
        <w:t xml:space="preserve"> The draft London Plan published in December 2017 revised </w:t>
      </w:r>
      <w:r w:rsidR="00AC3D92" w:rsidRPr="0067297E">
        <w:rPr>
          <w:rFonts w:asciiTheme="minorHAnsi" w:hAnsiTheme="minorHAnsi" w:cs="Calibri"/>
          <w:lang w:val="en-GB"/>
        </w:rPr>
        <w:t xml:space="preserve">Lewisham’s </w:t>
      </w:r>
      <w:r w:rsidR="00FC2076" w:rsidRPr="0067297E">
        <w:rPr>
          <w:rFonts w:asciiTheme="minorHAnsi" w:hAnsiTheme="minorHAnsi" w:cs="Calibri"/>
          <w:lang w:val="en-GB"/>
        </w:rPr>
        <w:t xml:space="preserve">net housing need to 2,117 </w:t>
      </w:r>
      <w:r w:rsidR="00D84CD5">
        <w:rPr>
          <w:rFonts w:asciiTheme="minorHAnsi" w:hAnsiTheme="minorHAnsi" w:cs="Calibri"/>
          <w:lang w:val="en-GB"/>
        </w:rPr>
        <w:t xml:space="preserve">per year </w:t>
      </w:r>
      <w:r w:rsidR="00FC2076" w:rsidRPr="0067297E">
        <w:rPr>
          <w:rFonts w:asciiTheme="minorHAnsi" w:hAnsiTheme="minorHAnsi" w:cs="Calibri"/>
          <w:lang w:val="en-GB"/>
        </w:rPr>
        <w:t xml:space="preserve">over ten years 2019/20 to 2028/29. </w:t>
      </w:r>
    </w:p>
    <w:p w14:paraId="7CDA8DAE" w14:textId="77777777" w:rsidR="00DA5DBD" w:rsidRDefault="00DA5DBD" w:rsidP="001D2A84"/>
    <w:p w14:paraId="0A1CA527" w14:textId="26C8B528" w:rsidR="000F446B" w:rsidRPr="0015553B" w:rsidRDefault="000F446B" w:rsidP="009E3F78">
      <w:pPr>
        <w:pStyle w:val="Heading2"/>
      </w:pPr>
      <w:bookmarkStart w:id="150" w:name="_Toc23151056"/>
      <w:r>
        <w:t>Lewisham Corporate Strategy 2018-</w:t>
      </w:r>
      <w:r w:rsidR="0050622D">
        <w:t>2022</w:t>
      </w:r>
      <w:bookmarkEnd w:id="150"/>
    </w:p>
    <w:p w14:paraId="35FD65DF" w14:textId="140AB72C" w:rsidR="002E2AA9" w:rsidRPr="009E3F78" w:rsidRDefault="006E165C" w:rsidP="006E165C">
      <w:pPr>
        <w:pStyle w:val="Reporttext"/>
        <w:rPr>
          <w:rFonts w:asciiTheme="minorHAnsi" w:hAnsiTheme="minorHAnsi" w:cs="Calibri"/>
        </w:rPr>
      </w:pPr>
      <w:r w:rsidRPr="006E165C">
        <w:rPr>
          <w:rFonts w:cs="Arial"/>
        </w:rPr>
        <w:t xml:space="preserve">Affordable housing </w:t>
      </w:r>
      <w:r w:rsidR="00375659">
        <w:rPr>
          <w:rFonts w:cs="Arial"/>
          <w:lang w:val="en-GB"/>
        </w:rPr>
        <w:t xml:space="preserve">and delivering genuinely affordable housing </w:t>
      </w:r>
      <w:r w:rsidR="00714473">
        <w:rPr>
          <w:rFonts w:cs="Arial"/>
          <w:lang w:val="en-GB"/>
        </w:rPr>
        <w:t>are</w:t>
      </w:r>
      <w:r w:rsidRPr="006E165C">
        <w:rPr>
          <w:rFonts w:cs="Arial"/>
        </w:rPr>
        <w:t xml:space="preserve"> key issue</w:t>
      </w:r>
      <w:r w:rsidR="00714473">
        <w:rPr>
          <w:rFonts w:cs="Arial"/>
          <w:lang w:val="en-GB"/>
        </w:rPr>
        <w:t>s</w:t>
      </w:r>
      <w:r w:rsidRPr="006E165C">
        <w:rPr>
          <w:rFonts w:cs="Arial"/>
        </w:rPr>
        <w:t xml:space="preserve"> </w:t>
      </w:r>
      <w:r w:rsidR="00375659">
        <w:rPr>
          <w:rFonts w:cs="Arial"/>
          <w:lang w:val="en-GB"/>
        </w:rPr>
        <w:t>for the Council</w:t>
      </w:r>
      <w:r w:rsidRPr="006E165C">
        <w:rPr>
          <w:rFonts w:cs="Arial"/>
        </w:rPr>
        <w:t xml:space="preserve">. The </w:t>
      </w:r>
      <w:r w:rsidR="00714473">
        <w:rPr>
          <w:rFonts w:cs="Arial"/>
          <w:lang w:val="en-GB"/>
        </w:rPr>
        <w:t>adopted</w:t>
      </w:r>
      <w:r w:rsidRPr="006E165C">
        <w:rPr>
          <w:rFonts w:cs="Arial"/>
        </w:rPr>
        <w:t xml:space="preserve"> Corporate Plan identifies a </w:t>
      </w:r>
      <w:r w:rsidR="002E2AA9">
        <w:rPr>
          <w:rFonts w:cs="Arial"/>
          <w:lang w:val="en-GB"/>
        </w:rPr>
        <w:t xml:space="preserve">number of corporate priorities, one of which is tackling the housing crisis. It provides the following commitments: </w:t>
      </w:r>
    </w:p>
    <w:p w14:paraId="3AAAF599" w14:textId="26C96BBF" w:rsidR="002E2AA9" w:rsidRPr="009E3F78" w:rsidRDefault="002E2AA9" w:rsidP="001D2A84">
      <w:pPr>
        <w:pStyle w:val="bullet"/>
        <w:rPr>
          <w:rFonts w:asciiTheme="minorHAnsi" w:hAnsiTheme="minorHAnsi" w:cs="Calibri"/>
        </w:rPr>
      </w:pPr>
      <w:r>
        <w:t xml:space="preserve">more social and genuinely affordable housing, </w:t>
      </w:r>
    </w:p>
    <w:p w14:paraId="4DEB220A" w14:textId="029B19BC" w:rsidR="002E2AA9" w:rsidRPr="009E3F78" w:rsidRDefault="002E2AA9" w:rsidP="001D2A84">
      <w:pPr>
        <w:pStyle w:val="bullet"/>
        <w:rPr>
          <w:rFonts w:asciiTheme="minorHAnsi" w:hAnsiTheme="minorHAnsi" w:cs="Calibri"/>
        </w:rPr>
      </w:pPr>
      <w:r>
        <w:t xml:space="preserve">more mixed communities through a variety of tenure type in private developments, </w:t>
      </w:r>
    </w:p>
    <w:p w14:paraId="37597711" w14:textId="1336E08C" w:rsidR="002E2AA9" w:rsidRPr="009E3F78" w:rsidRDefault="002E2AA9" w:rsidP="001D2A84">
      <w:pPr>
        <w:pStyle w:val="bullet"/>
        <w:rPr>
          <w:rFonts w:asciiTheme="minorHAnsi" w:hAnsiTheme="minorHAnsi" w:cs="Calibri"/>
        </w:rPr>
      </w:pPr>
      <w:r>
        <w:t>improved standards across all housing sectors,</w:t>
      </w:r>
    </w:p>
    <w:p w14:paraId="6FFCE0FB" w14:textId="7A21BEE4" w:rsidR="006E165C" w:rsidRPr="006E165C" w:rsidRDefault="002E2AA9" w:rsidP="001D2A84">
      <w:pPr>
        <w:pStyle w:val="bullet"/>
        <w:rPr>
          <w:rFonts w:asciiTheme="minorHAnsi" w:hAnsiTheme="minorHAnsi" w:cs="Calibri"/>
        </w:rPr>
      </w:pPr>
      <w:r>
        <w:t>residents are supported to have a stronger voice</w:t>
      </w:r>
      <w:r w:rsidR="005617F6">
        <w:t>.</w:t>
      </w:r>
      <w:r w:rsidR="00ED322E">
        <w:t xml:space="preserve">  </w:t>
      </w:r>
    </w:p>
    <w:p w14:paraId="61723080" w14:textId="77777777" w:rsidR="00B976A0" w:rsidRPr="0067297E" w:rsidRDefault="00B976A0" w:rsidP="00FA273F">
      <w:pPr>
        <w:pStyle w:val="Reporttext"/>
        <w:numPr>
          <w:ilvl w:val="0"/>
          <w:numId w:val="0"/>
        </w:numPr>
        <w:ind w:left="709"/>
        <w:rPr>
          <w:rFonts w:asciiTheme="minorHAnsi" w:hAnsiTheme="minorHAnsi"/>
        </w:rPr>
      </w:pPr>
    </w:p>
    <w:p w14:paraId="42132A1C" w14:textId="77777777" w:rsidR="001D2A84" w:rsidRDefault="001D2A84">
      <w:pPr>
        <w:rPr>
          <w:rFonts w:asciiTheme="minorHAnsi" w:hAnsiTheme="minorHAnsi" w:cs="Calibri"/>
          <w:bCs/>
          <w:iCs/>
          <w:color w:val="009999"/>
          <w:sz w:val="32"/>
          <w:szCs w:val="28"/>
          <w:lang w:val="x-none"/>
        </w:rPr>
      </w:pPr>
      <w:bookmarkStart w:id="151" w:name="_Toc1385742"/>
      <w:r>
        <w:rPr>
          <w:rFonts w:asciiTheme="minorHAnsi" w:hAnsiTheme="minorHAnsi" w:cs="Calibri"/>
        </w:rPr>
        <w:br w:type="page"/>
      </w:r>
    </w:p>
    <w:p w14:paraId="74BB8D64" w14:textId="18B3BAD5" w:rsidR="008E08D4" w:rsidRPr="0067297E" w:rsidRDefault="008E08D4" w:rsidP="00543A76">
      <w:pPr>
        <w:pStyle w:val="Heading2"/>
        <w:rPr>
          <w:rFonts w:asciiTheme="minorHAnsi" w:hAnsiTheme="minorHAnsi" w:cs="Calibri"/>
        </w:rPr>
      </w:pPr>
      <w:bookmarkStart w:id="152" w:name="_Toc23151057"/>
      <w:r w:rsidRPr="0067297E">
        <w:rPr>
          <w:rFonts w:asciiTheme="minorHAnsi" w:hAnsiTheme="minorHAnsi" w:cs="Calibri"/>
        </w:rPr>
        <w:lastRenderedPageBreak/>
        <w:t>Concluding comments</w:t>
      </w:r>
      <w:bookmarkEnd w:id="146"/>
      <w:bookmarkEnd w:id="147"/>
      <w:bookmarkEnd w:id="148"/>
      <w:bookmarkEnd w:id="149"/>
      <w:bookmarkEnd w:id="151"/>
      <w:bookmarkEnd w:id="152"/>
    </w:p>
    <w:p w14:paraId="5A2C2EEF" w14:textId="77777777" w:rsidR="008E08D4" w:rsidRPr="0067297E" w:rsidRDefault="008E08D4" w:rsidP="00543A76">
      <w:pPr>
        <w:pStyle w:val="Reporttext"/>
        <w:rPr>
          <w:rFonts w:asciiTheme="minorHAnsi" w:hAnsiTheme="minorHAnsi" w:cs="Calibri"/>
        </w:rPr>
      </w:pPr>
      <w:r w:rsidRPr="0067297E">
        <w:rPr>
          <w:rFonts w:asciiTheme="minorHAnsi" w:hAnsiTheme="minorHAnsi" w:cs="Calibri"/>
        </w:rPr>
        <w:t>The main purpose of this chapter has been to consider the general policy and strategic context within which this research needs to be positioned. The Government has established its housing and planning priorities withi</w:t>
      </w:r>
      <w:r w:rsidR="00F678DE" w:rsidRPr="0067297E">
        <w:rPr>
          <w:rFonts w:asciiTheme="minorHAnsi" w:hAnsiTheme="minorHAnsi" w:cs="Calibri"/>
        </w:rPr>
        <w:t>n the context of local decision</w:t>
      </w:r>
      <w:r w:rsidR="00F678DE" w:rsidRPr="0067297E">
        <w:rPr>
          <w:rFonts w:asciiTheme="minorHAnsi" w:hAnsiTheme="minorHAnsi" w:cs="Calibri"/>
          <w:lang w:val="en-GB"/>
        </w:rPr>
        <w:t>-</w:t>
      </w:r>
      <w:r w:rsidRPr="0067297E">
        <w:rPr>
          <w:rFonts w:asciiTheme="minorHAnsi" w:hAnsiTheme="minorHAnsi" w:cs="Calibri"/>
        </w:rPr>
        <w:t>making and accountability, reduced capital expenditure on housing, fundamental changes to welfare, a changing role for social rented housing, and a need for future housing investm</w:t>
      </w:r>
      <w:r w:rsidR="00F678DE" w:rsidRPr="0067297E">
        <w:rPr>
          <w:rFonts w:asciiTheme="minorHAnsi" w:hAnsiTheme="minorHAnsi" w:cs="Calibri"/>
        </w:rPr>
        <w:t>ent to support economic growth.</w:t>
      </w:r>
    </w:p>
    <w:p w14:paraId="6C117F88" w14:textId="56574150" w:rsidR="00B976A0" w:rsidRPr="0067297E" w:rsidRDefault="008E08D4" w:rsidP="00543A76">
      <w:pPr>
        <w:pStyle w:val="Reporttext"/>
        <w:rPr>
          <w:rFonts w:asciiTheme="minorHAnsi" w:hAnsiTheme="minorHAnsi" w:cs="Calibri"/>
        </w:rPr>
      </w:pPr>
      <w:r w:rsidRPr="0067297E">
        <w:rPr>
          <w:rFonts w:asciiTheme="minorHAnsi" w:hAnsiTheme="minorHAnsi" w:cs="Calibri"/>
        </w:rPr>
        <w:t xml:space="preserve">The importance of having robust and up-to-date information to help inform decision making at local authority level is evermore essential. In a challenging economic climate, this </w:t>
      </w:r>
      <w:r w:rsidR="00F678DE" w:rsidRPr="0067297E">
        <w:rPr>
          <w:rFonts w:asciiTheme="minorHAnsi" w:hAnsiTheme="minorHAnsi" w:cs="Calibri"/>
          <w:lang w:val="en-GB"/>
        </w:rPr>
        <w:t>SHMA</w:t>
      </w:r>
      <w:r w:rsidRPr="0067297E">
        <w:rPr>
          <w:rFonts w:asciiTheme="minorHAnsi" w:hAnsiTheme="minorHAnsi" w:cs="Calibri"/>
        </w:rPr>
        <w:t xml:space="preserve"> provides the Council with </w:t>
      </w:r>
      <w:r w:rsidR="00E87157" w:rsidRPr="0067297E">
        <w:rPr>
          <w:rFonts w:asciiTheme="minorHAnsi" w:hAnsiTheme="minorHAnsi" w:cs="Calibri"/>
          <w:lang w:val="en-GB"/>
        </w:rPr>
        <w:t>a</w:t>
      </w:r>
      <w:r w:rsidRPr="0067297E">
        <w:rPr>
          <w:rFonts w:asciiTheme="minorHAnsi" w:hAnsiTheme="minorHAnsi" w:cs="Calibri"/>
        </w:rPr>
        <w:t xml:space="preserve"> range of material to inform </w:t>
      </w:r>
      <w:r w:rsidRPr="0067297E">
        <w:rPr>
          <w:rFonts w:asciiTheme="minorHAnsi" w:hAnsiTheme="minorHAnsi" w:cs="Calibri"/>
          <w:lang w:val="en-GB"/>
        </w:rPr>
        <w:t xml:space="preserve">the </w:t>
      </w:r>
      <w:r w:rsidR="00B0712D" w:rsidRPr="0067297E">
        <w:rPr>
          <w:rFonts w:asciiTheme="minorHAnsi" w:hAnsiTheme="minorHAnsi" w:cs="Calibri"/>
          <w:lang w:val="en-GB"/>
        </w:rPr>
        <w:t xml:space="preserve">new </w:t>
      </w:r>
      <w:r w:rsidRPr="0067297E">
        <w:rPr>
          <w:rFonts w:asciiTheme="minorHAnsi" w:hAnsiTheme="minorHAnsi" w:cs="Calibri"/>
          <w:lang w:val="en-GB"/>
        </w:rPr>
        <w:t xml:space="preserve">Local </w:t>
      </w:r>
      <w:r w:rsidR="000E3484" w:rsidRPr="0067297E">
        <w:rPr>
          <w:rFonts w:asciiTheme="minorHAnsi" w:hAnsiTheme="minorHAnsi" w:cs="Calibri"/>
          <w:lang w:val="en-GB"/>
        </w:rPr>
        <w:t>Plan and</w:t>
      </w:r>
      <w:r w:rsidRPr="0067297E">
        <w:rPr>
          <w:rFonts w:asciiTheme="minorHAnsi" w:hAnsiTheme="minorHAnsi" w:cs="Calibri"/>
        </w:rPr>
        <w:t xml:space="preserve"> shape local and sub-regiona</w:t>
      </w:r>
      <w:r w:rsidR="00056990" w:rsidRPr="0067297E">
        <w:rPr>
          <w:rFonts w:asciiTheme="minorHAnsi" w:hAnsiTheme="minorHAnsi" w:cs="Calibri"/>
        </w:rPr>
        <w:t>l strategic housing priorities.</w:t>
      </w:r>
    </w:p>
    <w:p w14:paraId="76567625" w14:textId="77777777" w:rsidR="00CC5CC3" w:rsidRPr="0067297E" w:rsidRDefault="00CC5CC3">
      <w:pPr>
        <w:pStyle w:val="Reporttext"/>
        <w:rPr>
          <w:rFonts w:asciiTheme="minorHAnsi" w:hAnsiTheme="minorHAnsi" w:cs="Calibri"/>
        </w:rPr>
      </w:pPr>
      <w:r w:rsidRPr="0067297E">
        <w:rPr>
          <w:rFonts w:asciiTheme="minorHAnsi" w:hAnsiTheme="minorHAnsi" w:cs="Calibri"/>
        </w:rPr>
        <w:br w:type="page"/>
      </w:r>
    </w:p>
    <w:p w14:paraId="6DFF5F73" w14:textId="42A1FD33" w:rsidR="00A87C9F" w:rsidRPr="0067297E" w:rsidRDefault="00132C39">
      <w:pPr>
        <w:pStyle w:val="Heading1"/>
        <w:rPr>
          <w:rFonts w:asciiTheme="minorHAnsi" w:hAnsiTheme="minorHAnsi" w:cs="Calibri"/>
        </w:rPr>
      </w:pPr>
      <w:bookmarkStart w:id="153" w:name="_Toc1385743"/>
      <w:bookmarkStart w:id="154" w:name="_Toc23151058"/>
      <w:r w:rsidRPr="0067297E">
        <w:rPr>
          <w:rFonts w:asciiTheme="minorHAnsi" w:hAnsiTheme="minorHAnsi" w:cs="Calibri"/>
          <w:lang w:val="en-GB"/>
        </w:rPr>
        <w:lastRenderedPageBreak/>
        <w:t>Understanding the housing market</w:t>
      </w:r>
      <w:r w:rsidR="00A43E3A" w:rsidRPr="0067297E">
        <w:rPr>
          <w:rFonts w:asciiTheme="minorHAnsi" w:hAnsiTheme="minorHAnsi" w:cs="Calibri"/>
          <w:lang w:val="en-GB"/>
        </w:rPr>
        <w:t xml:space="preserve"> dynamics</w:t>
      </w:r>
      <w:bookmarkEnd w:id="153"/>
      <w:bookmarkEnd w:id="154"/>
    </w:p>
    <w:p w14:paraId="3A12EF3E" w14:textId="1AF93244" w:rsidR="00FC2076" w:rsidRPr="0067297E" w:rsidRDefault="00FC2076" w:rsidP="00543A76">
      <w:pPr>
        <w:pStyle w:val="Heading2"/>
        <w:rPr>
          <w:rFonts w:asciiTheme="minorHAnsi" w:hAnsiTheme="minorHAnsi" w:cs="Calibri"/>
          <w:lang w:val="en-GB"/>
        </w:rPr>
      </w:pPr>
      <w:bookmarkStart w:id="155" w:name="_Toc1385744"/>
      <w:bookmarkStart w:id="156" w:name="_Toc23151059"/>
      <w:r w:rsidRPr="0067297E">
        <w:rPr>
          <w:rFonts w:asciiTheme="minorHAnsi" w:hAnsiTheme="minorHAnsi" w:cs="Calibri"/>
          <w:lang w:val="en-GB"/>
        </w:rPr>
        <w:t>Introduction</w:t>
      </w:r>
      <w:bookmarkEnd w:id="155"/>
      <w:bookmarkEnd w:id="156"/>
    </w:p>
    <w:p w14:paraId="0370E216" w14:textId="77777777" w:rsidR="00DE7365" w:rsidRPr="0067297E" w:rsidRDefault="00DE7365" w:rsidP="002C70BC">
      <w:pPr>
        <w:pStyle w:val="Reporttext"/>
        <w:numPr>
          <w:ilvl w:val="1"/>
          <w:numId w:val="19"/>
        </w:numPr>
        <w:rPr>
          <w:rFonts w:asciiTheme="minorHAnsi" w:hAnsiTheme="minorHAnsi" w:cs="Calibri"/>
        </w:rPr>
      </w:pPr>
      <w:r w:rsidRPr="0067297E">
        <w:rPr>
          <w:rFonts w:asciiTheme="minorHAnsi" w:hAnsiTheme="minorHAnsi" w:cs="Calibri"/>
        </w:rPr>
        <w:t xml:space="preserve">The purpose of this chapter </w:t>
      </w:r>
      <w:r w:rsidRPr="0067297E">
        <w:rPr>
          <w:rFonts w:asciiTheme="minorHAnsi" w:hAnsiTheme="minorHAnsi" w:cs="Calibri"/>
          <w:lang w:val="en-GB"/>
        </w:rPr>
        <w:t>is to assess the geographical</w:t>
      </w:r>
      <w:r w:rsidRPr="0067297E">
        <w:rPr>
          <w:rFonts w:asciiTheme="minorHAnsi" w:hAnsiTheme="minorHAnsi" w:cs="Calibri"/>
        </w:rPr>
        <w:t xml:space="preserve"> context of the </w:t>
      </w:r>
      <w:r w:rsidRPr="0067297E">
        <w:rPr>
          <w:rFonts w:asciiTheme="minorHAnsi" w:hAnsiTheme="minorHAnsi" w:cs="Calibri"/>
          <w:lang w:val="en-GB"/>
        </w:rPr>
        <w:t xml:space="preserve">housing market in the </w:t>
      </w:r>
      <w:r w:rsidR="00FC2076" w:rsidRPr="0067297E">
        <w:rPr>
          <w:rFonts w:asciiTheme="minorHAnsi" w:hAnsiTheme="minorHAnsi" w:cs="Calibri"/>
          <w:lang w:val="en-GB"/>
        </w:rPr>
        <w:t>borough</w:t>
      </w:r>
      <w:r w:rsidRPr="0067297E">
        <w:rPr>
          <w:rFonts w:asciiTheme="minorHAnsi" w:hAnsiTheme="minorHAnsi" w:cs="Calibri"/>
        </w:rPr>
        <w:t xml:space="preserve"> </w:t>
      </w:r>
      <w:r w:rsidRPr="0067297E">
        <w:rPr>
          <w:rFonts w:asciiTheme="minorHAnsi" w:hAnsiTheme="minorHAnsi" w:cs="Calibri"/>
          <w:iCs/>
        </w:rPr>
        <w:t xml:space="preserve">and its </w:t>
      </w:r>
      <w:r w:rsidRPr="0067297E">
        <w:rPr>
          <w:rFonts w:asciiTheme="minorHAnsi" w:hAnsiTheme="minorHAnsi" w:cs="Calibri"/>
        </w:rPr>
        <w:t xml:space="preserve">inter-relationships with other areas. By reviewing house prices, migration and travel to work patterns, a picture of the dynamics of </w:t>
      </w:r>
      <w:r w:rsidR="00396430" w:rsidRPr="0067297E">
        <w:rPr>
          <w:rFonts w:asciiTheme="minorHAnsi" w:hAnsiTheme="minorHAnsi" w:cs="Calibri"/>
          <w:lang w:val="en-GB"/>
        </w:rPr>
        <w:t xml:space="preserve">the </w:t>
      </w:r>
      <w:r w:rsidR="00A43E3A" w:rsidRPr="0067297E">
        <w:rPr>
          <w:rFonts w:asciiTheme="minorHAnsi" w:hAnsiTheme="minorHAnsi" w:cs="Calibri"/>
          <w:lang w:val="en-GB"/>
        </w:rPr>
        <w:t xml:space="preserve">housing market </w:t>
      </w:r>
      <w:r w:rsidRPr="0067297E">
        <w:rPr>
          <w:rFonts w:asciiTheme="minorHAnsi" w:hAnsiTheme="minorHAnsi" w:cs="Calibri"/>
          <w:iCs/>
        </w:rPr>
        <w:t>emerges</w:t>
      </w:r>
      <w:r w:rsidRPr="0067297E">
        <w:rPr>
          <w:rFonts w:asciiTheme="minorHAnsi" w:hAnsiTheme="minorHAnsi" w:cs="Calibri"/>
          <w:iCs/>
          <w:lang w:val="en-GB"/>
        </w:rPr>
        <w:t>.</w:t>
      </w:r>
    </w:p>
    <w:p w14:paraId="1C9E2130" w14:textId="43AFBBCB" w:rsidR="00A43E3A" w:rsidRPr="0067297E" w:rsidRDefault="00A43E3A" w:rsidP="002C70BC">
      <w:pPr>
        <w:pStyle w:val="Reporttext"/>
        <w:numPr>
          <w:ilvl w:val="1"/>
          <w:numId w:val="19"/>
        </w:numPr>
        <w:rPr>
          <w:rFonts w:asciiTheme="minorHAnsi" w:hAnsiTheme="minorHAnsi" w:cs="Calibri"/>
        </w:rPr>
      </w:pPr>
      <w:r w:rsidRPr="0067297E">
        <w:rPr>
          <w:rFonts w:asciiTheme="minorHAnsi" w:hAnsiTheme="minorHAnsi" w:cs="Calibri"/>
          <w:lang w:val="en-GB"/>
        </w:rPr>
        <w:t xml:space="preserve">This chapter considers house price trends, relative affordability, household migration, travel-to-work patterns and dwelling completions data for the </w:t>
      </w:r>
      <w:r w:rsidR="00FC2076" w:rsidRPr="0067297E">
        <w:rPr>
          <w:rFonts w:asciiTheme="minorHAnsi" w:hAnsiTheme="minorHAnsi" w:cs="Calibri"/>
          <w:lang w:val="en-GB"/>
        </w:rPr>
        <w:t>borough</w:t>
      </w:r>
      <w:r w:rsidRPr="0067297E">
        <w:rPr>
          <w:rFonts w:asciiTheme="minorHAnsi" w:hAnsiTheme="minorHAnsi" w:cs="Calibri"/>
          <w:lang w:val="en-GB"/>
        </w:rPr>
        <w:t xml:space="preserve">. </w:t>
      </w:r>
      <w:r w:rsidR="004D1EFA" w:rsidRPr="0067297E">
        <w:rPr>
          <w:rFonts w:asciiTheme="minorHAnsi" w:hAnsiTheme="minorHAnsi" w:cstheme="minorHAnsi"/>
        </w:rPr>
        <w:t xml:space="preserve">Qualitative research has been used to more fully understand other factors that are driving the housing market and how they vary across </w:t>
      </w:r>
      <w:r w:rsidR="004D1EFA" w:rsidRPr="0067297E">
        <w:rPr>
          <w:rFonts w:asciiTheme="minorHAnsi" w:hAnsiTheme="minorHAnsi" w:cstheme="minorHAnsi"/>
          <w:lang w:val="en-GB"/>
        </w:rPr>
        <w:t>Lewisham</w:t>
      </w:r>
      <w:r w:rsidR="004D1EFA" w:rsidRPr="0067297E">
        <w:rPr>
          <w:rFonts w:asciiTheme="minorHAnsi" w:hAnsiTheme="minorHAnsi" w:cstheme="minorHAnsi"/>
        </w:rPr>
        <w:t>’s various “</w:t>
      </w:r>
      <w:r w:rsidR="00E87157" w:rsidRPr="0067297E">
        <w:rPr>
          <w:rFonts w:asciiTheme="minorHAnsi" w:hAnsiTheme="minorHAnsi" w:cstheme="minorHAnsi"/>
          <w:lang w:val="en-GB"/>
        </w:rPr>
        <w:t>sub-</w:t>
      </w:r>
      <w:r w:rsidR="005B2517" w:rsidRPr="0067297E">
        <w:rPr>
          <w:rFonts w:asciiTheme="minorHAnsi" w:hAnsiTheme="minorHAnsi" w:cstheme="minorHAnsi"/>
        </w:rPr>
        <w:t>areas</w:t>
      </w:r>
      <w:r w:rsidR="000F7CC5" w:rsidRPr="0067297E">
        <w:rPr>
          <w:rFonts w:asciiTheme="minorHAnsi" w:hAnsiTheme="minorHAnsi" w:cstheme="minorHAnsi"/>
          <w:lang w:val="en-GB"/>
        </w:rPr>
        <w:t>”</w:t>
      </w:r>
      <w:r w:rsidR="000F7CC5" w:rsidRPr="0067297E">
        <w:rPr>
          <w:rFonts w:asciiTheme="minorHAnsi" w:hAnsiTheme="minorHAnsi" w:cs="Calibri"/>
          <w:lang w:val="en-GB"/>
        </w:rPr>
        <w:t xml:space="preserve">. </w:t>
      </w:r>
      <w:r w:rsidR="005B2517" w:rsidRPr="0067297E">
        <w:rPr>
          <w:rFonts w:asciiTheme="minorHAnsi" w:hAnsiTheme="minorHAnsi" w:cs="Calibri"/>
          <w:lang w:val="en-GB"/>
        </w:rPr>
        <w:t>This</w:t>
      </w:r>
      <w:r w:rsidRPr="0067297E">
        <w:rPr>
          <w:rFonts w:asciiTheme="minorHAnsi" w:hAnsiTheme="minorHAnsi" w:cs="Calibri"/>
          <w:lang w:val="en-GB"/>
        </w:rPr>
        <w:t xml:space="preserve"> provides </w:t>
      </w:r>
      <w:r w:rsidR="00AD57C4" w:rsidRPr="0067297E">
        <w:rPr>
          <w:rFonts w:asciiTheme="minorHAnsi" w:hAnsiTheme="minorHAnsi" w:cs="Calibri"/>
          <w:lang w:val="en-GB"/>
        </w:rPr>
        <w:t>a</w:t>
      </w:r>
      <w:r w:rsidRPr="0067297E">
        <w:rPr>
          <w:rFonts w:asciiTheme="minorHAnsi" w:hAnsiTheme="minorHAnsi" w:cs="Calibri"/>
          <w:lang w:val="en-GB"/>
        </w:rPr>
        <w:t xml:space="preserve"> clear overview of the housing market dynamics of the area, providing the</w:t>
      </w:r>
      <w:r w:rsidR="00352957" w:rsidRPr="0067297E">
        <w:rPr>
          <w:rFonts w:asciiTheme="minorHAnsi" w:hAnsiTheme="minorHAnsi" w:cs="Calibri"/>
          <w:lang w:val="en-GB"/>
        </w:rPr>
        <w:t xml:space="preserve"> key evidence needed to determine the appropriate approach to assessing housing need.</w:t>
      </w:r>
    </w:p>
    <w:p w14:paraId="796BF4F1" w14:textId="77777777" w:rsidR="00056990" w:rsidRPr="0067297E" w:rsidRDefault="00056990" w:rsidP="00543A76">
      <w:pPr>
        <w:rPr>
          <w:rFonts w:asciiTheme="minorHAnsi" w:hAnsiTheme="minorHAnsi" w:cs="Calibri"/>
        </w:rPr>
      </w:pPr>
      <w:bookmarkStart w:id="157" w:name="_Toc428528472"/>
      <w:bookmarkStart w:id="158" w:name="_Toc430084565"/>
      <w:bookmarkStart w:id="159" w:name="_Toc430782019"/>
    </w:p>
    <w:p w14:paraId="3DA0BED5" w14:textId="77777777" w:rsidR="00582767" w:rsidRPr="0067297E" w:rsidRDefault="00056990" w:rsidP="00543A76">
      <w:pPr>
        <w:pStyle w:val="Heading2"/>
        <w:rPr>
          <w:rFonts w:asciiTheme="minorHAnsi" w:hAnsiTheme="minorHAnsi" w:cs="Calibri"/>
          <w:lang w:val="en-GB"/>
        </w:rPr>
      </w:pPr>
      <w:bookmarkStart w:id="160" w:name="_Toc1385745"/>
      <w:bookmarkStart w:id="161" w:name="_Toc23151060"/>
      <w:r w:rsidRPr="0067297E">
        <w:rPr>
          <w:rFonts w:asciiTheme="minorHAnsi" w:hAnsiTheme="minorHAnsi" w:cs="Calibri"/>
          <w:lang w:val="en-GB"/>
        </w:rPr>
        <w:t xml:space="preserve">House </w:t>
      </w:r>
      <w:r w:rsidR="00582767" w:rsidRPr="0067297E">
        <w:rPr>
          <w:rFonts w:asciiTheme="minorHAnsi" w:hAnsiTheme="minorHAnsi" w:cs="Calibri"/>
        </w:rPr>
        <w:t>price</w:t>
      </w:r>
      <w:bookmarkEnd w:id="157"/>
      <w:bookmarkEnd w:id="158"/>
      <w:bookmarkEnd w:id="159"/>
      <w:r w:rsidR="001371D2" w:rsidRPr="0067297E">
        <w:rPr>
          <w:rFonts w:asciiTheme="minorHAnsi" w:hAnsiTheme="minorHAnsi" w:cs="Calibri"/>
        </w:rPr>
        <w:t xml:space="preserve"> </w:t>
      </w:r>
      <w:r w:rsidR="001371D2" w:rsidRPr="0067297E">
        <w:rPr>
          <w:rFonts w:asciiTheme="minorHAnsi" w:hAnsiTheme="minorHAnsi" w:cs="Calibri"/>
          <w:lang w:val="en-GB"/>
        </w:rPr>
        <w:t>trends</w:t>
      </w:r>
      <w:bookmarkEnd w:id="160"/>
      <w:bookmarkEnd w:id="161"/>
    </w:p>
    <w:p w14:paraId="5AC5BFD4" w14:textId="1E6FF35D" w:rsidR="00814FC7" w:rsidRPr="0067297E" w:rsidRDefault="00582767" w:rsidP="002C70BC">
      <w:pPr>
        <w:pStyle w:val="Reporttext"/>
        <w:numPr>
          <w:ilvl w:val="1"/>
          <w:numId w:val="18"/>
        </w:numPr>
        <w:rPr>
          <w:rFonts w:asciiTheme="minorHAnsi" w:hAnsiTheme="minorHAnsi" w:cs="Calibri"/>
        </w:rPr>
      </w:pPr>
      <w:r w:rsidRPr="0067297E">
        <w:rPr>
          <w:rFonts w:asciiTheme="minorHAnsi" w:hAnsiTheme="minorHAnsi" w:cs="Calibri"/>
        </w:rPr>
        <w:t>Figu</w:t>
      </w:r>
      <w:r w:rsidR="00C16780" w:rsidRPr="0067297E">
        <w:rPr>
          <w:rFonts w:asciiTheme="minorHAnsi" w:hAnsiTheme="minorHAnsi" w:cs="Calibri"/>
        </w:rPr>
        <w:t xml:space="preserve">re 3.1 shows how house prices </w:t>
      </w:r>
      <w:r w:rsidR="00C16780" w:rsidRPr="0067297E">
        <w:rPr>
          <w:rFonts w:asciiTheme="minorHAnsi" w:hAnsiTheme="minorHAnsi" w:cs="Calibri"/>
          <w:lang w:val="en-GB"/>
        </w:rPr>
        <w:t>in</w:t>
      </w:r>
      <w:r w:rsidRPr="0067297E">
        <w:rPr>
          <w:rFonts w:asciiTheme="minorHAnsi" w:hAnsiTheme="minorHAnsi" w:cs="Calibri"/>
        </w:rPr>
        <w:t xml:space="preserve"> the </w:t>
      </w:r>
      <w:r w:rsidR="00FC2076" w:rsidRPr="0067297E">
        <w:rPr>
          <w:rFonts w:asciiTheme="minorHAnsi" w:hAnsiTheme="minorHAnsi" w:cs="Calibri"/>
          <w:lang w:val="en-GB"/>
        </w:rPr>
        <w:t>bo</w:t>
      </w:r>
      <w:r w:rsidR="00E17C9D" w:rsidRPr="0067297E">
        <w:rPr>
          <w:rFonts w:asciiTheme="minorHAnsi" w:hAnsiTheme="minorHAnsi" w:cs="Calibri"/>
          <w:lang w:val="en-GB"/>
        </w:rPr>
        <w:t>rough area</w:t>
      </w:r>
      <w:r w:rsidRPr="0067297E">
        <w:rPr>
          <w:rFonts w:asciiTheme="minorHAnsi" w:hAnsiTheme="minorHAnsi" w:cs="Calibri"/>
        </w:rPr>
        <w:t xml:space="preserve"> have changed over the period 2000 to 201</w:t>
      </w:r>
      <w:r w:rsidR="0078254D" w:rsidRPr="0067297E">
        <w:rPr>
          <w:rFonts w:asciiTheme="minorHAnsi" w:hAnsiTheme="minorHAnsi" w:cs="Calibri"/>
          <w:lang w:val="en-GB"/>
        </w:rPr>
        <w:t>8</w:t>
      </w:r>
      <w:r w:rsidR="00204742" w:rsidRPr="0067297E">
        <w:rPr>
          <w:rFonts w:asciiTheme="minorHAnsi" w:hAnsiTheme="minorHAnsi" w:cs="Calibri"/>
          <w:lang w:val="en-GB"/>
        </w:rPr>
        <w:t xml:space="preserve">, based on </w:t>
      </w:r>
      <w:r w:rsidR="00180E4E" w:rsidRPr="0067297E">
        <w:rPr>
          <w:rFonts w:asciiTheme="minorHAnsi" w:hAnsiTheme="minorHAnsi" w:cs="Calibri"/>
          <w:lang w:val="en-GB"/>
        </w:rPr>
        <w:t xml:space="preserve">full-year </w:t>
      </w:r>
      <w:r w:rsidR="00204742" w:rsidRPr="0067297E">
        <w:rPr>
          <w:rFonts w:asciiTheme="minorHAnsi" w:hAnsiTheme="minorHAnsi" w:cs="Calibri"/>
          <w:lang w:val="en-GB"/>
        </w:rPr>
        <w:t>Land Registry price paid data</w:t>
      </w:r>
      <w:r w:rsidR="00814FC7" w:rsidRPr="0067297E">
        <w:rPr>
          <w:rFonts w:asciiTheme="minorHAnsi" w:hAnsiTheme="minorHAnsi" w:cs="Calibri"/>
        </w:rPr>
        <w:t xml:space="preserve">. </w:t>
      </w:r>
      <w:r w:rsidR="00E17C9D" w:rsidRPr="0067297E">
        <w:rPr>
          <w:rFonts w:asciiTheme="minorHAnsi" w:hAnsiTheme="minorHAnsi" w:cs="Calibri"/>
          <w:lang w:val="en-GB"/>
        </w:rPr>
        <w:t>This is compared with London as a whole (all borough areas) and England.</w:t>
      </w:r>
    </w:p>
    <w:p w14:paraId="6F5D08AC" w14:textId="0D0A4852" w:rsidR="00741A80" w:rsidRPr="0067297E" w:rsidRDefault="00741A80" w:rsidP="002C70BC">
      <w:pPr>
        <w:pStyle w:val="Reporttext"/>
        <w:numPr>
          <w:ilvl w:val="1"/>
          <w:numId w:val="18"/>
        </w:numPr>
        <w:rPr>
          <w:rFonts w:asciiTheme="minorHAnsi" w:hAnsiTheme="minorHAnsi" w:cs="Calibri"/>
        </w:rPr>
      </w:pPr>
      <w:r w:rsidRPr="0067297E">
        <w:rPr>
          <w:rFonts w:asciiTheme="minorHAnsi" w:hAnsiTheme="minorHAnsi" w:cs="Calibri"/>
          <w:lang w:val="en-GB"/>
        </w:rPr>
        <w:t>Median house</w:t>
      </w:r>
      <w:r w:rsidRPr="0067297E">
        <w:rPr>
          <w:rFonts w:asciiTheme="minorHAnsi" w:hAnsiTheme="minorHAnsi" w:cs="Calibri"/>
        </w:rPr>
        <w:t xml:space="preserve"> prices in the </w:t>
      </w:r>
      <w:r w:rsidR="00FC2076" w:rsidRPr="0067297E">
        <w:rPr>
          <w:rFonts w:asciiTheme="minorHAnsi" w:hAnsiTheme="minorHAnsi" w:cs="Calibri"/>
          <w:lang w:val="en-GB"/>
        </w:rPr>
        <w:t>borough</w:t>
      </w:r>
      <w:r w:rsidRPr="0067297E">
        <w:rPr>
          <w:rFonts w:asciiTheme="minorHAnsi" w:hAnsiTheme="minorHAnsi" w:cs="Calibri"/>
        </w:rPr>
        <w:t xml:space="preserve"> </w:t>
      </w:r>
      <w:r w:rsidRPr="0067297E">
        <w:rPr>
          <w:rFonts w:asciiTheme="minorHAnsi" w:hAnsiTheme="minorHAnsi" w:cs="Calibri"/>
          <w:lang w:val="en-GB"/>
        </w:rPr>
        <w:t>have been</w:t>
      </w:r>
      <w:r w:rsidRPr="0067297E">
        <w:rPr>
          <w:rFonts w:asciiTheme="minorHAnsi" w:hAnsiTheme="minorHAnsi" w:cs="Calibri"/>
        </w:rPr>
        <w:t xml:space="preserve"> consistently </w:t>
      </w:r>
      <w:r w:rsidRPr="0067297E">
        <w:rPr>
          <w:rFonts w:asciiTheme="minorHAnsi" w:hAnsiTheme="minorHAnsi" w:cs="Calibri"/>
          <w:lang w:val="en-GB"/>
        </w:rPr>
        <w:t xml:space="preserve">lower than </w:t>
      </w:r>
      <w:r w:rsidRPr="0067297E">
        <w:rPr>
          <w:rFonts w:asciiTheme="minorHAnsi" w:hAnsiTheme="minorHAnsi" w:cs="Calibri"/>
        </w:rPr>
        <w:t xml:space="preserve">those for the </w:t>
      </w:r>
      <w:r w:rsidRPr="0067297E">
        <w:rPr>
          <w:rFonts w:asciiTheme="minorHAnsi" w:hAnsiTheme="minorHAnsi" w:cs="Calibri"/>
          <w:lang w:val="en-GB"/>
        </w:rPr>
        <w:t>London</w:t>
      </w:r>
      <w:r w:rsidRPr="0067297E">
        <w:rPr>
          <w:rFonts w:asciiTheme="minorHAnsi" w:hAnsiTheme="minorHAnsi" w:cs="Calibri"/>
        </w:rPr>
        <w:t xml:space="preserve"> region, </w:t>
      </w:r>
      <w:r w:rsidRPr="0067297E">
        <w:rPr>
          <w:rFonts w:asciiTheme="minorHAnsi" w:hAnsiTheme="minorHAnsi" w:cs="Calibri"/>
          <w:lang w:val="en-GB"/>
        </w:rPr>
        <w:t>but</w:t>
      </w:r>
      <w:r w:rsidRPr="0067297E">
        <w:rPr>
          <w:rFonts w:asciiTheme="minorHAnsi" w:hAnsiTheme="minorHAnsi" w:cs="Calibri"/>
        </w:rPr>
        <w:t xml:space="preserve"> </w:t>
      </w:r>
      <w:r w:rsidRPr="0067297E">
        <w:rPr>
          <w:rFonts w:asciiTheme="minorHAnsi" w:hAnsiTheme="minorHAnsi" w:cs="Calibri"/>
          <w:lang w:val="en-GB"/>
        </w:rPr>
        <w:t>above</w:t>
      </w:r>
      <w:r w:rsidRPr="0067297E">
        <w:rPr>
          <w:rFonts w:asciiTheme="minorHAnsi" w:hAnsiTheme="minorHAnsi" w:cs="Calibri"/>
        </w:rPr>
        <w:t xml:space="preserve"> those for England as a whole. </w:t>
      </w:r>
      <w:r w:rsidRPr="0067297E">
        <w:rPr>
          <w:rFonts w:asciiTheme="minorHAnsi" w:hAnsiTheme="minorHAnsi" w:cs="Calibri"/>
          <w:lang w:val="en-GB"/>
        </w:rPr>
        <w:t xml:space="preserve">Median house prices in the </w:t>
      </w:r>
      <w:r w:rsidR="00FC2076" w:rsidRPr="0067297E">
        <w:rPr>
          <w:rFonts w:asciiTheme="minorHAnsi" w:hAnsiTheme="minorHAnsi" w:cs="Calibri"/>
          <w:lang w:val="en-GB"/>
        </w:rPr>
        <w:t>borough</w:t>
      </w:r>
      <w:r w:rsidRPr="0067297E">
        <w:rPr>
          <w:rFonts w:asciiTheme="minorHAnsi" w:hAnsiTheme="minorHAnsi" w:cs="Calibri"/>
          <w:lang w:val="en-GB"/>
        </w:rPr>
        <w:t xml:space="preserve"> more than doubled in the period 2000-2007, rising from £99,995 in 2000 to £248,032 in 2007. The next five to six years saw price stagnation, reflecting regional and national trends, with </w:t>
      </w:r>
      <w:r w:rsidR="00396430" w:rsidRPr="0067297E">
        <w:rPr>
          <w:rFonts w:asciiTheme="minorHAnsi" w:hAnsiTheme="minorHAnsi" w:cs="Calibri"/>
          <w:lang w:val="en-GB"/>
        </w:rPr>
        <w:t xml:space="preserve">median </w:t>
      </w:r>
      <w:r w:rsidRPr="0067297E">
        <w:rPr>
          <w:rFonts w:asciiTheme="minorHAnsi" w:hAnsiTheme="minorHAnsi" w:cs="Calibri"/>
          <w:lang w:val="en-GB"/>
        </w:rPr>
        <w:t>prices dropping to a low of £215,000 in 2009 and slowly recovering to £249,000 by 2012. Since 2013 there has been an accelerated rate of house price growth, with median prices rising from £259,848 (2013) to £41</w:t>
      </w:r>
      <w:r w:rsidR="00093DA8" w:rsidRPr="0067297E">
        <w:rPr>
          <w:rFonts w:asciiTheme="minorHAnsi" w:hAnsiTheme="minorHAnsi" w:cs="Calibri"/>
          <w:lang w:val="en-GB"/>
        </w:rPr>
        <w:t>8</w:t>
      </w:r>
      <w:r w:rsidRPr="0067297E">
        <w:rPr>
          <w:rFonts w:asciiTheme="minorHAnsi" w:hAnsiTheme="minorHAnsi" w:cs="Calibri"/>
          <w:lang w:val="en-GB"/>
        </w:rPr>
        <w:t>,000 by 2017</w:t>
      </w:r>
      <w:r w:rsidR="0078254D" w:rsidRPr="0067297E">
        <w:rPr>
          <w:rFonts w:asciiTheme="minorHAnsi" w:hAnsiTheme="minorHAnsi" w:cs="Calibri"/>
          <w:lang w:val="en-GB"/>
        </w:rPr>
        <w:t xml:space="preserve"> and during </w:t>
      </w:r>
      <w:r w:rsidR="00D12C02">
        <w:rPr>
          <w:rFonts w:asciiTheme="minorHAnsi" w:hAnsiTheme="minorHAnsi" w:cs="Calibri"/>
          <w:lang w:val="en-GB"/>
        </w:rPr>
        <w:t>2018</w:t>
      </w:r>
      <w:r w:rsidR="00D12C02" w:rsidRPr="0067297E">
        <w:rPr>
          <w:rFonts w:asciiTheme="minorHAnsi" w:hAnsiTheme="minorHAnsi" w:cs="Calibri"/>
          <w:lang w:val="en-GB"/>
        </w:rPr>
        <w:t xml:space="preserve"> </w:t>
      </w:r>
      <w:r w:rsidR="0078254D" w:rsidRPr="0067297E">
        <w:rPr>
          <w:rFonts w:asciiTheme="minorHAnsi" w:hAnsiTheme="minorHAnsi" w:cs="Calibri"/>
          <w:lang w:val="en-GB"/>
        </w:rPr>
        <w:t>prices fell slightly to</w:t>
      </w:r>
      <w:r w:rsidR="00093DA8" w:rsidRPr="0067297E">
        <w:rPr>
          <w:rFonts w:asciiTheme="minorHAnsi" w:hAnsiTheme="minorHAnsi" w:cs="Calibri"/>
          <w:lang w:val="en-GB"/>
        </w:rPr>
        <w:t xml:space="preserve"> £412,250</w:t>
      </w:r>
      <w:r w:rsidR="0078254D" w:rsidRPr="0067297E">
        <w:rPr>
          <w:rFonts w:asciiTheme="minorHAnsi" w:hAnsiTheme="minorHAnsi" w:cs="Calibri"/>
          <w:lang w:val="en-GB"/>
        </w:rPr>
        <w:t xml:space="preserve"> </w:t>
      </w:r>
      <w:r w:rsidRPr="0067297E">
        <w:rPr>
          <w:rFonts w:asciiTheme="minorHAnsi" w:hAnsiTheme="minorHAnsi" w:cs="Calibri"/>
          <w:lang w:val="en-GB"/>
        </w:rPr>
        <w:t>.</w:t>
      </w:r>
    </w:p>
    <w:p w14:paraId="5F229476" w14:textId="1CBAFF87" w:rsidR="00741A80" w:rsidRPr="0067297E" w:rsidRDefault="00741A80" w:rsidP="002C70BC">
      <w:pPr>
        <w:pStyle w:val="Reporttext"/>
        <w:numPr>
          <w:ilvl w:val="1"/>
          <w:numId w:val="18"/>
        </w:numPr>
        <w:rPr>
          <w:rFonts w:asciiTheme="minorHAnsi" w:hAnsiTheme="minorHAnsi" w:cs="Calibri"/>
        </w:rPr>
      </w:pPr>
      <w:r w:rsidRPr="0067297E">
        <w:rPr>
          <w:rFonts w:asciiTheme="minorHAnsi" w:hAnsiTheme="minorHAnsi" w:cs="Calibri"/>
          <w:lang w:val="en-GB"/>
        </w:rPr>
        <w:t>Overall</w:t>
      </w:r>
      <w:r w:rsidRPr="0067297E">
        <w:rPr>
          <w:rFonts w:asciiTheme="minorHAnsi" w:hAnsiTheme="minorHAnsi" w:cs="Calibri"/>
        </w:rPr>
        <w:t>, median prices have increased from £</w:t>
      </w:r>
      <w:r w:rsidRPr="0067297E">
        <w:rPr>
          <w:rFonts w:asciiTheme="minorHAnsi" w:hAnsiTheme="minorHAnsi" w:cs="Calibri"/>
          <w:lang w:val="en-GB"/>
        </w:rPr>
        <w:t>99,995</w:t>
      </w:r>
      <w:r w:rsidRPr="0067297E">
        <w:rPr>
          <w:rFonts w:asciiTheme="minorHAnsi" w:hAnsiTheme="minorHAnsi" w:cs="Calibri"/>
        </w:rPr>
        <w:t xml:space="preserve"> in 2000 to £</w:t>
      </w:r>
      <w:r w:rsidRPr="0067297E">
        <w:rPr>
          <w:rFonts w:asciiTheme="minorHAnsi" w:hAnsiTheme="minorHAnsi" w:cs="Calibri"/>
          <w:lang w:val="en-GB"/>
        </w:rPr>
        <w:t>41</w:t>
      </w:r>
      <w:r w:rsidR="00093DA8" w:rsidRPr="0067297E">
        <w:rPr>
          <w:rFonts w:asciiTheme="minorHAnsi" w:hAnsiTheme="minorHAnsi" w:cs="Calibri"/>
          <w:lang w:val="en-GB"/>
        </w:rPr>
        <w:t>2</w:t>
      </w:r>
      <w:r w:rsidRPr="0067297E">
        <w:rPr>
          <w:rFonts w:asciiTheme="minorHAnsi" w:hAnsiTheme="minorHAnsi" w:cs="Calibri"/>
          <w:lang w:val="en-GB"/>
        </w:rPr>
        <w:t>,</w:t>
      </w:r>
      <w:r w:rsidR="00093DA8" w:rsidRPr="0067297E">
        <w:rPr>
          <w:rFonts w:asciiTheme="minorHAnsi" w:hAnsiTheme="minorHAnsi" w:cs="Calibri"/>
          <w:lang w:val="en-GB"/>
        </w:rPr>
        <w:t>25</w:t>
      </w:r>
      <w:r w:rsidRPr="0067297E">
        <w:rPr>
          <w:rFonts w:asciiTheme="minorHAnsi" w:hAnsiTheme="minorHAnsi" w:cs="Calibri"/>
          <w:lang w:val="en-GB"/>
        </w:rPr>
        <w:t>0</w:t>
      </w:r>
      <w:r w:rsidRPr="0067297E">
        <w:rPr>
          <w:rFonts w:asciiTheme="minorHAnsi" w:hAnsiTheme="minorHAnsi" w:cs="Calibri"/>
        </w:rPr>
        <w:t xml:space="preserve"> in 201</w:t>
      </w:r>
      <w:r w:rsidR="00093DA8" w:rsidRPr="0067297E">
        <w:rPr>
          <w:rFonts w:asciiTheme="minorHAnsi" w:hAnsiTheme="minorHAnsi" w:cs="Calibri"/>
          <w:lang w:val="en-GB"/>
        </w:rPr>
        <w:t>8</w:t>
      </w:r>
      <w:r w:rsidRPr="0067297E">
        <w:rPr>
          <w:rFonts w:asciiTheme="minorHAnsi" w:hAnsiTheme="minorHAnsi" w:cs="Calibri"/>
        </w:rPr>
        <w:t xml:space="preserve">, an increase of </w:t>
      </w:r>
      <w:r w:rsidRPr="0067297E">
        <w:rPr>
          <w:rFonts w:asciiTheme="minorHAnsi" w:hAnsiTheme="minorHAnsi" w:cs="Calibri"/>
          <w:lang w:val="en-GB"/>
        </w:rPr>
        <w:t>312</w:t>
      </w:r>
      <w:r w:rsidR="00093DA8" w:rsidRPr="0067297E">
        <w:rPr>
          <w:rFonts w:asciiTheme="minorHAnsi" w:hAnsiTheme="minorHAnsi" w:cs="Calibri"/>
          <w:lang w:val="en-GB"/>
        </w:rPr>
        <w:t>.3</w:t>
      </w:r>
      <w:r w:rsidRPr="0067297E">
        <w:rPr>
          <w:rFonts w:asciiTheme="minorHAnsi" w:hAnsiTheme="minorHAnsi" w:cs="Calibri"/>
        </w:rPr>
        <w:t xml:space="preserve">%. </w:t>
      </w:r>
      <w:r w:rsidRPr="0067297E">
        <w:rPr>
          <w:rFonts w:asciiTheme="minorHAnsi" w:hAnsiTheme="minorHAnsi" w:cs="Calibri"/>
          <w:lang w:val="en-GB"/>
        </w:rPr>
        <w:t xml:space="preserve">Table 3.1 sets out comparative house price change over this period, </w:t>
      </w:r>
      <w:r w:rsidR="00396430" w:rsidRPr="0067297E">
        <w:rPr>
          <w:rFonts w:asciiTheme="minorHAnsi" w:hAnsiTheme="minorHAnsi" w:cs="Calibri"/>
          <w:lang w:val="en-GB"/>
        </w:rPr>
        <w:t xml:space="preserve">comparing the </w:t>
      </w:r>
      <w:r w:rsidR="00FC2076" w:rsidRPr="0067297E">
        <w:rPr>
          <w:rFonts w:asciiTheme="minorHAnsi" w:hAnsiTheme="minorHAnsi" w:cs="Calibri"/>
          <w:lang w:val="en-GB"/>
        </w:rPr>
        <w:t>borough</w:t>
      </w:r>
      <w:r w:rsidR="00396430" w:rsidRPr="0067297E">
        <w:rPr>
          <w:rFonts w:asciiTheme="minorHAnsi" w:hAnsiTheme="minorHAnsi" w:cs="Calibri"/>
          <w:lang w:val="en-GB"/>
        </w:rPr>
        <w:t xml:space="preserve"> with other neighbouring local authorit</w:t>
      </w:r>
      <w:r w:rsidR="00B06BE9" w:rsidRPr="0067297E">
        <w:rPr>
          <w:rFonts w:asciiTheme="minorHAnsi" w:hAnsiTheme="minorHAnsi" w:cs="Calibri"/>
          <w:lang w:val="en-GB"/>
        </w:rPr>
        <w:t xml:space="preserve">y areas, the London average, the South East average and the national average. This </w:t>
      </w:r>
      <w:r w:rsidRPr="0067297E">
        <w:rPr>
          <w:rFonts w:asciiTheme="minorHAnsi" w:hAnsiTheme="minorHAnsi" w:cs="Calibri"/>
          <w:lang w:val="en-GB"/>
        </w:rPr>
        <w:t xml:space="preserve">indicates that </w:t>
      </w:r>
      <w:r w:rsidR="00B06BE9" w:rsidRPr="0067297E">
        <w:rPr>
          <w:rFonts w:asciiTheme="minorHAnsi" w:hAnsiTheme="minorHAnsi" w:cs="Calibri"/>
          <w:lang w:val="en-GB"/>
        </w:rPr>
        <w:t>the</w:t>
      </w:r>
      <w:r w:rsidRPr="0067297E">
        <w:rPr>
          <w:rFonts w:asciiTheme="minorHAnsi" w:hAnsiTheme="minorHAnsi" w:cs="Calibri"/>
          <w:lang w:val="en-GB"/>
        </w:rPr>
        <w:t xml:space="preserve"> rate of growth </w:t>
      </w:r>
      <w:r w:rsidR="00B06BE9" w:rsidRPr="0067297E">
        <w:rPr>
          <w:rFonts w:asciiTheme="minorHAnsi" w:hAnsiTheme="minorHAnsi" w:cs="Calibri"/>
          <w:lang w:val="en-GB"/>
        </w:rPr>
        <w:t xml:space="preserve">in </w:t>
      </w:r>
      <w:r w:rsidR="00FC2076" w:rsidRPr="0067297E">
        <w:rPr>
          <w:rFonts w:asciiTheme="minorHAnsi" w:hAnsiTheme="minorHAnsi" w:cs="Calibri"/>
          <w:lang w:val="en-GB"/>
        </w:rPr>
        <w:t>the borough</w:t>
      </w:r>
      <w:r w:rsidR="00B06BE9" w:rsidRPr="0067297E">
        <w:rPr>
          <w:rFonts w:asciiTheme="minorHAnsi" w:hAnsiTheme="minorHAnsi" w:cs="Calibri"/>
          <w:lang w:val="en-GB"/>
        </w:rPr>
        <w:t xml:space="preserve"> has been </w:t>
      </w:r>
      <w:r w:rsidRPr="0067297E">
        <w:rPr>
          <w:rFonts w:asciiTheme="minorHAnsi" w:hAnsiTheme="minorHAnsi" w:cs="Calibri"/>
          <w:lang w:val="en-GB"/>
        </w:rPr>
        <w:t>significantly higher than that</w:t>
      </w:r>
      <w:r w:rsidR="00FC2076" w:rsidRPr="0067297E">
        <w:rPr>
          <w:rFonts w:asciiTheme="minorHAnsi" w:hAnsiTheme="minorHAnsi" w:cs="Calibri"/>
          <w:lang w:val="en-GB"/>
        </w:rPr>
        <w:t xml:space="preserve"> experienced across the London B</w:t>
      </w:r>
      <w:r w:rsidRPr="0067297E">
        <w:rPr>
          <w:rFonts w:asciiTheme="minorHAnsi" w:hAnsiTheme="minorHAnsi" w:cs="Calibri"/>
          <w:lang w:val="en-GB"/>
        </w:rPr>
        <w:t>oroughs as a whole (+2</w:t>
      </w:r>
      <w:r w:rsidR="00F4072E" w:rsidRPr="0067297E">
        <w:rPr>
          <w:rFonts w:asciiTheme="minorHAnsi" w:hAnsiTheme="minorHAnsi" w:cs="Calibri"/>
          <w:lang w:val="en-GB"/>
        </w:rPr>
        <w:t>33</w:t>
      </w:r>
      <w:r w:rsidRPr="0067297E">
        <w:rPr>
          <w:rFonts w:asciiTheme="minorHAnsi" w:hAnsiTheme="minorHAnsi" w:cs="Calibri"/>
          <w:lang w:val="en-GB"/>
        </w:rPr>
        <w:t xml:space="preserve">%). The rate of growth </w:t>
      </w:r>
      <w:r w:rsidR="00B06BE9" w:rsidRPr="0067297E">
        <w:rPr>
          <w:rFonts w:asciiTheme="minorHAnsi" w:hAnsiTheme="minorHAnsi" w:cs="Calibri"/>
          <w:lang w:val="en-GB"/>
        </w:rPr>
        <w:t>in Lewisham (+312</w:t>
      </w:r>
      <w:r w:rsidR="00F4072E" w:rsidRPr="0067297E">
        <w:rPr>
          <w:rFonts w:asciiTheme="minorHAnsi" w:hAnsiTheme="minorHAnsi" w:cs="Calibri"/>
          <w:lang w:val="en-GB"/>
        </w:rPr>
        <w:t>.3</w:t>
      </w:r>
      <w:r w:rsidR="00B06BE9" w:rsidRPr="0067297E">
        <w:rPr>
          <w:rFonts w:asciiTheme="minorHAnsi" w:hAnsiTheme="minorHAnsi" w:cs="Calibri"/>
          <w:lang w:val="en-GB"/>
        </w:rPr>
        <w:t xml:space="preserve">%) </w:t>
      </w:r>
      <w:r w:rsidRPr="0067297E">
        <w:rPr>
          <w:rFonts w:asciiTheme="minorHAnsi" w:hAnsiTheme="minorHAnsi" w:cs="Calibri"/>
          <w:lang w:val="en-GB"/>
        </w:rPr>
        <w:t>is greater than all of the neighbouring boroughs</w:t>
      </w:r>
      <w:r w:rsidR="00B06BE9" w:rsidRPr="0067297E">
        <w:rPr>
          <w:rFonts w:asciiTheme="minorHAnsi" w:hAnsiTheme="minorHAnsi" w:cs="Calibri"/>
          <w:lang w:val="en-GB"/>
        </w:rPr>
        <w:t xml:space="preserve"> identified</w:t>
      </w:r>
      <w:r w:rsidRPr="0067297E">
        <w:rPr>
          <w:rFonts w:asciiTheme="minorHAnsi" w:hAnsiTheme="minorHAnsi" w:cs="Calibri"/>
          <w:lang w:val="en-GB"/>
        </w:rPr>
        <w:t>, followed by the London Borough of Greenwich (29</w:t>
      </w:r>
      <w:r w:rsidR="00F4072E" w:rsidRPr="0067297E">
        <w:rPr>
          <w:rFonts w:asciiTheme="minorHAnsi" w:hAnsiTheme="minorHAnsi" w:cs="Calibri"/>
          <w:lang w:val="en-GB"/>
        </w:rPr>
        <w:t>5.3</w:t>
      </w:r>
      <w:r w:rsidRPr="0067297E">
        <w:rPr>
          <w:rFonts w:asciiTheme="minorHAnsi" w:hAnsiTheme="minorHAnsi" w:cs="Calibri"/>
          <w:lang w:val="en-GB"/>
        </w:rPr>
        <w:t>%)</w:t>
      </w:r>
      <w:r w:rsidR="00B06BE9" w:rsidRPr="0067297E">
        <w:rPr>
          <w:rFonts w:asciiTheme="minorHAnsi" w:hAnsiTheme="minorHAnsi" w:cs="Calibri"/>
          <w:lang w:val="en-GB"/>
        </w:rPr>
        <w:t xml:space="preserve"> and Southwark (2</w:t>
      </w:r>
      <w:r w:rsidR="00F4072E" w:rsidRPr="0067297E">
        <w:rPr>
          <w:rFonts w:asciiTheme="minorHAnsi" w:hAnsiTheme="minorHAnsi" w:cs="Calibri"/>
          <w:lang w:val="en-GB"/>
        </w:rPr>
        <w:t>54.8</w:t>
      </w:r>
      <w:r w:rsidR="00B06BE9" w:rsidRPr="0067297E">
        <w:rPr>
          <w:rFonts w:asciiTheme="minorHAnsi" w:hAnsiTheme="minorHAnsi" w:cs="Calibri"/>
          <w:lang w:val="en-GB"/>
        </w:rPr>
        <w:t>%)</w:t>
      </w:r>
      <w:r w:rsidRPr="0067297E">
        <w:rPr>
          <w:rFonts w:asciiTheme="minorHAnsi" w:hAnsiTheme="minorHAnsi" w:cs="Calibri"/>
          <w:lang w:val="en-GB"/>
        </w:rPr>
        <w:t>.</w:t>
      </w:r>
    </w:p>
    <w:p w14:paraId="4CA654F3" w14:textId="77777777" w:rsidR="00741A80" w:rsidRPr="0067297E" w:rsidRDefault="00741A80" w:rsidP="006C722F">
      <w:pPr>
        <w:pStyle w:val="Reporttext"/>
        <w:numPr>
          <w:ilvl w:val="0"/>
          <w:numId w:val="0"/>
        </w:numPr>
        <w:rPr>
          <w:rFonts w:asciiTheme="minorHAnsi" w:hAnsiTheme="minorHAnsi" w:cs="Calibri"/>
        </w:rPr>
      </w:pPr>
    </w:p>
    <w:p w14:paraId="2415BF34" w14:textId="77777777" w:rsidR="00814FC7" w:rsidRPr="0067297E" w:rsidRDefault="00814FC7">
      <w:pPr>
        <w:pStyle w:val="Maintext"/>
        <w:numPr>
          <w:ilvl w:val="0"/>
          <w:numId w:val="0"/>
        </w:numPr>
        <w:rPr>
          <w:rFonts w:asciiTheme="minorHAnsi" w:hAnsiTheme="minorHAnsi" w:cs="Calibri"/>
          <w:sz w:val="20"/>
          <w:szCs w:val="20"/>
        </w:rPr>
        <w:sectPr w:rsidR="00814FC7" w:rsidRPr="0067297E" w:rsidSect="007F6E31">
          <w:headerReference w:type="default" r:id="rId16"/>
          <w:footerReference w:type="default" r:id="rId17"/>
          <w:pgSz w:w="11906" w:h="16838" w:code="9"/>
          <w:pgMar w:top="1440" w:right="1276" w:bottom="1134" w:left="1440" w:header="709" w:footer="567" w:gutter="0"/>
          <w:cols w:space="708"/>
          <w:docGrid w:linePitch="360"/>
        </w:sectPr>
      </w:pPr>
    </w:p>
    <w:p w14:paraId="7154E7F5" w14:textId="33A3A99C" w:rsidR="00814FC7" w:rsidRPr="0067297E" w:rsidRDefault="00814FC7">
      <w:pPr>
        <w:pStyle w:val="figureheading"/>
        <w:rPr>
          <w:rFonts w:asciiTheme="minorHAnsi" w:hAnsiTheme="minorHAnsi" w:cs="Calibri"/>
        </w:rPr>
      </w:pPr>
      <w:bookmarkStart w:id="162" w:name="_Toc399871715"/>
      <w:bookmarkStart w:id="163" w:name="_Toc428528359"/>
      <w:bookmarkStart w:id="164" w:name="_Toc430084676"/>
      <w:bookmarkStart w:id="165" w:name="_Toc430782174"/>
      <w:bookmarkStart w:id="166" w:name="_Toc23151221"/>
      <w:r w:rsidRPr="0067297E">
        <w:rPr>
          <w:rFonts w:asciiTheme="minorHAnsi" w:hAnsiTheme="minorHAnsi" w:cs="Calibri"/>
        </w:rPr>
        <w:lastRenderedPageBreak/>
        <w:t>Figure 3.1</w:t>
      </w:r>
      <w:r w:rsidRPr="0067297E">
        <w:rPr>
          <w:rFonts w:asciiTheme="minorHAnsi" w:hAnsiTheme="minorHAnsi" w:cs="Calibri"/>
        </w:rPr>
        <w:tab/>
        <w:t>Median house price trends 2000 to 201</w:t>
      </w:r>
      <w:r w:rsidR="006343DC">
        <w:rPr>
          <w:rFonts w:asciiTheme="minorHAnsi" w:hAnsiTheme="minorHAnsi" w:cs="Calibri"/>
          <w:lang w:val="en-GB"/>
        </w:rPr>
        <w:t>8</w:t>
      </w:r>
      <w:r w:rsidRPr="0067297E">
        <w:rPr>
          <w:rFonts w:asciiTheme="minorHAnsi" w:hAnsiTheme="minorHAnsi" w:cs="Calibri"/>
        </w:rPr>
        <w:t xml:space="preserve">: the </w:t>
      </w:r>
      <w:r w:rsidRPr="0067297E">
        <w:rPr>
          <w:rFonts w:asciiTheme="minorHAnsi" w:hAnsiTheme="minorHAnsi" w:cs="Calibri"/>
          <w:lang w:val="en-GB"/>
        </w:rPr>
        <w:t xml:space="preserve">Borough of </w:t>
      </w:r>
      <w:r w:rsidR="00F424EA" w:rsidRPr="0067297E">
        <w:rPr>
          <w:rFonts w:asciiTheme="minorHAnsi" w:hAnsiTheme="minorHAnsi" w:cs="Calibri"/>
          <w:lang w:val="en-GB"/>
        </w:rPr>
        <w:t>Lewisham</w:t>
      </w:r>
      <w:r w:rsidRPr="0067297E">
        <w:rPr>
          <w:rFonts w:asciiTheme="minorHAnsi" w:hAnsiTheme="minorHAnsi" w:cs="Calibri"/>
        </w:rPr>
        <w:t xml:space="preserve">, </w:t>
      </w:r>
      <w:r w:rsidR="00E17C9D" w:rsidRPr="0067297E">
        <w:rPr>
          <w:rFonts w:asciiTheme="minorHAnsi" w:hAnsiTheme="minorHAnsi" w:cs="Calibri"/>
          <w:lang w:val="en-GB"/>
        </w:rPr>
        <w:t>London</w:t>
      </w:r>
      <w:r w:rsidR="00FC2076" w:rsidRPr="0067297E">
        <w:rPr>
          <w:rFonts w:asciiTheme="minorHAnsi" w:hAnsiTheme="minorHAnsi" w:cs="Calibri"/>
          <w:lang w:val="en-GB"/>
        </w:rPr>
        <w:t xml:space="preserve"> Boroughs</w:t>
      </w:r>
      <w:r w:rsidR="00E17C9D" w:rsidRPr="0067297E">
        <w:rPr>
          <w:rFonts w:asciiTheme="minorHAnsi" w:hAnsiTheme="minorHAnsi" w:cs="Calibri"/>
          <w:lang w:val="en-GB"/>
        </w:rPr>
        <w:t xml:space="preserve"> </w:t>
      </w:r>
      <w:r w:rsidRPr="0067297E">
        <w:rPr>
          <w:rFonts w:asciiTheme="minorHAnsi" w:hAnsiTheme="minorHAnsi" w:cs="Calibri"/>
        </w:rPr>
        <w:t>and England</w:t>
      </w:r>
      <w:bookmarkEnd w:id="162"/>
      <w:bookmarkEnd w:id="163"/>
      <w:bookmarkEnd w:id="164"/>
      <w:bookmarkEnd w:id="165"/>
      <w:bookmarkEnd w:id="166"/>
    </w:p>
    <w:p w14:paraId="61539970" w14:textId="090EBDC3" w:rsidR="00814FC7" w:rsidRPr="0067297E" w:rsidRDefault="00D55A8B">
      <w:pPr>
        <w:rPr>
          <w:rFonts w:asciiTheme="minorHAnsi" w:hAnsiTheme="minorHAnsi" w:cs="Calibri"/>
          <w:sz w:val="20"/>
          <w:szCs w:val="20"/>
        </w:rPr>
      </w:pPr>
      <w:r w:rsidRPr="0067297E">
        <w:rPr>
          <w:rFonts w:asciiTheme="minorHAnsi" w:hAnsiTheme="minorHAnsi"/>
          <w:noProof/>
        </w:rPr>
        <w:t xml:space="preserve"> </w:t>
      </w:r>
      <w:r w:rsidRPr="0067297E">
        <w:rPr>
          <w:rFonts w:asciiTheme="minorHAnsi" w:hAnsiTheme="minorHAnsi"/>
          <w:noProof/>
          <w:lang w:eastAsia="en-GB"/>
        </w:rPr>
        <w:drawing>
          <wp:inline distT="0" distB="0" distL="0" distR="0" wp14:anchorId="0E044361" wp14:editId="147304C7">
            <wp:extent cx="7847045" cy="4398437"/>
            <wp:effectExtent l="0" t="0" r="1905" b="2540"/>
            <wp:docPr id="18" name="Picture 18" descr="Chart showing median house prices from 2000 to 2018 with 3 coloured curves: London, England, Lewisham. " title="Figure 3.1 Median house price trends 2000 to 2018: the Borough of Lewisham, London Boroughs and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848934" cy="4399496"/>
                    </a:xfrm>
                    <a:prstGeom prst="rect">
                      <a:avLst/>
                    </a:prstGeom>
                  </pic:spPr>
                </pic:pic>
              </a:graphicData>
            </a:graphic>
          </wp:inline>
        </w:drawing>
      </w:r>
    </w:p>
    <w:p w14:paraId="5F324C35" w14:textId="77777777" w:rsidR="00814FC7" w:rsidRPr="0067297E" w:rsidRDefault="00814FC7">
      <w:pPr>
        <w:pStyle w:val="Maintext"/>
        <w:numPr>
          <w:ilvl w:val="0"/>
          <w:numId w:val="0"/>
        </w:numPr>
        <w:rPr>
          <w:rFonts w:asciiTheme="minorHAnsi" w:hAnsiTheme="minorHAnsi" w:cs="Calibri"/>
          <w:sz w:val="20"/>
          <w:szCs w:val="20"/>
          <w:lang w:val="en-GB"/>
        </w:rPr>
      </w:pPr>
      <w:r w:rsidRPr="0067297E">
        <w:rPr>
          <w:rFonts w:asciiTheme="minorHAnsi" w:hAnsiTheme="minorHAnsi" w:cs="Calibri"/>
          <w:sz w:val="20"/>
          <w:szCs w:val="20"/>
        </w:rPr>
        <w:t>Source: Data produced by Land Registry © Crown copyright 201</w:t>
      </w:r>
      <w:r w:rsidRPr="0067297E">
        <w:rPr>
          <w:rFonts w:asciiTheme="minorHAnsi" w:hAnsiTheme="minorHAnsi" w:cs="Calibri"/>
          <w:sz w:val="20"/>
          <w:szCs w:val="20"/>
          <w:lang w:val="en-GB"/>
        </w:rPr>
        <w:t>8</w:t>
      </w:r>
    </w:p>
    <w:p w14:paraId="27A26406" w14:textId="77777777" w:rsidR="00741A80" w:rsidRPr="0067297E" w:rsidRDefault="00741A80">
      <w:pPr>
        <w:pStyle w:val="Maintext"/>
        <w:numPr>
          <w:ilvl w:val="0"/>
          <w:numId w:val="0"/>
        </w:numPr>
        <w:rPr>
          <w:rFonts w:asciiTheme="minorHAnsi" w:hAnsiTheme="minorHAnsi" w:cs="Calibri"/>
          <w:sz w:val="20"/>
          <w:szCs w:val="20"/>
          <w:lang w:val="en-GB"/>
        </w:rPr>
        <w:sectPr w:rsidR="00741A80" w:rsidRPr="0067297E" w:rsidSect="007F6E31">
          <w:headerReference w:type="default" r:id="rId19"/>
          <w:footerReference w:type="default" r:id="rId20"/>
          <w:footerReference w:type="first" r:id="rId21"/>
          <w:pgSz w:w="16838" w:h="11906" w:orient="landscape" w:code="9"/>
          <w:pgMar w:top="1440" w:right="1276" w:bottom="1134" w:left="1440" w:header="709" w:footer="567" w:gutter="0"/>
          <w:cols w:space="708"/>
          <w:docGrid w:linePitch="360"/>
        </w:sect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053"/>
        <w:gridCol w:w="2045"/>
        <w:gridCol w:w="1842"/>
        <w:gridCol w:w="2240"/>
      </w:tblGrid>
      <w:tr w:rsidR="00A81E2C" w:rsidRPr="001D2A84" w14:paraId="0E7326C2" w14:textId="77777777" w:rsidTr="00FF4E2D">
        <w:trPr>
          <w:tblHeader/>
        </w:trPr>
        <w:tc>
          <w:tcPr>
            <w:tcW w:w="5000" w:type="pct"/>
            <w:gridSpan w:val="4"/>
            <w:shd w:val="clear" w:color="auto" w:fill="009999"/>
            <w:vAlign w:val="bottom"/>
            <w:hideMark/>
          </w:tcPr>
          <w:p w14:paraId="14154134" w14:textId="3D56F6B0" w:rsidR="00A81E2C" w:rsidRPr="001D2A84" w:rsidRDefault="00A81E2C" w:rsidP="003F4875">
            <w:pPr>
              <w:pStyle w:val="tableheading"/>
              <w:rPr>
                <w:rFonts w:asciiTheme="minorHAnsi" w:hAnsiTheme="minorHAnsi"/>
                <w:szCs w:val="22"/>
                <w:lang w:val="en-GB"/>
              </w:rPr>
            </w:pPr>
            <w:bookmarkStart w:id="167" w:name="_Toc23151142"/>
            <w:r w:rsidRPr="001D2A84">
              <w:rPr>
                <w:rFonts w:asciiTheme="minorHAnsi" w:hAnsiTheme="minorHAnsi"/>
                <w:szCs w:val="22"/>
              </w:rPr>
              <w:lastRenderedPageBreak/>
              <w:t>Table 3.</w:t>
            </w:r>
            <w:r w:rsidRPr="001D2A84">
              <w:rPr>
                <w:rFonts w:asciiTheme="minorHAnsi" w:hAnsiTheme="minorHAnsi"/>
                <w:szCs w:val="22"/>
                <w:lang w:val="en-GB"/>
              </w:rPr>
              <w:t>1</w:t>
            </w:r>
            <w:r w:rsidRPr="001D2A84">
              <w:rPr>
                <w:rFonts w:asciiTheme="minorHAnsi" w:hAnsiTheme="minorHAnsi"/>
                <w:szCs w:val="22"/>
              </w:rPr>
              <w:tab/>
            </w:r>
            <w:r w:rsidRPr="001D2A84">
              <w:rPr>
                <w:rFonts w:asciiTheme="minorHAnsi" w:hAnsiTheme="minorHAnsi"/>
                <w:szCs w:val="22"/>
                <w:lang w:val="en-GB"/>
              </w:rPr>
              <w:t xml:space="preserve">Comparative house price change </w:t>
            </w:r>
            <w:r w:rsidR="00B9334A" w:rsidRPr="001D2A84">
              <w:rPr>
                <w:rFonts w:asciiTheme="minorHAnsi" w:hAnsiTheme="minorHAnsi"/>
                <w:szCs w:val="22"/>
                <w:lang w:val="en-GB"/>
              </w:rPr>
              <w:t>2000-201</w:t>
            </w:r>
            <w:r w:rsidR="002C07B2" w:rsidRPr="001D2A84">
              <w:rPr>
                <w:rFonts w:asciiTheme="minorHAnsi" w:hAnsiTheme="minorHAnsi"/>
                <w:szCs w:val="22"/>
                <w:lang w:val="en-GB"/>
              </w:rPr>
              <w:t>8</w:t>
            </w:r>
            <w:r w:rsidRPr="001D2A84">
              <w:rPr>
                <w:rFonts w:asciiTheme="minorHAnsi" w:hAnsiTheme="minorHAnsi"/>
                <w:szCs w:val="22"/>
                <w:lang w:val="en-GB"/>
              </w:rPr>
              <w:t xml:space="preserve"> with neighbouring </w:t>
            </w:r>
            <w:r w:rsidR="00281BEC" w:rsidRPr="001D2A84">
              <w:rPr>
                <w:rFonts w:asciiTheme="minorHAnsi" w:hAnsiTheme="minorHAnsi"/>
                <w:szCs w:val="22"/>
                <w:lang w:val="en-GB"/>
              </w:rPr>
              <w:t>local authority areas</w:t>
            </w:r>
            <w:r w:rsidRPr="001D2A84">
              <w:rPr>
                <w:rFonts w:asciiTheme="minorHAnsi" w:hAnsiTheme="minorHAnsi"/>
                <w:szCs w:val="22"/>
                <w:lang w:val="en-GB"/>
              </w:rPr>
              <w:t xml:space="preserve">, </w:t>
            </w:r>
            <w:r w:rsidR="00B9334A" w:rsidRPr="001D2A84">
              <w:rPr>
                <w:rFonts w:asciiTheme="minorHAnsi" w:hAnsiTheme="minorHAnsi"/>
                <w:szCs w:val="22"/>
                <w:lang w:val="en-GB"/>
              </w:rPr>
              <w:t xml:space="preserve">London, </w:t>
            </w:r>
            <w:r w:rsidRPr="001D2A84">
              <w:rPr>
                <w:rFonts w:asciiTheme="minorHAnsi" w:hAnsiTheme="minorHAnsi"/>
                <w:szCs w:val="22"/>
                <w:lang w:val="en-GB"/>
              </w:rPr>
              <w:t>the South East and England</w:t>
            </w:r>
            <w:bookmarkEnd w:id="167"/>
          </w:p>
        </w:tc>
      </w:tr>
      <w:tr w:rsidR="00A81E2C" w:rsidRPr="001D2A84" w14:paraId="16933867" w14:textId="77777777" w:rsidTr="003C469F">
        <w:trPr>
          <w:trHeight w:val="383"/>
        </w:trPr>
        <w:tc>
          <w:tcPr>
            <w:tcW w:w="1663" w:type="pct"/>
            <w:vMerge w:val="restart"/>
            <w:shd w:val="clear" w:color="auto" w:fill="009999"/>
            <w:vAlign w:val="bottom"/>
            <w:hideMark/>
          </w:tcPr>
          <w:p w14:paraId="72A2A329" w14:textId="77777777" w:rsidR="00A81E2C" w:rsidRPr="001D2A84" w:rsidRDefault="00A81E2C" w:rsidP="00543A76">
            <w:pPr>
              <w:rPr>
                <w:rFonts w:asciiTheme="minorHAnsi" w:hAnsiTheme="minorHAnsi" w:cs="Calibri"/>
                <w:b/>
                <w:bCs/>
                <w:color w:val="FFFFFF"/>
                <w:sz w:val="22"/>
                <w:szCs w:val="22"/>
              </w:rPr>
            </w:pPr>
            <w:r w:rsidRPr="001D2A84">
              <w:rPr>
                <w:rFonts w:asciiTheme="minorHAnsi" w:hAnsiTheme="minorHAnsi" w:cs="Calibri"/>
                <w:b/>
                <w:bCs/>
                <w:color w:val="FFFFFF"/>
                <w:sz w:val="22"/>
                <w:szCs w:val="22"/>
              </w:rPr>
              <w:t>Location</w:t>
            </w:r>
          </w:p>
        </w:tc>
        <w:tc>
          <w:tcPr>
            <w:tcW w:w="2117" w:type="pct"/>
            <w:gridSpan w:val="2"/>
            <w:shd w:val="clear" w:color="auto" w:fill="009999"/>
            <w:vAlign w:val="bottom"/>
            <w:hideMark/>
          </w:tcPr>
          <w:p w14:paraId="645A4F0F" w14:textId="77777777" w:rsidR="00A81E2C" w:rsidRPr="001D2A84" w:rsidRDefault="00A81E2C" w:rsidP="00543A76">
            <w:pPr>
              <w:jc w:val="center"/>
              <w:rPr>
                <w:rFonts w:asciiTheme="minorHAnsi" w:hAnsiTheme="minorHAnsi" w:cs="Calibri"/>
                <w:b/>
                <w:bCs/>
                <w:color w:val="FFFFFF"/>
                <w:sz w:val="22"/>
                <w:szCs w:val="22"/>
              </w:rPr>
            </w:pPr>
            <w:r w:rsidRPr="001D2A84">
              <w:rPr>
                <w:rFonts w:asciiTheme="minorHAnsi" w:hAnsiTheme="minorHAnsi" w:cs="Calibri"/>
                <w:b/>
                <w:bCs/>
                <w:color w:val="FFFFFF"/>
                <w:sz w:val="22"/>
                <w:szCs w:val="22"/>
              </w:rPr>
              <w:t>Median price (£)</w:t>
            </w:r>
          </w:p>
        </w:tc>
        <w:tc>
          <w:tcPr>
            <w:tcW w:w="1220" w:type="pct"/>
            <w:vMerge w:val="restart"/>
            <w:shd w:val="clear" w:color="auto" w:fill="009999"/>
            <w:vAlign w:val="bottom"/>
            <w:hideMark/>
          </w:tcPr>
          <w:p w14:paraId="7797D354" w14:textId="52E1D601" w:rsidR="00A81E2C" w:rsidRPr="001D2A84" w:rsidRDefault="00A81E2C" w:rsidP="00543A76">
            <w:pPr>
              <w:jc w:val="center"/>
              <w:rPr>
                <w:rFonts w:asciiTheme="minorHAnsi" w:hAnsiTheme="minorHAnsi" w:cs="Calibri"/>
                <w:b/>
                <w:bCs/>
                <w:color w:val="FFFFFF"/>
                <w:sz w:val="22"/>
                <w:szCs w:val="22"/>
              </w:rPr>
            </w:pPr>
            <w:r w:rsidRPr="001D2A84">
              <w:rPr>
                <w:rFonts w:asciiTheme="minorHAnsi" w:hAnsiTheme="minorHAnsi" w:cs="Calibri"/>
                <w:b/>
                <w:bCs/>
                <w:color w:val="FFFFFF"/>
                <w:sz w:val="22"/>
                <w:szCs w:val="22"/>
              </w:rPr>
              <w:t>% Change 2000-201</w:t>
            </w:r>
            <w:r w:rsidR="002C07B2" w:rsidRPr="001D2A84">
              <w:rPr>
                <w:rFonts w:asciiTheme="minorHAnsi" w:hAnsiTheme="minorHAnsi" w:cs="Calibri"/>
                <w:b/>
                <w:bCs/>
                <w:color w:val="FFFFFF"/>
                <w:sz w:val="22"/>
                <w:szCs w:val="22"/>
              </w:rPr>
              <w:t>8</w:t>
            </w:r>
          </w:p>
        </w:tc>
      </w:tr>
      <w:tr w:rsidR="00A81E2C" w:rsidRPr="001D2A84" w14:paraId="7BB2A9FD" w14:textId="77777777" w:rsidTr="003C469F">
        <w:trPr>
          <w:trHeight w:val="382"/>
        </w:trPr>
        <w:tc>
          <w:tcPr>
            <w:tcW w:w="1663" w:type="pct"/>
            <w:vMerge/>
            <w:shd w:val="clear" w:color="auto" w:fill="009999"/>
            <w:vAlign w:val="bottom"/>
          </w:tcPr>
          <w:p w14:paraId="28E776B3" w14:textId="77777777" w:rsidR="00A81E2C" w:rsidRPr="001D2A84" w:rsidRDefault="00A81E2C" w:rsidP="00FA273F">
            <w:pPr>
              <w:rPr>
                <w:rFonts w:asciiTheme="minorHAnsi" w:hAnsiTheme="minorHAnsi" w:cs="Calibri"/>
                <w:b/>
                <w:bCs/>
                <w:color w:val="FFFFFF"/>
                <w:sz w:val="22"/>
                <w:szCs w:val="22"/>
              </w:rPr>
            </w:pPr>
          </w:p>
        </w:tc>
        <w:tc>
          <w:tcPr>
            <w:tcW w:w="1114" w:type="pct"/>
            <w:shd w:val="clear" w:color="auto" w:fill="009999"/>
            <w:vAlign w:val="bottom"/>
          </w:tcPr>
          <w:p w14:paraId="52C17C1B" w14:textId="77777777" w:rsidR="00A81E2C" w:rsidRPr="001D2A84" w:rsidRDefault="00A81E2C" w:rsidP="00FA273F">
            <w:pPr>
              <w:jc w:val="center"/>
              <w:rPr>
                <w:rFonts w:asciiTheme="minorHAnsi" w:hAnsiTheme="minorHAnsi" w:cs="Calibri"/>
                <w:b/>
                <w:bCs/>
                <w:color w:val="FFFFFF"/>
                <w:sz w:val="22"/>
                <w:szCs w:val="22"/>
              </w:rPr>
            </w:pPr>
            <w:r w:rsidRPr="001D2A84">
              <w:rPr>
                <w:rFonts w:asciiTheme="minorHAnsi" w:hAnsiTheme="minorHAnsi" w:cs="Calibri"/>
                <w:b/>
                <w:bCs/>
                <w:color w:val="FFFFFF"/>
                <w:sz w:val="22"/>
                <w:szCs w:val="22"/>
              </w:rPr>
              <w:t>2000</w:t>
            </w:r>
          </w:p>
        </w:tc>
        <w:tc>
          <w:tcPr>
            <w:tcW w:w="1003" w:type="pct"/>
            <w:shd w:val="clear" w:color="auto" w:fill="009999"/>
            <w:vAlign w:val="bottom"/>
          </w:tcPr>
          <w:p w14:paraId="63C2F1CC" w14:textId="3CDBD1FC" w:rsidR="00A81E2C" w:rsidRPr="001D2A84" w:rsidRDefault="00A81E2C" w:rsidP="00FA273F">
            <w:pPr>
              <w:jc w:val="center"/>
              <w:rPr>
                <w:rFonts w:asciiTheme="minorHAnsi" w:hAnsiTheme="minorHAnsi" w:cs="Calibri"/>
                <w:b/>
                <w:bCs/>
                <w:color w:val="FFFFFF"/>
                <w:sz w:val="22"/>
                <w:szCs w:val="22"/>
              </w:rPr>
            </w:pPr>
            <w:r w:rsidRPr="001D2A84">
              <w:rPr>
                <w:rFonts w:asciiTheme="minorHAnsi" w:hAnsiTheme="minorHAnsi" w:cs="Calibri"/>
                <w:b/>
                <w:bCs/>
                <w:color w:val="FFFFFF"/>
                <w:sz w:val="22"/>
                <w:szCs w:val="22"/>
              </w:rPr>
              <w:t>201</w:t>
            </w:r>
            <w:r w:rsidR="004D23A3" w:rsidRPr="001D2A84">
              <w:rPr>
                <w:rFonts w:asciiTheme="minorHAnsi" w:hAnsiTheme="minorHAnsi" w:cs="Calibri"/>
                <w:b/>
                <w:bCs/>
                <w:color w:val="FFFFFF"/>
                <w:sz w:val="22"/>
                <w:szCs w:val="22"/>
              </w:rPr>
              <w:t>8</w:t>
            </w:r>
          </w:p>
        </w:tc>
        <w:tc>
          <w:tcPr>
            <w:tcW w:w="1220" w:type="pct"/>
            <w:vMerge/>
            <w:shd w:val="clear" w:color="auto" w:fill="009999"/>
            <w:vAlign w:val="bottom"/>
          </w:tcPr>
          <w:p w14:paraId="48C2FEB8" w14:textId="77777777" w:rsidR="00A81E2C" w:rsidRPr="001D2A84" w:rsidRDefault="00A81E2C" w:rsidP="00FA273F">
            <w:pPr>
              <w:jc w:val="center"/>
              <w:rPr>
                <w:rFonts w:asciiTheme="minorHAnsi" w:hAnsiTheme="minorHAnsi" w:cs="Calibri"/>
                <w:b/>
                <w:bCs/>
                <w:color w:val="FFFFFF"/>
                <w:sz w:val="22"/>
                <w:szCs w:val="22"/>
              </w:rPr>
            </w:pPr>
          </w:p>
        </w:tc>
      </w:tr>
      <w:tr w:rsidR="00B665A0" w:rsidRPr="001D2A84" w14:paraId="37383447" w14:textId="77777777" w:rsidTr="003C469F">
        <w:tc>
          <w:tcPr>
            <w:tcW w:w="1663" w:type="pct"/>
            <w:shd w:val="clear" w:color="auto" w:fill="auto"/>
            <w:noWrap/>
            <w:vAlign w:val="bottom"/>
          </w:tcPr>
          <w:p w14:paraId="10304440" w14:textId="77777777" w:rsidR="00B665A0" w:rsidRPr="001D2A84" w:rsidRDefault="00B665A0" w:rsidP="00543A76">
            <w:pPr>
              <w:rPr>
                <w:rFonts w:asciiTheme="minorHAnsi" w:hAnsiTheme="minorHAnsi" w:cstheme="minorHAnsi"/>
                <w:b/>
                <w:sz w:val="22"/>
                <w:szCs w:val="22"/>
                <w:highlight w:val="yellow"/>
              </w:rPr>
            </w:pPr>
            <w:r w:rsidRPr="001D2A84">
              <w:rPr>
                <w:rFonts w:asciiTheme="minorHAnsi" w:hAnsiTheme="minorHAnsi" w:cstheme="minorHAnsi"/>
                <w:b/>
                <w:sz w:val="22"/>
                <w:szCs w:val="22"/>
              </w:rPr>
              <w:t>Lewisham</w:t>
            </w:r>
          </w:p>
        </w:tc>
        <w:tc>
          <w:tcPr>
            <w:tcW w:w="1114" w:type="pct"/>
            <w:shd w:val="clear" w:color="auto" w:fill="auto"/>
            <w:noWrap/>
          </w:tcPr>
          <w:p w14:paraId="26B7101C" w14:textId="77777777" w:rsidR="00B665A0" w:rsidRPr="001D2A84" w:rsidRDefault="00B665A0" w:rsidP="001D2A84">
            <w:pPr>
              <w:ind w:right="217"/>
              <w:jc w:val="right"/>
              <w:rPr>
                <w:rFonts w:asciiTheme="minorHAnsi" w:hAnsiTheme="minorHAnsi" w:cstheme="minorHAnsi"/>
                <w:b/>
                <w:color w:val="000000"/>
                <w:sz w:val="22"/>
                <w:szCs w:val="22"/>
                <w:highlight w:val="yellow"/>
              </w:rPr>
            </w:pPr>
            <w:r w:rsidRPr="001D2A84">
              <w:rPr>
                <w:rFonts w:asciiTheme="minorHAnsi" w:hAnsiTheme="minorHAnsi" w:cstheme="minorHAnsi"/>
                <w:b/>
                <w:color w:val="000000"/>
                <w:sz w:val="22"/>
                <w:szCs w:val="22"/>
              </w:rPr>
              <w:t>£99,995</w:t>
            </w:r>
          </w:p>
        </w:tc>
        <w:tc>
          <w:tcPr>
            <w:tcW w:w="1003" w:type="pct"/>
            <w:shd w:val="clear" w:color="auto" w:fill="auto"/>
            <w:noWrap/>
          </w:tcPr>
          <w:p w14:paraId="57F1D93D" w14:textId="5813806B" w:rsidR="00B665A0" w:rsidRPr="001D2A84" w:rsidRDefault="00B665A0" w:rsidP="001D2A84">
            <w:pPr>
              <w:jc w:val="right"/>
              <w:rPr>
                <w:rFonts w:asciiTheme="minorHAnsi" w:hAnsiTheme="minorHAnsi" w:cstheme="minorHAnsi"/>
                <w:b/>
                <w:sz w:val="22"/>
                <w:szCs w:val="22"/>
                <w:highlight w:val="yellow"/>
              </w:rPr>
            </w:pPr>
            <w:r w:rsidRPr="001D2A84">
              <w:rPr>
                <w:rFonts w:asciiTheme="minorHAnsi" w:hAnsiTheme="minorHAnsi" w:cstheme="minorHAnsi"/>
                <w:b/>
                <w:color w:val="000000"/>
                <w:sz w:val="22"/>
                <w:szCs w:val="22"/>
              </w:rPr>
              <w:t>£412,</w:t>
            </w:r>
            <w:r w:rsidR="002C07B2" w:rsidRPr="001D2A84">
              <w:rPr>
                <w:rFonts w:asciiTheme="minorHAnsi" w:hAnsiTheme="minorHAnsi" w:cstheme="minorHAnsi"/>
                <w:b/>
                <w:color w:val="000000"/>
                <w:sz w:val="22"/>
                <w:szCs w:val="22"/>
              </w:rPr>
              <w:t>25</w:t>
            </w:r>
            <w:r w:rsidRPr="001D2A84">
              <w:rPr>
                <w:rFonts w:asciiTheme="minorHAnsi" w:hAnsiTheme="minorHAnsi" w:cstheme="minorHAnsi"/>
                <w:b/>
                <w:color w:val="000000"/>
                <w:sz w:val="22"/>
                <w:szCs w:val="22"/>
              </w:rPr>
              <w:t>0</w:t>
            </w:r>
          </w:p>
        </w:tc>
        <w:tc>
          <w:tcPr>
            <w:tcW w:w="1220" w:type="pct"/>
            <w:shd w:val="clear" w:color="auto" w:fill="auto"/>
            <w:noWrap/>
            <w:vAlign w:val="center"/>
          </w:tcPr>
          <w:p w14:paraId="7427D58B" w14:textId="7F327AD5" w:rsidR="00B665A0" w:rsidRPr="001D2A84" w:rsidRDefault="00B665A0" w:rsidP="001D2A84">
            <w:pPr>
              <w:jc w:val="right"/>
              <w:rPr>
                <w:rFonts w:asciiTheme="minorHAnsi" w:hAnsiTheme="minorHAnsi" w:cstheme="minorHAnsi"/>
                <w:b/>
                <w:sz w:val="22"/>
                <w:szCs w:val="22"/>
                <w:highlight w:val="yellow"/>
              </w:rPr>
            </w:pPr>
            <w:r w:rsidRPr="001D2A84">
              <w:rPr>
                <w:rFonts w:asciiTheme="minorHAnsi" w:hAnsiTheme="minorHAnsi" w:cstheme="minorHAnsi"/>
                <w:b/>
                <w:color w:val="000000"/>
                <w:sz w:val="22"/>
                <w:szCs w:val="22"/>
              </w:rPr>
              <w:t>312.</w:t>
            </w:r>
            <w:r w:rsidR="002C07B2" w:rsidRPr="001D2A84">
              <w:rPr>
                <w:rFonts w:asciiTheme="minorHAnsi" w:hAnsiTheme="minorHAnsi" w:cstheme="minorHAnsi"/>
                <w:b/>
                <w:color w:val="000000"/>
                <w:sz w:val="22"/>
                <w:szCs w:val="22"/>
              </w:rPr>
              <w:t>3</w:t>
            </w:r>
          </w:p>
        </w:tc>
      </w:tr>
      <w:tr w:rsidR="002C07B2" w:rsidRPr="001D2A84" w14:paraId="5A5AA0CB" w14:textId="77777777" w:rsidTr="003C469F">
        <w:tc>
          <w:tcPr>
            <w:tcW w:w="1663" w:type="pct"/>
            <w:shd w:val="clear" w:color="auto" w:fill="auto"/>
            <w:noWrap/>
            <w:vAlign w:val="bottom"/>
          </w:tcPr>
          <w:p w14:paraId="023A4829" w14:textId="4E9F4825" w:rsidR="002C07B2" w:rsidRPr="001D2A84" w:rsidRDefault="002C07B2" w:rsidP="002C07B2">
            <w:pPr>
              <w:rPr>
                <w:rFonts w:asciiTheme="minorHAnsi" w:hAnsiTheme="minorHAnsi" w:cstheme="minorHAnsi"/>
                <w:sz w:val="22"/>
                <w:szCs w:val="22"/>
                <w:highlight w:val="yellow"/>
              </w:rPr>
            </w:pPr>
            <w:r w:rsidRPr="001D2A84">
              <w:rPr>
                <w:rFonts w:asciiTheme="minorHAnsi" w:hAnsiTheme="minorHAnsi" w:cstheme="minorHAnsi"/>
                <w:sz w:val="22"/>
                <w:szCs w:val="22"/>
              </w:rPr>
              <w:t>Southwark</w:t>
            </w:r>
          </w:p>
        </w:tc>
        <w:tc>
          <w:tcPr>
            <w:tcW w:w="1114" w:type="pct"/>
            <w:shd w:val="clear" w:color="auto" w:fill="auto"/>
            <w:noWrap/>
          </w:tcPr>
          <w:p w14:paraId="10EF017F" w14:textId="4F9F9C91" w:rsidR="002C07B2" w:rsidRPr="001D2A84" w:rsidRDefault="002C07B2" w:rsidP="001D2A84">
            <w:pPr>
              <w:ind w:right="217"/>
              <w:jc w:val="right"/>
              <w:rPr>
                <w:rFonts w:asciiTheme="minorHAnsi" w:hAnsiTheme="minorHAnsi" w:cstheme="minorHAnsi"/>
                <w:color w:val="000000"/>
                <w:sz w:val="22"/>
                <w:szCs w:val="22"/>
                <w:highlight w:val="yellow"/>
              </w:rPr>
            </w:pPr>
            <w:r w:rsidRPr="001D2A84">
              <w:rPr>
                <w:rFonts w:asciiTheme="minorHAnsi" w:hAnsiTheme="minorHAnsi" w:cstheme="minorHAnsi"/>
                <w:color w:val="000000"/>
                <w:sz w:val="22"/>
                <w:szCs w:val="22"/>
              </w:rPr>
              <w:t>£155,000</w:t>
            </w:r>
          </w:p>
        </w:tc>
        <w:tc>
          <w:tcPr>
            <w:tcW w:w="1003" w:type="pct"/>
            <w:shd w:val="clear" w:color="auto" w:fill="auto"/>
            <w:noWrap/>
          </w:tcPr>
          <w:p w14:paraId="3C192C3F" w14:textId="39463A72" w:rsidR="002C07B2" w:rsidRPr="001D2A84" w:rsidRDefault="002C07B2" w:rsidP="001D2A84">
            <w:pPr>
              <w:jc w:val="right"/>
              <w:rPr>
                <w:rFonts w:asciiTheme="minorHAnsi" w:hAnsiTheme="minorHAnsi" w:cstheme="minorHAnsi"/>
                <w:sz w:val="22"/>
                <w:szCs w:val="22"/>
                <w:highlight w:val="yellow"/>
              </w:rPr>
            </w:pPr>
            <w:r w:rsidRPr="001D2A84">
              <w:rPr>
                <w:rFonts w:asciiTheme="minorHAnsi" w:hAnsiTheme="minorHAnsi" w:cstheme="minorHAnsi"/>
                <w:color w:val="000000"/>
                <w:sz w:val="22"/>
                <w:szCs w:val="22"/>
              </w:rPr>
              <w:t>£550,000</w:t>
            </w:r>
          </w:p>
        </w:tc>
        <w:tc>
          <w:tcPr>
            <w:tcW w:w="1220" w:type="pct"/>
            <w:shd w:val="clear" w:color="auto" w:fill="auto"/>
            <w:noWrap/>
            <w:vAlign w:val="center"/>
          </w:tcPr>
          <w:p w14:paraId="2CC345D4" w14:textId="563D0419" w:rsidR="002C07B2" w:rsidRPr="001D2A84" w:rsidRDefault="002C07B2" w:rsidP="001D2A84">
            <w:pPr>
              <w:jc w:val="right"/>
              <w:rPr>
                <w:rFonts w:asciiTheme="minorHAnsi" w:hAnsiTheme="minorHAnsi" w:cstheme="minorHAnsi"/>
                <w:sz w:val="22"/>
                <w:szCs w:val="22"/>
                <w:highlight w:val="yellow"/>
              </w:rPr>
            </w:pPr>
            <w:r w:rsidRPr="001D2A84">
              <w:rPr>
                <w:rFonts w:asciiTheme="minorHAnsi" w:hAnsiTheme="minorHAnsi" w:cstheme="minorHAnsi"/>
                <w:color w:val="000000"/>
                <w:sz w:val="22"/>
                <w:szCs w:val="22"/>
              </w:rPr>
              <w:t>254.8</w:t>
            </w:r>
          </w:p>
        </w:tc>
      </w:tr>
      <w:tr w:rsidR="002C07B2" w:rsidRPr="001D2A84" w14:paraId="66050E8E" w14:textId="77777777" w:rsidTr="003C469F">
        <w:tc>
          <w:tcPr>
            <w:tcW w:w="1663" w:type="pct"/>
            <w:shd w:val="clear" w:color="auto" w:fill="auto"/>
            <w:noWrap/>
            <w:vAlign w:val="bottom"/>
          </w:tcPr>
          <w:p w14:paraId="61D77039" w14:textId="289A3DC2" w:rsidR="002C07B2" w:rsidRPr="001D2A84" w:rsidRDefault="002C07B2" w:rsidP="002C07B2">
            <w:pPr>
              <w:rPr>
                <w:rFonts w:asciiTheme="minorHAnsi" w:hAnsiTheme="minorHAnsi" w:cstheme="minorHAnsi"/>
                <w:b/>
                <w:sz w:val="22"/>
                <w:szCs w:val="22"/>
                <w:highlight w:val="yellow"/>
              </w:rPr>
            </w:pPr>
            <w:r w:rsidRPr="001D2A84">
              <w:rPr>
                <w:rFonts w:asciiTheme="minorHAnsi" w:hAnsiTheme="minorHAnsi" w:cstheme="minorHAnsi"/>
                <w:sz w:val="22"/>
                <w:szCs w:val="22"/>
              </w:rPr>
              <w:t>Lambeth</w:t>
            </w:r>
          </w:p>
        </w:tc>
        <w:tc>
          <w:tcPr>
            <w:tcW w:w="1114" w:type="pct"/>
            <w:shd w:val="clear" w:color="auto" w:fill="auto"/>
            <w:noWrap/>
          </w:tcPr>
          <w:p w14:paraId="20F92ACD" w14:textId="403FF1A6" w:rsidR="002C07B2" w:rsidRPr="001D2A84" w:rsidRDefault="002C07B2" w:rsidP="001D2A84">
            <w:pPr>
              <w:ind w:right="217"/>
              <w:jc w:val="right"/>
              <w:rPr>
                <w:rFonts w:asciiTheme="minorHAnsi" w:hAnsiTheme="minorHAnsi" w:cstheme="minorHAnsi"/>
                <w:b/>
                <w:color w:val="000000"/>
                <w:sz w:val="22"/>
                <w:szCs w:val="22"/>
                <w:highlight w:val="yellow"/>
              </w:rPr>
            </w:pPr>
            <w:r w:rsidRPr="001D2A84">
              <w:rPr>
                <w:rFonts w:asciiTheme="minorHAnsi" w:hAnsiTheme="minorHAnsi" w:cstheme="minorHAnsi"/>
                <w:color w:val="000000"/>
                <w:sz w:val="22"/>
                <w:szCs w:val="22"/>
              </w:rPr>
              <w:t>£156,875</w:t>
            </w:r>
          </w:p>
        </w:tc>
        <w:tc>
          <w:tcPr>
            <w:tcW w:w="1003" w:type="pct"/>
            <w:shd w:val="clear" w:color="auto" w:fill="auto"/>
            <w:noWrap/>
          </w:tcPr>
          <w:p w14:paraId="11EBCA20" w14:textId="702653A7" w:rsidR="002C07B2" w:rsidRPr="001D2A84" w:rsidRDefault="002C07B2" w:rsidP="001D2A84">
            <w:pPr>
              <w:jc w:val="right"/>
              <w:rPr>
                <w:rFonts w:asciiTheme="minorHAnsi" w:hAnsiTheme="minorHAnsi" w:cstheme="minorHAnsi"/>
                <w:b/>
                <w:sz w:val="22"/>
                <w:szCs w:val="22"/>
                <w:highlight w:val="yellow"/>
              </w:rPr>
            </w:pPr>
            <w:r w:rsidRPr="001D2A84">
              <w:rPr>
                <w:rFonts w:asciiTheme="minorHAnsi" w:hAnsiTheme="minorHAnsi" w:cstheme="minorHAnsi"/>
                <w:color w:val="000000"/>
                <w:sz w:val="22"/>
                <w:szCs w:val="22"/>
              </w:rPr>
              <w:t>£520,000</w:t>
            </w:r>
          </w:p>
        </w:tc>
        <w:tc>
          <w:tcPr>
            <w:tcW w:w="1220" w:type="pct"/>
            <w:shd w:val="clear" w:color="auto" w:fill="auto"/>
            <w:noWrap/>
            <w:vAlign w:val="center"/>
          </w:tcPr>
          <w:p w14:paraId="1DB5E453" w14:textId="09643285" w:rsidR="002C07B2" w:rsidRPr="001D2A84" w:rsidRDefault="002C07B2" w:rsidP="001D2A84">
            <w:pPr>
              <w:jc w:val="right"/>
              <w:rPr>
                <w:rFonts w:asciiTheme="minorHAnsi" w:hAnsiTheme="minorHAnsi" w:cstheme="minorHAnsi"/>
                <w:b/>
                <w:sz w:val="22"/>
                <w:szCs w:val="22"/>
                <w:highlight w:val="yellow"/>
              </w:rPr>
            </w:pPr>
            <w:r w:rsidRPr="001D2A84">
              <w:rPr>
                <w:rFonts w:asciiTheme="minorHAnsi" w:hAnsiTheme="minorHAnsi" w:cstheme="minorHAnsi"/>
                <w:color w:val="000000"/>
                <w:sz w:val="22"/>
                <w:szCs w:val="22"/>
              </w:rPr>
              <w:t>231.5</w:t>
            </w:r>
          </w:p>
        </w:tc>
      </w:tr>
      <w:tr w:rsidR="002C07B2" w:rsidRPr="001D2A84" w14:paraId="1EBFD452" w14:textId="77777777" w:rsidTr="003C469F">
        <w:tc>
          <w:tcPr>
            <w:tcW w:w="1663" w:type="pct"/>
            <w:shd w:val="clear" w:color="auto" w:fill="auto"/>
            <w:noWrap/>
            <w:vAlign w:val="bottom"/>
          </w:tcPr>
          <w:p w14:paraId="6B0C4596" w14:textId="63F2CDBD" w:rsidR="002C07B2" w:rsidRPr="001D2A84" w:rsidRDefault="002C07B2" w:rsidP="002C07B2">
            <w:pPr>
              <w:rPr>
                <w:rFonts w:asciiTheme="minorHAnsi" w:hAnsiTheme="minorHAnsi" w:cstheme="minorHAnsi"/>
                <w:sz w:val="22"/>
                <w:szCs w:val="22"/>
                <w:highlight w:val="yellow"/>
              </w:rPr>
            </w:pPr>
            <w:r w:rsidRPr="001D2A84">
              <w:rPr>
                <w:rFonts w:asciiTheme="minorHAnsi" w:hAnsiTheme="minorHAnsi" w:cstheme="minorHAnsi"/>
                <w:sz w:val="22"/>
                <w:szCs w:val="22"/>
              </w:rPr>
              <w:t>Greenwich</w:t>
            </w:r>
          </w:p>
        </w:tc>
        <w:tc>
          <w:tcPr>
            <w:tcW w:w="1114" w:type="pct"/>
            <w:shd w:val="clear" w:color="auto" w:fill="auto"/>
            <w:noWrap/>
          </w:tcPr>
          <w:p w14:paraId="50D669D4" w14:textId="74CBB90D" w:rsidR="002C07B2" w:rsidRPr="001D2A84" w:rsidRDefault="002C07B2" w:rsidP="001D2A84">
            <w:pPr>
              <w:ind w:right="217"/>
              <w:jc w:val="right"/>
              <w:rPr>
                <w:rFonts w:asciiTheme="minorHAnsi" w:hAnsiTheme="minorHAnsi" w:cstheme="minorHAnsi"/>
                <w:color w:val="000000"/>
                <w:sz w:val="22"/>
                <w:szCs w:val="22"/>
                <w:highlight w:val="yellow"/>
              </w:rPr>
            </w:pPr>
            <w:r w:rsidRPr="001D2A84">
              <w:rPr>
                <w:rFonts w:asciiTheme="minorHAnsi" w:hAnsiTheme="minorHAnsi" w:cstheme="minorHAnsi"/>
                <w:color w:val="000000"/>
                <w:sz w:val="22"/>
                <w:szCs w:val="22"/>
              </w:rPr>
              <w:t>£106,500</w:t>
            </w:r>
          </w:p>
        </w:tc>
        <w:tc>
          <w:tcPr>
            <w:tcW w:w="1003" w:type="pct"/>
            <w:shd w:val="clear" w:color="auto" w:fill="auto"/>
            <w:noWrap/>
          </w:tcPr>
          <w:p w14:paraId="4CA6B7DE" w14:textId="46872F6B" w:rsidR="002C07B2" w:rsidRPr="001D2A84" w:rsidRDefault="002C07B2" w:rsidP="001D2A84">
            <w:pPr>
              <w:jc w:val="right"/>
              <w:rPr>
                <w:rFonts w:asciiTheme="minorHAnsi" w:hAnsiTheme="minorHAnsi" w:cstheme="minorHAnsi"/>
                <w:sz w:val="22"/>
                <w:szCs w:val="22"/>
                <w:highlight w:val="yellow"/>
              </w:rPr>
            </w:pPr>
            <w:r w:rsidRPr="001D2A84">
              <w:rPr>
                <w:rFonts w:asciiTheme="minorHAnsi" w:hAnsiTheme="minorHAnsi" w:cstheme="minorHAnsi"/>
                <w:color w:val="000000"/>
                <w:sz w:val="22"/>
                <w:szCs w:val="22"/>
              </w:rPr>
              <w:t>£421,000</w:t>
            </w:r>
          </w:p>
        </w:tc>
        <w:tc>
          <w:tcPr>
            <w:tcW w:w="1220" w:type="pct"/>
            <w:shd w:val="clear" w:color="auto" w:fill="auto"/>
            <w:noWrap/>
            <w:vAlign w:val="center"/>
          </w:tcPr>
          <w:p w14:paraId="32E88EEC" w14:textId="4B32F3E9" w:rsidR="002C07B2" w:rsidRPr="001D2A84" w:rsidRDefault="002C07B2" w:rsidP="001D2A84">
            <w:pPr>
              <w:jc w:val="right"/>
              <w:rPr>
                <w:rFonts w:asciiTheme="minorHAnsi" w:hAnsiTheme="minorHAnsi" w:cstheme="minorHAnsi"/>
                <w:sz w:val="22"/>
                <w:szCs w:val="22"/>
                <w:highlight w:val="yellow"/>
              </w:rPr>
            </w:pPr>
            <w:r w:rsidRPr="001D2A84">
              <w:rPr>
                <w:rFonts w:asciiTheme="minorHAnsi" w:hAnsiTheme="minorHAnsi" w:cstheme="minorHAnsi"/>
                <w:color w:val="000000"/>
                <w:sz w:val="22"/>
                <w:szCs w:val="22"/>
              </w:rPr>
              <w:t>295.3</w:t>
            </w:r>
          </w:p>
        </w:tc>
      </w:tr>
      <w:tr w:rsidR="002C07B2" w:rsidRPr="001D2A84" w14:paraId="30C2BFAD" w14:textId="77777777" w:rsidTr="003C469F">
        <w:tc>
          <w:tcPr>
            <w:tcW w:w="1663" w:type="pct"/>
            <w:shd w:val="clear" w:color="auto" w:fill="auto"/>
            <w:noWrap/>
            <w:vAlign w:val="bottom"/>
          </w:tcPr>
          <w:p w14:paraId="4041066F" w14:textId="7CC41BE4" w:rsidR="002C07B2" w:rsidRPr="001D2A84" w:rsidRDefault="002C07B2" w:rsidP="002C07B2">
            <w:pPr>
              <w:rPr>
                <w:rFonts w:asciiTheme="minorHAnsi" w:hAnsiTheme="minorHAnsi" w:cstheme="minorHAnsi"/>
                <w:sz w:val="22"/>
                <w:szCs w:val="22"/>
                <w:highlight w:val="yellow"/>
              </w:rPr>
            </w:pPr>
            <w:r w:rsidRPr="001D2A84">
              <w:rPr>
                <w:rFonts w:asciiTheme="minorHAnsi" w:hAnsiTheme="minorHAnsi" w:cstheme="minorHAnsi"/>
                <w:sz w:val="22"/>
                <w:szCs w:val="22"/>
              </w:rPr>
              <w:t>Bromley</w:t>
            </w:r>
          </w:p>
        </w:tc>
        <w:tc>
          <w:tcPr>
            <w:tcW w:w="1114" w:type="pct"/>
            <w:shd w:val="clear" w:color="auto" w:fill="auto"/>
            <w:noWrap/>
          </w:tcPr>
          <w:p w14:paraId="19A0B674" w14:textId="0A6EE966" w:rsidR="002C07B2" w:rsidRPr="001D2A84" w:rsidRDefault="002C07B2" w:rsidP="001D2A84">
            <w:pPr>
              <w:ind w:right="217"/>
              <w:jc w:val="right"/>
              <w:rPr>
                <w:rFonts w:asciiTheme="minorHAnsi" w:hAnsiTheme="minorHAnsi" w:cstheme="minorHAnsi"/>
                <w:color w:val="000000"/>
                <w:sz w:val="22"/>
                <w:szCs w:val="22"/>
                <w:highlight w:val="yellow"/>
              </w:rPr>
            </w:pPr>
            <w:r w:rsidRPr="001D2A84">
              <w:rPr>
                <w:rFonts w:asciiTheme="minorHAnsi" w:hAnsiTheme="minorHAnsi" w:cstheme="minorHAnsi"/>
                <w:color w:val="000000"/>
                <w:sz w:val="22"/>
                <w:szCs w:val="22"/>
              </w:rPr>
              <w:t>£135,000</w:t>
            </w:r>
          </w:p>
        </w:tc>
        <w:tc>
          <w:tcPr>
            <w:tcW w:w="1003" w:type="pct"/>
            <w:shd w:val="clear" w:color="auto" w:fill="auto"/>
            <w:noWrap/>
          </w:tcPr>
          <w:p w14:paraId="458449B8" w14:textId="5BFCB35D" w:rsidR="002C07B2" w:rsidRPr="001D2A84" w:rsidRDefault="002C07B2" w:rsidP="001D2A84">
            <w:pPr>
              <w:jc w:val="right"/>
              <w:rPr>
                <w:rFonts w:asciiTheme="minorHAnsi" w:hAnsiTheme="minorHAnsi" w:cstheme="minorHAnsi"/>
                <w:sz w:val="22"/>
                <w:szCs w:val="22"/>
                <w:highlight w:val="yellow"/>
              </w:rPr>
            </w:pPr>
            <w:r w:rsidRPr="001D2A84">
              <w:rPr>
                <w:rFonts w:asciiTheme="minorHAnsi" w:hAnsiTheme="minorHAnsi" w:cstheme="minorHAnsi"/>
                <w:color w:val="000000"/>
                <w:sz w:val="22"/>
                <w:szCs w:val="22"/>
              </w:rPr>
              <w:t>£430,000</w:t>
            </w:r>
          </w:p>
        </w:tc>
        <w:tc>
          <w:tcPr>
            <w:tcW w:w="1220" w:type="pct"/>
            <w:shd w:val="clear" w:color="auto" w:fill="auto"/>
            <w:noWrap/>
            <w:vAlign w:val="center"/>
          </w:tcPr>
          <w:p w14:paraId="7F0CFFEA" w14:textId="0879D14D" w:rsidR="002C07B2" w:rsidRPr="001D2A84" w:rsidRDefault="002C07B2" w:rsidP="001D2A84">
            <w:pPr>
              <w:jc w:val="right"/>
              <w:rPr>
                <w:rFonts w:asciiTheme="minorHAnsi" w:hAnsiTheme="minorHAnsi" w:cstheme="minorHAnsi"/>
                <w:sz w:val="22"/>
                <w:szCs w:val="22"/>
                <w:highlight w:val="yellow"/>
              </w:rPr>
            </w:pPr>
            <w:r w:rsidRPr="001D2A84">
              <w:rPr>
                <w:rFonts w:asciiTheme="minorHAnsi" w:hAnsiTheme="minorHAnsi" w:cstheme="minorHAnsi"/>
                <w:color w:val="000000"/>
                <w:sz w:val="22"/>
                <w:szCs w:val="22"/>
              </w:rPr>
              <w:t>218.5</w:t>
            </w:r>
          </w:p>
        </w:tc>
      </w:tr>
      <w:tr w:rsidR="002C07B2" w:rsidRPr="001D2A84" w14:paraId="75C66FAE" w14:textId="77777777" w:rsidTr="003C469F">
        <w:tc>
          <w:tcPr>
            <w:tcW w:w="1663" w:type="pct"/>
            <w:shd w:val="clear" w:color="auto" w:fill="auto"/>
            <w:noWrap/>
            <w:vAlign w:val="bottom"/>
          </w:tcPr>
          <w:p w14:paraId="3A401981" w14:textId="445F3AA2" w:rsidR="002C07B2" w:rsidRPr="001D2A84" w:rsidRDefault="002C07B2" w:rsidP="002C07B2">
            <w:pPr>
              <w:rPr>
                <w:rFonts w:asciiTheme="minorHAnsi" w:hAnsiTheme="minorHAnsi" w:cstheme="minorHAnsi"/>
                <w:sz w:val="22"/>
                <w:szCs w:val="22"/>
                <w:highlight w:val="yellow"/>
              </w:rPr>
            </w:pPr>
            <w:r w:rsidRPr="001D2A84">
              <w:rPr>
                <w:rFonts w:asciiTheme="minorHAnsi" w:hAnsiTheme="minorHAnsi" w:cstheme="minorHAnsi"/>
                <w:sz w:val="22"/>
                <w:szCs w:val="22"/>
              </w:rPr>
              <w:t>Tower Hamlets</w:t>
            </w:r>
          </w:p>
        </w:tc>
        <w:tc>
          <w:tcPr>
            <w:tcW w:w="1114" w:type="pct"/>
            <w:shd w:val="clear" w:color="auto" w:fill="auto"/>
            <w:noWrap/>
          </w:tcPr>
          <w:p w14:paraId="481F328B" w14:textId="14593385" w:rsidR="002C07B2" w:rsidRPr="001D2A84" w:rsidRDefault="002C07B2" w:rsidP="001D2A84">
            <w:pPr>
              <w:ind w:right="217"/>
              <w:jc w:val="right"/>
              <w:rPr>
                <w:rFonts w:asciiTheme="minorHAnsi" w:hAnsiTheme="minorHAnsi" w:cstheme="minorHAnsi"/>
                <w:color w:val="000000"/>
                <w:sz w:val="22"/>
                <w:szCs w:val="22"/>
                <w:highlight w:val="yellow"/>
              </w:rPr>
            </w:pPr>
            <w:r w:rsidRPr="001D2A84">
              <w:rPr>
                <w:rFonts w:asciiTheme="minorHAnsi" w:hAnsiTheme="minorHAnsi" w:cstheme="minorHAnsi"/>
                <w:color w:val="000000"/>
                <w:sz w:val="22"/>
                <w:szCs w:val="22"/>
              </w:rPr>
              <w:t>£162,500</w:t>
            </w:r>
          </w:p>
        </w:tc>
        <w:tc>
          <w:tcPr>
            <w:tcW w:w="1003" w:type="pct"/>
            <w:shd w:val="clear" w:color="auto" w:fill="auto"/>
            <w:noWrap/>
          </w:tcPr>
          <w:p w14:paraId="6FE2DFAD" w14:textId="3D1A208D" w:rsidR="002C07B2" w:rsidRPr="001D2A84" w:rsidRDefault="002C07B2" w:rsidP="001D2A84">
            <w:pPr>
              <w:jc w:val="right"/>
              <w:rPr>
                <w:rFonts w:asciiTheme="minorHAnsi" w:hAnsiTheme="minorHAnsi" w:cstheme="minorHAnsi"/>
                <w:sz w:val="22"/>
                <w:szCs w:val="22"/>
                <w:highlight w:val="yellow"/>
              </w:rPr>
            </w:pPr>
            <w:r w:rsidRPr="001D2A84">
              <w:rPr>
                <w:rFonts w:asciiTheme="minorHAnsi" w:hAnsiTheme="minorHAnsi" w:cstheme="minorHAnsi"/>
                <w:color w:val="000000"/>
                <w:sz w:val="22"/>
                <w:szCs w:val="22"/>
              </w:rPr>
              <w:t>£470,000</w:t>
            </w:r>
          </w:p>
        </w:tc>
        <w:tc>
          <w:tcPr>
            <w:tcW w:w="1220" w:type="pct"/>
            <w:shd w:val="clear" w:color="auto" w:fill="auto"/>
            <w:noWrap/>
            <w:vAlign w:val="center"/>
          </w:tcPr>
          <w:p w14:paraId="6DABE03D" w14:textId="2E5F93A5" w:rsidR="002C07B2" w:rsidRPr="001D2A84" w:rsidRDefault="002C07B2" w:rsidP="001D2A84">
            <w:pPr>
              <w:jc w:val="right"/>
              <w:rPr>
                <w:rFonts w:asciiTheme="minorHAnsi" w:hAnsiTheme="minorHAnsi" w:cstheme="minorHAnsi"/>
                <w:sz w:val="22"/>
                <w:szCs w:val="22"/>
                <w:highlight w:val="yellow"/>
              </w:rPr>
            </w:pPr>
            <w:r w:rsidRPr="001D2A84">
              <w:rPr>
                <w:rFonts w:asciiTheme="minorHAnsi" w:hAnsiTheme="minorHAnsi" w:cstheme="minorHAnsi"/>
                <w:color w:val="000000"/>
                <w:sz w:val="22"/>
                <w:szCs w:val="22"/>
              </w:rPr>
              <w:t>189.2</w:t>
            </w:r>
          </w:p>
        </w:tc>
      </w:tr>
      <w:tr w:rsidR="002C07B2" w:rsidRPr="001D2A84" w14:paraId="3F3BD07F" w14:textId="77777777" w:rsidTr="003C469F">
        <w:tc>
          <w:tcPr>
            <w:tcW w:w="1663" w:type="pct"/>
            <w:shd w:val="clear" w:color="auto" w:fill="auto"/>
            <w:noWrap/>
            <w:vAlign w:val="bottom"/>
          </w:tcPr>
          <w:p w14:paraId="58B7593A" w14:textId="30152943" w:rsidR="002C07B2" w:rsidRPr="001D2A84" w:rsidRDefault="002C07B2" w:rsidP="002C07B2">
            <w:pPr>
              <w:rPr>
                <w:rFonts w:asciiTheme="minorHAnsi" w:hAnsiTheme="minorHAnsi" w:cstheme="minorHAnsi"/>
                <w:sz w:val="22"/>
                <w:szCs w:val="22"/>
                <w:highlight w:val="yellow"/>
              </w:rPr>
            </w:pPr>
            <w:r w:rsidRPr="001D2A84">
              <w:rPr>
                <w:rFonts w:asciiTheme="minorHAnsi" w:hAnsiTheme="minorHAnsi" w:cstheme="minorHAnsi"/>
                <w:sz w:val="22"/>
                <w:szCs w:val="22"/>
              </w:rPr>
              <w:t>Croydon</w:t>
            </w:r>
          </w:p>
        </w:tc>
        <w:tc>
          <w:tcPr>
            <w:tcW w:w="1114" w:type="pct"/>
            <w:shd w:val="clear" w:color="auto" w:fill="auto"/>
            <w:noWrap/>
          </w:tcPr>
          <w:p w14:paraId="0CE6D905" w14:textId="36DCBED7" w:rsidR="002C07B2" w:rsidRPr="001D2A84" w:rsidRDefault="002C07B2" w:rsidP="001D2A84">
            <w:pPr>
              <w:ind w:right="217"/>
              <w:jc w:val="right"/>
              <w:rPr>
                <w:rFonts w:asciiTheme="minorHAnsi" w:hAnsiTheme="minorHAnsi" w:cstheme="minorHAnsi"/>
                <w:color w:val="000000"/>
                <w:sz w:val="22"/>
                <w:szCs w:val="22"/>
                <w:highlight w:val="yellow"/>
              </w:rPr>
            </w:pPr>
            <w:r w:rsidRPr="001D2A84">
              <w:rPr>
                <w:rFonts w:asciiTheme="minorHAnsi" w:hAnsiTheme="minorHAnsi" w:cstheme="minorHAnsi"/>
                <w:color w:val="000000"/>
                <w:sz w:val="22"/>
                <w:szCs w:val="22"/>
              </w:rPr>
              <w:t>£110,000</w:t>
            </w:r>
          </w:p>
        </w:tc>
        <w:tc>
          <w:tcPr>
            <w:tcW w:w="1003" w:type="pct"/>
            <w:shd w:val="clear" w:color="auto" w:fill="auto"/>
            <w:noWrap/>
          </w:tcPr>
          <w:p w14:paraId="0F204B38" w14:textId="4D920D3B" w:rsidR="002C07B2" w:rsidRPr="001D2A84" w:rsidRDefault="002C07B2" w:rsidP="001D2A84">
            <w:pPr>
              <w:jc w:val="right"/>
              <w:rPr>
                <w:rFonts w:asciiTheme="minorHAnsi" w:hAnsiTheme="minorHAnsi" w:cstheme="minorHAnsi"/>
                <w:sz w:val="22"/>
                <w:szCs w:val="22"/>
                <w:highlight w:val="yellow"/>
              </w:rPr>
            </w:pPr>
            <w:r w:rsidRPr="001D2A84">
              <w:rPr>
                <w:rFonts w:asciiTheme="minorHAnsi" w:hAnsiTheme="minorHAnsi" w:cstheme="minorHAnsi"/>
                <w:color w:val="000000"/>
                <w:sz w:val="22"/>
                <w:szCs w:val="22"/>
              </w:rPr>
              <w:t>£370,000</w:t>
            </w:r>
          </w:p>
        </w:tc>
        <w:tc>
          <w:tcPr>
            <w:tcW w:w="1220" w:type="pct"/>
            <w:shd w:val="clear" w:color="auto" w:fill="auto"/>
            <w:noWrap/>
            <w:vAlign w:val="center"/>
          </w:tcPr>
          <w:p w14:paraId="64F251DF" w14:textId="77126314" w:rsidR="002C07B2" w:rsidRPr="001D2A84" w:rsidRDefault="002C07B2" w:rsidP="001D2A84">
            <w:pPr>
              <w:jc w:val="right"/>
              <w:rPr>
                <w:rFonts w:asciiTheme="minorHAnsi" w:hAnsiTheme="minorHAnsi" w:cstheme="minorHAnsi"/>
                <w:sz w:val="22"/>
                <w:szCs w:val="22"/>
                <w:highlight w:val="yellow"/>
              </w:rPr>
            </w:pPr>
            <w:r w:rsidRPr="001D2A84">
              <w:rPr>
                <w:rFonts w:asciiTheme="minorHAnsi" w:hAnsiTheme="minorHAnsi" w:cstheme="minorHAnsi"/>
                <w:color w:val="000000"/>
                <w:sz w:val="22"/>
                <w:szCs w:val="22"/>
              </w:rPr>
              <w:t>236.4</w:t>
            </w:r>
          </w:p>
        </w:tc>
      </w:tr>
      <w:tr w:rsidR="002C07B2" w:rsidRPr="001D2A84" w14:paraId="02556C58" w14:textId="77777777" w:rsidTr="003C469F">
        <w:tc>
          <w:tcPr>
            <w:tcW w:w="1663" w:type="pct"/>
            <w:shd w:val="clear" w:color="auto" w:fill="auto"/>
            <w:noWrap/>
            <w:vAlign w:val="bottom"/>
          </w:tcPr>
          <w:p w14:paraId="74BA74F8" w14:textId="176FDD85" w:rsidR="002C07B2" w:rsidRPr="001D2A84" w:rsidRDefault="002C07B2" w:rsidP="002C07B2">
            <w:pPr>
              <w:rPr>
                <w:rFonts w:asciiTheme="minorHAnsi" w:hAnsiTheme="minorHAnsi" w:cstheme="minorHAnsi"/>
                <w:b/>
                <w:sz w:val="22"/>
                <w:szCs w:val="22"/>
                <w:highlight w:val="yellow"/>
              </w:rPr>
            </w:pPr>
            <w:r w:rsidRPr="001D2A84">
              <w:rPr>
                <w:rFonts w:asciiTheme="minorHAnsi" w:hAnsiTheme="minorHAnsi" w:cstheme="minorHAnsi"/>
                <w:sz w:val="22"/>
                <w:szCs w:val="22"/>
              </w:rPr>
              <w:t>London</w:t>
            </w:r>
          </w:p>
        </w:tc>
        <w:tc>
          <w:tcPr>
            <w:tcW w:w="1114" w:type="pct"/>
            <w:shd w:val="clear" w:color="auto" w:fill="auto"/>
            <w:noWrap/>
          </w:tcPr>
          <w:p w14:paraId="30265052" w14:textId="3991F67B" w:rsidR="002C07B2" w:rsidRPr="001D2A84" w:rsidRDefault="002C07B2" w:rsidP="001D2A84">
            <w:pPr>
              <w:ind w:right="217"/>
              <w:jc w:val="right"/>
              <w:rPr>
                <w:rFonts w:asciiTheme="minorHAnsi" w:hAnsiTheme="minorHAnsi" w:cstheme="minorHAnsi"/>
                <w:b/>
                <w:color w:val="000000"/>
                <w:sz w:val="22"/>
                <w:szCs w:val="22"/>
                <w:highlight w:val="yellow"/>
              </w:rPr>
            </w:pPr>
            <w:r w:rsidRPr="001D2A84">
              <w:rPr>
                <w:rFonts w:asciiTheme="minorHAnsi" w:hAnsiTheme="minorHAnsi" w:cstheme="minorHAnsi"/>
                <w:color w:val="000000"/>
                <w:sz w:val="22"/>
                <w:szCs w:val="22"/>
              </w:rPr>
              <w:t>£138,000</w:t>
            </w:r>
          </w:p>
        </w:tc>
        <w:tc>
          <w:tcPr>
            <w:tcW w:w="1003" w:type="pct"/>
            <w:shd w:val="clear" w:color="auto" w:fill="auto"/>
            <w:noWrap/>
          </w:tcPr>
          <w:p w14:paraId="48E427F0" w14:textId="2FA9AB3F" w:rsidR="002C07B2" w:rsidRPr="001D2A84" w:rsidRDefault="002C07B2" w:rsidP="001D2A84">
            <w:pPr>
              <w:jc w:val="right"/>
              <w:rPr>
                <w:rFonts w:asciiTheme="minorHAnsi" w:hAnsiTheme="minorHAnsi" w:cstheme="minorHAnsi"/>
                <w:b/>
                <w:sz w:val="22"/>
                <w:szCs w:val="22"/>
                <w:highlight w:val="yellow"/>
              </w:rPr>
            </w:pPr>
            <w:r w:rsidRPr="001D2A84">
              <w:rPr>
                <w:rFonts w:asciiTheme="minorHAnsi" w:hAnsiTheme="minorHAnsi" w:cstheme="minorHAnsi"/>
                <w:color w:val="000000"/>
                <w:sz w:val="22"/>
                <w:szCs w:val="22"/>
              </w:rPr>
              <w:t>£460,000</w:t>
            </w:r>
          </w:p>
        </w:tc>
        <w:tc>
          <w:tcPr>
            <w:tcW w:w="1220" w:type="pct"/>
            <w:shd w:val="clear" w:color="auto" w:fill="auto"/>
            <w:noWrap/>
            <w:vAlign w:val="center"/>
          </w:tcPr>
          <w:p w14:paraId="73DD0D55" w14:textId="1B1B4C35" w:rsidR="002C07B2" w:rsidRPr="001D2A84" w:rsidRDefault="002C07B2" w:rsidP="001D2A84">
            <w:pPr>
              <w:jc w:val="right"/>
              <w:rPr>
                <w:rFonts w:asciiTheme="minorHAnsi" w:hAnsiTheme="minorHAnsi" w:cstheme="minorHAnsi"/>
                <w:b/>
                <w:sz w:val="22"/>
                <w:szCs w:val="22"/>
                <w:highlight w:val="yellow"/>
              </w:rPr>
            </w:pPr>
            <w:r w:rsidRPr="001D2A84">
              <w:rPr>
                <w:rFonts w:asciiTheme="minorHAnsi" w:hAnsiTheme="minorHAnsi" w:cstheme="minorHAnsi"/>
                <w:color w:val="000000"/>
                <w:sz w:val="22"/>
                <w:szCs w:val="22"/>
              </w:rPr>
              <w:t>233.3</w:t>
            </w:r>
          </w:p>
        </w:tc>
      </w:tr>
      <w:tr w:rsidR="002C07B2" w:rsidRPr="001D2A84" w14:paraId="619B8C69" w14:textId="77777777" w:rsidTr="003C469F">
        <w:tc>
          <w:tcPr>
            <w:tcW w:w="1663" w:type="pct"/>
            <w:shd w:val="clear" w:color="auto" w:fill="auto"/>
            <w:noWrap/>
            <w:vAlign w:val="bottom"/>
          </w:tcPr>
          <w:p w14:paraId="222A2631" w14:textId="01474933" w:rsidR="002C07B2" w:rsidRPr="001D2A84" w:rsidRDefault="002C07B2" w:rsidP="002C07B2">
            <w:pPr>
              <w:rPr>
                <w:rFonts w:asciiTheme="minorHAnsi" w:hAnsiTheme="minorHAnsi" w:cstheme="minorHAnsi"/>
                <w:b/>
                <w:bCs/>
                <w:sz w:val="22"/>
                <w:szCs w:val="22"/>
                <w:highlight w:val="yellow"/>
              </w:rPr>
            </w:pPr>
            <w:r w:rsidRPr="001D2A84">
              <w:rPr>
                <w:rFonts w:asciiTheme="minorHAnsi" w:hAnsiTheme="minorHAnsi" w:cstheme="minorHAnsi"/>
                <w:sz w:val="22"/>
                <w:szCs w:val="22"/>
              </w:rPr>
              <w:t>South East</w:t>
            </w:r>
          </w:p>
        </w:tc>
        <w:tc>
          <w:tcPr>
            <w:tcW w:w="1114" w:type="pct"/>
            <w:shd w:val="clear" w:color="auto" w:fill="auto"/>
            <w:noWrap/>
          </w:tcPr>
          <w:p w14:paraId="4607DE73" w14:textId="26CFE8FE" w:rsidR="002C07B2" w:rsidRPr="001D2A84" w:rsidRDefault="002C07B2" w:rsidP="001D2A84">
            <w:pPr>
              <w:ind w:right="217"/>
              <w:jc w:val="right"/>
              <w:rPr>
                <w:rFonts w:asciiTheme="minorHAnsi" w:hAnsiTheme="minorHAnsi" w:cstheme="minorHAnsi"/>
                <w:b/>
                <w:bCs/>
                <w:color w:val="000000"/>
                <w:sz w:val="22"/>
                <w:szCs w:val="22"/>
                <w:highlight w:val="yellow"/>
              </w:rPr>
            </w:pPr>
            <w:r w:rsidRPr="001D2A84">
              <w:rPr>
                <w:rFonts w:asciiTheme="minorHAnsi" w:hAnsiTheme="minorHAnsi" w:cstheme="minorHAnsi"/>
                <w:color w:val="000000"/>
                <w:sz w:val="22"/>
                <w:szCs w:val="22"/>
              </w:rPr>
              <w:t>£112,000</w:t>
            </w:r>
          </w:p>
        </w:tc>
        <w:tc>
          <w:tcPr>
            <w:tcW w:w="1003" w:type="pct"/>
            <w:shd w:val="clear" w:color="auto" w:fill="auto"/>
            <w:noWrap/>
          </w:tcPr>
          <w:p w14:paraId="36EDB88C" w14:textId="112A2C59" w:rsidR="002C07B2" w:rsidRPr="001D2A84" w:rsidRDefault="002C07B2" w:rsidP="001D2A84">
            <w:pPr>
              <w:jc w:val="right"/>
              <w:rPr>
                <w:rFonts w:asciiTheme="minorHAnsi" w:hAnsiTheme="minorHAnsi" w:cstheme="minorHAnsi"/>
                <w:b/>
                <w:bCs/>
                <w:sz w:val="22"/>
                <w:szCs w:val="22"/>
                <w:highlight w:val="yellow"/>
              </w:rPr>
            </w:pPr>
            <w:r w:rsidRPr="001D2A84">
              <w:rPr>
                <w:rFonts w:asciiTheme="minorHAnsi" w:hAnsiTheme="minorHAnsi" w:cstheme="minorHAnsi"/>
                <w:color w:val="000000"/>
                <w:sz w:val="22"/>
                <w:szCs w:val="22"/>
              </w:rPr>
              <w:t>£318,500</w:t>
            </w:r>
          </w:p>
        </w:tc>
        <w:tc>
          <w:tcPr>
            <w:tcW w:w="1220" w:type="pct"/>
            <w:shd w:val="clear" w:color="auto" w:fill="auto"/>
            <w:noWrap/>
            <w:vAlign w:val="center"/>
          </w:tcPr>
          <w:p w14:paraId="58CD935F" w14:textId="19F409AB" w:rsidR="002C07B2" w:rsidRPr="001D2A84" w:rsidRDefault="002C07B2" w:rsidP="001D2A84">
            <w:pPr>
              <w:jc w:val="right"/>
              <w:rPr>
                <w:rFonts w:asciiTheme="minorHAnsi" w:hAnsiTheme="minorHAnsi" w:cstheme="minorHAnsi"/>
                <w:b/>
                <w:bCs/>
                <w:sz w:val="22"/>
                <w:szCs w:val="22"/>
                <w:highlight w:val="yellow"/>
              </w:rPr>
            </w:pPr>
            <w:r w:rsidRPr="001D2A84">
              <w:rPr>
                <w:rFonts w:asciiTheme="minorHAnsi" w:hAnsiTheme="minorHAnsi" w:cstheme="minorHAnsi"/>
                <w:color w:val="000000"/>
                <w:sz w:val="22"/>
                <w:szCs w:val="22"/>
              </w:rPr>
              <w:t>184.4</w:t>
            </w:r>
          </w:p>
        </w:tc>
      </w:tr>
      <w:tr w:rsidR="002C07B2" w:rsidRPr="001D2A84" w14:paraId="4FD3A185" w14:textId="77777777" w:rsidTr="003C469F">
        <w:tc>
          <w:tcPr>
            <w:tcW w:w="1663" w:type="pct"/>
            <w:shd w:val="clear" w:color="auto" w:fill="auto"/>
            <w:noWrap/>
            <w:vAlign w:val="center"/>
          </w:tcPr>
          <w:p w14:paraId="27667D60" w14:textId="4223B136" w:rsidR="002C07B2" w:rsidRPr="001D2A84" w:rsidRDefault="002C07B2" w:rsidP="002C07B2">
            <w:pPr>
              <w:rPr>
                <w:rFonts w:asciiTheme="minorHAnsi" w:hAnsiTheme="minorHAnsi" w:cstheme="minorHAnsi"/>
                <w:sz w:val="22"/>
                <w:szCs w:val="22"/>
                <w:highlight w:val="yellow"/>
              </w:rPr>
            </w:pPr>
            <w:r w:rsidRPr="001D2A84">
              <w:rPr>
                <w:rFonts w:asciiTheme="minorHAnsi" w:hAnsiTheme="minorHAnsi" w:cstheme="minorHAnsi"/>
                <w:sz w:val="22"/>
                <w:szCs w:val="22"/>
              </w:rPr>
              <w:t>England</w:t>
            </w:r>
          </w:p>
        </w:tc>
        <w:tc>
          <w:tcPr>
            <w:tcW w:w="1114" w:type="pct"/>
            <w:shd w:val="clear" w:color="auto" w:fill="auto"/>
            <w:noWrap/>
          </w:tcPr>
          <w:p w14:paraId="21E48E90" w14:textId="6E523CC5" w:rsidR="002C07B2" w:rsidRPr="001D2A84" w:rsidRDefault="002C07B2" w:rsidP="001D2A84">
            <w:pPr>
              <w:ind w:right="217"/>
              <w:jc w:val="right"/>
              <w:rPr>
                <w:rFonts w:asciiTheme="minorHAnsi" w:hAnsiTheme="minorHAnsi" w:cstheme="minorHAnsi"/>
                <w:color w:val="000000"/>
                <w:sz w:val="22"/>
                <w:szCs w:val="22"/>
                <w:highlight w:val="yellow"/>
              </w:rPr>
            </w:pPr>
            <w:r w:rsidRPr="001D2A84">
              <w:rPr>
                <w:rFonts w:asciiTheme="minorHAnsi" w:hAnsiTheme="minorHAnsi" w:cstheme="minorHAnsi"/>
                <w:color w:val="000000"/>
                <w:sz w:val="22"/>
                <w:szCs w:val="22"/>
              </w:rPr>
              <w:t>£82,000</w:t>
            </w:r>
          </w:p>
        </w:tc>
        <w:tc>
          <w:tcPr>
            <w:tcW w:w="1003" w:type="pct"/>
            <w:shd w:val="clear" w:color="auto" w:fill="auto"/>
            <w:noWrap/>
          </w:tcPr>
          <w:p w14:paraId="583DF71D" w14:textId="63F2331F" w:rsidR="002C07B2" w:rsidRPr="001D2A84" w:rsidRDefault="002C07B2" w:rsidP="001D2A84">
            <w:pPr>
              <w:jc w:val="right"/>
              <w:rPr>
                <w:rFonts w:asciiTheme="minorHAnsi" w:hAnsiTheme="minorHAnsi" w:cstheme="minorHAnsi"/>
                <w:sz w:val="22"/>
                <w:szCs w:val="22"/>
                <w:highlight w:val="yellow"/>
              </w:rPr>
            </w:pPr>
            <w:r w:rsidRPr="001D2A84">
              <w:rPr>
                <w:rFonts w:asciiTheme="minorHAnsi" w:hAnsiTheme="minorHAnsi" w:cstheme="minorHAnsi"/>
                <w:color w:val="000000"/>
                <w:sz w:val="22"/>
                <w:szCs w:val="22"/>
              </w:rPr>
              <w:t>£235,000</w:t>
            </w:r>
          </w:p>
        </w:tc>
        <w:tc>
          <w:tcPr>
            <w:tcW w:w="1220" w:type="pct"/>
            <w:shd w:val="clear" w:color="auto" w:fill="auto"/>
            <w:noWrap/>
            <w:vAlign w:val="center"/>
          </w:tcPr>
          <w:p w14:paraId="5C3DF457" w14:textId="5DA01948" w:rsidR="002C07B2" w:rsidRPr="001D2A84" w:rsidRDefault="002C07B2" w:rsidP="001D2A84">
            <w:pPr>
              <w:jc w:val="right"/>
              <w:rPr>
                <w:rFonts w:asciiTheme="minorHAnsi" w:hAnsiTheme="minorHAnsi" w:cstheme="minorHAnsi"/>
                <w:sz w:val="22"/>
                <w:szCs w:val="22"/>
                <w:highlight w:val="yellow"/>
              </w:rPr>
            </w:pPr>
            <w:r w:rsidRPr="001D2A84">
              <w:rPr>
                <w:rFonts w:asciiTheme="minorHAnsi" w:hAnsiTheme="minorHAnsi" w:cstheme="minorHAnsi"/>
                <w:color w:val="000000"/>
                <w:sz w:val="22"/>
                <w:szCs w:val="22"/>
              </w:rPr>
              <w:t>186.6</w:t>
            </w:r>
          </w:p>
        </w:tc>
      </w:tr>
    </w:tbl>
    <w:p w14:paraId="04E84516" w14:textId="77777777" w:rsidR="00A81E2C" w:rsidRPr="0067297E" w:rsidRDefault="00A81E2C" w:rsidP="00543A76">
      <w:pPr>
        <w:pStyle w:val="Reporttext"/>
        <w:numPr>
          <w:ilvl w:val="0"/>
          <w:numId w:val="0"/>
        </w:numPr>
        <w:rPr>
          <w:rFonts w:asciiTheme="minorHAnsi" w:hAnsiTheme="minorHAnsi" w:cs="Calibri"/>
          <w:sz w:val="20"/>
          <w:szCs w:val="20"/>
          <w:lang w:val="en-GB"/>
        </w:rPr>
      </w:pPr>
      <w:r w:rsidRPr="0067297E">
        <w:rPr>
          <w:rFonts w:asciiTheme="minorHAnsi" w:hAnsiTheme="minorHAnsi" w:cs="Calibri"/>
          <w:sz w:val="20"/>
          <w:szCs w:val="20"/>
          <w:lang w:val="en-GB"/>
        </w:rPr>
        <w:t xml:space="preserve">Source: Data produced by Land Registry © </w:t>
      </w:r>
      <w:r w:rsidR="005C6DBE" w:rsidRPr="0067297E">
        <w:rPr>
          <w:rFonts w:asciiTheme="minorHAnsi" w:hAnsiTheme="minorHAnsi" w:cs="Calibri"/>
          <w:sz w:val="20"/>
          <w:szCs w:val="20"/>
          <w:lang w:val="en-GB"/>
        </w:rPr>
        <w:t>Crown copyright 2018</w:t>
      </w:r>
    </w:p>
    <w:p w14:paraId="5DAF0155" w14:textId="0E5620F6" w:rsidR="00A81E2C" w:rsidRPr="0067297E" w:rsidRDefault="00A81E2C" w:rsidP="003F4875">
      <w:pPr>
        <w:rPr>
          <w:rFonts w:asciiTheme="minorHAnsi" w:hAnsiTheme="minorHAnsi"/>
        </w:rPr>
      </w:pPr>
    </w:p>
    <w:p w14:paraId="473CABF5" w14:textId="4CE9A766" w:rsidR="0056541A" w:rsidRPr="0067297E" w:rsidRDefault="0056541A" w:rsidP="002C70BC">
      <w:pPr>
        <w:pStyle w:val="Reporttext"/>
        <w:numPr>
          <w:ilvl w:val="1"/>
          <w:numId w:val="18"/>
        </w:numPr>
        <w:rPr>
          <w:rFonts w:asciiTheme="minorHAnsi" w:hAnsiTheme="minorHAnsi" w:cs="Calibri"/>
        </w:rPr>
      </w:pPr>
      <w:r w:rsidRPr="0067297E">
        <w:rPr>
          <w:rFonts w:asciiTheme="minorHAnsi" w:hAnsiTheme="minorHAnsi" w:cs="Calibri"/>
          <w:lang w:val="en-US"/>
        </w:rPr>
        <w:t>Table</w:t>
      </w:r>
      <w:r w:rsidRPr="0067297E">
        <w:rPr>
          <w:rFonts w:asciiTheme="minorHAnsi" w:hAnsiTheme="minorHAnsi" w:cs="Calibri"/>
          <w:lang w:val="en-GB"/>
        </w:rPr>
        <w:t xml:space="preserve"> 3.2 sets out how lower quartile and median prices have changed across the borough over the period 2000 to 201</w:t>
      </w:r>
      <w:r w:rsidR="004D23A3" w:rsidRPr="0067297E">
        <w:rPr>
          <w:rFonts w:asciiTheme="minorHAnsi" w:hAnsiTheme="minorHAnsi" w:cs="Calibri"/>
          <w:lang w:val="en-GB"/>
        </w:rPr>
        <w:t>8</w:t>
      </w:r>
      <w:r w:rsidRPr="0067297E">
        <w:rPr>
          <w:rFonts w:asciiTheme="minorHAnsi" w:hAnsiTheme="minorHAnsi" w:cs="Calibri"/>
          <w:lang w:val="en-GB"/>
        </w:rPr>
        <w:t>. This shows particular price increase in 2002, 2003 and then 2014-16</w:t>
      </w:r>
      <w:r w:rsidR="004D23A3" w:rsidRPr="0067297E">
        <w:rPr>
          <w:rFonts w:asciiTheme="minorHAnsi" w:hAnsiTheme="minorHAnsi" w:cs="Calibri"/>
          <w:lang w:val="en-GB"/>
        </w:rPr>
        <w:t xml:space="preserve"> with a slight reduction in 2018</w:t>
      </w:r>
      <w:r w:rsidRPr="0067297E">
        <w:rPr>
          <w:rFonts w:asciiTheme="minorHAnsi" w:hAnsiTheme="minorHAnsi" w:cs="Calibri"/>
          <w:lang w:val="en-GB"/>
        </w:rPr>
        <w:t xml:space="preserve">. </w:t>
      </w:r>
      <w:r w:rsidR="00F4072E" w:rsidRPr="0067297E">
        <w:rPr>
          <w:rFonts w:asciiTheme="minorHAnsi" w:hAnsiTheme="minorHAnsi" w:cs="Calibri"/>
          <w:lang w:val="en-GB"/>
        </w:rPr>
        <w:t>The table also illustrates how lower quartile and median household incomes needed to afford prices has changed assuming that properties cost no more than 3.5x a household income to be affordable.</w:t>
      </w:r>
    </w:p>
    <w:p w14:paraId="4E3571C3" w14:textId="735A1DE1" w:rsidR="003C469F" w:rsidRPr="0067297E" w:rsidRDefault="003C469F" w:rsidP="003C469F">
      <w:pPr>
        <w:rPr>
          <w:rFonts w:asciiTheme="minorHAnsi" w:hAnsiTheme="minorHAnsi"/>
          <w:lang w:val="x-none"/>
        </w:rPr>
      </w:pPr>
    </w:p>
    <w:p w14:paraId="63392AFC" w14:textId="77777777" w:rsidR="003C469F" w:rsidRPr="0067297E" w:rsidRDefault="003C469F" w:rsidP="003C469F">
      <w:pPr>
        <w:rPr>
          <w:rFonts w:asciiTheme="minorHAnsi" w:hAnsiTheme="minorHAnsi"/>
          <w:lang w:val="x-none"/>
        </w:rPr>
      </w:pPr>
    </w:p>
    <w:p w14:paraId="7DBA293E" w14:textId="77777777" w:rsidR="00F4072E" w:rsidRPr="0067297E" w:rsidRDefault="00F4072E" w:rsidP="00543A76">
      <w:pPr>
        <w:pStyle w:val="Reporttext"/>
        <w:numPr>
          <w:ilvl w:val="0"/>
          <w:numId w:val="0"/>
        </w:numPr>
        <w:ind w:left="709"/>
        <w:rPr>
          <w:rFonts w:asciiTheme="minorHAnsi" w:hAnsiTheme="minorHAnsi" w:cs="Calibri"/>
        </w:rPr>
        <w:sectPr w:rsidR="00F4072E" w:rsidRPr="0067297E" w:rsidSect="007F6E31">
          <w:headerReference w:type="default" r:id="rId22"/>
          <w:footerReference w:type="default" r:id="rId23"/>
          <w:pgSz w:w="11906" w:h="16838"/>
          <w:pgMar w:top="1440" w:right="1276" w:bottom="1134" w:left="1440" w:header="708" w:footer="708" w:gutter="0"/>
          <w:cols w:space="708"/>
          <w:docGrid w:linePitch="360"/>
        </w:sect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224"/>
        <w:gridCol w:w="2440"/>
        <w:gridCol w:w="2443"/>
        <w:gridCol w:w="2152"/>
        <w:gridCol w:w="2440"/>
        <w:gridCol w:w="2261"/>
        <w:gridCol w:w="1294"/>
      </w:tblGrid>
      <w:tr w:rsidR="0056541A" w:rsidRPr="003B4919" w14:paraId="5B7CD0E5" w14:textId="77777777" w:rsidTr="00FF4E2D">
        <w:trPr>
          <w:trHeight w:val="280"/>
          <w:tblHeader/>
        </w:trPr>
        <w:tc>
          <w:tcPr>
            <w:tcW w:w="5000" w:type="pct"/>
            <w:gridSpan w:val="7"/>
            <w:shd w:val="clear" w:color="000000" w:fill="008080"/>
            <w:noWrap/>
            <w:vAlign w:val="bottom"/>
          </w:tcPr>
          <w:p w14:paraId="3E1C3728" w14:textId="1668F995" w:rsidR="0056541A" w:rsidRPr="003B4919" w:rsidRDefault="0056541A" w:rsidP="003F4875">
            <w:pPr>
              <w:pStyle w:val="tableheading"/>
              <w:rPr>
                <w:rFonts w:asciiTheme="minorHAnsi" w:hAnsiTheme="minorHAnsi"/>
                <w:color w:val="FFFFFF"/>
                <w:szCs w:val="22"/>
              </w:rPr>
            </w:pPr>
            <w:bookmarkStart w:id="168" w:name="_Toc23151143"/>
            <w:r w:rsidRPr="003B4919">
              <w:rPr>
                <w:rFonts w:asciiTheme="minorHAnsi" w:hAnsiTheme="minorHAnsi"/>
                <w:szCs w:val="22"/>
              </w:rPr>
              <w:lastRenderedPageBreak/>
              <w:t>Table 3.2</w:t>
            </w:r>
            <w:r w:rsidRPr="003B4919">
              <w:rPr>
                <w:rFonts w:asciiTheme="minorHAnsi" w:hAnsiTheme="minorHAnsi"/>
                <w:szCs w:val="22"/>
              </w:rPr>
              <w:tab/>
              <w:t>Lower quartile and median price change 2000-201</w:t>
            </w:r>
            <w:r w:rsidR="004D23A3" w:rsidRPr="003B4919">
              <w:rPr>
                <w:rFonts w:asciiTheme="minorHAnsi" w:hAnsiTheme="minorHAnsi"/>
                <w:szCs w:val="22"/>
                <w:lang w:val="en-US"/>
              </w:rPr>
              <w:t>8</w:t>
            </w:r>
            <w:r w:rsidRPr="003B4919">
              <w:rPr>
                <w:rFonts w:asciiTheme="minorHAnsi" w:hAnsiTheme="minorHAnsi"/>
                <w:szCs w:val="22"/>
              </w:rPr>
              <w:t xml:space="preserve"> across the Borough of </w:t>
            </w:r>
            <w:r w:rsidR="005B2517" w:rsidRPr="003B4919">
              <w:rPr>
                <w:rFonts w:asciiTheme="minorHAnsi" w:hAnsiTheme="minorHAnsi"/>
                <w:szCs w:val="22"/>
              </w:rPr>
              <w:t>Lewisham</w:t>
            </w:r>
            <w:bookmarkEnd w:id="168"/>
            <w:r w:rsidRPr="003B4919">
              <w:rPr>
                <w:rFonts w:asciiTheme="minorHAnsi" w:hAnsiTheme="minorHAnsi"/>
                <w:szCs w:val="22"/>
              </w:rPr>
              <w:t xml:space="preserve"> </w:t>
            </w:r>
          </w:p>
        </w:tc>
      </w:tr>
      <w:tr w:rsidR="0056541A" w:rsidRPr="003B4919" w14:paraId="668F1740" w14:textId="77777777" w:rsidTr="003C469F">
        <w:trPr>
          <w:trHeight w:val="280"/>
        </w:trPr>
        <w:tc>
          <w:tcPr>
            <w:tcW w:w="429" w:type="pct"/>
            <w:shd w:val="clear" w:color="000000" w:fill="008080"/>
            <w:noWrap/>
            <w:vAlign w:val="bottom"/>
            <w:hideMark/>
          </w:tcPr>
          <w:p w14:paraId="7B41880C" w14:textId="77777777" w:rsidR="0056541A" w:rsidRPr="003B4919" w:rsidRDefault="0056541A" w:rsidP="00543A76">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Year</w:t>
            </w:r>
          </w:p>
        </w:tc>
        <w:tc>
          <w:tcPr>
            <w:tcW w:w="1713" w:type="pct"/>
            <w:gridSpan w:val="2"/>
            <w:shd w:val="clear" w:color="000000" w:fill="008080"/>
            <w:noWrap/>
            <w:vAlign w:val="bottom"/>
            <w:hideMark/>
          </w:tcPr>
          <w:p w14:paraId="1C0D389C" w14:textId="77777777" w:rsidR="0056541A" w:rsidRPr="003B4919" w:rsidRDefault="0056541A" w:rsidP="00543A76">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House Price (£)</w:t>
            </w:r>
          </w:p>
        </w:tc>
        <w:tc>
          <w:tcPr>
            <w:tcW w:w="1611" w:type="pct"/>
            <w:gridSpan w:val="2"/>
            <w:shd w:val="clear" w:color="000000" w:fill="008080"/>
            <w:noWrap/>
            <w:vAlign w:val="bottom"/>
            <w:hideMark/>
          </w:tcPr>
          <w:p w14:paraId="42418313" w14:textId="77777777" w:rsidR="0056541A" w:rsidRPr="003B4919" w:rsidRDefault="0056541A" w:rsidP="00543A76">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Income to be affordable*</w:t>
            </w:r>
          </w:p>
        </w:tc>
        <w:tc>
          <w:tcPr>
            <w:tcW w:w="1247" w:type="pct"/>
            <w:gridSpan w:val="2"/>
            <w:shd w:val="clear" w:color="000000" w:fill="008080"/>
            <w:vAlign w:val="bottom"/>
            <w:hideMark/>
          </w:tcPr>
          <w:p w14:paraId="664E57E7" w14:textId="77777777" w:rsidR="0056541A" w:rsidRPr="003B4919" w:rsidRDefault="0056541A" w:rsidP="00543A76">
            <w:pPr>
              <w:rPr>
                <w:rFonts w:asciiTheme="minorHAnsi" w:hAnsiTheme="minorHAnsi" w:cs="Arial"/>
                <w:b/>
                <w:bCs/>
                <w:color w:val="FFFFFF"/>
                <w:sz w:val="22"/>
                <w:szCs w:val="22"/>
              </w:rPr>
            </w:pPr>
            <w:r w:rsidRPr="003B4919">
              <w:rPr>
                <w:rFonts w:asciiTheme="minorHAnsi" w:hAnsiTheme="minorHAnsi" w:cs="Arial"/>
                <w:b/>
                <w:bCs/>
                <w:color w:val="FFFFFF"/>
                <w:sz w:val="22"/>
                <w:szCs w:val="22"/>
              </w:rPr>
              <w:t>Annual % change in income requirement</w:t>
            </w:r>
          </w:p>
        </w:tc>
      </w:tr>
      <w:tr w:rsidR="0056541A" w:rsidRPr="003B4919" w14:paraId="625D6C81" w14:textId="77777777" w:rsidTr="003C469F">
        <w:trPr>
          <w:trHeight w:val="280"/>
        </w:trPr>
        <w:tc>
          <w:tcPr>
            <w:tcW w:w="429" w:type="pct"/>
            <w:shd w:val="clear" w:color="000000" w:fill="008080"/>
            <w:noWrap/>
            <w:vAlign w:val="bottom"/>
            <w:hideMark/>
          </w:tcPr>
          <w:p w14:paraId="1A7BE664" w14:textId="77777777" w:rsidR="0056541A" w:rsidRPr="003B4919" w:rsidRDefault="0056541A" w:rsidP="00543A76">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 </w:t>
            </w:r>
          </w:p>
        </w:tc>
        <w:tc>
          <w:tcPr>
            <w:tcW w:w="856" w:type="pct"/>
            <w:shd w:val="clear" w:color="000000" w:fill="008080"/>
            <w:noWrap/>
            <w:vAlign w:val="bottom"/>
            <w:hideMark/>
          </w:tcPr>
          <w:p w14:paraId="1E4252A3" w14:textId="77777777" w:rsidR="0056541A" w:rsidRPr="003B4919" w:rsidRDefault="0056541A" w:rsidP="00543A76">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Lower Quartile</w:t>
            </w:r>
          </w:p>
        </w:tc>
        <w:tc>
          <w:tcPr>
            <w:tcW w:w="856" w:type="pct"/>
            <w:shd w:val="clear" w:color="000000" w:fill="008080"/>
            <w:noWrap/>
            <w:vAlign w:val="bottom"/>
            <w:hideMark/>
          </w:tcPr>
          <w:p w14:paraId="7168F58D" w14:textId="77777777" w:rsidR="0056541A" w:rsidRPr="003B4919" w:rsidRDefault="0056541A" w:rsidP="00543A76">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Median</w:t>
            </w:r>
          </w:p>
        </w:tc>
        <w:tc>
          <w:tcPr>
            <w:tcW w:w="755" w:type="pct"/>
            <w:shd w:val="clear" w:color="000000" w:fill="008080"/>
            <w:noWrap/>
            <w:vAlign w:val="bottom"/>
            <w:hideMark/>
          </w:tcPr>
          <w:p w14:paraId="62A12738" w14:textId="77777777" w:rsidR="0056541A" w:rsidRPr="003B4919" w:rsidRDefault="0056541A" w:rsidP="00543A76">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Lower Quartile</w:t>
            </w:r>
          </w:p>
        </w:tc>
        <w:tc>
          <w:tcPr>
            <w:tcW w:w="856" w:type="pct"/>
            <w:shd w:val="clear" w:color="000000" w:fill="008080"/>
            <w:noWrap/>
            <w:vAlign w:val="bottom"/>
            <w:hideMark/>
          </w:tcPr>
          <w:p w14:paraId="5B6A7911" w14:textId="77777777" w:rsidR="0056541A" w:rsidRPr="003B4919" w:rsidRDefault="0056541A" w:rsidP="00543A76">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Median</w:t>
            </w:r>
          </w:p>
        </w:tc>
        <w:tc>
          <w:tcPr>
            <w:tcW w:w="793" w:type="pct"/>
            <w:shd w:val="clear" w:color="000000" w:fill="008080"/>
            <w:noWrap/>
            <w:vAlign w:val="bottom"/>
            <w:hideMark/>
          </w:tcPr>
          <w:p w14:paraId="1EB36655" w14:textId="609DA6BA" w:rsidR="0056541A" w:rsidRPr="003B4919" w:rsidRDefault="0056541A" w:rsidP="000256AC">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Lower  Quartile</w:t>
            </w:r>
          </w:p>
        </w:tc>
        <w:tc>
          <w:tcPr>
            <w:tcW w:w="453" w:type="pct"/>
            <w:shd w:val="clear" w:color="000000" w:fill="008080"/>
            <w:noWrap/>
            <w:vAlign w:val="bottom"/>
            <w:hideMark/>
          </w:tcPr>
          <w:p w14:paraId="63698698" w14:textId="77777777" w:rsidR="0056541A" w:rsidRPr="003B4919" w:rsidRDefault="0056541A" w:rsidP="000256AC">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Median</w:t>
            </w:r>
          </w:p>
        </w:tc>
      </w:tr>
      <w:tr w:rsidR="0056541A" w:rsidRPr="003B4919" w14:paraId="2788554C" w14:textId="77777777" w:rsidTr="003C469F">
        <w:trPr>
          <w:trHeight w:val="280"/>
        </w:trPr>
        <w:tc>
          <w:tcPr>
            <w:tcW w:w="429" w:type="pct"/>
            <w:shd w:val="clear" w:color="auto" w:fill="auto"/>
            <w:noWrap/>
            <w:vAlign w:val="bottom"/>
            <w:hideMark/>
          </w:tcPr>
          <w:p w14:paraId="3518714C" w14:textId="77777777" w:rsidR="0056541A" w:rsidRPr="003B4919" w:rsidRDefault="0056541A" w:rsidP="00543A76">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2000</w:t>
            </w:r>
          </w:p>
        </w:tc>
        <w:tc>
          <w:tcPr>
            <w:tcW w:w="856" w:type="pct"/>
            <w:shd w:val="clear" w:color="auto" w:fill="auto"/>
            <w:noWrap/>
            <w:vAlign w:val="bottom"/>
            <w:hideMark/>
          </w:tcPr>
          <w:p w14:paraId="05BF41B0"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£76,000</w:t>
            </w:r>
          </w:p>
        </w:tc>
        <w:tc>
          <w:tcPr>
            <w:tcW w:w="856" w:type="pct"/>
            <w:shd w:val="clear" w:color="auto" w:fill="auto"/>
            <w:noWrap/>
            <w:vAlign w:val="bottom"/>
            <w:hideMark/>
          </w:tcPr>
          <w:p w14:paraId="15479E95"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£99,995</w:t>
            </w:r>
          </w:p>
        </w:tc>
        <w:tc>
          <w:tcPr>
            <w:tcW w:w="755" w:type="pct"/>
            <w:shd w:val="clear" w:color="auto" w:fill="auto"/>
            <w:noWrap/>
            <w:vAlign w:val="bottom"/>
            <w:hideMark/>
          </w:tcPr>
          <w:p w14:paraId="779B82F5"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£19,543</w:t>
            </w:r>
          </w:p>
        </w:tc>
        <w:tc>
          <w:tcPr>
            <w:tcW w:w="856" w:type="pct"/>
            <w:shd w:val="clear" w:color="auto" w:fill="auto"/>
            <w:noWrap/>
            <w:vAlign w:val="bottom"/>
            <w:hideMark/>
          </w:tcPr>
          <w:p w14:paraId="23FBE020"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£25,713</w:t>
            </w:r>
          </w:p>
        </w:tc>
        <w:tc>
          <w:tcPr>
            <w:tcW w:w="793" w:type="pct"/>
            <w:shd w:val="clear" w:color="auto" w:fill="auto"/>
            <w:noWrap/>
            <w:vAlign w:val="bottom"/>
            <w:hideMark/>
          </w:tcPr>
          <w:p w14:paraId="10D1ED7D" w14:textId="77777777" w:rsidR="0056541A" w:rsidRPr="003B4919" w:rsidRDefault="0056541A" w:rsidP="003B4919">
            <w:pPr>
              <w:jc w:val="right"/>
              <w:rPr>
                <w:rFonts w:asciiTheme="minorHAnsi" w:hAnsiTheme="minorHAnsi" w:cstheme="minorHAnsi"/>
                <w:color w:val="000000"/>
                <w:sz w:val="22"/>
                <w:szCs w:val="22"/>
              </w:rPr>
            </w:pPr>
          </w:p>
        </w:tc>
        <w:tc>
          <w:tcPr>
            <w:tcW w:w="453" w:type="pct"/>
            <w:shd w:val="clear" w:color="auto" w:fill="auto"/>
            <w:noWrap/>
            <w:vAlign w:val="bottom"/>
            <w:hideMark/>
          </w:tcPr>
          <w:p w14:paraId="6090A149" w14:textId="77777777" w:rsidR="0056541A" w:rsidRPr="003B4919" w:rsidRDefault="0056541A" w:rsidP="003B4919">
            <w:pPr>
              <w:jc w:val="right"/>
              <w:rPr>
                <w:rFonts w:asciiTheme="minorHAnsi" w:hAnsiTheme="minorHAnsi" w:cstheme="minorHAnsi"/>
                <w:sz w:val="22"/>
                <w:szCs w:val="22"/>
              </w:rPr>
            </w:pPr>
          </w:p>
        </w:tc>
      </w:tr>
      <w:tr w:rsidR="0056541A" w:rsidRPr="003B4919" w14:paraId="6D7052AE" w14:textId="77777777" w:rsidTr="003C469F">
        <w:trPr>
          <w:trHeight w:val="280"/>
        </w:trPr>
        <w:tc>
          <w:tcPr>
            <w:tcW w:w="429" w:type="pct"/>
            <w:shd w:val="clear" w:color="auto" w:fill="auto"/>
            <w:noWrap/>
            <w:vAlign w:val="bottom"/>
            <w:hideMark/>
          </w:tcPr>
          <w:p w14:paraId="343D0E0A" w14:textId="77777777" w:rsidR="0056541A" w:rsidRPr="003B4919" w:rsidRDefault="0056541A" w:rsidP="00543A76">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2001</w:t>
            </w:r>
          </w:p>
        </w:tc>
        <w:tc>
          <w:tcPr>
            <w:tcW w:w="856" w:type="pct"/>
            <w:shd w:val="clear" w:color="auto" w:fill="auto"/>
            <w:noWrap/>
            <w:vAlign w:val="bottom"/>
            <w:hideMark/>
          </w:tcPr>
          <w:p w14:paraId="25506FC6"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£90,000</w:t>
            </w:r>
          </w:p>
        </w:tc>
        <w:tc>
          <w:tcPr>
            <w:tcW w:w="856" w:type="pct"/>
            <w:shd w:val="clear" w:color="auto" w:fill="auto"/>
            <w:noWrap/>
            <w:vAlign w:val="bottom"/>
            <w:hideMark/>
          </w:tcPr>
          <w:p w14:paraId="19DCC61D"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£122,000</w:t>
            </w:r>
          </w:p>
        </w:tc>
        <w:tc>
          <w:tcPr>
            <w:tcW w:w="755" w:type="pct"/>
            <w:shd w:val="clear" w:color="auto" w:fill="auto"/>
            <w:noWrap/>
            <w:vAlign w:val="bottom"/>
            <w:hideMark/>
          </w:tcPr>
          <w:p w14:paraId="45A90F71"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£23,143</w:t>
            </w:r>
          </w:p>
        </w:tc>
        <w:tc>
          <w:tcPr>
            <w:tcW w:w="856" w:type="pct"/>
            <w:shd w:val="clear" w:color="auto" w:fill="auto"/>
            <w:noWrap/>
            <w:vAlign w:val="bottom"/>
            <w:hideMark/>
          </w:tcPr>
          <w:p w14:paraId="01C231C7"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£31,371</w:t>
            </w:r>
          </w:p>
        </w:tc>
        <w:tc>
          <w:tcPr>
            <w:tcW w:w="793" w:type="pct"/>
            <w:shd w:val="clear" w:color="auto" w:fill="auto"/>
            <w:noWrap/>
            <w:vAlign w:val="bottom"/>
            <w:hideMark/>
          </w:tcPr>
          <w:p w14:paraId="11FC5CF6"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18.4</w:t>
            </w:r>
          </w:p>
        </w:tc>
        <w:tc>
          <w:tcPr>
            <w:tcW w:w="453" w:type="pct"/>
            <w:shd w:val="clear" w:color="auto" w:fill="auto"/>
            <w:noWrap/>
            <w:vAlign w:val="bottom"/>
            <w:hideMark/>
          </w:tcPr>
          <w:p w14:paraId="19870FA8"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22.0</w:t>
            </w:r>
          </w:p>
        </w:tc>
      </w:tr>
      <w:tr w:rsidR="0056541A" w:rsidRPr="003B4919" w14:paraId="7BDED5FE" w14:textId="77777777" w:rsidTr="003C469F">
        <w:trPr>
          <w:trHeight w:val="280"/>
        </w:trPr>
        <w:tc>
          <w:tcPr>
            <w:tcW w:w="429" w:type="pct"/>
            <w:shd w:val="clear" w:color="auto" w:fill="auto"/>
            <w:noWrap/>
            <w:vAlign w:val="bottom"/>
            <w:hideMark/>
          </w:tcPr>
          <w:p w14:paraId="0920D553" w14:textId="77777777" w:rsidR="0056541A" w:rsidRPr="003B4919" w:rsidRDefault="0056541A" w:rsidP="00543A76">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2002</w:t>
            </w:r>
          </w:p>
        </w:tc>
        <w:tc>
          <w:tcPr>
            <w:tcW w:w="856" w:type="pct"/>
            <w:shd w:val="clear" w:color="auto" w:fill="auto"/>
            <w:noWrap/>
            <w:vAlign w:val="bottom"/>
            <w:hideMark/>
          </w:tcPr>
          <w:p w14:paraId="4BA48B39"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£113,500</w:t>
            </w:r>
          </w:p>
        </w:tc>
        <w:tc>
          <w:tcPr>
            <w:tcW w:w="856" w:type="pct"/>
            <w:shd w:val="clear" w:color="auto" w:fill="auto"/>
            <w:noWrap/>
            <w:vAlign w:val="bottom"/>
            <w:hideMark/>
          </w:tcPr>
          <w:p w14:paraId="027DDAC9"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£145,000</w:t>
            </w:r>
          </w:p>
        </w:tc>
        <w:tc>
          <w:tcPr>
            <w:tcW w:w="755" w:type="pct"/>
            <w:shd w:val="clear" w:color="auto" w:fill="auto"/>
            <w:noWrap/>
            <w:vAlign w:val="bottom"/>
            <w:hideMark/>
          </w:tcPr>
          <w:p w14:paraId="313EF2AA"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£29,186</w:t>
            </w:r>
          </w:p>
        </w:tc>
        <w:tc>
          <w:tcPr>
            <w:tcW w:w="856" w:type="pct"/>
            <w:shd w:val="clear" w:color="auto" w:fill="auto"/>
            <w:noWrap/>
            <w:vAlign w:val="bottom"/>
            <w:hideMark/>
          </w:tcPr>
          <w:p w14:paraId="56F02C97"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£37,286</w:t>
            </w:r>
          </w:p>
        </w:tc>
        <w:tc>
          <w:tcPr>
            <w:tcW w:w="793" w:type="pct"/>
            <w:shd w:val="clear" w:color="auto" w:fill="auto"/>
            <w:noWrap/>
            <w:vAlign w:val="bottom"/>
            <w:hideMark/>
          </w:tcPr>
          <w:p w14:paraId="56EB7C9D"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26.1</w:t>
            </w:r>
          </w:p>
        </w:tc>
        <w:tc>
          <w:tcPr>
            <w:tcW w:w="453" w:type="pct"/>
            <w:shd w:val="clear" w:color="auto" w:fill="auto"/>
            <w:noWrap/>
            <w:vAlign w:val="bottom"/>
            <w:hideMark/>
          </w:tcPr>
          <w:p w14:paraId="2318721F"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18.9</w:t>
            </w:r>
          </w:p>
        </w:tc>
      </w:tr>
      <w:tr w:rsidR="0056541A" w:rsidRPr="003B4919" w14:paraId="53CB77B0" w14:textId="77777777" w:rsidTr="003C469F">
        <w:trPr>
          <w:trHeight w:val="280"/>
        </w:trPr>
        <w:tc>
          <w:tcPr>
            <w:tcW w:w="429" w:type="pct"/>
            <w:shd w:val="clear" w:color="auto" w:fill="auto"/>
            <w:noWrap/>
            <w:vAlign w:val="bottom"/>
            <w:hideMark/>
          </w:tcPr>
          <w:p w14:paraId="2EC45D19" w14:textId="77777777" w:rsidR="0056541A" w:rsidRPr="003B4919" w:rsidRDefault="0056541A" w:rsidP="00543A76">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2003</w:t>
            </w:r>
          </w:p>
        </w:tc>
        <w:tc>
          <w:tcPr>
            <w:tcW w:w="856" w:type="pct"/>
            <w:shd w:val="clear" w:color="auto" w:fill="auto"/>
            <w:noWrap/>
            <w:vAlign w:val="bottom"/>
            <w:hideMark/>
          </w:tcPr>
          <w:p w14:paraId="3E344A3F"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£133,000</w:t>
            </w:r>
          </w:p>
        </w:tc>
        <w:tc>
          <w:tcPr>
            <w:tcW w:w="856" w:type="pct"/>
            <w:shd w:val="clear" w:color="auto" w:fill="auto"/>
            <w:noWrap/>
            <w:vAlign w:val="bottom"/>
            <w:hideMark/>
          </w:tcPr>
          <w:p w14:paraId="77111545"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£165,000</w:t>
            </w:r>
          </w:p>
        </w:tc>
        <w:tc>
          <w:tcPr>
            <w:tcW w:w="755" w:type="pct"/>
            <w:shd w:val="clear" w:color="auto" w:fill="auto"/>
            <w:noWrap/>
            <w:vAlign w:val="bottom"/>
            <w:hideMark/>
          </w:tcPr>
          <w:p w14:paraId="6569F5B8"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£34,200</w:t>
            </w:r>
          </w:p>
        </w:tc>
        <w:tc>
          <w:tcPr>
            <w:tcW w:w="856" w:type="pct"/>
            <w:shd w:val="clear" w:color="auto" w:fill="auto"/>
            <w:noWrap/>
            <w:vAlign w:val="bottom"/>
            <w:hideMark/>
          </w:tcPr>
          <w:p w14:paraId="2D048536"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£42,429</w:t>
            </w:r>
          </w:p>
        </w:tc>
        <w:tc>
          <w:tcPr>
            <w:tcW w:w="793" w:type="pct"/>
            <w:shd w:val="clear" w:color="auto" w:fill="auto"/>
            <w:noWrap/>
            <w:vAlign w:val="bottom"/>
            <w:hideMark/>
          </w:tcPr>
          <w:p w14:paraId="21773BA4"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17.2</w:t>
            </w:r>
          </w:p>
        </w:tc>
        <w:tc>
          <w:tcPr>
            <w:tcW w:w="453" w:type="pct"/>
            <w:shd w:val="clear" w:color="auto" w:fill="auto"/>
            <w:noWrap/>
            <w:vAlign w:val="bottom"/>
            <w:hideMark/>
          </w:tcPr>
          <w:p w14:paraId="7637BFF1"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13.8</w:t>
            </w:r>
          </w:p>
        </w:tc>
      </w:tr>
      <w:tr w:rsidR="0056541A" w:rsidRPr="003B4919" w14:paraId="09F9521E" w14:textId="77777777" w:rsidTr="003C469F">
        <w:trPr>
          <w:trHeight w:val="280"/>
        </w:trPr>
        <w:tc>
          <w:tcPr>
            <w:tcW w:w="429" w:type="pct"/>
            <w:shd w:val="clear" w:color="auto" w:fill="auto"/>
            <w:noWrap/>
            <w:vAlign w:val="bottom"/>
            <w:hideMark/>
          </w:tcPr>
          <w:p w14:paraId="3FBB6D95" w14:textId="77777777" w:rsidR="0056541A" w:rsidRPr="003B4919" w:rsidRDefault="0056541A" w:rsidP="00543A76">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2004</w:t>
            </w:r>
          </w:p>
        </w:tc>
        <w:tc>
          <w:tcPr>
            <w:tcW w:w="856" w:type="pct"/>
            <w:shd w:val="clear" w:color="auto" w:fill="auto"/>
            <w:noWrap/>
            <w:vAlign w:val="bottom"/>
            <w:hideMark/>
          </w:tcPr>
          <w:p w14:paraId="1467D462"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£146,000</w:t>
            </w:r>
          </w:p>
        </w:tc>
        <w:tc>
          <w:tcPr>
            <w:tcW w:w="856" w:type="pct"/>
            <w:shd w:val="clear" w:color="auto" w:fill="auto"/>
            <w:noWrap/>
            <w:vAlign w:val="bottom"/>
            <w:hideMark/>
          </w:tcPr>
          <w:p w14:paraId="6E4B729D"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£180,000</w:t>
            </w:r>
          </w:p>
        </w:tc>
        <w:tc>
          <w:tcPr>
            <w:tcW w:w="755" w:type="pct"/>
            <w:shd w:val="clear" w:color="auto" w:fill="auto"/>
            <w:noWrap/>
            <w:vAlign w:val="bottom"/>
            <w:hideMark/>
          </w:tcPr>
          <w:p w14:paraId="5F78E805"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£37,543</w:t>
            </w:r>
          </w:p>
        </w:tc>
        <w:tc>
          <w:tcPr>
            <w:tcW w:w="856" w:type="pct"/>
            <w:shd w:val="clear" w:color="auto" w:fill="auto"/>
            <w:noWrap/>
            <w:vAlign w:val="bottom"/>
            <w:hideMark/>
          </w:tcPr>
          <w:p w14:paraId="3C69F2BD"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£46,286</w:t>
            </w:r>
          </w:p>
        </w:tc>
        <w:tc>
          <w:tcPr>
            <w:tcW w:w="793" w:type="pct"/>
            <w:shd w:val="clear" w:color="auto" w:fill="auto"/>
            <w:noWrap/>
            <w:vAlign w:val="bottom"/>
            <w:hideMark/>
          </w:tcPr>
          <w:p w14:paraId="47921E37"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9.8</w:t>
            </w:r>
          </w:p>
        </w:tc>
        <w:tc>
          <w:tcPr>
            <w:tcW w:w="453" w:type="pct"/>
            <w:shd w:val="clear" w:color="auto" w:fill="auto"/>
            <w:noWrap/>
            <w:vAlign w:val="bottom"/>
            <w:hideMark/>
          </w:tcPr>
          <w:p w14:paraId="4B9E10DA"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9.1</w:t>
            </w:r>
          </w:p>
        </w:tc>
      </w:tr>
      <w:tr w:rsidR="0056541A" w:rsidRPr="003B4919" w14:paraId="0492D4F9" w14:textId="77777777" w:rsidTr="003C469F">
        <w:trPr>
          <w:trHeight w:val="280"/>
        </w:trPr>
        <w:tc>
          <w:tcPr>
            <w:tcW w:w="429" w:type="pct"/>
            <w:shd w:val="clear" w:color="auto" w:fill="auto"/>
            <w:noWrap/>
            <w:vAlign w:val="bottom"/>
            <w:hideMark/>
          </w:tcPr>
          <w:p w14:paraId="3CCFF0FC" w14:textId="77777777" w:rsidR="0056541A" w:rsidRPr="003B4919" w:rsidRDefault="0056541A" w:rsidP="00543A76">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2005</w:t>
            </w:r>
          </w:p>
        </w:tc>
        <w:tc>
          <w:tcPr>
            <w:tcW w:w="856" w:type="pct"/>
            <w:shd w:val="clear" w:color="auto" w:fill="auto"/>
            <w:noWrap/>
            <w:vAlign w:val="bottom"/>
            <w:hideMark/>
          </w:tcPr>
          <w:p w14:paraId="105CD435"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£152,000</w:t>
            </w:r>
          </w:p>
        </w:tc>
        <w:tc>
          <w:tcPr>
            <w:tcW w:w="856" w:type="pct"/>
            <w:shd w:val="clear" w:color="auto" w:fill="auto"/>
            <w:noWrap/>
            <w:vAlign w:val="bottom"/>
            <w:hideMark/>
          </w:tcPr>
          <w:p w14:paraId="5445B4DE"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£185,000</w:t>
            </w:r>
          </w:p>
        </w:tc>
        <w:tc>
          <w:tcPr>
            <w:tcW w:w="755" w:type="pct"/>
            <w:shd w:val="clear" w:color="auto" w:fill="auto"/>
            <w:noWrap/>
            <w:vAlign w:val="bottom"/>
            <w:hideMark/>
          </w:tcPr>
          <w:p w14:paraId="11388AA8"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£39,086</w:t>
            </w:r>
          </w:p>
        </w:tc>
        <w:tc>
          <w:tcPr>
            <w:tcW w:w="856" w:type="pct"/>
            <w:shd w:val="clear" w:color="auto" w:fill="auto"/>
            <w:noWrap/>
            <w:vAlign w:val="bottom"/>
            <w:hideMark/>
          </w:tcPr>
          <w:p w14:paraId="412C18FC"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£47,571</w:t>
            </w:r>
          </w:p>
        </w:tc>
        <w:tc>
          <w:tcPr>
            <w:tcW w:w="793" w:type="pct"/>
            <w:shd w:val="clear" w:color="auto" w:fill="auto"/>
            <w:noWrap/>
            <w:vAlign w:val="bottom"/>
            <w:hideMark/>
          </w:tcPr>
          <w:p w14:paraId="53C7601A"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4.1</w:t>
            </w:r>
          </w:p>
        </w:tc>
        <w:tc>
          <w:tcPr>
            <w:tcW w:w="453" w:type="pct"/>
            <w:shd w:val="clear" w:color="auto" w:fill="auto"/>
            <w:noWrap/>
            <w:vAlign w:val="bottom"/>
            <w:hideMark/>
          </w:tcPr>
          <w:p w14:paraId="22BE9625"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2.8</w:t>
            </w:r>
          </w:p>
        </w:tc>
      </w:tr>
      <w:tr w:rsidR="0056541A" w:rsidRPr="003B4919" w14:paraId="4CE90152" w14:textId="77777777" w:rsidTr="003C469F">
        <w:trPr>
          <w:trHeight w:val="280"/>
        </w:trPr>
        <w:tc>
          <w:tcPr>
            <w:tcW w:w="429" w:type="pct"/>
            <w:shd w:val="clear" w:color="auto" w:fill="auto"/>
            <w:noWrap/>
            <w:vAlign w:val="bottom"/>
            <w:hideMark/>
          </w:tcPr>
          <w:p w14:paraId="10010B88" w14:textId="77777777" w:rsidR="0056541A" w:rsidRPr="003B4919" w:rsidRDefault="0056541A" w:rsidP="00543A76">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2006</w:t>
            </w:r>
          </w:p>
        </w:tc>
        <w:tc>
          <w:tcPr>
            <w:tcW w:w="856" w:type="pct"/>
            <w:shd w:val="clear" w:color="auto" w:fill="auto"/>
            <w:noWrap/>
            <w:vAlign w:val="bottom"/>
            <w:hideMark/>
          </w:tcPr>
          <w:p w14:paraId="1324274B"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£160,000</w:t>
            </w:r>
          </w:p>
        </w:tc>
        <w:tc>
          <w:tcPr>
            <w:tcW w:w="856" w:type="pct"/>
            <w:shd w:val="clear" w:color="auto" w:fill="auto"/>
            <w:noWrap/>
            <w:vAlign w:val="bottom"/>
            <w:hideMark/>
          </w:tcPr>
          <w:p w14:paraId="6D041547"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£204,300</w:t>
            </w:r>
          </w:p>
        </w:tc>
        <w:tc>
          <w:tcPr>
            <w:tcW w:w="755" w:type="pct"/>
            <w:shd w:val="clear" w:color="auto" w:fill="auto"/>
            <w:noWrap/>
            <w:vAlign w:val="bottom"/>
            <w:hideMark/>
          </w:tcPr>
          <w:p w14:paraId="50B12500"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£41,143</w:t>
            </w:r>
          </w:p>
        </w:tc>
        <w:tc>
          <w:tcPr>
            <w:tcW w:w="856" w:type="pct"/>
            <w:shd w:val="clear" w:color="auto" w:fill="auto"/>
            <w:noWrap/>
            <w:vAlign w:val="bottom"/>
            <w:hideMark/>
          </w:tcPr>
          <w:p w14:paraId="36E55388"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£52,534</w:t>
            </w:r>
          </w:p>
        </w:tc>
        <w:tc>
          <w:tcPr>
            <w:tcW w:w="793" w:type="pct"/>
            <w:shd w:val="clear" w:color="auto" w:fill="auto"/>
            <w:noWrap/>
            <w:vAlign w:val="bottom"/>
            <w:hideMark/>
          </w:tcPr>
          <w:p w14:paraId="16C25CC7"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5.3</w:t>
            </w:r>
          </w:p>
        </w:tc>
        <w:tc>
          <w:tcPr>
            <w:tcW w:w="453" w:type="pct"/>
            <w:shd w:val="clear" w:color="auto" w:fill="auto"/>
            <w:noWrap/>
            <w:vAlign w:val="bottom"/>
            <w:hideMark/>
          </w:tcPr>
          <w:p w14:paraId="396E0600"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10.4</w:t>
            </w:r>
          </w:p>
        </w:tc>
      </w:tr>
      <w:tr w:rsidR="0056541A" w:rsidRPr="003B4919" w14:paraId="54A9831F" w14:textId="77777777" w:rsidTr="003C469F">
        <w:trPr>
          <w:trHeight w:val="280"/>
        </w:trPr>
        <w:tc>
          <w:tcPr>
            <w:tcW w:w="429" w:type="pct"/>
            <w:shd w:val="clear" w:color="auto" w:fill="auto"/>
            <w:noWrap/>
            <w:vAlign w:val="bottom"/>
            <w:hideMark/>
          </w:tcPr>
          <w:p w14:paraId="21E48008" w14:textId="77777777" w:rsidR="0056541A" w:rsidRPr="003B4919" w:rsidRDefault="0056541A" w:rsidP="00543A76">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2007</w:t>
            </w:r>
          </w:p>
        </w:tc>
        <w:tc>
          <w:tcPr>
            <w:tcW w:w="856" w:type="pct"/>
            <w:shd w:val="clear" w:color="auto" w:fill="auto"/>
            <w:noWrap/>
            <w:vAlign w:val="bottom"/>
            <w:hideMark/>
          </w:tcPr>
          <w:p w14:paraId="56107332"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£179,000</w:t>
            </w:r>
          </w:p>
        </w:tc>
        <w:tc>
          <w:tcPr>
            <w:tcW w:w="856" w:type="pct"/>
            <w:shd w:val="clear" w:color="auto" w:fill="auto"/>
            <w:noWrap/>
            <w:vAlign w:val="bottom"/>
            <w:hideMark/>
          </w:tcPr>
          <w:p w14:paraId="50201928"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£248,032</w:t>
            </w:r>
          </w:p>
        </w:tc>
        <w:tc>
          <w:tcPr>
            <w:tcW w:w="755" w:type="pct"/>
            <w:shd w:val="clear" w:color="auto" w:fill="auto"/>
            <w:noWrap/>
            <w:vAlign w:val="bottom"/>
            <w:hideMark/>
          </w:tcPr>
          <w:p w14:paraId="7A72051F"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£46,029</w:t>
            </w:r>
          </w:p>
        </w:tc>
        <w:tc>
          <w:tcPr>
            <w:tcW w:w="856" w:type="pct"/>
            <w:shd w:val="clear" w:color="auto" w:fill="auto"/>
            <w:noWrap/>
            <w:vAlign w:val="bottom"/>
            <w:hideMark/>
          </w:tcPr>
          <w:p w14:paraId="033B5E31"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£63,780</w:t>
            </w:r>
          </w:p>
        </w:tc>
        <w:tc>
          <w:tcPr>
            <w:tcW w:w="793" w:type="pct"/>
            <w:shd w:val="clear" w:color="auto" w:fill="auto"/>
            <w:noWrap/>
            <w:vAlign w:val="bottom"/>
            <w:hideMark/>
          </w:tcPr>
          <w:p w14:paraId="17992EE2"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11.9</w:t>
            </w:r>
          </w:p>
        </w:tc>
        <w:tc>
          <w:tcPr>
            <w:tcW w:w="453" w:type="pct"/>
            <w:shd w:val="clear" w:color="auto" w:fill="auto"/>
            <w:noWrap/>
            <w:vAlign w:val="bottom"/>
            <w:hideMark/>
          </w:tcPr>
          <w:p w14:paraId="6AA8469A"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21.4</w:t>
            </w:r>
          </w:p>
        </w:tc>
      </w:tr>
      <w:tr w:rsidR="0056541A" w:rsidRPr="003B4919" w14:paraId="486370B3" w14:textId="77777777" w:rsidTr="003C469F">
        <w:trPr>
          <w:trHeight w:val="280"/>
        </w:trPr>
        <w:tc>
          <w:tcPr>
            <w:tcW w:w="429" w:type="pct"/>
            <w:shd w:val="clear" w:color="auto" w:fill="auto"/>
            <w:noWrap/>
            <w:vAlign w:val="bottom"/>
            <w:hideMark/>
          </w:tcPr>
          <w:p w14:paraId="06181BCD" w14:textId="77777777" w:rsidR="0056541A" w:rsidRPr="003B4919" w:rsidRDefault="0056541A" w:rsidP="00543A76">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2008</w:t>
            </w:r>
          </w:p>
        </w:tc>
        <w:tc>
          <w:tcPr>
            <w:tcW w:w="856" w:type="pct"/>
            <w:shd w:val="clear" w:color="auto" w:fill="auto"/>
            <w:noWrap/>
            <w:vAlign w:val="bottom"/>
            <w:hideMark/>
          </w:tcPr>
          <w:p w14:paraId="65EF2B49"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£180,000</w:t>
            </w:r>
          </w:p>
        </w:tc>
        <w:tc>
          <w:tcPr>
            <w:tcW w:w="856" w:type="pct"/>
            <w:shd w:val="clear" w:color="auto" w:fill="auto"/>
            <w:noWrap/>
            <w:vAlign w:val="bottom"/>
            <w:hideMark/>
          </w:tcPr>
          <w:p w14:paraId="235C88FB"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£227,000</w:t>
            </w:r>
          </w:p>
        </w:tc>
        <w:tc>
          <w:tcPr>
            <w:tcW w:w="755" w:type="pct"/>
            <w:shd w:val="clear" w:color="auto" w:fill="auto"/>
            <w:noWrap/>
            <w:vAlign w:val="bottom"/>
            <w:hideMark/>
          </w:tcPr>
          <w:p w14:paraId="2FFFC985"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£46,286</w:t>
            </w:r>
          </w:p>
        </w:tc>
        <w:tc>
          <w:tcPr>
            <w:tcW w:w="856" w:type="pct"/>
            <w:shd w:val="clear" w:color="auto" w:fill="auto"/>
            <w:noWrap/>
            <w:vAlign w:val="bottom"/>
            <w:hideMark/>
          </w:tcPr>
          <w:p w14:paraId="02E2BFF9"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£58,371</w:t>
            </w:r>
          </w:p>
        </w:tc>
        <w:tc>
          <w:tcPr>
            <w:tcW w:w="793" w:type="pct"/>
            <w:shd w:val="clear" w:color="auto" w:fill="auto"/>
            <w:noWrap/>
            <w:vAlign w:val="bottom"/>
            <w:hideMark/>
          </w:tcPr>
          <w:p w14:paraId="4FEB5FF7"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0.6</w:t>
            </w:r>
          </w:p>
        </w:tc>
        <w:tc>
          <w:tcPr>
            <w:tcW w:w="453" w:type="pct"/>
            <w:shd w:val="clear" w:color="auto" w:fill="auto"/>
            <w:noWrap/>
            <w:vAlign w:val="bottom"/>
            <w:hideMark/>
          </w:tcPr>
          <w:p w14:paraId="13CD5C87"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-8.5</w:t>
            </w:r>
          </w:p>
        </w:tc>
      </w:tr>
      <w:tr w:rsidR="0056541A" w:rsidRPr="003B4919" w14:paraId="078D9E3B" w14:textId="77777777" w:rsidTr="003C469F">
        <w:trPr>
          <w:trHeight w:val="280"/>
        </w:trPr>
        <w:tc>
          <w:tcPr>
            <w:tcW w:w="429" w:type="pct"/>
            <w:shd w:val="clear" w:color="auto" w:fill="auto"/>
            <w:noWrap/>
            <w:vAlign w:val="bottom"/>
            <w:hideMark/>
          </w:tcPr>
          <w:p w14:paraId="29E74BB6" w14:textId="77777777" w:rsidR="0056541A" w:rsidRPr="003B4919" w:rsidRDefault="0056541A" w:rsidP="00543A76">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2009</w:t>
            </w:r>
          </w:p>
        </w:tc>
        <w:tc>
          <w:tcPr>
            <w:tcW w:w="856" w:type="pct"/>
            <w:shd w:val="clear" w:color="auto" w:fill="auto"/>
            <w:noWrap/>
            <w:vAlign w:val="bottom"/>
            <w:hideMark/>
          </w:tcPr>
          <w:p w14:paraId="29503FF0"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£170,000</w:t>
            </w:r>
          </w:p>
        </w:tc>
        <w:tc>
          <w:tcPr>
            <w:tcW w:w="856" w:type="pct"/>
            <w:shd w:val="clear" w:color="auto" w:fill="auto"/>
            <w:noWrap/>
            <w:vAlign w:val="bottom"/>
            <w:hideMark/>
          </w:tcPr>
          <w:p w14:paraId="06B1A438"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£215,000</w:t>
            </w:r>
          </w:p>
        </w:tc>
        <w:tc>
          <w:tcPr>
            <w:tcW w:w="755" w:type="pct"/>
            <w:shd w:val="clear" w:color="auto" w:fill="auto"/>
            <w:noWrap/>
            <w:vAlign w:val="bottom"/>
            <w:hideMark/>
          </w:tcPr>
          <w:p w14:paraId="67F5BD80"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£43,714</w:t>
            </w:r>
          </w:p>
        </w:tc>
        <w:tc>
          <w:tcPr>
            <w:tcW w:w="856" w:type="pct"/>
            <w:shd w:val="clear" w:color="auto" w:fill="auto"/>
            <w:noWrap/>
            <w:vAlign w:val="bottom"/>
            <w:hideMark/>
          </w:tcPr>
          <w:p w14:paraId="5973CA70"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£55,286</w:t>
            </w:r>
          </w:p>
        </w:tc>
        <w:tc>
          <w:tcPr>
            <w:tcW w:w="793" w:type="pct"/>
            <w:shd w:val="clear" w:color="auto" w:fill="auto"/>
            <w:noWrap/>
            <w:vAlign w:val="bottom"/>
            <w:hideMark/>
          </w:tcPr>
          <w:p w14:paraId="4A2A1CF4"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-5.6</w:t>
            </w:r>
          </w:p>
        </w:tc>
        <w:tc>
          <w:tcPr>
            <w:tcW w:w="453" w:type="pct"/>
            <w:shd w:val="clear" w:color="auto" w:fill="auto"/>
            <w:noWrap/>
            <w:vAlign w:val="bottom"/>
            <w:hideMark/>
          </w:tcPr>
          <w:p w14:paraId="4CA5968E"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-5.3</w:t>
            </w:r>
          </w:p>
        </w:tc>
      </w:tr>
      <w:tr w:rsidR="0056541A" w:rsidRPr="003B4919" w14:paraId="45EB32B7" w14:textId="77777777" w:rsidTr="003C469F">
        <w:trPr>
          <w:trHeight w:val="280"/>
        </w:trPr>
        <w:tc>
          <w:tcPr>
            <w:tcW w:w="429" w:type="pct"/>
            <w:shd w:val="clear" w:color="auto" w:fill="auto"/>
            <w:noWrap/>
            <w:vAlign w:val="bottom"/>
            <w:hideMark/>
          </w:tcPr>
          <w:p w14:paraId="5EFBEC56" w14:textId="77777777" w:rsidR="0056541A" w:rsidRPr="003B4919" w:rsidRDefault="0056541A" w:rsidP="00543A76">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2010</w:t>
            </w:r>
          </w:p>
        </w:tc>
        <w:tc>
          <w:tcPr>
            <w:tcW w:w="856" w:type="pct"/>
            <w:shd w:val="clear" w:color="auto" w:fill="auto"/>
            <w:noWrap/>
            <w:vAlign w:val="bottom"/>
            <w:hideMark/>
          </w:tcPr>
          <w:p w14:paraId="01A69436"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£180,000</w:t>
            </w:r>
          </w:p>
        </w:tc>
        <w:tc>
          <w:tcPr>
            <w:tcW w:w="856" w:type="pct"/>
            <w:shd w:val="clear" w:color="auto" w:fill="auto"/>
            <w:noWrap/>
            <w:vAlign w:val="bottom"/>
            <w:hideMark/>
          </w:tcPr>
          <w:p w14:paraId="6E907D7B"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£235,000</w:t>
            </w:r>
          </w:p>
        </w:tc>
        <w:tc>
          <w:tcPr>
            <w:tcW w:w="755" w:type="pct"/>
            <w:shd w:val="clear" w:color="auto" w:fill="auto"/>
            <w:noWrap/>
            <w:vAlign w:val="bottom"/>
            <w:hideMark/>
          </w:tcPr>
          <w:p w14:paraId="382ADBC9"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£46,286</w:t>
            </w:r>
          </w:p>
        </w:tc>
        <w:tc>
          <w:tcPr>
            <w:tcW w:w="856" w:type="pct"/>
            <w:shd w:val="clear" w:color="auto" w:fill="auto"/>
            <w:noWrap/>
            <w:vAlign w:val="bottom"/>
            <w:hideMark/>
          </w:tcPr>
          <w:p w14:paraId="5F3E7606"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£60,429</w:t>
            </w:r>
          </w:p>
        </w:tc>
        <w:tc>
          <w:tcPr>
            <w:tcW w:w="793" w:type="pct"/>
            <w:shd w:val="clear" w:color="auto" w:fill="auto"/>
            <w:noWrap/>
            <w:vAlign w:val="bottom"/>
            <w:hideMark/>
          </w:tcPr>
          <w:p w14:paraId="7A42B35F"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5.9</w:t>
            </w:r>
          </w:p>
        </w:tc>
        <w:tc>
          <w:tcPr>
            <w:tcW w:w="453" w:type="pct"/>
            <w:shd w:val="clear" w:color="auto" w:fill="auto"/>
            <w:noWrap/>
            <w:vAlign w:val="bottom"/>
            <w:hideMark/>
          </w:tcPr>
          <w:p w14:paraId="6BE832A1"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9.3</w:t>
            </w:r>
          </w:p>
        </w:tc>
      </w:tr>
      <w:tr w:rsidR="0056541A" w:rsidRPr="003B4919" w14:paraId="3C50093F" w14:textId="77777777" w:rsidTr="003C469F">
        <w:trPr>
          <w:trHeight w:val="280"/>
        </w:trPr>
        <w:tc>
          <w:tcPr>
            <w:tcW w:w="429" w:type="pct"/>
            <w:shd w:val="clear" w:color="auto" w:fill="auto"/>
            <w:noWrap/>
            <w:vAlign w:val="bottom"/>
            <w:hideMark/>
          </w:tcPr>
          <w:p w14:paraId="6B05636E" w14:textId="77777777" w:rsidR="0056541A" w:rsidRPr="003B4919" w:rsidRDefault="0056541A" w:rsidP="00543A76">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2011</w:t>
            </w:r>
          </w:p>
        </w:tc>
        <w:tc>
          <w:tcPr>
            <w:tcW w:w="856" w:type="pct"/>
            <w:shd w:val="clear" w:color="auto" w:fill="auto"/>
            <w:noWrap/>
            <w:vAlign w:val="bottom"/>
            <w:hideMark/>
          </w:tcPr>
          <w:p w14:paraId="48C461B4"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£185,000</w:t>
            </w:r>
          </w:p>
        </w:tc>
        <w:tc>
          <w:tcPr>
            <w:tcW w:w="856" w:type="pct"/>
            <w:shd w:val="clear" w:color="auto" w:fill="auto"/>
            <w:noWrap/>
            <w:vAlign w:val="bottom"/>
            <w:hideMark/>
          </w:tcPr>
          <w:p w14:paraId="30E52237"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£240,000</w:t>
            </w:r>
          </w:p>
        </w:tc>
        <w:tc>
          <w:tcPr>
            <w:tcW w:w="755" w:type="pct"/>
            <w:shd w:val="clear" w:color="auto" w:fill="auto"/>
            <w:noWrap/>
            <w:vAlign w:val="bottom"/>
            <w:hideMark/>
          </w:tcPr>
          <w:p w14:paraId="615E5A11"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£47,571</w:t>
            </w:r>
          </w:p>
        </w:tc>
        <w:tc>
          <w:tcPr>
            <w:tcW w:w="856" w:type="pct"/>
            <w:shd w:val="clear" w:color="auto" w:fill="auto"/>
            <w:noWrap/>
            <w:vAlign w:val="bottom"/>
            <w:hideMark/>
          </w:tcPr>
          <w:p w14:paraId="7BB21FF4"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£61,714</w:t>
            </w:r>
          </w:p>
        </w:tc>
        <w:tc>
          <w:tcPr>
            <w:tcW w:w="793" w:type="pct"/>
            <w:shd w:val="clear" w:color="auto" w:fill="auto"/>
            <w:noWrap/>
            <w:vAlign w:val="bottom"/>
            <w:hideMark/>
          </w:tcPr>
          <w:p w14:paraId="7B80D56A"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2.8</w:t>
            </w:r>
          </w:p>
        </w:tc>
        <w:tc>
          <w:tcPr>
            <w:tcW w:w="453" w:type="pct"/>
            <w:shd w:val="clear" w:color="auto" w:fill="auto"/>
            <w:noWrap/>
            <w:vAlign w:val="bottom"/>
            <w:hideMark/>
          </w:tcPr>
          <w:p w14:paraId="1888346D"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2.1</w:t>
            </w:r>
          </w:p>
        </w:tc>
      </w:tr>
      <w:tr w:rsidR="0056541A" w:rsidRPr="003B4919" w14:paraId="4D63695B" w14:textId="77777777" w:rsidTr="003C469F">
        <w:trPr>
          <w:trHeight w:val="280"/>
        </w:trPr>
        <w:tc>
          <w:tcPr>
            <w:tcW w:w="429" w:type="pct"/>
            <w:shd w:val="clear" w:color="auto" w:fill="auto"/>
            <w:noWrap/>
            <w:vAlign w:val="bottom"/>
            <w:hideMark/>
          </w:tcPr>
          <w:p w14:paraId="657F92F2" w14:textId="77777777" w:rsidR="0056541A" w:rsidRPr="003B4919" w:rsidRDefault="0056541A" w:rsidP="00543A76">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2012</w:t>
            </w:r>
          </w:p>
        </w:tc>
        <w:tc>
          <w:tcPr>
            <w:tcW w:w="856" w:type="pct"/>
            <w:shd w:val="clear" w:color="auto" w:fill="auto"/>
            <w:noWrap/>
            <w:vAlign w:val="bottom"/>
            <w:hideMark/>
          </w:tcPr>
          <w:p w14:paraId="6A353EAE"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£190,000</w:t>
            </w:r>
          </w:p>
        </w:tc>
        <w:tc>
          <w:tcPr>
            <w:tcW w:w="856" w:type="pct"/>
            <w:shd w:val="clear" w:color="auto" w:fill="auto"/>
            <w:noWrap/>
            <w:vAlign w:val="bottom"/>
            <w:hideMark/>
          </w:tcPr>
          <w:p w14:paraId="17B28137"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£249,000</w:t>
            </w:r>
          </w:p>
        </w:tc>
        <w:tc>
          <w:tcPr>
            <w:tcW w:w="755" w:type="pct"/>
            <w:shd w:val="clear" w:color="auto" w:fill="auto"/>
            <w:noWrap/>
            <w:vAlign w:val="bottom"/>
            <w:hideMark/>
          </w:tcPr>
          <w:p w14:paraId="3613D2F4"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£48,857</w:t>
            </w:r>
          </w:p>
        </w:tc>
        <w:tc>
          <w:tcPr>
            <w:tcW w:w="856" w:type="pct"/>
            <w:shd w:val="clear" w:color="auto" w:fill="auto"/>
            <w:noWrap/>
            <w:vAlign w:val="bottom"/>
            <w:hideMark/>
          </w:tcPr>
          <w:p w14:paraId="3190A86B"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£64,029</w:t>
            </w:r>
          </w:p>
        </w:tc>
        <w:tc>
          <w:tcPr>
            <w:tcW w:w="793" w:type="pct"/>
            <w:shd w:val="clear" w:color="auto" w:fill="auto"/>
            <w:noWrap/>
            <w:vAlign w:val="bottom"/>
            <w:hideMark/>
          </w:tcPr>
          <w:p w14:paraId="1599D92E"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2.7</w:t>
            </w:r>
          </w:p>
        </w:tc>
        <w:tc>
          <w:tcPr>
            <w:tcW w:w="453" w:type="pct"/>
            <w:shd w:val="clear" w:color="auto" w:fill="auto"/>
            <w:noWrap/>
            <w:vAlign w:val="bottom"/>
            <w:hideMark/>
          </w:tcPr>
          <w:p w14:paraId="4A2D780D"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3.7</w:t>
            </w:r>
          </w:p>
        </w:tc>
      </w:tr>
      <w:tr w:rsidR="0056541A" w:rsidRPr="003B4919" w14:paraId="3C1BF8B2" w14:textId="77777777" w:rsidTr="003C469F">
        <w:trPr>
          <w:trHeight w:val="280"/>
        </w:trPr>
        <w:tc>
          <w:tcPr>
            <w:tcW w:w="429" w:type="pct"/>
            <w:shd w:val="clear" w:color="auto" w:fill="auto"/>
            <w:noWrap/>
            <w:vAlign w:val="bottom"/>
            <w:hideMark/>
          </w:tcPr>
          <w:p w14:paraId="79CDB1B4" w14:textId="77777777" w:rsidR="0056541A" w:rsidRPr="003B4919" w:rsidRDefault="0056541A" w:rsidP="00543A76">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2013</w:t>
            </w:r>
          </w:p>
        </w:tc>
        <w:tc>
          <w:tcPr>
            <w:tcW w:w="856" w:type="pct"/>
            <w:shd w:val="clear" w:color="auto" w:fill="auto"/>
            <w:noWrap/>
            <w:vAlign w:val="bottom"/>
            <w:hideMark/>
          </w:tcPr>
          <w:p w14:paraId="63274AF0"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£205,000</w:t>
            </w:r>
          </w:p>
        </w:tc>
        <w:tc>
          <w:tcPr>
            <w:tcW w:w="856" w:type="pct"/>
            <w:shd w:val="clear" w:color="auto" w:fill="auto"/>
            <w:noWrap/>
            <w:vAlign w:val="bottom"/>
            <w:hideMark/>
          </w:tcPr>
          <w:p w14:paraId="7572BF76"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£259,848</w:t>
            </w:r>
          </w:p>
        </w:tc>
        <w:tc>
          <w:tcPr>
            <w:tcW w:w="755" w:type="pct"/>
            <w:shd w:val="clear" w:color="auto" w:fill="auto"/>
            <w:noWrap/>
            <w:vAlign w:val="bottom"/>
            <w:hideMark/>
          </w:tcPr>
          <w:p w14:paraId="4E280FBF"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£52,714</w:t>
            </w:r>
          </w:p>
        </w:tc>
        <w:tc>
          <w:tcPr>
            <w:tcW w:w="856" w:type="pct"/>
            <w:shd w:val="clear" w:color="auto" w:fill="auto"/>
            <w:noWrap/>
            <w:vAlign w:val="bottom"/>
            <w:hideMark/>
          </w:tcPr>
          <w:p w14:paraId="71F0F238"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£66,818</w:t>
            </w:r>
          </w:p>
        </w:tc>
        <w:tc>
          <w:tcPr>
            <w:tcW w:w="793" w:type="pct"/>
            <w:shd w:val="clear" w:color="auto" w:fill="auto"/>
            <w:noWrap/>
            <w:vAlign w:val="bottom"/>
            <w:hideMark/>
          </w:tcPr>
          <w:p w14:paraId="43893465"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7.9</w:t>
            </w:r>
          </w:p>
        </w:tc>
        <w:tc>
          <w:tcPr>
            <w:tcW w:w="453" w:type="pct"/>
            <w:shd w:val="clear" w:color="auto" w:fill="auto"/>
            <w:noWrap/>
            <w:vAlign w:val="bottom"/>
            <w:hideMark/>
          </w:tcPr>
          <w:p w14:paraId="01ABEFD2" w14:textId="77777777" w:rsidR="0056541A" w:rsidRPr="003B4919" w:rsidRDefault="0056541A"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4.4</w:t>
            </w:r>
          </w:p>
        </w:tc>
      </w:tr>
      <w:tr w:rsidR="00651CC5" w:rsidRPr="003B4919" w14:paraId="0D3D177D" w14:textId="77777777" w:rsidTr="003C469F">
        <w:trPr>
          <w:trHeight w:val="280"/>
        </w:trPr>
        <w:tc>
          <w:tcPr>
            <w:tcW w:w="429" w:type="pct"/>
            <w:shd w:val="clear" w:color="auto" w:fill="auto"/>
            <w:noWrap/>
            <w:vAlign w:val="bottom"/>
            <w:hideMark/>
          </w:tcPr>
          <w:p w14:paraId="1820A15B" w14:textId="77777777" w:rsidR="00651CC5" w:rsidRPr="003B4919" w:rsidRDefault="00651CC5" w:rsidP="00651CC5">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2014</w:t>
            </w:r>
          </w:p>
        </w:tc>
        <w:tc>
          <w:tcPr>
            <w:tcW w:w="856" w:type="pct"/>
            <w:shd w:val="clear" w:color="auto" w:fill="auto"/>
            <w:noWrap/>
            <w:vAlign w:val="bottom"/>
            <w:hideMark/>
          </w:tcPr>
          <w:p w14:paraId="36DADEA0" w14:textId="11D97B3A"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£241,000</w:t>
            </w:r>
          </w:p>
        </w:tc>
        <w:tc>
          <w:tcPr>
            <w:tcW w:w="856" w:type="pct"/>
            <w:shd w:val="clear" w:color="auto" w:fill="auto"/>
            <w:noWrap/>
            <w:vAlign w:val="bottom"/>
            <w:hideMark/>
          </w:tcPr>
          <w:p w14:paraId="059B6D4E" w14:textId="5F591412"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£310,000</w:t>
            </w:r>
          </w:p>
        </w:tc>
        <w:tc>
          <w:tcPr>
            <w:tcW w:w="755" w:type="pct"/>
            <w:shd w:val="clear" w:color="auto" w:fill="auto"/>
            <w:noWrap/>
            <w:vAlign w:val="bottom"/>
            <w:hideMark/>
          </w:tcPr>
          <w:p w14:paraId="36BD0042" w14:textId="7763D29F"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£61,971</w:t>
            </w:r>
          </w:p>
        </w:tc>
        <w:tc>
          <w:tcPr>
            <w:tcW w:w="856" w:type="pct"/>
            <w:shd w:val="clear" w:color="auto" w:fill="auto"/>
            <w:noWrap/>
            <w:vAlign w:val="bottom"/>
            <w:hideMark/>
          </w:tcPr>
          <w:p w14:paraId="0BBFC34A" w14:textId="4B942708"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£79,714</w:t>
            </w:r>
          </w:p>
        </w:tc>
        <w:tc>
          <w:tcPr>
            <w:tcW w:w="793" w:type="pct"/>
            <w:shd w:val="clear" w:color="auto" w:fill="auto"/>
            <w:noWrap/>
            <w:vAlign w:val="bottom"/>
            <w:hideMark/>
          </w:tcPr>
          <w:p w14:paraId="56B3A328" w14:textId="0DAA2EC2"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17.6</w:t>
            </w:r>
          </w:p>
        </w:tc>
        <w:tc>
          <w:tcPr>
            <w:tcW w:w="453" w:type="pct"/>
            <w:shd w:val="clear" w:color="auto" w:fill="auto"/>
            <w:noWrap/>
            <w:vAlign w:val="bottom"/>
            <w:hideMark/>
          </w:tcPr>
          <w:p w14:paraId="448714FD" w14:textId="77777777"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19.3</w:t>
            </w:r>
          </w:p>
        </w:tc>
      </w:tr>
      <w:tr w:rsidR="00651CC5" w:rsidRPr="003B4919" w14:paraId="7651689F" w14:textId="77777777" w:rsidTr="003C469F">
        <w:trPr>
          <w:trHeight w:val="280"/>
        </w:trPr>
        <w:tc>
          <w:tcPr>
            <w:tcW w:w="429" w:type="pct"/>
            <w:shd w:val="clear" w:color="auto" w:fill="auto"/>
            <w:noWrap/>
            <w:vAlign w:val="bottom"/>
            <w:hideMark/>
          </w:tcPr>
          <w:p w14:paraId="7BBAC743" w14:textId="77777777" w:rsidR="00651CC5" w:rsidRPr="003B4919" w:rsidRDefault="00651CC5" w:rsidP="00651CC5">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2015</w:t>
            </w:r>
          </w:p>
        </w:tc>
        <w:tc>
          <w:tcPr>
            <w:tcW w:w="856" w:type="pct"/>
            <w:shd w:val="clear" w:color="auto" w:fill="auto"/>
            <w:noWrap/>
            <w:vAlign w:val="bottom"/>
            <w:hideMark/>
          </w:tcPr>
          <w:p w14:paraId="477B3FAA" w14:textId="54D07B94"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£273,000</w:t>
            </w:r>
          </w:p>
        </w:tc>
        <w:tc>
          <w:tcPr>
            <w:tcW w:w="856" w:type="pct"/>
            <w:shd w:val="clear" w:color="auto" w:fill="auto"/>
            <w:noWrap/>
            <w:vAlign w:val="bottom"/>
            <w:hideMark/>
          </w:tcPr>
          <w:p w14:paraId="5E462D01" w14:textId="5D21B1F5"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£352,000</w:t>
            </w:r>
          </w:p>
        </w:tc>
        <w:tc>
          <w:tcPr>
            <w:tcW w:w="755" w:type="pct"/>
            <w:shd w:val="clear" w:color="auto" w:fill="auto"/>
            <w:noWrap/>
            <w:vAlign w:val="bottom"/>
            <w:hideMark/>
          </w:tcPr>
          <w:p w14:paraId="45396DCF" w14:textId="70B4F1FF"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£70,200</w:t>
            </w:r>
          </w:p>
        </w:tc>
        <w:tc>
          <w:tcPr>
            <w:tcW w:w="856" w:type="pct"/>
            <w:shd w:val="clear" w:color="auto" w:fill="auto"/>
            <w:noWrap/>
            <w:vAlign w:val="bottom"/>
            <w:hideMark/>
          </w:tcPr>
          <w:p w14:paraId="47366DFF" w14:textId="68B4B65A"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£90,514</w:t>
            </w:r>
          </w:p>
        </w:tc>
        <w:tc>
          <w:tcPr>
            <w:tcW w:w="793" w:type="pct"/>
            <w:shd w:val="clear" w:color="auto" w:fill="auto"/>
            <w:noWrap/>
            <w:vAlign w:val="bottom"/>
            <w:hideMark/>
          </w:tcPr>
          <w:p w14:paraId="0E26BAA3" w14:textId="77C47821"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13.3</w:t>
            </w:r>
          </w:p>
        </w:tc>
        <w:tc>
          <w:tcPr>
            <w:tcW w:w="453" w:type="pct"/>
            <w:shd w:val="clear" w:color="auto" w:fill="auto"/>
            <w:noWrap/>
            <w:vAlign w:val="bottom"/>
            <w:hideMark/>
          </w:tcPr>
          <w:p w14:paraId="7ED2C15F" w14:textId="77777777"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14.5</w:t>
            </w:r>
          </w:p>
        </w:tc>
      </w:tr>
      <w:tr w:rsidR="00651CC5" w:rsidRPr="003B4919" w14:paraId="55F33427" w14:textId="77777777" w:rsidTr="003C469F">
        <w:trPr>
          <w:trHeight w:val="280"/>
        </w:trPr>
        <w:tc>
          <w:tcPr>
            <w:tcW w:w="429" w:type="pct"/>
            <w:shd w:val="clear" w:color="auto" w:fill="auto"/>
            <w:noWrap/>
            <w:vAlign w:val="bottom"/>
            <w:hideMark/>
          </w:tcPr>
          <w:p w14:paraId="2C279991" w14:textId="77777777" w:rsidR="00651CC5" w:rsidRPr="003B4919" w:rsidRDefault="00651CC5" w:rsidP="00651CC5">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2016</w:t>
            </w:r>
          </w:p>
        </w:tc>
        <w:tc>
          <w:tcPr>
            <w:tcW w:w="856" w:type="pct"/>
            <w:shd w:val="clear" w:color="auto" w:fill="auto"/>
            <w:noWrap/>
            <w:vAlign w:val="bottom"/>
            <w:hideMark/>
          </w:tcPr>
          <w:p w14:paraId="063B289F" w14:textId="4741773C"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£300,000</w:t>
            </w:r>
          </w:p>
        </w:tc>
        <w:tc>
          <w:tcPr>
            <w:tcW w:w="856" w:type="pct"/>
            <w:shd w:val="clear" w:color="auto" w:fill="auto"/>
            <w:noWrap/>
            <w:vAlign w:val="bottom"/>
            <w:hideMark/>
          </w:tcPr>
          <w:p w14:paraId="2692002E" w14:textId="35880C58"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£380,000</w:t>
            </w:r>
          </w:p>
        </w:tc>
        <w:tc>
          <w:tcPr>
            <w:tcW w:w="755" w:type="pct"/>
            <w:shd w:val="clear" w:color="auto" w:fill="auto"/>
            <w:noWrap/>
            <w:vAlign w:val="bottom"/>
            <w:hideMark/>
          </w:tcPr>
          <w:p w14:paraId="4A1DA2D4" w14:textId="3F4E53C0"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£77,143</w:t>
            </w:r>
          </w:p>
        </w:tc>
        <w:tc>
          <w:tcPr>
            <w:tcW w:w="856" w:type="pct"/>
            <w:shd w:val="clear" w:color="auto" w:fill="auto"/>
            <w:noWrap/>
            <w:vAlign w:val="bottom"/>
            <w:hideMark/>
          </w:tcPr>
          <w:p w14:paraId="6DFC68BE" w14:textId="3AEFC70A"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£97,714</w:t>
            </w:r>
          </w:p>
        </w:tc>
        <w:tc>
          <w:tcPr>
            <w:tcW w:w="793" w:type="pct"/>
            <w:shd w:val="clear" w:color="auto" w:fill="auto"/>
            <w:noWrap/>
            <w:vAlign w:val="bottom"/>
            <w:hideMark/>
          </w:tcPr>
          <w:p w14:paraId="074B370A" w14:textId="1BB39FC1"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9.9</w:t>
            </w:r>
          </w:p>
        </w:tc>
        <w:tc>
          <w:tcPr>
            <w:tcW w:w="453" w:type="pct"/>
            <w:shd w:val="clear" w:color="auto" w:fill="auto"/>
            <w:noWrap/>
            <w:vAlign w:val="bottom"/>
            <w:hideMark/>
          </w:tcPr>
          <w:p w14:paraId="6B8B3167" w14:textId="77777777"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1.4</w:t>
            </w:r>
          </w:p>
        </w:tc>
      </w:tr>
      <w:tr w:rsidR="00651CC5" w:rsidRPr="003B4919" w14:paraId="715B7CEC" w14:textId="77777777" w:rsidTr="003C469F">
        <w:trPr>
          <w:trHeight w:val="280"/>
        </w:trPr>
        <w:tc>
          <w:tcPr>
            <w:tcW w:w="429" w:type="pct"/>
            <w:shd w:val="clear" w:color="auto" w:fill="auto"/>
            <w:noWrap/>
            <w:vAlign w:val="bottom"/>
            <w:hideMark/>
          </w:tcPr>
          <w:p w14:paraId="6E24A032" w14:textId="77777777" w:rsidR="00651CC5" w:rsidRPr="003B4919" w:rsidRDefault="00651CC5" w:rsidP="00651CC5">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2017</w:t>
            </w:r>
          </w:p>
        </w:tc>
        <w:tc>
          <w:tcPr>
            <w:tcW w:w="856" w:type="pct"/>
            <w:shd w:val="clear" w:color="auto" w:fill="auto"/>
            <w:noWrap/>
            <w:vAlign w:val="bottom"/>
            <w:hideMark/>
          </w:tcPr>
          <w:p w14:paraId="0E228AD0" w14:textId="55046FC7"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£327,000</w:t>
            </w:r>
          </w:p>
        </w:tc>
        <w:tc>
          <w:tcPr>
            <w:tcW w:w="856" w:type="pct"/>
            <w:shd w:val="clear" w:color="auto" w:fill="auto"/>
            <w:noWrap/>
            <w:vAlign w:val="bottom"/>
            <w:hideMark/>
          </w:tcPr>
          <w:p w14:paraId="5E340FB9" w14:textId="2640F5C5"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£418,000</w:t>
            </w:r>
          </w:p>
        </w:tc>
        <w:tc>
          <w:tcPr>
            <w:tcW w:w="755" w:type="pct"/>
            <w:shd w:val="clear" w:color="auto" w:fill="auto"/>
            <w:noWrap/>
            <w:vAlign w:val="bottom"/>
            <w:hideMark/>
          </w:tcPr>
          <w:p w14:paraId="0E4C14F6" w14:textId="25213D31"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£84,086</w:t>
            </w:r>
          </w:p>
        </w:tc>
        <w:tc>
          <w:tcPr>
            <w:tcW w:w="856" w:type="pct"/>
            <w:shd w:val="clear" w:color="auto" w:fill="auto"/>
            <w:noWrap/>
            <w:vAlign w:val="bottom"/>
            <w:hideMark/>
          </w:tcPr>
          <w:p w14:paraId="17CCD24C" w14:textId="0735443D"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£107,486</w:t>
            </w:r>
          </w:p>
        </w:tc>
        <w:tc>
          <w:tcPr>
            <w:tcW w:w="793" w:type="pct"/>
            <w:shd w:val="clear" w:color="auto" w:fill="auto"/>
            <w:noWrap/>
            <w:vAlign w:val="bottom"/>
            <w:hideMark/>
          </w:tcPr>
          <w:p w14:paraId="27AC788A" w14:textId="21879DEC"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9.0</w:t>
            </w:r>
          </w:p>
        </w:tc>
        <w:tc>
          <w:tcPr>
            <w:tcW w:w="453" w:type="pct"/>
            <w:shd w:val="clear" w:color="auto" w:fill="auto"/>
            <w:noWrap/>
            <w:vAlign w:val="bottom"/>
            <w:hideMark/>
          </w:tcPr>
          <w:p w14:paraId="1E991230" w14:textId="77777777"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14.4</w:t>
            </w:r>
          </w:p>
        </w:tc>
      </w:tr>
      <w:tr w:rsidR="00651CC5" w:rsidRPr="003B4919" w14:paraId="5D4C9804" w14:textId="77777777" w:rsidTr="003C469F">
        <w:trPr>
          <w:trHeight w:val="280"/>
        </w:trPr>
        <w:tc>
          <w:tcPr>
            <w:tcW w:w="429" w:type="pct"/>
            <w:shd w:val="clear" w:color="auto" w:fill="auto"/>
            <w:noWrap/>
            <w:vAlign w:val="bottom"/>
          </w:tcPr>
          <w:p w14:paraId="00BD5D1E" w14:textId="178635E0" w:rsidR="00651CC5" w:rsidRPr="003B4919" w:rsidRDefault="00651CC5" w:rsidP="00651CC5">
            <w:pPr>
              <w:jc w:val="center"/>
              <w:rPr>
                <w:rFonts w:asciiTheme="minorHAnsi" w:hAnsiTheme="minorHAnsi" w:cstheme="minorHAnsi"/>
                <w:color w:val="000000"/>
                <w:sz w:val="22"/>
                <w:szCs w:val="22"/>
              </w:rPr>
            </w:pPr>
            <w:r w:rsidRPr="003B4919">
              <w:rPr>
                <w:rFonts w:asciiTheme="minorHAnsi" w:hAnsiTheme="minorHAnsi" w:cstheme="minorHAnsi"/>
                <w:color w:val="000000"/>
                <w:sz w:val="22"/>
                <w:szCs w:val="22"/>
              </w:rPr>
              <w:t>2018</w:t>
            </w:r>
          </w:p>
        </w:tc>
        <w:tc>
          <w:tcPr>
            <w:tcW w:w="856" w:type="pct"/>
            <w:shd w:val="clear" w:color="auto" w:fill="auto"/>
            <w:noWrap/>
            <w:vAlign w:val="bottom"/>
          </w:tcPr>
          <w:p w14:paraId="7BA9F5D3" w14:textId="50174F43"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£320,000</w:t>
            </w:r>
          </w:p>
        </w:tc>
        <w:tc>
          <w:tcPr>
            <w:tcW w:w="856" w:type="pct"/>
            <w:shd w:val="clear" w:color="auto" w:fill="auto"/>
            <w:noWrap/>
            <w:vAlign w:val="bottom"/>
          </w:tcPr>
          <w:p w14:paraId="4248AD1E" w14:textId="2948A079"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£412,250</w:t>
            </w:r>
          </w:p>
        </w:tc>
        <w:tc>
          <w:tcPr>
            <w:tcW w:w="755" w:type="pct"/>
            <w:shd w:val="clear" w:color="auto" w:fill="auto"/>
            <w:noWrap/>
            <w:vAlign w:val="bottom"/>
          </w:tcPr>
          <w:p w14:paraId="79263AE0" w14:textId="52C8BD47"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£82,286</w:t>
            </w:r>
          </w:p>
        </w:tc>
        <w:tc>
          <w:tcPr>
            <w:tcW w:w="856" w:type="pct"/>
            <w:shd w:val="clear" w:color="auto" w:fill="auto"/>
            <w:noWrap/>
            <w:vAlign w:val="bottom"/>
          </w:tcPr>
          <w:p w14:paraId="4AADA18E" w14:textId="7A123BD5"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£106,007</w:t>
            </w:r>
          </w:p>
        </w:tc>
        <w:tc>
          <w:tcPr>
            <w:tcW w:w="793" w:type="pct"/>
            <w:shd w:val="clear" w:color="auto" w:fill="auto"/>
            <w:noWrap/>
            <w:vAlign w:val="bottom"/>
          </w:tcPr>
          <w:p w14:paraId="021B99EF" w14:textId="78B908F5" w:rsidR="00651CC5" w:rsidRPr="003B4919" w:rsidRDefault="00651CC5" w:rsidP="003B4919">
            <w:pPr>
              <w:jc w:val="right"/>
              <w:rPr>
                <w:rFonts w:asciiTheme="minorHAnsi" w:hAnsiTheme="minorHAnsi" w:cstheme="minorHAnsi"/>
                <w:color w:val="000000"/>
                <w:sz w:val="22"/>
                <w:szCs w:val="22"/>
              </w:rPr>
            </w:pPr>
            <w:r w:rsidRPr="003B4919">
              <w:rPr>
                <w:rFonts w:asciiTheme="minorHAnsi" w:hAnsiTheme="minorHAnsi" w:cstheme="minorHAnsi"/>
                <w:color w:val="000000"/>
                <w:sz w:val="22"/>
                <w:szCs w:val="22"/>
              </w:rPr>
              <w:t>-2.1</w:t>
            </w:r>
          </w:p>
        </w:tc>
        <w:tc>
          <w:tcPr>
            <w:tcW w:w="453" w:type="pct"/>
            <w:shd w:val="clear" w:color="auto" w:fill="auto"/>
            <w:noWrap/>
            <w:vAlign w:val="bottom"/>
          </w:tcPr>
          <w:p w14:paraId="77ED1507" w14:textId="77777777" w:rsidR="00651CC5" w:rsidRPr="003B4919" w:rsidRDefault="00651CC5" w:rsidP="003B4919">
            <w:pPr>
              <w:jc w:val="right"/>
              <w:rPr>
                <w:rFonts w:asciiTheme="minorHAnsi" w:hAnsiTheme="minorHAnsi" w:cstheme="minorHAnsi"/>
                <w:color w:val="000000"/>
                <w:sz w:val="22"/>
                <w:szCs w:val="22"/>
              </w:rPr>
            </w:pPr>
          </w:p>
        </w:tc>
      </w:tr>
    </w:tbl>
    <w:p w14:paraId="459F20FD" w14:textId="577BD98C" w:rsidR="0056541A" w:rsidRPr="0067297E" w:rsidRDefault="0056541A" w:rsidP="00543A76">
      <w:pPr>
        <w:pStyle w:val="Reporttext"/>
        <w:numPr>
          <w:ilvl w:val="0"/>
          <w:numId w:val="0"/>
        </w:numPr>
        <w:rPr>
          <w:rFonts w:asciiTheme="minorHAnsi" w:hAnsiTheme="minorHAnsi" w:cs="Calibri"/>
          <w:sz w:val="20"/>
          <w:szCs w:val="20"/>
          <w:lang w:val="en-GB"/>
        </w:rPr>
      </w:pPr>
      <w:r w:rsidRPr="0067297E">
        <w:rPr>
          <w:rFonts w:asciiTheme="minorHAnsi" w:hAnsiTheme="minorHAnsi" w:cs="Calibri"/>
          <w:sz w:val="20"/>
          <w:szCs w:val="20"/>
          <w:lang w:val="en-GB"/>
        </w:rPr>
        <w:t>Source: Data produced by Land Registry © Crown copyright 2018</w:t>
      </w:r>
    </w:p>
    <w:p w14:paraId="4555A67A" w14:textId="2D885403" w:rsidR="00F4072E" w:rsidRPr="0067297E" w:rsidRDefault="00F4072E" w:rsidP="00543A76">
      <w:pPr>
        <w:pStyle w:val="Reporttext"/>
        <w:numPr>
          <w:ilvl w:val="0"/>
          <w:numId w:val="0"/>
        </w:numPr>
        <w:rPr>
          <w:rFonts w:asciiTheme="minorHAnsi" w:hAnsiTheme="minorHAnsi" w:cs="Calibri"/>
          <w:sz w:val="20"/>
          <w:szCs w:val="20"/>
          <w:lang w:val="en-GB"/>
        </w:rPr>
      </w:pPr>
      <w:r w:rsidRPr="0067297E">
        <w:rPr>
          <w:rFonts w:asciiTheme="minorHAnsi" w:hAnsiTheme="minorHAnsi" w:cs="Calibri"/>
          <w:sz w:val="20"/>
          <w:szCs w:val="20"/>
          <w:lang w:val="en-GB"/>
        </w:rPr>
        <w:t>*Assumes a 3.5x income multiple</w:t>
      </w:r>
    </w:p>
    <w:p w14:paraId="7C97DA17" w14:textId="77777777" w:rsidR="00070E86" w:rsidRPr="0067297E" w:rsidRDefault="00070E86" w:rsidP="00F4072E">
      <w:pPr>
        <w:pStyle w:val="Reporttext"/>
        <w:numPr>
          <w:ilvl w:val="0"/>
          <w:numId w:val="0"/>
        </w:numPr>
        <w:ind w:left="709"/>
        <w:rPr>
          <w:rFonts w:asciiTheme="minorHAnsi" w:hAnsiTheme="minorHAnsi" w:cs="Calibri"/>
        </w:rPr>
        <w:sectPr w:rsidR="00070E86" w:rsidRPr="0067297E" w:rsidSect="00DD5741">
          <w:headerReference w:type="default" r:id="rId24"/>
          <w:footerReference w:type="default" r:id="rId25"/>
          <w:pgSz w:w="16838" w:h="11906" w:orient="landscape"/>
          <w:pgMar w:top="1276" w:right="1134" w:bottom="1440" w:left="1440" w:header="708" w:footer="708" w:gutter="0"/>
          <w:cols w:space="708"/>
          <w:docGrid w:linePitch="360"/>
        </w:sectPr>
      </w:pPr>
    </w:p>
    <w:p w14:paraId="6323048D" w14:textId="43ED7458" w:rsidR="0056541A" w:rsidRPr="00DD5741" w:rsidRDefault="0056541A" w:rsidP="002C70BC">
      <w:pPr>
        <w:pStyle w:val="Reporttext"/>
        <w:numPr>
          <w:ilvl w:val="1"/>
          <w:numId w:val="18"/>
        </w:numPr>
        <w:rPr>
          <w:rFonts w:asciiTheme="minorHAnsi" w:hAnsiTheme="minorHAnsi" w:cs="Calibri"/>
        </w:rPr>
      </w:pPr>
      <w:r w:rsidRPr="0067297E">
        <w:rPr>
          <w:rFonts w:asciiTheme="minorHAnsi" w:hAnsiTheme="minorHAnsi" w:cs="Calibri"/>
          <w:lang w:val="en-US"/>
        </w:rPr>
        <w:lastRenderedPageBreak/>
        <w:t>Table 3.3 considers how median prices have changed over the period 2007 to 201</w:t>
      </w:r>
      <w:r w:rsidR="00B70EE7" w:rsidRPr="0067297E">
        <w:rPr>
          <w:rFonts w:asciiTheme="minorHAnsi" w:hAnsiTheme="minorHAnsi" w:cs="Calibri"/>
          <w:lang w:val="en-US"/>
        </w:rPr>
        <w:t>8</w:t>
      </w:r>
      <w:r w:rsidRPr="0067297E">
        <w:rPr>
          <w:rStyle w:val="FootnoteReference"/>
          <w:rFonts w:asciiTheme="minorHAnsi" w:hAnsiTheme="minorHAnsi" w:cs="Calibri"/>
          <w:lang w:val="en-US"/>
        </w:rPr>
        <w:footnoteReference w:id="16"/>
      </w:r>
      <w:r w:rsidRPr="0067297E">
        <w:rPr>
          <w:rFonts w:asciiTheme="minorHAnsi" w:hAnsiTheme="minorHAnsi" w:cs="Calibri"/>
          <w:lang w:val="en-US"/>
        </w:rPr>
        <w:t xml:space="preserve"> by ward. This shows an overall </w:t>
      </w:r>
      <w:r w:rsidR="00D12C02">
        <w:rPr>
          <w:rFonts w:asciiTheme="minorHAnsi" w:hAnsiTheme="minorHAnsi" w:cs="Calibri"/>
          <w:lang w:val="en-US"/>
        </w:rPr>
        <w:t xml:space="preserve">average </w:t>
      </w:r>
      <w:r w:rsidRPr="0067297E">
        <w:rPr>
          <w:rFonts w:asciiTheme="minorHAnsi" w:hAnsiTheme="minorHAnsi" w:cs="Calibri"/>
          <w:lang w:val="en-US"/>
        </w:rPr>
        <w:t>change of 83.</w:t>
      </w:r>
      <w:r w:rsidR="00B70EE7" w:rsidRPr="0067297E">
        <w:rPr>
          <w:rFonts w:asciiTheme="minorHAnsi" w:hAnsiTheme="minorHAnsi" w:cs="Calibri"/>
          <w:lang w:val="en-US"/>
        </w:rPr>
        <w:t>2</w:t>
      </w:r>
      <w:r w:rsidRPr="0067297E">
        <w:rPr>
          <w:rFonts w:asciiTheme="minorHAnsi" w:hAnsiTheme="minorHAnsi" w:cs="Calibri"/>
          <w:lang w:val="en-US"/>
        </w:rPr>
        <w:t xml:space="preserve">% across the borough and in </w:t>
      </w:r>
      <w:r w:rsidR="00B70EE7" w:rsidRPr="0067297E">
        <w:rPr>
          <w:rFonts w:asciiTheme="minorHAnsi" w:hAnsiTheme="minorHAnsi" w:cs="Calibri"/>
          <w:lang w:val="en-US"/>
        </w:rPr>
        <w:t xml:space="preserve">six </w:t>
      </w:r>
      <w:r w:rsidRPr="0067297E">
        <w:rPr>
          <w:rFonts w:asciiTheme="minorHAnsi" w:hAnsiTheme="minorHAnsi" w:cs="Calibri"/>
          <w:lang w:val="en-US"/>
        </w:rPr>
        <w:t xml:space="preserve">wards median prices have more than doubled over this period. </w:t>
      </w:r>
    </w:p>
    <w:p w14:paraId="3E990122" w14:textId="0ECD41B5" w:rsidR="00F4072E" w:rsidRPr="0067297E" w:rsidRDefault="00F4072E" w:rsidP="00DD5741">
      <w:pPr>
        <w:pStyle w:val="Reporttext"/>
        <w:numPr>
          <w:ilvl w:val="0"/>
          <w:numId w:val="0"/>
        </w:numPr>
        <w:ind w:left="709"/>
        <w:rPr>
          <w:rFonts w:asciiTheme="minorHAnsi" w:hAnsiTheme="minorHAnsi" w:cs="Calibri"/>
        </w:rPr>
      </w:pPr>
    </w:p>
    <w:tbl>
      <w:tblPr>
        <w:tblW w:w="6892" w:type="dxa"/>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917"/>
        <w:gridCol w:w="1735"/>
        <w:gridCol w:w="1811"/>
        <w:gridCol w:w="1417"/>
        <w:gridCol w:w="12"/>
      </w:tblGrid>
      <w:tr w:rsidR="0056541A" w:rsidRPr="0067297E" w14:paraId="2C6530DA" w14:textId="77777777" w:rsidTr="00FF4E2D">
        <w:trPr>
          <w:trHeight w:val="300"/>
          <w:tblHeader/>
        </w:trPr>
        <w:tc>
          <w:tcPr>
            <w:tcW w:w="6892" w:type="dxa"/>
            <w:gridSpan w:val="5"/>
            <w:shd w:val="clear" w:color="auto" w:fill="009999"/>
            <w:vAlign w:val="bottom"/>
          </w:tcPr>
          <w:p w14:paraId="00A74741" w14:textId="615B7928" w:rsidR="0056541A" w:rsidRPr="0067297E" w:rsidRDefault="0056541A" w:rsidP="003F4875">
            <w:pPr>
              <w:pStyle w:val="tableheading"/>
              <w:rPr>
                <w:rFonts w:asciiTheme="minorHAnsi" w:hAnsiTheme="minorHAnsi"/>
                <w:szCs w:val="22"/>
              </w:rPr>
            </w:pPr>
            <w:bookmarkStart w:id="169" w:name="_Toc23151144"/>
            <w:r w:rsidRPr="0067297E">
              <w:rPr>
                <w:rFonts w:asciiTheme="minorHAnsi" w:hAnsiTheme="minorHAnsi"/>
                <w:szCs w:val="22"/>
              </w:rPr>
              <w:t>Table 3.3</w:t>
            </w:r>
            <w:r w:rsidRPr="0067297E">
              <w:rPr>
                <w:rFonts w:asciiTheme="minorHAnsi" w:hAnsiTheme="minorHAnsi"/>
                <w:szCs w:val="22"/>
              </w:rPr>
              <w:tab/>
              <w:t>Median price change by ward 2007-201</w:t>
            </w:r>
            <w:r w:rsidR="00F9239E" w:rsidRPr="0067297E">
              <w:rPr>
                <w:rFonts w:asciiTheme="minorHAnsi" w:hAnsiTheme="minorHAnsi"/>
                <w:szCs w:val="22"/>
                <w:lang w:val="en-US"/>
              </w:rPr>
              <w:t>8</w:t>
            </w:r>
            <w:bookmarkEnd w:id="169"/>
          </w:p>
        </w:tc>
      </w:tr>
      <w:tr w:rsidR="000256AC" w:rsidRPr="0067297E" w14:paraId="329C4AB9" w14:textId="77777777" w:rsidTr="0078254D">
        <w:trPr>
          <w:gridAfter w:val="1"/>
          <w:wAfter w:w="12" w:type="dxa"/>
          <w:trHeight w:val="300"/>
        </w:trPr>
        <w:tc>
          <w:tcPr>
            <w:tcW w:w="1917" w:type="dxa"/>
            <w:shd w:val="clear" w:color="auto" w:fill="009999"/>
            <w:vAlign w:val="bottom"/>
            <w:hideMark/>
          </w:tcPr>
          <w:p w14:paraId="45D7D3D3" w14:textId="77777777" w:rsidR="0056541A" w:rsidRPr="0067297E" w:rsidRDefault="0056541A" w:rsidP="000256AC">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Ward</w:t>
            </w:r>
          </w:p>
        </w:tc>
        <w:tc>
          <w:tcPr>
            <w:tcW w:w="1735" w:type="dxa"/>
            <w:shd w:val="clear" w:color="auto" w:fill="009999"/>
            <w:noWrap/>
            <w:vAlign w:val="bottom"/>
            <w:hideMark/>
          </w:tcPr>
          <w:p w14:paraId="03E62BEF" w14:textId="77777777" w:rsidR="0056541A" w:rsidRPr="0067297E" w:rsidRDefault="0056541A" w:rsidP="000256AC">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2007</w:t>
            </w:r>
          </w:p>
        </w:tc>
        <w:tc>
          <w:tcPr>
            <w:tcW w:w="1811" w:type="dxa"/>
            <w:shd w:val="clear" w:color="auto" w:fill="009999"/>
            <w:noWrap/>
            <w:vAlign w:val="bottom"/>
            <w:hideMark/>
          </w:tcPr>
          <w:p w14:paraId="303020FA" w14:textId="0D43E760" w:rsidR="0056541A" w:rsidRPr="0067297E" w:rsidRDefault="0056541A" w:rsidP="000256AC">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201</w:t>
            </w:r>
            <w:r w:rsidR="00F9239E" w:rsidRPr="0067297E">
              <w:rPr>
                <w:rFonts w:asciiTheme="minorHAnsi" w:hAnsiTheme="minorHAnsi" w:cs="Calibri"/>
                <w:b/>
                <w:color w:val="FFFFFF" w:themeColor="background1"/>
                <w:sz w:val="22"/>
                <w:szCs w:val="22"/>
              </w:rPr>
              <w:t>8</w:t>
            </w:r>
          </w:p>
        </w:tc>
        <w:tc>
          <w:tcPr>
            <w:tcW w:w="1417" w:type="dxa"/>
            <w:shd w:val="clear" w:color="auto" w:fill="009999"/>
            <w:noWrap/>
            <w:vAlign w:val="bottom"/>
            <w:hideMark/>
          </w:tcPr>
          <w:p w14:paraId="416DF6A7" w14:textId="77777777" w:rsidR="0056541A" w:rsidRPr="0067297E" w:rsidRDefault="0056541A" w:rsidP="000256AC">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 change</w:t>
            </w:r>
          </w:p>
        </w:tc>
      </w:tr>
      <w:tr w:rsidR="00F9239E" w:rsidRPr="0067297E" w14:paraId="0D61E51C" w14:textId="77777777" w:rsidTr="0078254D">
        <w:trPr>
          <w:gridAfter w:val="1"/>
          <w:wAfter w:w="12" w:type="dxa"/>
          <w:trHeight w:val="300"/>
        </w:trPr>
        <w:tc>
          <w:tcPr>
            <w:tcW w:w="1917" w:type="dxa"/>
            <w:shd w:val="clear" w:color="auto" w:fill="auto"/>
            <w:hideMark/>
          </w:tcPr>
          <w:p w14:paraId="30EB5DD2"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Bellingham</w:t>
            </w:r>
          </w:p>
        </w:tc>
        <w:tc>
          <w:tcPr>
            <w:tcW w:w="1735" w:type="dxa"/>
            <w:shd w:val="clear" w:color="auto" w:fill="auto"/>
            <w:noWrap/>
            <w:vAlign w:val="center"/>
            <w:hideMark/>
          </w:tcPr>
          <w:p w14:paraId="507B071F" w14:textId="010FFA50"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£200,500</w:t>
            </w:r>
          </w:p>
        </w:tc>
        <w:tc>
          <w:tcPr>
            <w:tcW w:w="1811" w:type="dxa"/>
            <w:shd w:val="clear" w:color="auto" w:fill="auto"/>
            <w:noWrap/>
            <w:vAlign w:val="center"/>
            <w:hideMark/>
          </w:tcPr>
          <w:p w14:paraId="1ACD1531" w14:textId="5D027786"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£360,000</w:t>
            </w:r>
          </w:p>
        </w:tc>
        <w:tc>
          <w:tcPr>
            <w:tcW w:w="1417" w:type="dxa"/>
            <w:shd w:val="clear" w:color="auto" w:fill="auto"/>
            <w:noWrap/>
            <w:vAlign w:val="bottom"/>
            <w:hideMark/>
          </w:tcPr>
          <w:p w14:paraId="48B2C5FA" w14:textId="42B02CD1"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79.6</w:t>
            </w:r>
          </w:p>
        </w:tc>
      </w:tr>
      <w:tr w:rsidR="00F9239E" w:rsidRPr="0067297E" w14:paraId="5D366A0C" w14:textId="77777777" w:rsidTr="0078254D">
        <w:trPr>
          <w:gridAfter w:val="1"/>
          <w:wAfter w:w="12" w:type="dxa"/>
          <w:trHeight w:val="300"/>
        </w:trPr>
        <w:tc>
          <w:tcPr>
            <w:tcW w:w="1917" w:type="dxa"/>
            <w:shd w:val="clear" w:color="auto" w:fill="auto"/>
            <w:hideMark/>
          </w:tcPr>
          <w:p w14:paraId="7F9F1C1D"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Blackheath</w:t>
            </w:r>
          </w:p>
        </w:tc>
        <w:tc>
          <w:tcPr>
            <w:tcW w:w="1735" w:type="dxa"/>
            <w:shd w:val="clear" w:color="auto" w:fill="auto"/>
            <w:noWrap/>
            <w:vAlign w:val="center"/>
            <w:hideMark/>
          </w:tcPr>
          <w:p w14:paraId="1606868A" w14:textId="7BB42AC2"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£306,250</w:t>
            </w:r>
          </w:p>
        </w:tc>
        <w:tc>
          <w:tcPr>
            <w:tcW w:w="1811" w:type="dxa"/>
            <w:shd w:val="clear" w:color="auto" w:fill="auto"/>
            <w:noWrap/>
            <w:vAlign w:val="center"/>
            <w:hideMark/>
          </w:tcPr>
          <w:p w14:paraId="1364154E" w14:textId="49D956B4"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£407,000</w:t>
            </w:r>
          </w:p>
        </w:tc>
        <w:tc>
          <w:tcPr>
            <w:tcW w:w="1417" w:type="dxa"/>
            <w:shd w:val="clear" w:color="auto" w:fill="auto"/>
            <w:noWrap/>
            <w:vAlign w:val="bottom"/>
            <w:hideMark/>
          </w:tcPr>
          <w:p w14:paraId="01921B85" w14:textId="31E0058B"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32.9</w:t>
            </w:r>
          </w:p>
        </w:tc>
      </w:tr>
      <w:tr w:rsidR="00F9239E" w:rsidRPr="0067297E" w14:paraId="5D39DE61" w14:textId="77777777" w:rsidTr="0078254D">
        <w:trPr>
          <w:gridAfter w:val="1"/>
          <w:wAfter w:w="12" w:type="dxa"/>
          <w:trHeight w:val="300"/>
        </w:trPr>
        <w:tc>
          <w:tcPr>
            <w:tcW w:w="1917" w:type="dxa"/>
            <w:shd w:val="clear" w:color="auto" w:fill="auto"/>
            <w:hideMark/>
          </w:tcPr>
          <w:p w14:paraId="0B8F3910"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Brockley</w:t>
            </w:r>
          </w:p>
        </w:tc>
        <w:tc>
          <w:tcPr>
            <w:tcW w:w="1735" w:type="dxa"/>
            <w:shd w:val="clear" w:color="auto" w:fill="auto"/>
            <w:noWrap/>
            <w:vAlign w:val="center"/>
            <w:hideMark/>
          </w:tcPr>
          <w:p w14:paraId="108CCC91" w14:textId="7A416A47"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£231,000</w:t>
            </w:r>
          </w:p>
        </w:tc>
        <w:tc>
          <w:tcPr>
            <w:tcW w:w="1811" w:type="dxa"/>
            <w:shd w:val="clear" w:color="auto" w:fill="auto"/>
            <w:noWrap/>
            <w:vAlign w:val="center"/>
            <w:hideMark/>
          </w:tcPr>
          <w:p w14:paraId="0490A188" w14:textId="3A971C41"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£425,000</w:t>
            </w:r>
          </w:p>
        </w:tc>
        <w:tc>
          <w:tcPr>
            <w:tcW w:w="1417" w:type="dxa"/>
            <w:shd w:val="clear" w:color="auto" w:fill="auto"/>
            <w:noWrap/>
            <w:vAlign w:val="bottom"/>
            <w:hideMark/>
          </w:tcPr>
          <w:p w14:paraId="3B91A37E" w14:textId="5223CA32"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84.0</w:t>
            </w:r>
          </w:p>
        </w:tc>
      </w:tr>
      <w:tr w:rsidR="00F9239E" w:rsidRPr="0067297E" w14:paraId="22084B9E" w14:textId="77777777" w:rsidTr="0078254D">
        <w:trPr>
          <w:gridAfter w:val="1"/>
          <w:wAfter w:w="12" w:type="dxa"/>
          <w:trHeight w:val="300"/>
        </w:trPr>
        <w:tc>
          <w:tcPr>
            <w:tcW w:w="1917" w:type="dxa"/>
            <w:shd w:val="clear" w:color="auto" w:fill="auto"/>
            <w:hideMark/>
          </w:tcPr>
          <w:p w14:paraId="101525A1"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Catford South</w:t>
            </w:r>
          </w:p>
        </w:tc>
        <w:tc>
          <w:tcPr>
            <w:tcW w:w="1735" w:type="dxa"/>
            <w:shd w:val="clear" w:color="auto" w:fill="auto"/>
            <w:noWrap/>
            <w:vAlign w:val="center"/>
            <w:hideMark/>
          </w:tcPr>
          <w:p w14:paraId="165144AB" w14:textId="4210BF2C"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£248,750</w:t>
            </w:r>
          </w:p>
        </w:tc>
        <w:tc>
          <w:tcPr>
            <w:tcW w:w="1811" w:type="dxa"/>
            <w:shd w:val="clear" w:color="auto" w:fill="auto"/>
            <w:noWrap/>
            <w:vAlign w:val="center"/>
            <w:hideMark/>
          </w:tcPr>
          <w:p w14:paraId="46C409EB" w14:textId="1782E11D"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£462,500</w:t>
            </w:r>
          </w:p>
        </w:tc>
        <w:tc>
          <w:tcPr>
            <w:tcW w:w="1417" w:type="dxa"/>
            <w:shd w:val="clear" w:color="auto" w:fill="auto"/>
            <w:noWrap/>
            <w:vAlign w:val="bottom"/>
            <w:hideMark/>
          </w:tcPr>
          <w:p w14:paraId="69BD663E" w14:textId="1302DF1E"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85.9</w:t>
            </w:r>
          </w:p>
        </w:tc>
      </w:tr>
      <w:tr w:rsidR="00F9239E" w:rsidRPr="0067297E" w14:paraId="0AC2F494" w14:textId="77777777" w:rsidTr="0078254D">
        <w:trPr>
          <w:gridAfter w:val="1"/>
          <w:wAfter w:w="12" w:type="dxa"/>
          <w:trHeight w:val="300"/>
        </w:trPr>
        <w:tc>
          <w:tcPr>
            <w:tcW w:w="1917" w:type="dxa"/>
            <w:shd w:val="clear" w:color="auto" w:fill="auto"/>
            <w:hideMark/>
          </w:tcPr>
          <w:p w14:paraId="33499FE0"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Crofton Park</w:t>
            </w:r>
          </w:p>
        </w:tc>
        <w:tc>
          <w:tcPr>
            <w:tcW w:w="1735" w:type="dxa"/>
            <w:shd w:val="clear" w:color="auto" w:fill="auto"/>
            <w:noWrap/>
            <w:vAlign w:val="center"/>
            <w:hideMark/>
          </w:tcPr>
          <w:p w14:paraId="2A87260C" w14:textId="7036439C"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£268,500</w:t>
            </w:r>
          </w:p>
        </w:tc>
        <w:tc>
          <w:tcPr>
            <w:tcW w:w="1811" w:type="dxa"/>
            <w:shd w:val="clear" w:color="auto" w:fill="auto"/>
            <w:noWrap/>
            <w:vAlign w:val="center"/>
            <w:hideMark/>
          </w:tcPr>
          <w:p w14:paraId="1DCB73C0" w14:textId="6CCC9CF9"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£548,000</w:t>
            </w:r>
          </w:p>
        </w:tc>
        <w:tc>
          <w:tcPr>
            <w:tcW w:w="1417" w:type="dxa"/>
            <w:shd w:val="clear" w:color="auto" w:fill="auto"/>
            <w:noWrap/>
            <w:vAlign w:val="bottom"/>
            <w:hideMark/>
          </w:tcPr>
          <w:p w14:paraId="21245AFA" w14:textId="00AEEC7B"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104.1</w:t>
            </w:r>
          </w:p>
        </w:tc>
      </w:tr>
      <w:tr w:rsidR="00F9239E" w:rsidRPr="0067297E" w14:paraId="04E4CEF2" w14:textId="77777777" w:rsidTr="0078254D">
        <w:trPr>
          <w:gridAfter w:val="1"/>
          <w:wAfter w:w="12" w:type="dxa"/>
          <w:trHeight w:val="300"/>
        </w:trPr>
        <w:tc>
          <w:tcPr>
            <w:tcW w:w="1917" w:type="dxa"/>
            <w:shd w:val="clear" w:color="auto" w:fill="auto"/>
            <w:hideMark/>
          </w:tcPr>
          <w:p w14:paraId="742D7760"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Downham</w:t>
            </w:r>
          </w:p>
        </w:tc>
        <w:tc>
          <w:tcPr>
            <w:tcW w:w="1735" w:type="dxa"/>
            <w:shd w:val="clear" w:color="auto" w:fill="auto"/>
            <w:noWrap/>
            <w:vAlign w:val="center"/>
            <w:hideMark/>
          </w:tcPr>
          <w:p w14:paraId="0F49A520" w14:textId="51B2CD13"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£200,000</w:t>
            </w:r>
          </w:p>
        </w:tc>
        <w:tc>
          <w:tcPr>
            <w:tcW w:w="1811" w:type="dxa"/>
            <w:shd w:val="clear" w:color="auto" w:fill="auto"/>
            <w:noWrap/>
            <w:vAlign w:val="center"/>
            <w:hideMark/>
          </w:tcPr>
          <w:p w14:paraId="17506ADC" w14:textId="53723A0E"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£322,500</w:t>
            </w:r>
          </w:p>
        </w:tc>
        <w:tc>
          <w:tcPr>
            <w:tcW w:w="1417" w:type="dxa"/>
            <w:shd w:val="clear" w:color="auto" w:fill="auto"/>
            <w:noWrap/>
            <w:vAlign w:val="bottom"/>
            <w:hideMark/>
          </w:tcPr>
          <w:p w14:paraId="0320302D" w14:textId="6029FC75"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61.3</w:t>
            </w:r>
          </w:p>
        </w:tc>
      </w:tr>
      <w:tr w:rsidR="00F9239E" w:rsidRPr="0067297E" w14:paraId="41985970" w14:textId="77777777" w:rsidTr="0078254D">
        <w:trPr>
          <w:gridAfter w:val="1"/>
          <w:wAfter w:w="12" w:type="dxa"/>
          <w:trHeight w:val="300"/>
        </w:trPr>
        <w:tc>
          <w:tcPr>
            <w:tcW w:w="1917" w:type="dxa"/>
            <w:shd w:val="clear" w:color="auto" w:fill="auto"/>
            <w:hideMark/>
          </w:tcPr>
          <w:p w14:paraId="58E3CDEA"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Evelyn</w:t>
            </w:r>
          </w:p>
        </w:tc>
        <w:tc>
          <w:tcPr>
            <w:tcW w:w="1735" w:type="dxa"/>
            <w:shd w:val="clear" w:color="auto" w:fill="auto"/>
            <w:noWrap/>
            <w:vAlign w:val="center"/>
            <w:hideMark/>
          </w:tcPr>
          <w:p w14:paraId="365F7D17" w14:textId="45C6F862"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£200,000</w:t>
            </w:r>
          </w:p>
        </w:tc>
        <w:tc>
          <w:tcPr>
            <w:tcW w:w="1811" w:type="dxa"/>
            <w:shd w:val="clear" w:color="auto" w:fill="auto"/>
            <w:noWrap/>
            <w:vAlign w:val="center"/>
            <w:hideMark/>
          </w:tcPr>
          <w:p w14:paraId="084EA5EA" w14:textId="41801551"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£423,150</w:t>
            </w:r>
          </w:p>
        </w:tc>
        <w:tc>
          <w:tcPr>
            <w:tcW w:w="1417" w:type="dxa"/>
            <w:shd w:val="clear" w:color="auto" w:fill="auto"/>
            <w:noWrap/>
            <w:vAlign w:val="bottom"/>
            <w:hideMark/>
          </w:tcPr>
          <w:p w14:paraId="4C3FAB38" w14:textId="69BE9E90"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111.6</w:t>
            </w:r>
          </w:p>
        </w:tc>
      </w:tr>
      <w:tr w:rsidR="00F9239E" w:rsidRPr="0067297E" w14:paraId="1CD1AC32" w14:textId="77777777" w:rsidTr="0078254D">
        <w:trPr>
          <w:gridAfter w:val="1"/>
          <w:wAfter w:w="12" w:type="dxa"/>
          <w:trHeight w:val="300"/>
        </w:trPr>
        <w:tc>
          <w:tcPr>
            <w:tcW w:w="1917" w:type="dxa"/>
            <w:shd w:val="clear" w:color="auto" w:fill="auto"/>
            <w:hideMark/>
          </w:tcPr>
          <w:p w14:paraId="0CABEC37"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Forest Hill</w:t>
            </w:r>
          </w:p>
        </w:tc>
        <w:tc>
          <w:tcPr>
            <w:tcW w:w="1735" w:type="dxa"/>
            <w:shd w:val="clear" w:color="auto" w:fill="auto"/>
            <w:noWrap/>
            <w:vAlign w:val="center"/>
            <w:hideMark/>
          </w:tcPr>
          <w:p w14:paraId="3A91BB3E" w14:textId="50D5E7DB"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£241,612</w:t>
            </w:r>
          </w:p>
        </w:tc>
        <w:tc>
          <w:tcPr>
            <w:tcW w:w="1811" w:type="dxa"/>
            <w:shd w:val="clear" w:color="auto" w:fill="auto"/>
            <w:noWrap/>
            <w:vAlign w:val="center"/>
            <w:hideMark/>
          </w:tcPr>
          <w:p w14:paraId="03C91B62" w14:textId="392CABD4"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£382,500</w:t>
            </w:r>
          </w:p>
        </w:tc>
        <w:tc>
          <w:tcPr>
            <w:tcW w:w="1417" w:type="dxa"/>
            <w:shd w:val="clear" w:color="auto" w:fill="auto"/>
            <w:noWrap/>
            <w:vAlign w:val="bottom"/>
            <w:hideMark/>
          </w:tcPr>
          <w:p w14:paraId="552C3A9E" w14:textId="01C8B3BE"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58.3</w:t>
            </w:r>
          </w:p>
        </w:tc>
      </w:tr>
      <w:tr w:rsidR="00F9239E" w:rsidRPr="0067297E" w14:paraId="2975BDCF" w14:textId="77777777" w:rsidTr="0078254D">
        <w:trPr>
          <w:gridAfter w:val="1"/>
          <w:wAfter w:w="12" w:type="dxa"/>
          <w:trHeight w:val="300"/>
        </w:trPr>
        <w:tc>
          <w:tcPr>
            <w:tcW w:w="1917" w:type="dxa"/>
            <w:shd w:val="clear" w:color="auto" w:fill="auto"/>
            <w:hideMark/>
          </w:tcPr>
          <w:p w14:paraId="32C7CA1D"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Grove Park</w:t>
            </w:r>
          </w:p>
        </w:tc>
        <w:tc>
          <w:tcPr>
            <w:tcW w:w="1735" w:type="dxa"/>
            <w:shd w:val="clear" w:color="auto" w:fill="auto"/>
            <w:noWrap/>
            <w:vAlign w:val="center"/>
            <w:hideMark/>
          </w:tcPr>
          <w:p w14:paraId="35A18D1B" w14:textId="0BA43DB1"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£205,000</w:t>
            </w:r>
          </w:p>
        </w:tc>
        <w:tc>
          <w:tcPr>
            <w:tcW w:w="1811" w:type="dxa"/>
            <w:shd w:val="clear" w:color="auto" w:fill="auto"/>
            <w:noWrap/>
            <w:vAlign w:val="center"/>
            <w:hideMark/>
          </w:tcPr>
          <w:p w14:paraId="11AF2518" w14:textId="36DF7596"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£372,500</w:t>
            </w:r>
          </w:p>
        </w:tc>
        <w:tc>
          <w:tcPr>
            <w:tcW w:w="1417" w:type="dxa"/>
            <w:shd w:val="clear" w:color="auto" w:fill="auto"/>
            <w:noWrap/>
            <w:vAlign w:val="bottom"/>
            <w:hideMark/>
          </w:tcPr>
          <w:p w14:paraId="072ECCDC" w14:textId="35AED480"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81.7</w:t>
            </w:r>
          </w:p>
        </w:tc>
      </w:tr>
      <w:tr w:rsidR="00F9239E" w:rsidRPr="0067297E" w14:paraId="78070268" w14:textId="77777777" w:rsidTr="0078254D">
        <w:trPr>
          <w:gridAfter w:val="1"/>
          <w:wAfter w:w="12" w:type="dxa"/>
          <w:trHeight w:val="300"/>
        </w:trPr>
        <w:tc>
          <w:tcPr>
            <w:tcW w:w="1917" w:type="dxa"/>
            <w:shd w:val="clear" w:color="auto" w:fill="auto"/>
            <w:hideMark/>
          </w:tcPr>
          <w:p w14:paraId="24FF7648"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Ladywell</w:t>
            </w:r>
          </w:p>
        </w:tc>
        <w:tc>
          <w:tcPr>
            <w:tcW w:w="1735" w:type="dxa"/>
            <w:shd w:val="clear" w:color="auto" w:fill="auto"/>
            <w:noWrap/>
            <w:vAlign w:val="center"/>
            <w:hideMark/>
          </w:tcPr>
          <w:p w14:paraId="776977F4" w14:textId="0F1AF4F7"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£250,000</w:t>
            </w:r>
          </w:p>
        </w:tc>
        <w:tc>
          <w:tcPr>
            <w:tcW w:w="1811" w:type="dxa"/>
            <w:shd w:val="clear" w:color="auto" w:fill="auto"/>
            <w:noWrap/>
            <w:vAlign w:val="center"/>
            <w:hideMark/>
          </w:tcPr>
          <w:p w14:paraId="242BB6A4" w14:textId="18345FA1"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£505,000</w:t>
            </w:r>
          </w:p>
        </w:tc>
        <w:tc>
          <w:tcPr>
            <w:tcW w:w="1417" w:type="dxa"/>
            <w:shd w:val="clear" w:color="auto" w:fill="auto"/>
            <w:noWrap/>
            <w:vAlign w:val="bottom"/>
            <w:hideMark/>
          </w:tcPr>
          <w:p w14:paraId="3C0A73BE" w14:textId="2C456A4C"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102.0</w:t>
            </w:r>
          </w:p>
        </w:tc>
      </w:tr>
      <w:tr w:rsidR="00F9239E" w:rsidRPr="0067297E" w14:paraId="6267B516" w14:textId="77777777" w:rsidTr="0078254D">
        <w:trPr>
          <w:gridAfter w:val="1"/>
          <w:wAfter w:w="12" w:type="dxa"/>
          <w:trHeight w:val="300"/>
        </w:trPr>
        <w:tc>
          <w:tcPr>
            <w:tcW w:w="1917" w:type="dxa"/>
            <w:shd w:val="clear" w:color="auto" w:fill="auto"/>
            <w:hideMark/>
          </w:tcPr>
          <w:p w14:paraId="3FF44D70"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Lee Green</w:t>
            </w:r>
          </w:p>
        </w:tc>
        <w:tc>
          <w:tcPr>
            <w:tcW w:w="1735" w:type="dxa"/>
            <w:shd w:val="clear" w:color="auto" w:fill="auto"/>
            <w:noWrap/>
            <w:vAlign w:val="center"/>
            <w:hideMark/>
          </w:tcPr>
          <w:p w14:paraId="1A4B8CB1" w14:textId="7E0BB208"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£249,973</w:t>
            </w:r>
          </w:p>
        </w:tc>
        <w:tc>
          <w:tcPr>
            <w:tcW w:w="1811" w:type="dxa"/>
            <w:shd w:val="clear" w:color="auto" w:fill="auto"/>
            <w:noWrap/>
            <w:vAlign w:val="center"/>
            <w:hideMark/>
          </w:tcPr>
          <w:p w14:paraId="5F613552" w14:textId="21B9E79A"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£515,000</w:t>
            </w:r>
          </w:p>
        </w:tc>
        <w:tc>
          <w:tcPr>
            <w:tcW w:w="1417" w:type="dxa"/>
            <w:shd w:val="clear" w:color="auto" w:fill="auto"/>
            <w:noWrap/>
            <w:vAlign w:val="bottom"/>
            <w:hideMark/>
          </w:tcPr>
          <w:p w14:paraId="2F476E85" w14:textId="73F6BACF"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106.0</w:t>
            </w:r>
          </w:p>
        </w:tc>
      </w:tr>
      <w:tr w:rsidR="00F9239E" w:rsidRPr="0067297E" w14:paraId="55E6C05B" w14:textId="77777777" w:rsidTr="0078254D">
        <w:trPr>
          <w:gridAfter w:val="1"/>
          <w:wAfter w:w="12" w:type="dxa"/>
          <w:trHeight w:val="300"/>
        </w:trPr>
        <w:tc>
          <w:tcPr>
            <w:tcW w:w="1917" w:type="dxa"/>
            <w:shd w:val="clear" w:color="auto" w:fill="auto"/>
            <w:hideMark/>
          </w:tcPr>
          <w:p w14:paraId="3F9B05DA"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Lewisham Central</w:t>
            </w:r>
          </w:p>
        </w:tc>
        <w:tc>
          <w:tcPr>
            <w:tcW w:w="1735" w:type="dxa"/>
            <w:shd w:val="clear" w:color="auto" w:fill="auto"/>
            <w:noWrap/>
            <w:vAlign w:val="center"/>
            <w:hideMark/>
          </w:tcPr>
          <w:p w14:paraId="393C5583" w14:textId="5B699C6C"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£213,440</w:t>
            </w:r>
          </w:p>
        </w:tc>
        <w:tc>
          <w:tcPr>
            <w:tcW w:w="1811" w:type="dxa"/>
            <w:shd w:val="clear" w:color="auto" w:fill="auto"/>
            <w:noWrap/>
            <w:vAlign w:val="center"/>
            <w:hideMark/>
          </w:tcPr>
          <w:p w14:paraId="5AA949D8" w14:textId="7DA2B392"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£355,000</w:t>
            </w:r>
          </w:p>
        </w:tc>
        <w:tc>
          <w:tcPr>
            <w:tcW w:w="1417" w:type="dxa"/>
            <w:shd w:val="clear" w:color="auto" w:fill="auto"/>
            <w:noWrap/>
            <w:vAlign w:val="bottom"/>
            <w:hideMark/>
          </w:tcPr>
          <w:p w14:paraId="2B82D9B5" w14:textId="65CFEE29"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66.3</w:t>
            </w:r>
          </w:p>
        </w:tc>
      </w:tr>
      <w:tr w:rsidR="00F9239E" w:rsidRPr="0067297E" w14:paraId="2B30EF3E" w14:textId="77777777" w:rsidTr="0078254D">
        <w:trPr>
          <w:gridAfter w:val="1"/>
          <w:wAfter w:w="12" w:type="dxa"/>
          <w:trHeight w:val="300"/>
        </w:trPr>
        <w:tc>
          <w:tcPr>
            <w:tcW w:w="1917" w:type="dxa"/>
            <w:shd w:val="clear" w:color="auto" w:fill="auto"/>
            <w:hideMark/>
          </w:tcPr>
          <w:p w14:paraId="106E4777"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New Cross</w:t>
            </w:r>
          </w:p>
        </w:tc>
        <w:tc>
          <w:tcPr>
            <w:tcW w:w="1735" w:type="dxa"/>
            <w:shd w:val="clear" w:color="auto" w:fill="auto"/>
            <w:noWrap/>
            <w:vAlign w:val="center"/>
            <w:hideMark/>
          </w:tcPr>
          <w:p w14:paraId="71B862FD" w14:textId="74F07A20"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£172,250</w:t>
            </w:r>
          </w:p>
        </w:tc>
        <w:tc>
          <w:tcPr>
            <w:tcW w:w="1811" w:type="dxa"/>
            <w:shd w:val="clear" w:color="auto" w:fill="auto"/>
            <w:noWrap/>
            <w:vAlign w:val="center"/>
            <w:hideMark/>
          </w:tcPr>
          <w:p w14:paraId="49BA7E0B" w14:textId="488A18A8"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£420,998</w:t>
            </w:r>
          </w:p>
        </w:tc>
        <w:tc>
          <w:tcPr>
            <w:tcW w:w="1417" w:type="dxa"/>
            <w:shd w:val="clear" w:color="auto" w:fill="auto"/>
            <w:noWrap/>
            <w:vAlign w:val="bottom"/>
            <w:hideMark/>
          </w:tcPr>
          <w:p w14:paraId="128248D6" w14:textId="74E0C8C2"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144.4</w:t>
            </w:r>
          </w:p>
        </w:tc>
      </w:tr>
      <w:tr w:rsidR="00F9239E" w:rsidRPr="0067297E" w14:paraId="5EB5C052" w14:textId="77777777" w:rsidTr="0078254D">
        <w:trPr>
          <w:gridAfter w:val="1"/>
          <w:wAfter w:w="12" w:type="dxa"/>
          <w:trHeight w:val="300"/>
        </w:trPr>
        <w:tc>
          <w:tcPr>
            <w:tcW w:w="1917" w:type="dxa"/>
            <w:shd w:val="clear" w:color="auto" w:fill="auto"/>
            <w:hideMark/>
          </w:tcPr>
          <w:p w14:paraId="0F56EB87"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Perry Vale</w:t>
            </w:r>
          </w:p>
        </w:tc>
        <w:tc>
          <w:tcPr>
            <w:tcW w:w="1735" w:type="dxa"/>
            <w:shd w:val="clear" w:color="auto" w:fill="auto"/>
            <w:noWrap/>
            <w:vAlign w:val="center"/>
            <w:hideMark/>
          </w:tcPr>
          <w:p w14:paraId="149650E5" w14:textId="6E82B19C"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£235,000</w:t>
            </w:r>
          </w:p>
        </w:tc>
        <w:tc>
          <w:tcPr>
            <w:tcW w:w="1811" w:type="dxa"/>
            <w:shd w:val="clear" w:color="auto" w:fill="auto"/>
            <w:noWrap/>
            <w:vAlign w:val="center"/>
            <w:hideMark/>
          </w:tcPr>
          <w:p w14:paraId="65AA132B" w14:textId="26E4A6AF"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£443,000</w:t>
            </w:r>
          </w:p>
        </w:tc>
        <w:tc>
          <w:tcPr>
            <w:tcW w:w="1417" w:type="dxa"/>
            <w:shd w:val="clear" w:color="auto" w:fill="auto"/>
            <w:noWrap/>
            <w:vAlign w:val="bottom"/>
            <w:hideMark/>
          </w:tcPr>
          <w:p w14:paraId="48AE3861" w14:textId="2CDB488A"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88.5</w:t>
            </w:r>
          </w:p>
        </w:tc>
      </w:tr>
      <w:tr w:rsidR="00F9239E" w:rsidRPr="0067297E" w14:paraId="76D46BBB" w14:textId="77777777" w:rsidTr="0078254D">
        <w:trPr>
          <w:gridAfter w:val="1"/>
          <w:wAfter w:w="12" w:type="dxa"/>
          <w:trHeight w:val="300"/>
        </w:trPr>
        <w:tc>
          <w:tcPr>
            <w:tcW w:w="1917" w:type="dxa"/>
            <w:shd w:val="clear" w:color="auto" w:fill="auto"/>
            <w:hideMark/>
          </w:tcPr>
          <w:p w14:paraId="7D9FF6E2"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Rushey Green</w:t>
            </w:r>
          </w:p>
        </w:tc>
        <w:tc>
          <w:tcPr>
            <w:tcW w:w="1735" w:type="dxa"/>
            <w:shd w:val="clear" w:color="auto" w:fill="auto"/>
            <w:noWrap/>
            <w:vAlign w:val="center"/>
            <w:hideMark/>
          </w:tcPr>
          <w:p w14:paraId="7CCF27EC" w14:textId="737A9C1D"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£200,000</w:t>
            </w:r>
          </w:p>
        </w:tc>
        <w:tc>
          <w:tcPr>
            <w:tcW w:w="1811" w:type="dxa"/>
            <w:shd w:val="clear" w:color="auto" w:fill="auto"/>
            <w:noWrap/>
            <w:vAlign w:val="center"/>
            <w:hideMark/>
          </w:tcPr>
          <w:p w14:paraId="323B7143" w14:textId="41C3F767"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£380,995</w:t>
            </w:r>
          </w:p>
        </w:tc>
        <w:tc>
          <w:tcPr>
            <w:tcW w:w="1417" w:type="dxa"/>
            <w:shd w:val="clear" w:color="auto" w:fill="auto"/>
            <w:noWrap/>
            <w:vAlign w:val="bottom"/>
            <w:hideMark/>
          </w:tcPr>
          <w:p w14:paraId="2D74D9CD" w14:textId="15F6EF6E"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90.5</w:t>
            </w:r>
          </w:p>
        </w:tc>
      </w:tr>
      <w:tr w:rsidR="00F9239E" w:rsidRPr="0067297E" w14:paraId="171C2CC1" w14:textId="77777777" w:rsidTr="0078254D">
        <w:trPr>
          <w:gridAfter w:val="1"/>
          <w:wAfter w:w="12" w:type="dxa"/>
          <w:trHeight w:val="300"/>
        </w:trPr>
        <w:tc>
          <w:tcPr>
            <w:tcW w:w="1917" w:type="dxa"/>
            <w:shd w:val="clear" w:color="auto" w:fill="auto"/>
            <w:hideMark/>
          </w:tcPr>
          <w:p w14:paraId="4E35D21B"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Sydenham</w:t>
            </w:r>
          </w:p>
        </w:tc>
        <w:tc>
          <w:tcPr>
            <w:tcW w:w="1735" w:type="dxa"/>
            <w:shd w:val="clear" w:color="auto" w:fill="auto"/>
            <w:noWrap/>
            <w:vAlign w:val="center"/>
            <w:hideMark/>
          </w:tcPr>
          <w:p w14:paraId="01CA2251" w14:textId="3D4C0D9A"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£214,995</w:t>
            </w:r>
          </w:p>
        </w:tc>
        <w:tc>
          <w:tcPr>
            <w:tcW w:w="1811" w:type="dxa"/>
            <w:shd w:val="clear" w:color="auto" w:fill="auto"/>
            <w:noWrap/>
            <w:vAlign w:val="center"/>
            <w:hideMark/>
          </w:tcPr>
          <w:p w14:paraId="42931BFF" w14:textId="29B2A117"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£465,000</w:t>
            </w:r>
          </w:p>
        </w:tc>
        <w:tc>
          <w:tcPr>
            <w:tcW w:w="1417" w:type="dxa"/>
            <w:shd w:val="clear" w:color="auto" w:fill="auto"/>
            <w:noWrap/>
            <w:vAlign w:val="bottom"/>
            <w:hideMark/>
          </w:tcPr>
          <w:p w14:paraId="20A5E3AD" w14:textId="44DAC885"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116.3</w:t>
            </w:r>
          </w:p>
        </w:tc>
      </w:tr>
      <w:tr w:rsidR="00F9239E" w:rsidRPr="0067297E" w14:paraId="332CFFD4" w14:textId="77777777" w:rsidTr="0078254D">
        <w:trPr>
          <w:gridAfter w:val="1"/>
          <w:wAfter w:w="12" w:type="dxa"/>
          <w:trHeight w:val="300"/>
        </w:trPr>
        <w:tc>
          <w:tcPr>
            <w:tcW w:w="1917" w:type="dxa"/>
            <w:shd w:val="clear" w:color="auto" w:fill="auto"/>
            <w:hideMark/>
          </w:tcPr>
          <w:p w14:paraId="2EEDB7D7"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Telegraph Hill</w:t>
            </w:r>
          </w:p>
        </w:tc>
        <w:tc>
          <w:tcPr>
            <w:tcW w:w="1735" w:type="dxa"/>
            <w:shd w:val="clear" w:color="auto" w:fill="auto"/>
            <w:noWrap/>
            <w:vAlign w:val="center"/>
            <w:hideMark/>
          </w:tcPr>
          <w:p w14:paraId="70B270C5" w14:textId="184B7601"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£233,000</w:t>
            </w:r>
          </w:p>
        </w:tc>
        <w:tc>
          <w:tcPr>
            <w:tcW w:w="1811" w:type="dxa"/>
            <w:shd w:val="clear" w:color="auto" w:fill="auto"/>
            <w:noWrap/>
            <w:vAlign w:val="center"/>
            <w:hideMark/>
          </w:tcPr>
          <w:p w14:paraId="089D2237" w14:textId="21FAB61E"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£430,000</w:t>
            </w:r>
          </w:p>
        </w:tc>
        <w:tc>
          <w:tcPr>
            <w:tcW w:w="1417" w:type="dxa"/>
            <w:shd w:val="clear" w:color="auto" w:fill="auto"/>
            <w:noWrap/>
            <w:vAlign w:val="bottom"/>
            <w:hideMark/>
          </w:tcPr>
          <w:p w14:paraId="0F365A25" w14:textId="2A2967C1"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84.5</w:t>
            </w:r>
          </w:p>
        </w:tc>
      </w:tr>
      <w:tr w:rsidR="00F9239E" w:rsidRPr="0067297E" w14:paraId="711B94F1" w14:textId="77777777" w:rsidTr="0078254D">
        <w:trPr>
          <w:gridAfter w:val="1"/>
          <w:wAfter w:w="12" w:type="dxa"/>
          <w:trHeight w:val="300"/>
        </w:trPr>
        <w:tc>
          <w:tcPr>
            <w:tcW w:w="1917" w:type="dxa"/>
            <w:shd w:val="clear" w:color="auto" w:fill="auto"/>
            <w:hideMark/>
          </w:tcPr>
          <w:p w14:paraId="605F3F4E"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Whitefoot</w:t>
            </w:r>
          </w:p>
        </w:tc>
        <w:tc>
          <w:tcPr>
            <w:tcW w:w="1735" w:type="dxa"/>
            <w:shd w:val="clear" w:color="auto" w:fill="auto"/>
            <w:noWrap/>
            <w:vAlign w:val="center"/>
            <w:hideMark/>
          </w:tcPr>
          <w:p w14:paraId="410C84A1" w14:textId="117E1C33"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£203,000</w:t>
            </w:r>
          </w:p>
        </w:tc>
        <w:tc>
          <w:tcPr>
            <w:tcW w:w="1811" w:type="dxa"/>
            <w:shd w:val="clear" w:color="auto" w:fill="auto"/>
            <w:noWrap/>
            <w:vAlign w:val="center"/>
            <w:hideMark/>
          </w:tcPr>
          <w:p w14:paraId="1848E08B" w14:textId="2E0C9623"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£345,000</w:t>
            </w:r>
          </w:p>
        </w:tc>
        <w:tc>
          <w:tcPr>
            <w:tcW w:w="1417" w:type="dxa"/>
            <w:shd w:val="clear" w:color="auto" w:fill="auto"/>
            <w:noWrap/>
            <w:vAlign w:val="bottom"/>
            <w:hideMark/>
          </w:tcPr>
          <w:p w14:paraId="3EDAF5FC" w14:textId="33E88CBD"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70.0</w:t>
            </w:r>
          </w:p>
        </w:tc>
      </w:tr>
      <w:tr w:rsidR="00F9239E" w:rsidRPr="0067297E" w14:paraId="04335C73" w14:textId="77777777" w:rsidTr="0078254D">
        <w:trPr>
          <w:gridAfter w:val="1"/>
          <w:wAfter w:w="12" w:type="dxa"/>
          <w:trHeight w:val="300"/>
        </w:trPr>
        <w:tc>
          <w:tcPr>
            <w:tcW w:w="1917" w:type="dxa"/>
            <w:shd w:val="clear" w:color="auto" w:fill="auto"/>
            <w:hideMark/>
          </w:tcPr>
          <w:p w14:paraId="4A2DDDEE" w14:textId="77777777" w:rsidR="00F9239E" w:rsidRPr="0067297E" w:rsidRDefault="00F9239E" w:rsidP="00F9239E">
            <w:pPr>
              <w:rPr>
                <w:rFonts w:asciiTheme="minorHAnsi" w:hAnsiTheme="minorHAnsi" w:cstheme="minorHAnsi"/>
                <w:color w:val="000000"/>
                <w:sz w:val="22"/>
                <w:szCs w:val="22"/>
              </w:rPr>
            </w:pPr>
            <w:r w:rsidRPr="0067297E">
              <w:rPr>
                <w:rFonts w:asciiTheme="minorHAnsi" w:hAnsiTheme="minorHAnsi" w:cstheme="minorHAnsi"/>
                <w:color w:val="000000"/>
                <w:sz w:val="22"/>
                <w:szCs w:val="22"/>
              </w:rPr>
              <w:t>Total</w:t>
            </w:r>
          </w:p>
        </w:tc>
        <w:tc>
          <w:tcPr>
            <w:tcW w:w="1735" w:type="dxa"/>
            <w:shd w:val="clear" w:color="auto" w:fill="auto"/>
            <w:noWrap/>
            <w:vAlign w:val="center"/>
            <w:hideMark/>
          </w:tcPr>
          <w:p w14:paraId="5CA7E161" w14:textId="7B6C0832"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£225,000</w:t>
            </w:r>
          </w:p>
        </w:tc>
        <w:tc>
          <w:tcPr>
            <w:tcW w:w="1811" w:type="dxa"/>
            <w:shd w:val="clear" w:color="auto" w:fill="auto"/>
            <w:noWrap/>
            <w:vAlign w:val="center"/>
            <w:hideMark/>
          </w:tcPr>
          <w:p w14:paraId="2F7E31FD" w14:textId="7A8368B0" w:rsidR="00F9239E" w:rsidRPr="0067297E" w:rsidRDefault="00F9239E" w:rsidP="00F9239E">
            <w:pPr>
              <w:jc w:val="center"/>
              <w:rPr>
                <w:rFonts w:asciiTheme="minorHAnsi" w:hAnsiTheme="minorHAnsi" w:cstheme="minorHAnsi"/>
                <w:color w:val="000000"/>
                <w:sz w:val="22"/>
                <w:szCs w:val="22"/>
              </w:rPr>
            </w:pPr>
            <w:r w:rsidRPr="0067297E">
              <w:rPr>
                <w:rFonts w:asciiTheme="minorHAnsi" w:hAnsiTheme="minorHAnsi" w:cs="Calibri"/>
                <w:color w:val="000000"/>
                <w:sz w:val="22"/>
                <w:szCs w:val="22"/>
              </w:rPr>
              <w:t>£412,250</w:t>
            </w:r>
          </w:p>
        </w:tc>
        <w:tc>
          <w:tcPr>
            <w:tcW w:w="1417" w:type="dxa"/>
            <w:shd w:val="clear" w:color="auto" w:fill="auto"/>
            <w:noWrap/>
            <w:vAlign w:val="bottom"/>
            <w:hideMark/>
          </w:tcPr>
          <w:p w14:paraId="17507208" w14:textId="1E5411F7" w:rsidR="00F9239E" w:rsidRPr="0067297E" w:rsidRDefault="00F9239E" w:rsidP="00F9239E">
            <w:pPr>
              <w:jc w:val="center"/>
              <w:rPr>
                <w:rFonts w:asciiTheme="minorHAnsi" w:hAnsiTheme="minorHAnsi" w:cstheme="minorHAnsi"/>
                <w:sz w:val="22"/>
                <w:szCs w:val="22"/>
              </w:rPr>
            </w:pPr>
            <w:r w:rsidRPr="0067297E">
              <w:rPr>
                <w:rFonts w:asciiTheme="minorHAnsi" w:hAnsiTheme="minorHAnsi" w:cs="Calibri"/>
                <w:sz w:val="22"/>
                <w:szCs w:val="22"/>
              </w:rPr>
              <w:t>83.2</w:t>
            </w:r>
          </w:p>
        </w:tc>
      </w:tr>
    </w:tbl>
    <w:p w14:paraId="2BA97593" w14:textId="2388BBDD" w:rsidR="008A31C1" w:rsidRPr="0067297E" w:rsidRDefault="008A31C1" w:rsidP="000256AC">
      <w:pPr>
        <w:pStyle w:val="Reporttext"/>
        <w:numPr>
          <w:ilvl w:val="0"/>
          <w:numId w:val="0"/>
        </w:numPr>
        <w:ind w:left="709"/>
        <w:rPr>
          <w:rFonts w:asciiTheme="minorHAnsi" w:hAnsiTheme="minorHAnsi" w:cs="Calibri"/>
          <w:sz w:val="20"/>
          <w:szCs w:val="20"/>
          <w:lang w:val="en-GB"/>
        </w:rPr>
      </w:pPr>
      <w:r w:rsidRPr="0067297E">
        <w:rPr>
          <w:rFonts w:asciiTheme="minorHAnsi" w:hAnsiTheme="minorHAnsi" w:cs="Calibri"/>
          <w:sz w:val="20"/>
          <w:szCs w:val="20"/>
          <w:lang w:val="en-GB"/>
        </w:rPr>
        <w:t>Source: Data produced by Land Registry © Crown copyright 2018</w:t>
      </w:r>
    </w:p>
    <w:p w14:paraId="62987A91" w14:textId="3A1CBCA7" w:rsidR="0056541A" w:rsidRPr="0067297E" w:rsidRDefault="0056541A" w:rsidP="00543A76">
      <w:pPr>
        <w:pStyle w:val="Reporttext"/>
        <w:numPr>
          <w:ilvl w:val="0"/>
          <w:numId w:val="0"/>
        </w:numPr>
        <w:rPr>
          <w:rFonts w:asciiTheme="minorHAnsi" w:hAnsiTheme="minorHAnsi" w:cs="Calibri"/>
          <w:lang w:val="en-US"/>
        </w:rPr>
      </w:pPr>
    </w:p>
    <w:p w14:paraId="0239E081" w14:textId="7B9DE943" w:rsidR="00F809AD" w:rsidRPr="0067297E" w:rsidRDefault="00582767" w:rsidP="002C70BC">
      <w:pPr>
        <w:pStyle w:val="Reporttext"/>
        <w:numPr>
          <w:ilvl w:val="1"/>
          <w:numId w:val="18"/>
        </w:numPr>
        <w:rPr>
          <w:rFonts w:asciiTheme="minorHAnsi" w:hAnsiTheme="minorHAnsi" w:cs="Calibri"/>
        </w:rPr>
      </w:pPr>
      <w:r w:rsidRPr="0067297E">
        <w:rPr>
          <w:rFonts w:asciiTheme="minorHAnsi" w:hAnsiTheme="minorHAnsi" w:cs="Calibri"/>
        </w:rPr>
        <w:t>During 201</w:t>
      </w:r>
      <w:r w:rsidR="00B70EE7" w:rsidRPr="0067297E">
        <w:rPr>
          <w:rFonts w:asciiTheme="minorHAnsi" w:hAnsiTheme="minorHAnsi" w:cs="Calibri"/>
          <w:lang w:val="en-GB"/>
        </w:rPr>
        <w:t>8</w:t>
      </w:r>
      <w:r w:rsidRPr="0067297E">
        <w:rPr>
          <w:rFonts w:asciiTheme="minorHAnsi" w:hAnsiTheme="minorHAnsi" w:cs="Calibri"/>
        </w:rPr>
        <w:t xml:space="preserve">, median prices across </w:t>
      </w:r>
      <w:r w:rsidR="00281BEC" w:rsidRPr="0067297E">
        <w:rPr>
          <w:rFonts w:asciiTheme="minorHAnsi" w:hAnsiTheme="minorHAnsi" w:cs="Calibri"/>
        </w:rPr>
        <w:t xml:space="preserve">the </w:t>
      </w:r>
      <w:r w:rsidR="00FC2076" w:rsidRPr="0067297E">
        <w:rPr>
          <w:rFonts w:asciiTheme="minorHAnsi" w:hAnsiTheme="minorHAnsi" w:cs="Calibri"/>
          <w:lang w:val="en-GB"/>
        </w:rPr>
        <w:t>borough</w:t>
      </w:r>
      <w:r w:rsidR="00FC386C" w:rsidRPr="0067297E">
        <w:rPr>
          <w:rFonts w:asciiTheme="minorHAnsi" w:hAnsiTheme="minorHAnsi" w:cs="Calibri"/>
        </w:rPr>
        <w:t xml:space="preserve"> </w:t>
      </w:r>
      <w:r w:rsidRPr="0067297E">
        <w:rPr>
          <w:rFonts w:asciiTheme="minorHAnsi" w:hAnsiTheme="minorHAnsi" w:cs="Calibri"/>
        </w:rPr>
        <w:t>were £</w:t>
      </w:r>
      <w:r w:rsidR="002973C4" w:rsidRPr="0067297E">
        <w:rPr>
          <w:rFonts w:asciiTheme="minorHAnsi" w:hAnsiTheme="minorHAnsi" w:cs="Calibri"/>
          <w:lang w:val="en-GB"/>
        </w:rPr>
        <w:t>412,</w:t>
      </w:r>
      <w:r w:rsidR="00B70EE7" w:rsidRPr="0067297E">
        <w:rPr>
          <w:rFonts w:asciiTheme="minorHAnsi" w:hAnsiTheme="minorHAnsi" w:cs="Calibri"/>
          <w:lang w:val="en-GB"/>
        </w:rPr>
        <w:t>250</w:t>
      </w:r>
      <w:r w:rsidRPr="0067297E">
        <w:rPr>
          <w:rFonts w:asciiTheme="minorHAnsi" w:hAnsiTheme="minorHAnsi" w:cs="Calibri"/>
        </w:rPr>
        <w:t xml:space="preserve"> and lower quartile prices were £</w:t>
      </w:r>
      <w:r w:rsidR="002973C4" w:rsidRPr="0067297E">
        <w:rPr>
          <w:rFonts w:asciiTheme="minorHAnsi" w:hAnsiTheme="minorHAnsi" w:cs="Calibri"/>
          <w:lang w:val="en-GB"/>
        </w:rPr>
        <w:t>320,000</w:t>
      </w:r>
      <w:r w:rsidR="00B809E5" w:rsidRPr="0067297E">
        <w:rPr>
          <w:rFonts w:asciiTheme="minorHAnsi" w:hAnsiTheme="minorHAnsi" w:cs="Calibri"/>
          <w:lang w:val="en-GB"/>
        </w:rPr>
        <w:t xml:space="preserve">. </w:t>
      </w:r>
      <w:r w:rsidRPr="0067297E">
        <w:rPr>
          <w:rFonts w:asciiTheme="minorHAnsi" w:hAnsiTheme="minorHAnsi" w:cs="Calibri"/>
        </w:rPr>
        <w:t xml:space="preserve">The distribution of </w:t>
      </w:r>
      <w:r w:rsidR="0078254D" w:rsidRPr="0067297E">
        <w:rPr>
          <w:rFonts w:asciiTheme="minorHAnsi" w:hAnsiTheme="minorHAnsi" w:cs="Calibri"/>
          <w:lang w:val="en-US"/>
        </w:rPr>
        <w:t xml:space="preserve">lower quartile and </w:t>
      </w:r>
      <w:r w:rsidR="00C16780" w:rsidRPr="0067297E">
        <w:rPr>
          <w:rFonts w:asciiTheme="minorHAnsi" w:hAnsiTheme="minorHAnsi" w:cs="Calibri"/>
          <w:lang w:val="en-GB"/>
        </w:rPr>
        <w:t xml:space="preserve">median </w:t>
      </w:r>
      <w:r w:rsidRPr="0067297E">
        <w:rPr>
          <w:rFonts w:asciiTheme="minorHAnsi" w:hAnsiTheme="minorHAnsi" w:cs="Calibri"/>
        </w:rPr>
        <w:t xml:space="preserve">house prices during </w:t>
      </w:r>
      <w:r w:rsidR="00B806EC" w:rsidRPr="0067297E">
        <w:rPr>
          <w:rFonts w:asciiTheme="minorHAnsi" w:hAnsiTheme="minorHAnsi" w:cs="Calibri"/>
        </w:rPr>
        <w:t>201</w:t>
      </w:r>
      <w:r w:rsidR="00F9239E" w:rsidRPr="0067297E">
        <w:rPr>
          <w:rFonts w:asciiTheme="minorHAnsi" w:hAnsiTheme="minorHAnsi" w:cs="Calibri"/>
          <w:lang w:val="en-GB"/>
        </w:rPr>
        <w:t>8</w:t>
      </w:r>
      <w:r w:rsidR="00413594" w:rsidRPr="0067297E">
        <w:rPr>
          <w:rFonts w:asciiTheme="minorHAnsi" w:hAnsiTheme="minorHAnsi" w:cs="Calibri"/>
        </w:rPr>
        <w:t xml:space="preserve"> is illustrated in Map</w:t>
      </w:r>
      <w:r w:rsidR="00C16780" w:rsidRPr="0067297E">
        <w:rPr>
          <w:rFonts w:asciiTheme="minorHAnsi" w:hAnsiTheme="minorHAnsi" w:cs="Calibri"/>
          <w:lang w:val="en-GB"/>
        </w:rPr>
        <w:t>s</w:t>
      </w:r>
      <w:r w:rsidR="00413594" w:rsidRPr="0067297E">
        <w:rPr>
          <w:rFonts w:asciiTheme="minorHAnsi" w:hAnsiTheme="minorHAnsi" w:cs="Calibri"/>
        </w:rPr>
        <w:t xml:space="preserve"> 3.</w:t>
      </w:r>
      <w:r w:rsidR="00056990" w:rsidRPr="0067297E">
        <w:rPr>
          <w:rFonts w:asciiTheme="minorHAnsi" w:hAnsiTheme="minorHAnsi" w:cs="Calibri"/>
          <w:lang w:val="en-GB"/>
        </w:rPr>
        <w:t>1</w:t>
      </w:r>
      <w:r w:rsidR="00413594" w:rsidRPr="0067297E">
        <w:rPr>
          <w:rFonts w:asciiTheme="minorHAnsi" w:hAnsiTheme="minorHAnsi" w:cs="Calibri"/>
        </w:rPr>
        <w:t xml:space="preserve"> </w:t>
      </w:r>
      <w:r w:rsidR="00C16780" w:rsidRPr="0067297E">
        <w:rPr>
          <w:rFonts w:asciiTheme="minorHAnsi" w:hAnsiTheme="minorHAnsi" w:cs="Calibri"/>
          <w:lang w:val="en-GB"/>
        </w:rPr>
        <w:t>and 3.</w:t>
      </w:r>
      <w:r w:rsidR="00056990" w:rsidRPr="0067297E">
        <w:rPr>
          <w:rFonts w:asciiTheme="minorHAnsi" w:hAnsiTheme="minorHAnsi" w:cs="Calibri"/>
          <w:lang w:val="en-GB"/>
        </w:rPr>
        <w:t>2</w:t>
      </w:r>
      <w:r w:rsidR="00C16780" w:rsidRPr="0067297E">
        <w:rPr>
          <w:rFonts w:asciiTheme="minorHAnsi" w:hAnsiTheme="minorHAnsi" w:cs="Calibri"/>
          <w:lang w:val="en-GB"/>
        </w:rPr>
        <w:t xml:space="preserve">. </w:t>
      </w:r>
      <w:r w:rsidR="00F809AD" w:rsidRPr="0067297E">
        <w:rPr>
          <w:rFonts w:asciiTheme="minorHAnsi" w:hAnsiTheme="minorHAnsi" w:cs="Calibri"/>
          <w:lang w:val="en-GB"/>
        </w:rPr>
        <w:t>This indicates particular pockets of higher prices in Crofton Park, Ladywell, Lee Green, Brockley and Blackheath. Lower prices were noted in Evelyn, New Cross and Bellingham wards.</w:t>
      </w:r>
    </w:p>
    <w:p w14:paraId="2D5E6482" w14:textId="77777777" w:rsidR="00F25BBF" w:rsidRPr="0067297E" w:rsidRDefault="00F25BBF" w:rsidP="00F25BBF">
      <w:pPr>
        <w:rPr>
          <w:rFonts w:asciiTheme="minorHAnsi" w:hAnsiTheme="minorHAnsi"/>
        </w:rPr>
      </w:pPr>
      <w:bookmarkStart w:id="170" w:name="_Toc430084699"/>
      <w:bookmarkStart w:id="171" w:name="_Toc304624649"/>
    </w:p>
    <w:p w14:paraId="4169852E" w14:textId="2332F544" w:rsidR="00F25BBF" w:rsidRPr="0067297E" w:rsidRDefault="00F25BBF">
      <w:pPr>
        <w:rPr>
          <w:rFonts w:asciiTheme="minorHAnsi" w:hAnsiTheme="minorHAnsi"/>
        </w:rPr>
      </w:pPr>
    </w:p>
    <w:p w14:paraId="2EB4278F" w14:textId="77777777" w:rsidR="00F809AD" w:rsidRPr="0067297E" w:rsidRDefault="00F809AD">
      <w:pPr>
        <w:pStyle w:val="mapheading"/>
        <w:rPr>
          <w:rFonts w:asciiTheme="minorHAnsi" w:hAnsiTheme="minorHAnsi" w:cs="Calibri"/>
        </w:rPr>
        <w:sectPr w:rsidR="00F809AD" w:rsidRPr="0067297E" w:rsidSect="007F6E31">
          <w:headerReference w:type="default" r:id="rId26"/>
          <w:footerReference w:type="default" r:id="rId27"/>
          <w:pgSz w:w="11906" w:h="16838"/>
          <w:pgMar w:top="1440" w:right="1276" w:bottom="1134" w:left="1440" w:header="708" w:footer="708" w:gutter="0"/>
          <w:cols w:space="708"/>
          <w:docGrid w:linePitch="360"/>
        </w:sectPr>
      </w:pPr>
    </w:p>
    <w:p w14:paraId="1F4584C4" w14:textId="15E7DB73" w:rsidR="00814FC7" w:rsidRPr="0067297E" w:rsidRDefault="00814FC7">
      <w:pPr>
        <w:pStyle w:val="mapheading"/>
        <w:rPr>
          <w:rFonts w:asciiTheme="minorHAnsi" w:hAnsiTheme="minorHAnsi" w:cs="Calibri"/>
          <w:lang w:val="en-US"/>
        </w:rPr>
      </w:pPr>
      <w:bookmarkStart w:id="172" w:name="_Toc23151242"/>
      <w:r w:rsidRPr="0067297E">
        <w:rPr>
          <w:rFonts w:asciiTheme="minorHAnsi" w:hAnsiTheme="minorHAnsi" w:cs="Calibri"/>
        </w:rPr>
        <w:lastRenderedPageBreak/>
        <w:t>Map 3.</w:t>
      </w:r>
      <w:r w:rsidR="003915F8" w:rsidRPr="0067297E">
        <w:rPr>
          <w:rFonts w:asciiTheme="minorHAnsi" w:hAnsiTheme="minorHAnsi" w:cs="Calibri"/>
          <w:lang w:val="en-GB"/>
        </w:rPr>
        <w:t>1</w:t>
      </w:r>
      <w:r w:rsidRPr="0067297E">
        <w:rPr>
          <w:rFonts w:asciiTheme="minorHAnsi" w:hAnsiTheme="minorHAnsi" w:cs="Calibri"/>
        </w:rPr>
        <w:tab/>
      </w:r>
      <w:r w:rsidRPr="0067297E">
        <w:rPr>
          <w:rFonts w:asciiTheme="minorHAnsi" w:hAnsiTheme="minorHAnsi" w:cs="Calibri"/>
          <w:lang w:val="en-GB"/>
        </w:rPr>
        <w:t>Lower quartile</w:t>
      </w:r>
      <w:r w:rsidRPr="0067297E">
        <w:rPr>
          <w:rFonts w:asciiTheme="minorHAnsi" w:hAnsiTheme="minorHAnsi" w:cs="Calibri"/>
        </w:rPr>
        <w:t xml:space="preserve"> house prices </w:t>
      </w:r>
      <w:r w:rsidR="00F809AD" w:rsidRPr="0067297E">
        <w:rPr>
          <w:rFonts w:asciiTheme="minorHAnsi" w:hAnsiTheme="minorHAnsi" w:cs="Calibri"/>
          <w:lang w:val="en-US"/>
        </w:rPr>
        <w:t>2018 by super output area</w:t>
      </w:r>
      <w:bookmarkEnd w:id="172"/>
    </w:p>
    <w:p w14:paraId="49031CC8" w14:textId="7ADA957A" w:rsidR="00814FC7" w:rsidRPr="0067297E" w:rsidRDefault="00F809AD">
      <w:pPr>
        <w:rPr>
          <w:rFonts w:asciiTheme="minorHAnsi" w:hAnsiTheme="minorHAnsi" w:cs="Calibri"/>
          <w:color w:val="FF0000"/>
          <w:sz w:val="20"/>
          <w:szCs w:val="20"/>
        </w:rPr>
      </w:pPr>
      <w:r w:rsidRPr="0067297E">
        <w:rPr>
          <w:rFonts w:asciiTheme="minorHAnsi" w:hAnsiTheme="minorHAnsi"/>
          <w:noProof/>
          <w:lang w:eastAsia="en-GB"/>
        </w:rPr>
        <w:drawing>
          <wp:inline distT="0" distB="0" distL="0" distR="0" wp14:anchorId="62D545F7" wp14:editId="451418A4">
            <wp:extent cx="7097058" cy="5019870"/>
            <wp:effectExtent l="0" t="0" r="8890" b="0"/>
            <wp:docPr id="8" name="Picture 8" descr="Map showing house prices in Lewisham across labeled wards, colours indicating lower quartile house prices. " title="Map 3.1 Lower quartile house prices 2018 by super outpu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19613" cy="5035823"/>
                    </a:xfrm>
                    <a:prstGeom prst="rect">
                      <a:avLst/>
                    </a:prstGeom>
                  </pic:spPr>
                </pic:pic>
              </a:graphicData>
            </a:graphic>
          </wp:inline>
        </w:drawing>
      </w:r>
    </w:p>
    <w:p w14:paraId="17740CBC" w14:textId="77777777" w:rsidR="00814FC7" w:rsidRPr="0067297E" w:rsidRDefault="00814FC7">
      <w:pPr>
        <w:pStyle w:val="Maintext"/>
        <w:numPr>
          <w:ilvl w:val="0"/>
          <w:numId w:val="0"/>
        </w:numPr>
        <w:rPr>
          <w:rFonts w:asciiTheme="minorHAnsi" w:hAnsiTheme="minorHAnsi" w:cs="Calibri"/>
          <w:sz w:val="20"/>
          <w:szCs w:val="20"/>
          <w:lang w:val="en-GB"/>
        </w:rPr>
      </w:pPr>
      <w:r w:rsidRPr="0067297E">
        <w:rPr>
          <w:rFonts w:asciiTheme="minorHAnsi" w:hAnsiTheme="minorHAnsi" w:cs="Calibri"/>
          <w:sz w:val="20"/>
          <w:szCs w:val="20"/>
        </w:rPr>
        <w:t>Source: Data produced by Land</w:t>
      </w:r>
      <w:r w:rsidR="003A1DDE" w:rsidRPr="0067297E">
        <w:rPr>
          <w:rFonts w:asciiTheme="minorHAnsi" w:hAnsiTheme="minorHAnsi" w:cs="Calibri"/>
          <w:sz w:val="20"/>
          <w:szCs w:val="20"/>
        </w:rPr>
        <w:t xml:space="preserve"> Registry © Crown copyright 201</w:t>
      </w:r>
      <w:r w:rsidR="003A1DDE" w:rsidRPr="0067297E">
        <w:rPr>
          <w:rFonts w:asciiTheme="minorHAnsi" w:hAnsiTheme="minorHAnsi" w:cs="Calibri"/>
          <w:sz w:val="20"/>
          <w:szCs w:val="20"/>
          <w:lang w:val="en-GB"/>
        </w:rPr>
        <w:t>8</w:t>
      </w:r>
    </w:p>
    <w:p w14:paraId="60583BDF" w14:textId="77777777" w:rsidR="003915F8" w:rsidRPr="0067297E" w:rsidRDefault="003915F8" w:rsidP="003C469F">
      <w:pPr>
        <w:rPr>
          <w:rFonts w:asciiTheme="minorHAnsi" w:hAnsiTheme="minorHAnsi"/>
        </w:rPr>
      </w:pPr>
    </w:p>
    <w:p w14:paraId="7E3B7A12" w14:textId="07F86C1D" w:rsidR="003915F8" w:rsidRPr="0067297E" w:rsidRDefault="003915F8" w:rsidP="003915F8">
      <w:pPr>
        <w:pStyle w:val="mapheading"/>
        <w:rPr>
          <w:rFonts w:asciiTheme="minorHAnsi" w:hAnsiTheme="minorHAnsi" w:cs="Calibri"/>
        </w:rPr>
      </w:pPr>
      <w:bookmarkStart w:id="173" w:name="_Toc23151243"/>
      <w:r w:rsidRPr="0067297E">
        <w:rPr>
          <w:rFonts w:asciiTheme="minorHAnsi" w:hAnsiTheme="minorHAnsi" w:cs="Calibri"/>
        </w:rPr>
        <w:lastRenderedPageBreak/>
        <w:t>Map 3.</w:t>
      </w:r>
      <w:r w:rsidRPr="0067297E">
        <w:rPr>
          <w:rFonts w:asciiTheme="minorHAnsi" w:hAnsiTheme="minorHAnsi" w:cs="Calibri"/>
          <w:lang w:val="en-GB"/>
        </w:rPr>
        <w:t>2</w:t>
      </w:r>
      <w:r w:rsidRPr="0067297E">
        <w:rPr>
          <w:rFonts w:asciiTheme="minorHAnsi" w:hAnsiTheme="minorHAnsi" w:cs="Calibri"/>
        </w:rPr>
        <w:tab/>
        <w:t>Median house prices 201</w:t>
      </w:r>
      <w:r w:rsidRPr="0067297E">
        <w:rPr>
          <w:rFonts w:asciiTheme="minorHAnsi" w:hAnsiTheme="minorHAnsi" w:cs="Calibri"/>
          <w:lang w:val="en-GB"/>
        </w:rPr>
        <w:t>8</w:t>
      </w:r>
      <w:r w:rsidRPr="0067297E">
        <w:rPr>
          <w:rFonts w:asciiTheme="minorHAnsi" w:hAnsiTheme="minorHAnsi" w:cs="Calibri"/>
        </w:rPr>
        <w:t xml:space="preserve"> by </w:t>
      </w:r>
      <w:r w:rsidRPr="0067297E">
        <w:rPr>
          <w:rFonts w:asciiTheme="minorHAnsi" w:hAnsiTheme="minorHAnsi" w:cs="Calibri"/>
          <w:lang w:val="en-GB"/>
        </w:rPr>
        <w:t>lower super output area</w:t>
      </w:r>
      <w:bookmarkEnd w:id="173"/>
    </w:p>
    <w:p w14:paraId="4AC70348" w14:textId="77777777" w:rsidR="003915F8" w:rsidRPr="0067297E" w:rsidRDefault="003915F8" w:rsidP="003915F8">
      <w:pPr>
        <w:rPr>
          <w:rFonts w:asciiTheme="minorHAnsi" w:hAnsiTheme="minorHAnsi" w:cs="Calibri"/>
          <w:color w:val="FF0000"/>
          <w:sz w:val="20"/>
          <w:szCs w:val="20"/>
        </w:rPr>
      </w:pPr>
      <w:r w:rsidRPr="0067297E">
        <w:rPr>
          <w:rFonts w:asciiTheme="minorHAnsi" w:hAnsiTheme="minorHAnsi"/>
          <w:noProof/>
          <w:lang w:eastAsia="en-GB"/>
        </w:rPr>
        <w:drawing>
          <wp:inline distT="0" distB="0" distL="0" distR="0" wp14:anchorId="4FD5B141" wp14:editId="45F78E31">
            <wp:extent cx="7380514" cy="5220364"/>
            <wp:effectExtent l="0" t="0" r="0" b="0"/>
            <wp:docPr id="15" name="Picture 15" descr="Map showing house prices in Lewisham across labeled wards, colours indicating average house prices. " title="Map 3.2 Median house prices 2018 by lower super outpu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391882" cy="5228405"/>
                    </a:xfrm>
                    <a:prstGeom prst="rect">
                      <a:avLst/>
                    </a:prstGeom>
                  </pic:spPr>
                </pic:pic>
              </a:graphicData>
            </a:graphic>
          </wp:inline>
        </w:drawing>
      </w:r>
    </w:p>
    <w:p w14:paraId="022F1073" w14:textId="77777777" w:rsidR="00814FC7" w:rsidRPr="0067297E" w:rsidRDefault="00814FC7">
      <w:pPr>
        <w:pStyle w:val="Maintext"/>
        <w:numPr>
          <w:ilvl w:val="0"/>
          <w:numId w:val="0"/>
        </w:numPr>
        <w:rPr>
          <w:rFonts w:asciiTheme="minorHAnsi" w:hAnsiTheme="minorHAnsi" w:cs="Calibri"/>
          <w:sz w:val="20"/>
          <w:szCs w:val="20"/>
        </w:rPr>
      </w:pPr>
    </w:p>
    <w:p w14:paraId="65E1C677" w14:textId="77777777" w:rsidR="00F809AD" w:rsidRPr="0067297E" w:rsidRDefault="00F809AD">
      <w:pPr>
        <w:pStyle w:val="Maintext"/>
        <w:numPr>
          <w:ilvl w:val="0"/>
          <w:numId w:val="0"/>
        </w:numPr>
        <w:rPr>
          <w:rFonts w:asciiTheme="minorHAnsi" w:hAnsiTheme="minorHAnsi" w:cs="Calibri"/>
          <w:sz w:val="20"/>
          <w:szCs w:val="20"/>
        </w:rPr>
        <w:sectPr w:rsidR="00F809AD" w:rsidRPr="0067297E" w:rsidSect="0078254D">
          <w:headerReference w:type="default" r:id="rId30"/>
          <w:footerReference w:type="default" r:id="rId31"/>
          <w:pgSz w:w="16838" w:h="11906" w:orient="landscape"/>
          <w:pgMar w:top="1276" w:right="1134" w:bottom="1440" w:left="1440" w:header="708" w:footer="708" w:gutter="0"/>
          <w:cols w:space="708"/>
          <w:docGrid w:linePitch="360"/>
        </w:sectPr>
      </w:pPr>
    </w:p>
    <w:p w14:paraId="16CEB8D1" w14:textId="77777777" w:rsidR="00582767" w:rsidRPr="0067297E" w:rsidRDefault="00814FC7">
      <w:pPr>
        <w:pStyle w:val="Heading2"/>
        <w:ind w:left="0" w:firstLine="0"/>
        <w:rPr>
          <w:rFonts w:asciiTheme="minorHAnsi" w:hAnsiTheme="minorHAnsi" w:cs="Calibri"/>
        </w:rPr>
      </w:pPr>
      <w:bookmarkStart w:id="174" w:name="_Toc428528473"/>
      <w:bookmarkStart w:id="175" w:name="_Toc430084566"/>
      <w:bookmarkStart w:id="176" w:name="_Toc430782020"/>
      <w:bookmarkEnd w:id="170"/>
      <w:bookmarkEnd w:id="171"/>
      <w:r w:rsidRPr="0067297E">
        <w:rPr>
          <w:rFonts w:asciiTheme="minorHAnsi" w:hAnsiTheme="minorHAnsi" w:cs="Calibri"/>
        </w:rPr>
        <w:lastRenderedPageBreak/>
        <w:tab/>
      </w:r>
      <w:bookmarkStart w:id="177" w:name="_Toc1385746"/>
      <w:bookmarkStart w:id="178" w:name="_Toc23151061"/>
      <w:r w:rsidR="00582767" w:rsidRPr="0067297E">
        <w:rPr>
          <w:rFonts w:asciiTheme="minorHAnsi" w:hAnsiTheme="minorHAnsi" w:cs="Calibri"/>
        </w:rPr>
        <w:t>Relative affordability</w:t>
      </w:r>
      <w:bookmarkEnd w:id="174"/>
      <w:bookmarkEnd w:id="175"/>
      <w:bookmarkEnd w:id="176"/>
      <w:bookmarkEnd w:id="177"/>
      <w:bookmarkEnd w:id="178"/>
    </w:p>
    <w:p w14:paraId="1618998A" w14:textId="5D3F688A" w:rsidR="00F4072E" w:rsidRPr="0067297E" w:rsidRDefault="00582767" w:rsidP="002C70BC">
      <w:pPr>
        <w:pStyle w:val="Reporttext"/>
        <w:numPr>
          <w:ilvl w:val="1"/>
          <w:numId w:val="18"/>
        </w:numPr>
        <w:rPr>
          <w:rFonts w:asciiTheme="minorHAnsi" w:hAnsiTheme="minorHAnsi" w:cs="Calibri"/>
        </w:rPr>
      </w:pPr>
      <w:r w:rsidRPr="0067297E">
        <w:rPr>
          <w:rFonts w:asciiTheme="minorHAnsi" w:hAnsiTheme="minorHAnsi" w:cs="Calibri"/>
        </w:rPr>
        <w:t>The relative affordability of open market dwellings in</w:t>
      </w:r>
      <w:r w:rsidR="00261F1D" w:rsidRPr="0067297E">
        <w:rPr>
          <w:rFonts w:asciiTheme="minorHAnsi" w:hAnsiTheme="minorHAnsi" w:cs="Calibri"/>
          <w:lang w:val="en-GB"/>
        </w:rPr>
        <w:t xml:space="preserve"> the </w:t>
      </w:r>
      <w:r w:rsidR="00FC2076" w:rsidRPr="0067297E">
        <w:rPr>
          <w:rFonts w:asciiTheme="minorHAnsi" w:hAnsiTheme="minorHAnsi" w:cs="Calibri"/>
          <w:lang w:val="en-GB"/>
        </w:rPr>
        <w:t>borough</w:t>
      </w:r>
      <w:r w:rsidR="00FC386C" w:rsidRPr="0067297E">
        <w:rPr>
          <w:rFonts w:asciiTheme="minorHAnsi" w:hAnsiTheme="minorHAnsi" w:cs="Calibri"/>
        </w:rPr>
        <w:t xml:space="preserve"> </w:t>
      </w:r>
      <w:r w:rsidR="00761AFF" w:rsidRPr="0067297E">
        <w:rPr>
          <w:rFonts w:asciiTheme="minorHAnsi" w:hAnsiTheme="minorHAnsi" w:cs="Calibri"/>
        </w:rPr>
        <w:t>is compared with the other</w:t>
      </w:r>
      <w:r w:rsidR="0017173A" w:rsidRPr="0067297E">
        <w:rPr>
          <w:rFonts w:asciiTheme="minorHAnsi" w:hAnsiTheme="minorHAnsi" w:cs="Calibri"/>
          <w:lang w:val="en-GB"/>
        </w:rPr>
        <w:t xml:space="preserve"> nearby</w:t>
      </w:r>
      <w:r w:rsidR="00761AFF" w:rsidRPr="0067297E">
        <w:rPr>
          <w:rFonts w:asciiTheme="minorHAnsi" w:hAnsiTheme="minorHAnsi" w:cs="Calibri"/>
        </w:rPr>
        <w:t xml:space="preserve"> </w:t>
      </w:r>
      <w:r w:rsidR="00FC2076" w:rsidRPr="0067297E">
        <w:rPr>
          <w:rFonts w:asciiTheme="minorHAnsi" w:hAnsiTheme="minorHAnsi" w:cs="Calibri"/>
          <w:lang w:val="en-GB"/>
        </w:rPr>
        <w:t>London B</w:t>
      </w:r>
      <w:r w:rsidR="0017173A" w:rsidRPr="0067297E">
        <w:rPr>
          <w:rFonts w:asciiTheme="minorHAnsi" w:hAnsiTheme="minorHAnsi" w:cs="Calibri"/>
          <w:lang w:val="en-GB"/>
        </w:rPr>
        <w:t>oroughs</w:t>
      </w:r>
      <w:r w:rsidR="001345E3" w:rsidRPr="0067297E">
        <w:rPr>
          <w:rFonts w:asciiTheme="minorHAnsi" w:hAnsiTheme="minorHAnsi" w:cs="Calibri"/>
        </w:rPr>
        <w:t xml:space="preserve"> in Table</w:t>
      </w:r>
      <w:r w:rsidR="0002200A" w:rsidRPr="0067297E">
        <w:rPr>
          <w:rFonts w:asciiTheme="minorHAnsi" w:hAnsiTheme="minorHAnsi" w:cs="Calibri"/>
          <w:lang w:val="en-GB"/>
        </w:rPr>
        <w:t>s</w:t>
      </w:r>
      <w:r w:rsidRPr="0067297E">
        <w:rPr>
          <w:rFonts w:asciiTheme="minorHAnsi" w:hAnsiTheme="minorHAnsi" w:cs="Calibri"/>
        </w:rPr>
        <w:t xml:space="preserve"> 3.</w:t>
      </w:r>
      <w:r w:rsidR="00363030" w:rsidRPr="0067297E">
        <w:rPr>
          <w:rFonts w:asciiTheme="minorHAnsi" w:hAnsiTheme="minorHAnsi" w:cs="Calibri"/>
          <w:lang w:val="en-GB"/>
        </w:rPr>
        <w:t>4</w:t>
      </w:r>
      <w:r w:rsidR="0002200A" w:rsidRPr="0067297E">
        <w:rPr>
          <w:rFonts w:asciiTheme="minorHAnsi" w:hAnsiTheme="minorHAnsi" w:cs="Calibri"/>
          <w:lang w:val="en-GB"/>
        </w:rPr>
        <w:t xml:space="preserve"> and 3.</w:t>
      </w:r>
      <w:r w:rsidR="00363030" w:rsidRPr="0067297E">
        <w:rPr>
          <w:rFonts w:asciiTheme="minorHAnsi" w:hAnsiTheme="minorHAnsi" w:cs="Calibri"/>
          <w:lang w:val="en-GB"/>
        </w:rPr>
        <w:t>5</w:t>
      </w:r>
      <w:r w:rsidR="00994D8F" w:rsidRPr="0067297E">
        <w:rPr>
          <w:rFonts w:asciiTheme="minorHAnsi" w:hAnsiTheme="minorHAnsi" w:cs="Calibri"/>
        </w:rPr>
        <w:t>.</w:t>
      </w:r>
      <w:r w:rsidR="0083014A" w:rsidRPr="0067297E">
        <w:rPr>
          <w:rFonts w:asciiTheme="minorHAnsi" w:hAnsiTheme="minorHAnsi" w:cs="Calibri"/>
        </w:rPr>
        <w:t xml:space="preserve"> </w:t>
      </w:r>
      <w:r w:rsidR="0017173A" w:rsidRPr="0067297E">
        <w:rPr>
          <w:rFonts w:asciiTheme="minorHAnsi" w:hAnsiTheme="minorHAnsi" w:cs="Calibri"/>
          <w:lang w:val="en-GB"/>
        </w:rPr>
        <w:t xml:space="preserve">Also included in the tables are the ratios for London, the South East and England. </w:t>
      </w:r>
      <w:r w:rsidR="0002200A" w:rsidRPr="0067297E">
        <w:rPr>
          <w:rFonts w:asciiTheme="minorHAnsi" w:hAnsiTheme="minorHAnsi" w:cs="Calibri"/>
          <w:lang w:val="en-GB"/>
        </w:rPr>
        <w:t xml:space="preserve">These tables are produced by </w:t>
      </w:r>
      <w:r w:rsidR="00F00464" w:rsidRPr="0067297E">
        <w:rPr>
          <w:rFonts w:asciiTheme="minorHAnsi" w:hAnsiTheme="minorHAnsi" w:cs="Calibri"/>
          <w:lang w:val="en-GB"/>
        </w:rPr>
        <w:t>the MH</w:t>
      </w:r>
      <w:r w:rsidR="0002200A" w:rsidRPr="0067297E">
        <w:rPr>
          <w:rFonts w:asciiTheme="minorHAnsi" w:hAnsiTheme="minorHAnsi" w:cs="Calibri"/>
          <w:lang w:val="en-GB"/>
        </w:rPr>
        <w:t>CLG,</w:t>
      </w:r>
      <w:r w:rsidR="00FE0923" w:rsidRPr="0067297E">
        <w:rPr>
          <w:rFonts w:asciiTheme="minorHAnsi" w:hAnsiTheme="minorHAnsi" w:cs="Calibri"/>
          <w:lang w:val="en-GB"/>
        </w:rPr>
        <w:t xml:space="preserve"> based on </w:t>
      </w:r>
      <w:r w:rsidR="0002200A" w:rsidRPr="0067297E">
        <w:rPr>
          <w:rFonts w:asciiTheme="minorHAnsi" w:hAnsiTheme="minorHAnsi" w:cs="Calibri"/>
        </w:rPr>
        <w:t>a ratio of earnings to house prices</w:t>
      </w:r>
      <w:r w:rsidR="0002200A" w:rsidRPr="0067297E">
        <w:rPr>
          <w:rFonts w:asciiTheme="minorHAnsi" w:hAnsiTheme="minorHAnsi" w:cs="Calibri"/>
          <w:lang w:val="en-GB"/>
        </w:rPr>
        <w:t xml:space="preserve"> using </w:t>
      </w:r>
      <w:r w:rsidR="00E17B06" w:rsidRPr="0067297E">
        <w:rPr>
          <w:rFonts w:asciiTheme="minorHAnsi" w:hAnsiTheme="minorHAnsi" w:cs="Calibri"/>
          <w:lang w:val="en-GB"/>
        </w:rPr>
        <w:t>Land Registry Price Paid and ONS Annual Survey of Hours and Earnings data.</w:t>
      </w:r>
      <w:r w:rsidR="0017173A" w:rsidRPr="0067297E">
        <w:rPr>
          <w:rFonts w:asciiTheme="minorHAnsi" w:hAnsiTheme="minorHAnsi" w:cs="Calibri"/>
          <w:lang w:val="en-GB"/>
        </w:rPr>
        <w:t xml:space="preserve"> </w:t>
      </w:r>
      <w:r w:rsidR="00BD4AAA" w:rsidRPr="0067297E">
        <w:rPr>
          <w:rFonts w:asciiTheme="minorHAnsi" w:hAnsiTheme="minorHAnsi" w:cs="Calibri"/>
          <w:lang w:val="en-GB"/>
        </w:rPr>
        <w:t>Workplace-based and residence-based data are presented.</w:t>
      </w:r>
    </w:p>
    <w:p w14:paraId="4B4A8682" w14:textId="3AC7C73A" w:rsidR="0078254D" w:rsidRPr="0067297E" w:rsidRDefault="00FC2076" w:rsidP="002C70BC">
      <w:pPr>
        <w:pStyle w:val="Reporttext"/>
        <w:numPr>
          <w:ilvl w:val="1"/>
          <w:numId w:val="18"/>
        </w:numPr>
        <w:rPr>
          <w:rFonts w:asciiTheme="minorHAnsi" w:hAnsiTheme="minorHAnsi" w:cs="Calibri"/>
        </w:rPr>
      </w:pPr>
      <w:r w:rsidRPr="0067297E">
        <w:rPr>
          <w:rFonts w:asciiTheme="minorHAnsi" w:hAnsiTheme="minorHAnsi" w:cs="Calibri"/>
          <w:lang w:val="en-GB"/>
        </w:rPr>
        <w:t>Table 3.</w:t>
      </w:r>
      <w:r w:rsidR="00516B53" w:rsidRPr="0067297E">
        <w:rPr>
          <w:rFonts w:asciiTheme="minorHAnsi" w:hAnsiTheme="minorHAnsi" w:cs="Calibri"/>
          <w:lang w:val="en-GB"/>
        </w:rPr>
        <w:t>4</w:t>
      </w:r>
      <w:r w:rsidRPr="0067297E">
        <w:rPr>
          <w:rFonts w:asciiTheme="minorHAnsi" w:hAnsiTheme="minorHAnsi" w:cs="Calibri"/>
          <w:lang w:val="en-GB"/>
        </w:rPr>
        <w:t xml:space="preserve"> ranks the boroughs</w:t>
      </w:r>
      <w:r w:rsidR="0017173A" w:rsidRPr="0067297E">
        <w:rPr>
          <w:rFonts w:asciiTheme="minorHAnsi" w:hAnsiTheme="minorHAnsi" w:cs="Calibri"/>
          <w:lang w:val="en-GB"/>
        </w:rPr>
        <w:t xml:space="preserve"> by lower quartile affordability from least to most affordable in 201</w:t>
      </w:r>
      <w:r w:rsidR="002606F1" w:rsidRPr="0067297E">
        <w:rPr>
          <w:rFonts w:asciiTheme="minorHAnsi" w:hAnsiTheme="minorHAnsi" w:cs="Calibri"/>
          <w:lang w:val="en-GB"/>
        </w:rPr>
        <w:t>8</w:t>
      </w:r>
      <w:r w:rsidR="0017173A" w:rsidRPr="0067297E">
        <w:rPr>
          <w:rFonts w:asciiTheme="minorHAnsi" w:hAnsiTheme="minorHAnsi" w:cs="Calibri"/>
          <w:lang w:val="en-GB"/>
        </w:rPr>
        <w:t xml:space="preserve">. It also sets out affordability ratios for 2015 </w:t>
      </w:r>
      <w:r w:rsidR="002606F1" w:rsidRPr="0067297E">
        <w:rPr>
          <w:rFonts w:asciiTheme="minorHAnsi" w:hAnsiTheme="minorHAnsi" w:cs="Calibri"/>
          <w:lang w:val="en-GB"/>
        </w:rPr>
        <w:t xml:space="preserve">to </w:t>
      </w:r>
      <w:r w:rsidR="0017173A" w:rsidRPr="0067297E">
        <w:rPr>
          <w:rFonts w:asciiTheme="minorHAnsi" w:hAnsiTheme="minorHAnsi" w:cs="Calibri"/>
          <w:lang w:val="en-GB"/>
        </w:rPr>
        <w:t>201</w:t>
      </w:r>
      <w:r w:rsidR="002606F1" w:rsidRPr="0067297E">
        <w:rPr>
          <w:rFonts w:asciiTheme="minorHAnsi" w:hAnsiTheme="minorHAnsi" w:cs="Calibri"/>
          <w:lang w:val="en-GB"/>
        </w:rPr>
        <w:t>7</w:t>
      </w:r>
      <w:r w:rsidR="0017173A" w:rsidRPr="0067297E">
        <w:rPr>
          <w:rFonts w:asciiTheme="minorHAnsi" w:hAnsiTheme="minorHAnsi" w:cs="Calibri"/>
          <w:lang w:val="en-GB"/>
        </w:rPr>
        <w:t xml:space="preserve">. It is worth noting that across the vast majority of the areas, including regional and national, there has been a </w:t>
      </w:r>
      <w:r w:rsidR="0078254D" w:rsidRPr="0067297E">
        <w:rPr>
          <w:rFonts w:asciiTheme="minorHAnsi" w:hAnsiTheme="minorHAnsi" w:cs="Calibri"/>
          <w:lang w:val="en-GB"/>
        </w:rPr>
        <w:t>worsening of</w:t>
      </w:r>
      <w:r w:rsidR="0017173A" w:rsidRPr="0067297E">
        <w:rPr>
          <w:rFonts w:asciiTheme="minorHAnsi" w:hAnsiTheme="minorHAnsi" w:cs="Calibri"/>
          <w:lang w:val="en-GB"/>
        </w:rPr>
        <w:t xml:space="preserve"> affordability during the three-year period. </w:t>
      </w:r>
      <w:r w:rsidR="00942EE7" w:rsidRPr="0067297E">
        <w:rPr>
          <w:rFonts w:asciiTheme="minorHAnsi" w:hAnsiTheme="minorHAnsi" w:cs="Calibri"/>
          <w:lang w:val="en-GB"/>
        </w:rPr>
        <w:t xml:space="preserve">Comparing lower quartile house prices with </w:t>
      </w:r>
      <w:r w:rsidR="002606F1" w:rsidRPr="0067297E">
        <w:rPr>
          <w:rFonts w:asciiTheme="minorHAnsi" w:hAnsiTheme="minorHAnsi" w:cs="Calibri"/>
          <w:lang w:val="en-GB"/>
        </w:rPr>
        <w:t xml:space="preserve">workplace-based </w:t>
      </w:r>
      <w:r w:rsidR="00D455FF" w:rsidRPr="0067297E">
        <w:rPr>
          <w:rFonts w:asciiTheme="minorHAnsi" w:hAnsiTheme="minorHAnsi" w:cs="Calibri"/>
          <w:lang w:val="en-GB"/>
        </w:rPr>
        <w:t>earnings i</w:t>
      </w:r>
      <w:r w:rsidR="00942EE7" w:rsidRPr="0067297E">
        <w:rPr>
          <w:rFonts w:asciiTheme="minorHAnsi" w:hAnsiTheme="minorHAnsi" w:cs="Calibri"/>
          <w:lang w:val="en-GB"/>
        </w:rPr>
        <w:t>n</w:t>
      </w:r>
      <w:r w:rsidR="00D455FF" w:rsidRPr="0067297E">
        <w:rPr>
          <w:rFonts w:asciiTheme="minorHAnsi" w:hAnsiTheme="minorHAnsi" w:cs="Calibri"/>
          <w:lang w:val="en-GB"/>
        </w:rPr>
        <w:t xml:space="preserve"> 201</w:t>
      </w:r>
      <w:r w:rsidR="002606F1" w:rsidRPr="0067297E">
        <w:rPr>
          <w:rFonts w:asciiTheme="minorHAnsi" w:hAnsiTheme="minorHAnsi" w:cs="Calibri"/>
          <w:lang w:val="en-GB"/>
        </w:rPr>
        <w:t>8</w:t>
      </w:r>
      <w:r w:rsidR="00D455FF" w:rsidRPr="0067297E">
        <w:rPr>
          <w:rFonts w:asciiTheme="minorHAnsi" w:hAnsiTheme="minorHAnsi" w:cs="Calibri"/>
          <w:lang w:val="en-GB"/>
        </w:rPr>
        <w:t>,</w:t>
      </w:r>
      <w:r w:rsidR="00942EE7" w:rsidRPr="0067297E">
        <w:rPr>
          <w:rFonts w:asciiTheme="minorHAnsi" w:hAnsiTheme="minorHAnsi" w:cs="Calibri"/>
          <w:lang w:val="en-GB"/>
        </w:rPr>
        <w:t xml:space="preserve"> </w:t>
      </w:r>
      <w:r w:rsidRPr="0067297E">
        <w:rPr>
          <w:rFonts w:asciiTheme="minorHAnsi" w:hAnsiTheme="minorHAnsi" w:cs="Calibri"/>
          <w:lang w:val="en-GB"/>
        </w:rPr>
        <w:t xml:space="preserve">the Borough of </w:t>
      </w:r>
      <w:r w:rsidR="00F424EA" w:rsidRPr="0067297E">
        <w:rPr>
          <w:rFonts w:asciiTheme="minorHAnsi" w:hAnsiTheme="minorHAnsi" w:cs="Calibri"/>
          <w:lang w:val="en-GB"/>
        </w:rPr>
        <w:t>Lewisham</w:t>
      </w:r>
      <w:r w:rsidR="00942EE7" w:rsidRPr="0067297E">
        <w:rPr>
          <w:rFonts w:asciiTheme="minorHAnsi" w:hAnsiTheme="minorHAnsi" w:cs="Calibri"/>
          <w:lang w:val="en-GB"/>
        </w:rPr>
        <w:t xml:space="preserve"> </w:t>
      </w:r>
      <w:r w:rsidR="0017173A" w:rsidRPr="0067297E">
        <w:rPr>
          <w:rFonts w:asciiTheme="minorHAnsi" w:hAnsiTheme="minorHAnsi" w:cs="Calibri"/>
          <w:lang w:val="en-GB"/>
        </w:rPr>
        <w:t xml:space="preserve">had a ratio of </w:t>
      </w:r>
      <w:r w:rsidR="002606F1" w:rsidRPr="0067297E">
        <w:rPr>
          <w:rFonts w:asciiTheme="minorHAnsi" w:hAnsiTheme="minorHAnsi" w:cs="Calibri"/>
          <w:lang w:val="en-GB"/>
        </w:rPr>
        <w:t>15.16</w:t>
      </w:r>
      <w:r w:rsidR="0017173A" w:rsidRPr="0067297E">
        <w:rPr>
          <w:rFonts w:asciiTheme="minorHAnsi" w:hAnsiTheme="minorHAnsi" w:cs="Calibri"/>
          <w:lang w:val="en-GB"/>
        </w:rPr>
        <w:t xml:space="preserve">, i.e. lower quartile prices are </w:t>
      </w:r>
      <w:r w:rsidR="002606F1" w:rsidRPr="0067297E">
        <w:rPr>
          <w:rFonts w:asciiTheme="minorHAnsi" w:hAnsiTheme="minorHAnsi" w:cs="Calibri"/>
          <w:lang w:val="en-GB"/>
        </w:rPr>
        <w:t>15.16x</w:t>
      </w:r>
      <w:r w:rsidR="0017173A" w:rsidRPr="0067297E">
        <w:rPr>
          <w:rFonts w:asciiTheme="minorHAnsi" w:hAnsiTheme="minorHAnsi" w:cs="Calibri"/>
          <w:lang w:val="en-GB"/>
        </w:rPr>
        <w:t xml:space="preserve"> lower quartile gross earnings. </w:t>
      </w:r>
      <w:r w:rsidR="0078254D" w:rsidRPr="0067297E">
        <w:rPr>
          <w:rFonts w:asciiTheme="minorHAnsi" w:hAnsiTheme="minorHAnsi" w:cs="Calibri"/>
          <w:lang w:val="en-GB"/>
        </w:rPr>
        <w:t xml:space="preserve">On this measure, Lewisham was one of the least affordable boroughs and it has been </w:t>
      </w:r>
      <w:r w:rsidR="00D455FF" w:rsidRPr="0067297E">
        <w:rPr>
          <w:rFonts w:asciiTheme="minorHAnsi" w:hAnsiTheme="minorHAnsi" w:cs="Calibri"/>
          <w:lang w:val="en-GB"/>
        </w:rPr>
        <w:t xml:space="preserve">consistently </w:t>
      </w:r>
      <w:r w:rsidR="002606F1" w:rsidRPr="0067297E">
        <w:rPr>
          <w:rFonts w:asciiTheme="minorHAnsi" w:hAnsiTheme="minorHAnsi" w:cs="Calibri"/>
          <w:lang w:val="en-GB"/>
        </w:rPr>
        <w:t>less</w:t>
      </w:r>
      <w:r w:rsidR="00353055" w:rsidRPr="0067297E">
        <w:rPr>
          <w:rFonts w:asciiTheme="minorHAnsi" w:hAnsiTheme="minorHAnsi" w:cs="Calibri"/>
          <w:lang w:val="en-GB"/>
        </w:rPr>
        <w:t xml:space="preserve"> affordable than the London-wide </w:t>
      </w:r>
      <w:r w:rsidR="00D455FF" w:rsidRPr="0067297E">
        <w:rPr>
          <w:rFonts w:asciiTheme="minorHAnsi" w:hAnsiTheme="minorHAnsi" w:cs="Calibri"/>
          <w:lang w:val="en-GB"/>
        </w:rPr>
        <w:t>average (</w:t>
      </w:r>
      <w:r w:rsidR="002606F1" w:rsidRPr="0067297E">
        <w:rPr>
          <w:rFonts w:asciiTheme="minorHAnsi" w:hAnsiTheme="minorHAnsi" w:cs="Calibri"/>
          <w:lang w:val="en-GB"/>
        </w:rPr>
        <w:t>12.99</w:t>
      </w:r>
      <w:r w:rsidR="005E1ED0" w:rsidRPr="0067297E">
        <w:rPr>
          <w:rFonts w:asciiTheme="minorHAnsi" w:hAnsiTheme="minorHAnsi" w:cs="Calibri"/>
          <w:lang w:val="en-GB"/>
        </w:rPr>
        <w:t>x</w:t>
      </w:r>
      <w:r w:rsidR="00D455FF" w:rsidRPr="0067297E">
        <w:rPr>
          <w:rFonts w:asciiTheme="minorHAnsi" w:hAnsiTheme="minorHAnsi" w:cs="Calibri"/>
          <w:lang w:val="en-GB"/>
        </w:rPr>
        <w:t xml:space="preserve"> earnings in 201</w:t>
      </w:r>
      <w:r w:rsidR="002606F1" w:rsidRPr="0067297E">
        <w:rPr>
          <w:rFonts w:asciiTheme="minorHAnsi" w:hAnsiTheme="minorHAnsi" w:cs="Calibri"/>
          <w:lang w:val="en-GB"/>
        </w:rPr>
        <w:t>8</w:t>
      </w:r>
      <w:r w:rsidR="00D455FF" w:rsidRPr="0067297E">
        <w:rPr>
          <w:rFonts w:asciiTheme="minorHAnsi" w:hAnsiTheme="minorHAnsi" w:cs="Calibri"/>
          <w:lang w:val="en-GB"/>
        </w:rPr>
        <w:t xml:space="preserve">), </w:t>
      </w:r>
      <w:r w:rsidR="002606F1" w:rsidRPr="0067297E">
        <w:rPr>
          <w:rFonts w:asciiTheme="minorHAnsi" w:hAnsiTheme="minorHAnsi" w:cs="Calibri"/>
          <w:lang w:val="en-GB"/>
        </w:rPr>
        <w:t xml:space="preserve">the </w:t>
      </w:r>
      <w:r w:rsidR="00D455FF" w:rsidRPr="0067297E">
        <w:rPr>
          <w:rFonts w:asciiTheme="minorHAnsi" w:hAnsiTheme="minorHAnsi" w:cs="Calibri"/>
          <w:lang w:val="en-GB"/>
        </w:rPr>
        <w:t>South East region (10.</w:t>
      </w:r>
      <w:r w:rsidR="002606F1" w:rsidRPr="0067297E">
        <w:rPr>
          <w:rFonts w:asciiTheme="minorHAnsi" w:hAnsiTheme="minorHAnsi" w:cs="Calibri"/>
          <w:lang w:val="en-GB"/>
        </w:rPr>
        <w:t>81x</w:t>
      </w:r>
      <w:r w:rsidR="00D455FF" w:rsidRPr="0067297E">
        <w:rPr>
          <w:rFonts w:asciiTheme="minorHAnsi" w:hAnsiTheme="minorHAnsi" w:cs="Calibri"/>
          <w:lang w:val="en-GB"/>
        </w:rPr>
        <w:t>) and England (7.</w:t>
      </w:r>
      <w:r w:rsidR="002606F1" w:rsidRPr="0067297E">
        <w:rPr>
          <w:rFonts w:asciiTheme="minorHAnsi" w:hAnsiTheme="minorHAnsi" w:cs="Calibri"/>
          <w:lang w:val="en-GB"/>
        </w:rPr>
        <w:t>29</w:t>
      </w:r>
      <w:r w:rsidR="0078254D" w:rsidRPr="0067297E">
        <w:rPr>
          <w:rFonts w:asciiTheme="minorHAnsi" w:hAnsiTheme="minorHAnsi" w:cs="Calibri"/>
          <w:lang w:val="en-GB"/>
        </w:rPr>
        <w:t>x</w:t>
      </w:r>
      <w:r w:rsidR="00D455FF" w:rsidRPr="0067297E">
        <w:rPr>
          <w:rFonts w:asciiTheme="minorHAnsi" w:hAnsiTheme="minorHAnsi" w:cs="Calibri"/>
          <w:lang w:val="en-GB"/>
        </w:rPr>
        <w:t>).</w:t>
      </w:r>
    </w:p>
    <w:p w14:paraId="37DB7CCE" w14:textId="14A59AD3" w:rsidR="00081D4E" w:rsidRPr="0067297E" w:rsidRDefault="00081D4E" w:rsidP="0078254D">
      <w:pPr>
        <w:pStyle w:val="Reporttext"/>
        <w:numPr>
          <w:ilvl w:val="0"/>
          <w:numId w:val="0"/>
        </w:numPr>
        <w:ind w:left="709"/>
        <w:rPr>
          <w:rFonts w:asciiTheme="minorHAnsi" w:hAnsiTheme="minorHAnsi" w:cs="Calibri"/>
        </w:rPr>
      </w:pPr>
    </w:p>
    <w:tbl>
      <w:tblPr>
        <w:tblW w:w="9207" w:type="dxa"/>
        <w:tblLayout w:type="fixed"/>
        <w:tblLook w:val="04A0" w:firstRow="1" w:lastRow="0" w:firstColumn="1" w:lastColumn="0" w:noHBand="0" w:noVBand="1"/>
      </w:tblPr>
      <w:tblGrid>
        <w:gridCol w:w="1691"/>
        <w:gridCol w:w="993"/>
        <w:gridCol w:w="1040"/>
        <w:gridCol w:w="799"/>
        <w:gridCol w:w="992"/>
        <w:gridCol w:w="6"/>
        <w:gridCol w:w="986"/>
        <w:gridCol w:w="993"/>
        <w:gridCol w:w="850"/>
        <w:gridCol w:w="851"/>
        <w:gridCol w:w="6"/>
      </w:tblGrid>
      <w:tr w:rsidR="00BD4AAA" w:rsidRPr="003B4919" w14:paraId="11EF36A9" w14:textId="77777777" w:rsidTr="00FF4E2D">
        <w:trPr>
          <w:trHeight w:val="340"/>
          <w:tblHeader/>
        </w:trPr>
        <w:tc>
          <w:tcPr>
            <w:tcW w:w="9207" w:type="dxa"/>
            <w:gridSpan w:val="11"/>
            <w:tcBorders>
              <w:top w:val="single" w:sz="8" w:space="0" w:color="006666"/>
              <w:left w:val="single" w:sz="8" w:space="0" w:color="006666"/>
              <w:bottom w:val="single" w:sz="8" w:space="0" w:color="006666"/>
              <w:right w:val="single" w:sz="8" w:space="0" w:color="006666"/>
            </w:tcBorders>
            <w:shd w:val="clear" w:color="000000" w:fill="009999"/>
            <w:vAlign w:val="center"/>
            <w:hideMark/>
          </w:tcPr>
          <w:p w14:paraId="5477C5E1" w14:textId="58B8AE79" w:rsidR="00BD4AAA" w:rsidRPr="003B4919" w:rsidRDefault="00BD4AAA" w:rsidP="00BE3A87">
            <w:pPr>
              <w:pStyle w:val="tableheading"/>
              <w:rPr>
                <w:rFonts w:asciiTheme="minorHAnsi" w:hAnsiTheme="minorHAnsi"/>
                <w:szCs w:val="22"/>
              </w:rPr>
            </w:pPr>
            <w:bookmarkStart w:id="179" w:name="_Toc23151145"/>
            <w:bookmarkStart w:id="180" w:name="_Toc2456912"/>
            <w:bookmarkStart w:id="181" w:name="_Toc9607962"/>
            <w:r w:rsidRPr="003B4919">
              <w:rPr>
                <w:rFonts w:asciiTheme="minorHAnsi" w:hAnsiTheme="minorHAnsi"/>
                <w:szCs w:val="22"/>
              </w:rPr>
              <w:t>Table 3.4</w:t>
            </w:r>
            <w:r w:rsidR="00BE3A87" w:rsidRPr="003B4919">
              <w:rPr>
                <w:rFonts w:asciiTheme="minorHAnsi" w:hAnsiTheme="minorHAnsi"/>
                <w:szCs w:val="22"/>
              </w:rPr>
              <w:tab/>
            </w:r>
            <w:r w:rsidRPr="003B4919">
              <w:rPr>
                <w:rFonts w:asciiTheme="minorHAnsi" w:hAnsiTheme="minorHAnsi"/>
                <w:szCs w:val="22"/>
              </w:rPr>
              <w:t>Relative affordability of lower quartile prices by local authority area</w:t>
            </w:r>
            <w:bookmarkEnd w:id="179"/>
            <w:r w:rsidRPr="003B4919">
              <w:rPr>
                <w:rFonts w:asciiTheme="minorHAnsi" w:hAnsiTheme="minorHAnsi"/>
                <w:szCs w:val="22"/>
              </w:rPr>
              <w:t> </w:t>
            </w:r>
            <w:bookmarkEnd w:id="180"/>
            <w:bookmarkEnd w:id="181"/>
          </w:p>
        </w:tc>
      </w:tr>
      <w:tr w:rsidR="00BD4AAA" w:rsidRPr="003B4919" w14:paraId="685A8C6A" w14:textId="77777777" w:rsidTr="00BD4AAA">
        <w:trPr>
          <w:trHeight w:val="340"/>
        </w:trPr>
        <w:tc>
          <w:tcPr>
            <w:tcW w:w="1691" w:type="dxa"/>
            <w:vMerge w:val="restart"/>
            <w:tcBorders>
              <w:top w:val="nil"/>
              <w:left w:val="single" w:sz="8" w:space="0" w:color="006666"/>
              <w:bottom w:val="nil"/>
              <w:right w:val="single" w:sz="8" w:space="0" w:color="006666"/>
            </w:tcBorders>
            <w:shd w:val="clear" w:color="000000" w:fill="009999"/>
            <w:vAlign w:val="center"/>
            <w:hideMark/>
          </w:tcPr>
          <w:p w14:paraId="2110B6C8" w14:textId="77777777" w:rsidR="00BD4AAA" w:rsidRPr="003B4919" w:rsidRDefault="00BD4AAA" w:rsidP="00BD4AAA">
            <w:pPr>
              <w:rPr>
                <w:rFonts w:asciiTheme="minorHAnsi" w:hAnsiTheme="minorHAnsi" w:cs="Arial"/>
                <w:b/>
                <w:bCs/>
                <w:color w:val="FFFFFF"/>
                <w:sz w:val="22"/>
                <w:szCs w:val="22"/>
              </w:rPr>
            </w:pPr>
            <w:r w:rsidRPr="003B4919">
              <w:rPr>
                <w:rFonts w:asciiTheme="minorHAnsi" w:hAnsiTheme="minorHAnsi" w:cs="Arial"/>
                <w:b/>
                <w:bCs/>
                <w:color w:val="FFFFFF"/>
                <w:sz w:val="22"/>
                <w:szCs w:val="22"/>
              </w:rPr>
              <w:t>Area </w:t>
            </w:r>
          </w:p>
        </w:tc>
        <w:tc>
          <w:tcPr>
            <w:tcW w:w="3830" w:type="dxa"/>
            <w:gridSpan w:val="5"/>
            <w:tcBorders>
              <w:top w:val="single" w:sz="8" w:space="0" w:color="006666"/>
              <w:left w:val="nil"/>
              <w:bottom w:val="single" w:sz="8" w:space="0" w:color="006666"/>
              <w:right w:val="single" w:sz="8" w:space="0" w:color="006666"/>
            </w:tcBorders>
            <w:shd w:val="clear" w:color="000000" w:fill="009999"/>
            <w:vAlign w:val="center"/>
            <w:hideMark/>
          </w:tcPr>
          <w:p w14:paraId="1940D1C7"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Workplace-based</w:t>
            </w:r>
          </w:p>
        </w:tc>
        <w:tc>
          <w:tcPr>
            <w:tcW w:w="3686" w:type="dxa"/>
            <w:gridSpan w:val="5"/>
            <w:tcBorders>
              <w:top w:val="single" w:sz="8" w:space="0" w:color="006666"/>
              <w:left w:val="nil"/>
              <w:bottom w:val="single" w:sz="8" w:space="0" w:color="006666"/>
              <w:right w:val="single" w:sz="8" w:space="0" w:color="006666"/>
            </w:tcBorders>
            <w:shd w:val="clear" w:color="000000" w:fill="009999"/>
            <w:vAlign w:val="center"/>
            <w:hideMark/>
          </w:tcPr>
          <w:p w14:paraId="66BC7ED5"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Resident-based</w:t>
            </w:r>
          </w:p>
        </w:tc>
      </w:tr>
      <w:tr w:rsidR="00BD4AAA" w:rsidRPr="003B4919" w14:paraId="068689FC" w14:textId="77777777" w:rsidTr="00BD4AAA">
        <w:trPr>
          <w:gridAfter w:val="1"/>
          <w:wAfter w:w="6" w:type="dxa"/>
          <w:trHeight w:val="320"/>
        </w:trPr>
        <w:tc>
          <w:tcPr>
            <w:tcW w:w="1691" w:type="dxa"/>
            <w:vMerge/>
            <w:tcBorders>
              <w:top w:val="nil"/>
              <w:left w:val="single" w:sz="8" w:space="0" w:color="006666"/>
              <w:bottom w:val="nil"/>
              <w:right w:val="single" w:sz="8" w:space="0" w:color="006666"/>
            </w:tcBorders>
            <w:vAlign w:val="center"/>
            <w:hideMark/>
          </w:tcPr>
          <w:p w14:paraId="74C9B2F2" w14:textId="77777777" w:rsidR="00BD4AAA" w:rsidRPr="003B4919" w:rsidRDefault="00BD4AAA" w:rsidP="00BD4AAA">
            <w:pPr>
              <w:rPr>
                <w:rFonts w:asciiTheme="minorHAnsi" w:hAnsiTheme="minorHAnsi" w:cs="Arial"/>
                <w:b/>
                <w:bCs/>
                <w:color w:val="FFFFFF"/>
                <w:sz w:val="22"/>
                <w:szCs w:val="22"/>
              </w:rPr>
            </w:pPr>
          </w:p>
        </w:tc>
        <w:tc>
          <w:tcPr>
            <w:tcW w:w="993" w:type="dxa"/>
            <w:tcBorders>
              <w:top w:val="nil"/>
              <w:left w:val="nil"/>
              <w:bottom w:val="nil"/>
              <w:right w:val="single" w:sz="8" w:space="0" w:color="006666"/>
            </w:tcBorders>
            <w:shd w:val="clear" w:color="000000" w:fill="009999"/>
            <w:vAlign w:val="center"/>
            <w:hideMark/>
          </w:tcPr>
          <w:p w14:paraId="78E2D217"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2015</w:t>
            </w:r>
          </w:p>
        </w:tc>
        <w:tc>
          <w:tcPr>
            <w:tcW w:w="1040" w:type="dxa"/>
            <w:tcBorders>
              <w:top w:val="nil"/>
              <w:left w:val="nil"/>
              <w:bottom w:val="nil"/>
              <w:right w:val="single" w:sz="8" w:space="0" w:color="006666"/>
            </w:tcBorders>
            <w:shd w:val="clear" w:color="000000" w:fill="009999"/>
            <w:vAlign w:val="center"/>
            <w:hideMark/>
          </w:tcPr>
          <w:p w14:paraId="30A2B704"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2016</w:t>
            </w:r>
          </w:p>
        </w:tc>
        <w:tc>
          <w:tcPr>
            <w:tcW w:w="799" w:type="dxa"/>
            <w:tcBorders>
              <w:top w:val="nil"/>
              <w:left w:val="nil"/>
              <w:bottom w:val="nil"/>
              <w:right w:val="single" w:sz="8" w:space="0" w:color="006666"/>
            </w:tcBorders>
            <w:shd w:val="clear" w:color="000000" w:fill="009999"/>
            <w:vAlign w:val="center"/>
            <w:hideMark/>
          </w:tcPr>
          <w:p w14:paraId="6D53D543"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2017</w:t>
            </w:r>
          </w:p>
        </w:tc>
        <w:tc>
          <w:tcPr>
            <w:tcW w:w="992" w:type="dxa"/>
            <w:tcBorders>
              <w:top w:val="nil"/>
              <w:left w:val="nil"/>
              <w:bottom w:val="nil"/>
              <w:right w:val="single" w:sz="8" w:space="0" w:color="006666"/>
            </w:tcBorders>
            <w:shd w:val="clear" w:color="000000" w:fill="009999"/>
            <w:vAlign w:val="center"/>
            <w:hideMark/>
          </w:tcPr>
          <w:p w14:paraId="4429701D"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2018</w:t>
            </w:r>
          </w:p>
        </w:tc>
        <w:tc>
          <w:tcPr>
            <w:tcW w:w="992" w:type="dxa"/>
            <w:gridSpan w:val="2"/>
            <w:tcBorders>
              <w:top w:val="nil"/>
              <w:left w:val="nil"/>
              <w:bottom w:val="nil"/>
              <w:right w:val="single" w:sz="8" w:space="0" w:color="006666"/>
            </w:tcBorders>
            <w:shd w:val="clear" w:color="000000" w:fill="009999"/>
            <w:vAlign w:val="center"/>
            <w:hideMark/>
          </w:tcPr>
          <w:p w14:paraId="04BEDD48"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2015</w:t>
            </w:r>
          </w:p>
        </w:tc>
        <w:tc>
          <w:tcPr>
            <w:tcW w:w="993" w:type="dxa"/>
            <w:tcBorders>
              <w:top w:val="nil"/>
              <w:left w:val="nil"/>
              <w:bottom w:val="nil"/>
              <w:right w:val="single" w:sz="8" w:space="0" w:color="006666"/>
            </w:tcBorders>
            <w:shd w:val="clear" w:color="000000" w:fill="009999"/>
            <w:vAlign w:val="center"/>
            <w:hideMark/>
          </w:tcPr>
          <w:p w14:paraId="293BD758"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2016</w:t>
            </w:r>
          </w:p>
        </w:tc>
        <w:tc>
          <w:tcPr>
            <w:tcW w:w="850" w:type="dxa"/>
            <w:tcBorders>
              <w:top w:val="nil"/>
              <w:left w:val="nil"/>
              <w:bottom w:val="nil"/>
              <w:right w:val="single" w:sz="8" w:space="0" w:color="006666"/>
            </w:tcBorders>
            <w:shd w:val="clear" w:color="000000" w:fill="009999"/>
            <w:vAlign w:val="center"/>
            <w:hideMark/>
          </w:tcPr>
          <w:p w14:paraId="77C109AE"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2017</w:t>
            </w:r>
          </w:p>
        </w:tc>
        <w:tc>
          <w:tcPr>
            <w:tcW w:w="851" w:type="dxa"/>
            <w:tcBorders>
              <w:top w:val="nil"/>
              <w:left w:val="nil"/>
              <w:bottom w:val="nil"/>
              <w:right w:val="single" w:sz="8" w:space="0" w:color="006666"/>
            </w:tcBorders>
            <w:shd w:val="clear" w:color="000000" w:fill="009999"/>
            <w:vAlign w:val="center"/>
            <w:hideMark/>
          </w:tcPr>
          <w:p w14:paraId="439D59B0"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2018</w:t>
            </w:r>
          </w:p>
        </w:tc>
      </w:tr>
      <w:tr w:rsidR="00BD4AAA" w:rsidRPr="003B4919" w14:paraId="48BC2C10" w14:textId="77777777" w:rsidTr="0078254D">
        <w:trPr>
          <w:gridAfter w:val="1"/>
          <w:wAfter w:w="6" w:type="dxa"/>
          <w:trHeight w:val="320"/>
        </w:trPr>
        <w:tc>
          <w:tcPr>
            <w:tcW w:w="1691" w:type="dxa"/>
            <w:tcBorders>
              <w:top w:val="single" w:sz="4" w:space="0" w:color="009193"/>
              <w:left w:val="single" w:sz="4" w:space="0" w:color="009193"/>
              <w:bottom w:val="single" w:sz="4" w:space="0" w:color="009193"/>
              <w:right w:val="single" w:sz="4" w:space="0" w:color="009193"/>
            </w:tcBorders>
            <w:shd w:val="clear" w:color="auto" w:fill="auto"/>
            <w:noWrap/>
            <w:vAlign w:val="center"/>
            <w:hideMark/>
          </w:tcPr>
          <w:p w14:paraId="7268423D" w14:textId="559363A7"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Bromley</w:t>
            </w:r>
          </w:p>
        </w:tc>
        <w:tc>
          <w:tcPr>
            <w:tcW w:w="993" w:type="dxa"/>
            <w:tcBorders>
              <w:top w:val="single" w:sz="4" w:space="0" w:color="009193"/>
              <w:left w:val="nil"/>
              <w:bottom w:val="single" w:sz="4" w:space="0" w:color="009193"/>
              <w:right w:val="single" w:sz="4" w:space="0" w:color="009193"/>
            </w:tcBorders>
            <w:shd w:val="clear" w:color="000000" w:fill="FFFFFF"/>
            <w:noWrap/>
            <w:vAlign w:val="center"/>
            <w:hideMark/>
          </w:tcPr>
          <w:p w14:paraId="24C2191F" w14:textId="1262E5AC"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12.75</w:t>
            </w:r>
          </w:p>
        </w:tc>
        <w:tc>
          <w:tcPr>
            <w:tcW w:w="1040" w:type="dxa"/>
            <w:tcBorders>
              <w:top w:val="single" w:sz="4" w:space="0" w:color="009193"/>
              <w:left w:val="nil"/>
              <w:bottom w:val="single" w:sz="4" w:space="0" w:color="009193"/>
              <w:right w:val="single" w:sz="4" w:space="0" w:color="009193"/>
            </w:tcBorders>
            <w:shd w:val="clear" w:color="000000" w:fill="FFFFFF"/>
            <w:noWrap/>
            <w:vAlign w:val="center"/>
            <w:hideMark/>
          </w:tcPr>
          <w:p w14:paraId="454A7096" w14:textId="7711AF74"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14.36</w:t>
            </w:r>
          </w:p>
        </w:tc>
        <w:tc>
          <w:tcPr>
            <w:tcW w:w="799" w:type="dxa"/>
            <w:tcBorders>
              <w:top w:val="single" w:sz="4" w:space="0" w:color="009193"/>
              <w:left w:val="nil"/>
              <w:bottom w:val="single" w:sz="4" w:space="0" w:color="009193"/>
              <w:right w:val="single" w:sz="4" w:space="0" w:color="009193"/>
            </w:tcBorders>
            <w:shd w:val="clear" w:color="000000" w:fill="FFFFFF"/>
            <w:noWrap/>
            <w:vAlign w:val="center"/>
            <w:hideMark/>
          </w:tcPr>
          <w:p w14:paraId="53CDF86B" w14:textId="7C84E94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16.77</w:t>
            </w:r>
          </w:p>
        </w:tc>
        <w:tc>
          <w:tcPr>
            <w:tcW w:w="992" w:type="dxa"/>
            <w:tcBorders>
              <w:top w:val="single" w:sz="4" w:space="0" w:color="009193"/>
              <w:left w:val="nil"/>
              <w:bottom w:val="single" w:sz="4" w:space="0" w:color="009193"/>
              <w:right w:val="single" w:sz="4" w:space="0" w:color="009193"/>
            </w:tcBorders>
            <w:shd w:val="clear" w:color="000000" w:fill="FFFFFF"/>
            <w:noWrap/>
            <w:vAlign w:val="center"/>
            <w:hideMark/>
          </w:tcPr>
          <w:p w14:paraId="1FBFF71E" w14:textId="11F6379D"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15.35</w:t>
            </w:r>
          </w:p>
        </w:tc>
        <w:tc>
          <w:tcPr>
            <w:tcW w:w="992" w:type="dxa"/>
            <w:gridSpan w:val="2"/>
            <w:tcBorders>
              <w:top w:val="single" w:sz="4" w:space="0" w:color="009193"/>
              <w:left w:val="nil"/>
              <w:bottom w:val="single" w:sz="4" w:space="0" w:color="009193"/>
              <w:right w:val="single" w:sz="4" w:space="0" w:color="009193"/>
            </w:tcBorders>
            <w:shd w:val="clear" w:color="000000" w:fill="FFFFFF"/>
            <w:noWrap/>
            <w:vAlign w:val="center"/>
            <w:hideMark/>
          </w:tcPr>
          <w:p w14:paraId="2277F000" w14:textId="2DC04E63"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10.52</w:t>
            </w:r>
          </w:p>
        </w:tc>
        <w:tc>
          <w:tcPr>
            <w:tcW w:w="993" w:type="dxa"/>
            <w:tcBorders>
              <w:top w:val="single" w:sz="4" w:space="0" w:color="009193"/>
              <w:left w:val="nil"/>
              <w:bottom w:val="single" w:sz="4" w:space="0" w:color="009193"/>
              <w:right w:val="single" w:sz="4" w:space="0" w:color="009193"/>
            </w:tcBorders>
            <w:shd w:val="clear" w:color="000000" w:fill="FFFFFF"/>
            <w:noWrap/>
            <w:vAlign w:val="center"/>
            <w:hideMark/>
          </w:tcPr>
          <w:p w14:paraId="6E3EE905" w14:textId="458C0953"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12.40</w:t>
            </w:r>
          </w:p>
        </w:tc>
        <w:tc>
          <w:tcPr>
            <w:tcW w:w="850" w:type="dxa"/>
            <w:tcBorders>
              <w:top w:val="single" w:sz="4" w:space="0" w:color="009193"/>
              <w:left w:val="nil"/>
              <w:bottom w:val="single" w:sz="4" w:space="0" w:color="009193"/>
              <w:right w:val="single" w:sz="4" w:space="0" w:color="009193"/>
            </w:tcBorders>
            <w:shd w:val="clear" w:color="000000" w:fill="FFFFFF"/>
            <w:noWrap/>
            <w:vAlign w:val="center"/>
            <w:hideMark/>
          </w:tcPr>
          <w:p w14:paraId="7E7E476B" w14:textId="284E9B6E"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12.10</w:t>
            </w:r>
          </w:p>
        </w:tc>
        <w:tc>
          <w:tcPr>
            <w:tcW w:w="851" w:type="dxa"/>
            <w:tcBorders>
              <w:top w:val="single" w:sz="4" w:space="0" w:color="009193"/>
              <w:left w:val="nil"/>
              <w:bottom w:val="single" w:sz="4" w:space="0" w:color="009193"/>
              <w:right w:val="single" w:sz="4" w:space="0" w:color="009193"/>
            </w:tcBorders>
            <w:shd w:val="clear" w:color="000000" w:fill="FFFFFF"/>
            <w:noWrap/>
            <w:vAlign w:val="center"/>
            <w:hideMark/>
          </w:tcPr>
          <w:p w14:paraId="4D86D592" w14:textId="6AADA27A"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11.65</w:t>
            </w:r>
          </w:p>
        </w:tc>
      </w:tr>
      <w:tr w:rsidR="00BD4AAA" w:rsidRPr="003B4919" w14:paraId="09D4B3C8" w14:textId="77777777" w:rsidTr="0078254D">
        <w:trPr>
          <w:gridAfter w:val="1"/>
          <w:wAfter w:w="6" w:type="dxa"/>
          <w:trHeight w:val="320"/>
        </w:trPr>
        <w:tc>
          <w:tcPr>
            <w:tcW w:w="1691" w:type="dxa"/>
            <w:tcBorders>
              <w:top w:val="nil"/>
              <w:left w:val="single" w:sz="4" w:space="0" w:color="009193"/>
              <w:bottom w:val="single" w:sz="4" w:space="0" w:color="009193"/>
              <w:right w:val="single" w:sz="4" w:space="0" w:color="009193"/>
            </w:tcBorders>
            <w:shd w:val="clear" w:color="auto" w:fill="auto"/>
            <w:noWrap/>
            <w:vAlign w:val="center"/>
            <w:hideMark/>
          </w:tcPr>
          <w:p w14:paraId="75F33C79" w14:textId="223F0228"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Lewisham</w:t>
            </w:r>
          </w:p>
        </w:tc>
        <w:tc>
          <w:tcPr>
            <w:tcW w:w="993" w:type="dxa"/>
            <w:tcBorders>
              <w:top w:val="nil"/>
              <w:left w:val="nil"/>
              <w:bottom w:val="single" w:sz="4" w:space="0" w:color="009193"/>
              <w:right w:val="single" w:sz="4" w:space="0" w:color="009193"/>
            </w:tcBorders>
            <w:shd w:val="clear" w:color="000000" w:fill="FFFFFF"/>
            <w:noWrap/>
            <w:vAlign w:val="center"/>
            <w:hideMark/>
          </w:tcPr>
          <w:p w14:paraId="0F63E5EC" w14:textId="66427838"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12.63</w:t>
            </w:r>
          </w:p>
        </w:tc>
        <w:tc>
          <w:tcPr>
            <w:tcW w:w="1040" w:type="dxa"/>
            <w:tcBorders>
              <w:top w:val="nil"/>
              <w:left w:val="nil"/>
              <w:bottom w:val="single" w:sz="4" w:space="0" w:color="009193"/>
              <w:right w:val="single" w:sz="4" w:space="0" w:color="009193"/>
            </w:tcBorders>
            <w:shd w:val="clear" w:color="000000" w:fill="FFFFFF"/>
            <w:noWrap/>
            <w:vAlign w:val="center"/>
            <w:hideMark/>
          </w:tcPr>
          <w:p w14:paraId="06783ADF" w14:textId="1F0AE552"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13.24</w:t>
            </w:r>
          </w:p>
        </w:tc>
        <w:tc>
          <w:tcPr>
            <w:tcW w:w="799" w:type="dxa"/>
            <w:tcBorders>
              <w:top w:val="nil"/>
              <w:left w:val="nil"/>
              <w:bottom w:val="single" w:sz="4" w:space="0" w:color="009193"/>
              <w:right w:val="single" w:sz="4" w:space="0" w:color="009193"/>
            </w:tcBorders>
            <w:shd w:val="clear" w:color="000000" w:fill="FFFFFF"/>
            <w:noWrap/>
            <w:vAlign w:val="center"/>
            <w:hideMark/>
          </w:tcPr>
          <w:p w14:paraId="4D772FF6" w14:textId="000C40A0"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14.28</w:t>
            </w:r>
          </w:p>
        </w:tc>
        <w:tc>
          <w:tcPr>
            <w:tcW w:w="992" w:type="dxa"/>
            <w:tcBorders>
              <w:top w:val="nil"/>
              <w:left w:val="nil"/>
              <w:bottom w:val="single" w:sz="4" w:space="0" w:color="009193"/>
              <w:right w:val="single" w:sz="4" w:space="0" w:color="009193"/>
            </w:tcBorders>
            <w:shd w:val="clear" w:color="000000" w:fill="FFFFFF"/>
            <w:noWrap/>
            <w:vAlign w:val="center"/>
            <w:hideMark/>
          </w:tcPr>
          <w:p w14:paraId="7077DDFC" w14:textId="7117F8B0"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15.16</w:t>
            </w:r>
          </w:p>
        </w:tc>
        <w:tc>
          <w:tcPr>
            <w:tcW w:w="992" w:type="dxa"/>
            <w:gridSpan w:val="2"/>
            <w:tcBorders>
              <w:top w:val="nil"/>
              <w:left w:val="nil"/>
              <w:bottom w:val="single" w:sz="4" w:space="0" w:color="009193"/>
              <w:right w:val="single" w:sz="4" w:space="0" w:color="009193"/>
            </w:tcBorders>
            <w:shd w:val="clear" w:color="000000" w:fill="FFFFFF"/>
            <w:noWrap/>
            <w:vAlign w:val="center"/>
            <w:hideMark/>
          </w:tcPr>
          <w:p w14:paraId="418C02C9" w14:textId="3FAC6B7B"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11.88</w:t>
            </w:r>
          </w:p>
        </w:tc>
        <w:tc>
          <w:tcPr>
            <w:tcW w:w="993" w:type="dxa"/>
            <w:tcBorders>
              <w:top w:val="nil"/>
              <w:left w:val="nil"/>
              <w:bottom w:val="single" w:sz="4" w:space="0" w:color="009193"/>
              <w:right w:val="single" w:sz="4" w:space="0" w:color="009193"/>
            </w:tcBorders>
            <w:shd w:val="clear" w:color="000000" w:fill="FFFFFF"/>
            <w:noWrap/>
            <w:vAlign w:val="center"/>
            <w:hideMark/>
          </w:tcPr>
          <w:p w14:paraId="3353A4C6" w14:textId="54A41264"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12.74</w:t>
            </w:r>
          </w:p>
        </w:tc>
        <w:tc>
          <w:tcPr>
            <w:tcW w:w="850" w:type="dxa"/>
            <w:tcBorders>
              <w:top w:val="nil"/>
              <w:left w:val="nil"/>
              <w:bottom w:val="single" w:sz="4" w:space="0" w:color="009193"/>
              <w:right w:val="single" w:sz="4" w:space="0" w:color="009193"/>
            </w:tcBorders>
            <w:shd w:val="clear" w:color="000000" w:fill="FFFFFF"/>
            <w:noWrap/>
            <w:vAlign w:val="center"/>
            <w:hideMark/>
          </w:tcPr>
          <w:p w14:paraId="2AE50BE9" w14:textId="356275D3"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13.85</w:t>
            </w:r>
          </w:p>
        </w:tc>
        <w:tc>
          <w:tcPr>
            <w:tcW w:w="851" w:type="dxa"/>
            <w:tcBorders>
              <w:top w:val="nil"/>
              <w:left w:val="nil"/>
              <w:bottom w:val="single" w:sz="4" w:space="0" w:color="009193"/>
              <w:right w:val="single" w:sz="4" w:space="0" w:color="009193"/>
            </w:tcBorders>
            <w:shd w:val="clear" w:color="000000" w:fill="FFFFFF"/>
            <w:noWrap/>
            <w:vAlign w:val="center"/>
            <w:hideMark/>
          </w:tcPr>
          <w:p w14:paraId="3006A42A" w14:textId="1D4EDDEC"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13.17</w:t>
            </w:r>
          </w:p>
        </w:tc>
      </w:tr>
      <w:tr w:rsidR="00BD4AAA" w:rsidRPr="003B4919" w14:paraId="1A5DECCF" w14:textId="77777777" w:rsidTr="0078254D">
        <w:trPr>
          <w:gridAfter w:val="1"/>
          <w:wAfter w:w="6" w:type="dxa"/>
          <w:trHeight w:val="320"/>
        </w:trPr>
        <w:tc>
          <w:tcPr>
            <w:tcW w:w="1691" w:type="dxa"/>
            <w:tcBorders>
              <w:top w:val="nil"/>
              <w:left w:val="single" w:sz="4" w:space="0" w:color="009193"/>
              <w:bottom w:val="single" w:sz="4" w:space="0" w:color="009193"/>
              <w:right w:val="single" w:sz="4" w:space="0" w:color="009193"/>
            </w:tcBorders>
            <w:shd w:val="clear" w:color="auto" w:fill="auto"/>
            <w:noWrap/>
            <w:vAlign w:val="center"/>
            <w:hideMark/>
          </w:tcPr>
          <w:p w14:paraId="4001AEF0" w14:textId="75A45809"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Lambeth</w:t>
            </w:r>
          </w:p>
        </w:tc>
        <w:tc>
          <w:tcPr>
            <w:tcW w:w="993" w:type="dxa"/>
            <w:tcBorders>
              <w:top w:val="nil"/>
              <w:left w:val="nil"/>
              <w:bottom w:val="single" w:sz="4" w:space="0" w:color="009193"/>
              <w:right w:val="single" w:sz="4" w:space="0" w:color="009193"/>
            </w:tcBorders>
            <w:shd w:val="clear" w:color="000000" w:fill="FFFFFF"/>
            <w:noWrap/>
            <w:vAlign w:val="center"/>
            <w:hideMark/>
          </w:tcPr>
          <w:p w14:paraId="1BA0F845" w14:textId="3CD23F0A"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13.58</w:t>
            </w:r>
          </w:p>
        </w:tc>
        <w:tc>
          <w:tcPr>
            <w:tcW w:w="1040" w:type="dxa"/>
            <w:tcBorders>
              <w:top w:val="nil"/>
              <w:left w:val="nil"/>
              <w:bottom w:val="single" w:sz="4" w:space="0" w:color="009193"/>
              <w:right w:val="single" w:sz="4" w:space="0" w:color="009193"/>
            </w:tcBorders>
            <w:shd w:val="clear" w:color="000000" w:fill="FFFFFF"/>
            <w:noWrap/>
            <w:vAlign w:val="center"/>
            <w:hideMark/>
          </w:tcPr>
          <w:p w14:paraId="096122B2" w14:textId="68C94084"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14.77</w:t>
            </w:r>
          </w:p>
        </w:tc>
        <w:tc>
          <w:tcPr>
            <w:tcW w:w="799" w:type="dxa"/>
            <w:tcBorders>
              <w:top w:val="nil"/>
              <w:left w:val="nil"/>
              <w:bottom w:val="single" w:sz="4" w:space="0" w:color="009193"/>
              <w:right w:val="single" w:sz="4" w:space="0" w:color="009193"/>
            </w:tcBorders>
            <w:shd w:val="clear" w:color="000000" w:fill="FFFFFF"/>
            <w:noWrap/>
            <w:vAlign w:val="center"/>
            <w:hideMark/>
          </w:tcPr>
          <w:p w14:paraId="6E7CBFE8" w14:textId="0BBCF8A6"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15.47</w:t>
            </w:r>
          </w:p>
        </w:tc>
        <w:tc>
          <w:tcPr>
            <w:tcW w:w="992" w:type="dxa"/>
            <w:tcBorders>
              <w:top w:val="nil"/>
              <w:left w:val="nil"/>
              <w:bottom w:val="single" w:sz="4" w:space="0" w:color="009193"/>
              <w:right w:val="single" w:sz="4" w:space="0" w:color="009193"/>
            </w:tcBorders>
            <w:shd w:val="clear" w:color="000000" w:fill="FFFFFF"/>
            <w:noWrap/>
            <w:vAlign w:val="center"/>
            <w:hideMark/>
          </w:tcPr>
          <w:p w14:paraId="42DB1ECB" w14:textId="6B9BB2F9"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14.88</w:t>
            </w:r>
          </w:p>
        </w:tc>
        <w:tc>
          <w:tcPr>
            <w:tcW w:w="992" w:type="dxa"/>
            <w:gridSpan w:val="2"/>
            <w:tcBorders>
              <w:top w:val="nil"/>
              <w:left w:val="nil"/>
              <w:bottom w:val="single" w:sz="4" w:space="0" w:color="009193"/>
              <w:right w:val="single" w:sz="4" w:space="0" w:color="009193"/>
            </w:tcBorders>
            <w:shd w:val="clear" w:color="000000" w:fill="FFFFFF"/>
            <w:noWrap/>
            <w:vAlign w:val="center"/>
            <w:hideMark/>
          </w:tcPr>
          <w:p w14:paraId="6B3920CB" w14:textId="4F2DDCEA"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15.13</w:t>
            </w:r>
          </w:p>
        </w:tc>
        <w:tc>
          <w:tcPr>
            <w:tcW w:w="993" w:type="dxa"/>
            <w:tcBorders>
              <w:top w:val="nil"/>
              <w:left w:val="nil"/>
              <w:bottom w:val="single" w:sz="4" w:space="0" w:color="009193"/>
              <w:right w:val="single" w:sz="4" w:space="0" w:color="009193"/>
            </w:tcBorders>
            <w:shd w:val="clear" w:color="000000" w:fill="FFFFFF"/>
            <w:noWrap/>
            <w:vAlign w:val="center"/>
            <w:hideMark/>
          </w:tcPr>
          <w:p w14:paraId="09ABFDCA" w14:textId="2D80CA8F"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15.83</w:t>
            </w:r>
          </w:p>
        </w:tc>
        <w:tc>
          <w:tcPr>
            <w:tcW w:w="850" w:type="dxa"/>
            <w:tcBorders>
              <w:top w:val="nil"/>
              <w:left w:val="nil"/>
              <w:bottom w:val="single" w:sz="4" w:space="0" w:color="009193"/>
              <w:right w:val="single" w:sz="4" w:space="0" w:color="009193"/>
            </w:tcBorders>
            <w:shd w:val="clear" w:color="000000" w:fill="FFFFFF"/>
            <w:noWrap/>
            <w:vAlign w:val="center"/>
            <w:hideMark/>
          </w:tcPr>
          <w:p w14:paraId="2633F38B" w14:textId="40E7A9B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16.00</w:t>
            </w:r>
          </w:p>
        </w:tc>
        <w:tc>
          <w:tcPr>
            <w:tcW w:w="851" w:type="dxa"/>
            <w:tcBorders>
              <w:top w:val="nil"/>
              <w:left w:val="nil"/>
              <w:bottom w:val="single" w:sz="4" w:space="0" w:color="009193"/>
              <w:right w:val="single" w:sz="4" w:space="0" w:color="009193"/>
            </w:tcBorders>
            <w:shd w:val="clear" w:color="000000" w:fill="FFFFFF"/>
            <w:noWrap/>
            <w:vAlign w:val="center"/>
            <w:hideMark/>
          </w:tcPr>
          <w:p w14:paraId="3212E813" w14:textId="12669C30"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14.69</w:t>
            </w:r>
          </w:p>
        </w:tc>
      </w:tr>
      <w:tr w:rsidR="00BD4AAA" w:rsidRPr="003B4919" w14:paraId="62191487" w14:textId="77777777" w:rsidTr="0078254D">
        <w:trPr>
          <w:gridAfter w:val="1"/>
          <w:wAfter w:w="6" w:type="dxa"/>
          <w:trHeight w:val="320"/>
        </w:trPr>
        <w:tc>
          <w:tcPr>
            <w:tcW w:w="1691" w:type="dxa"/>
            <w:tcBorders>
              <w:top w:val="nil"/>
              <w:left w:val="single" w:sz="4" w:space="0" w:color="009193"/>
              <w:bottom w:val="single" w:sz="4" w:space="0" w:color="009193"/>
              <w:right w:val="single" w:sz="4" w:space="0" w:color="009193"/>
            </w:tcBorders>
            <w:shd w:val="clear" w:color="auto" w:fill="auto"/>
            <w:noWrap/>
            <w:vAlign w:val="center"/>
            <w:hideMark/>
          </w:tcPr>
          <w:p w14:paraId="205274C1" w14:textId="05829497"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Southwark</w:t>
            </w:r>
          </w:p>
        </w:tc>
        <w:tc>
          <w:tcPr>
            <w:tcW w:w="993" w:type="dxa"/>
            <w:tcBorders>
              <w:top w:val="nil"/>
              <w:left w:val="nil"/>
              <w:bottom w:val="single" w:sz="4" w:space="0" w:color="009193"/>
              <w:right w:val="single" w:sz="4" w:space="0" w:color="009193"/>
            </w:tcBorders>
            <w:shd w:val="clear" w:color="000000" w:fill="FFFFFF"/>
            <w:noWrap/>
            <w:vAlign w:val="center"/>
            <w:hideMark/>
          </w:tcPr>
          <w:p w14:paraId="1655C265" w14:textId="5A655B3E"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13.06</w:t>
            </w:r>
          </w:p>
        </w:tc>
        <w:tc>
          <w:tcPr>
            <w:tcW w:w="1040" w:type="dxa"/>
            <w:tcBorders>
              <w:top w:val="nil"/>
              <w:left w:val="nil"/>
              <w:bottom w:val="single" w:sz="4" w:space="0" w:color="009193"/>
              <w:right w:val="single" w:sz="4" w:space="0" w:color="009193"/>
            </w:tcBorders>
            <w:shd w:val="clear" w:color="000000" w:fill="FFFFFF"/>
            <w:noWrap/>
            <w:vAlign w:val="center"/>
            <w:hideMark/>
          </w:tcPr>
          <w:p w14:paraId="730F4B98" w14:textId="7D6A3A41"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13.81</w:t>
            </w:r>
          </w:p>
        </w:tc>
        <w:tc>
          <w:tcPr>
            <w:tcW w:w="799" w:type="dxa"/>
            <w:tcBorders>
              <w:top w:val="nil"/>
              <w:left w:val="nil"/>
              <w:bottom w:val="single" w:sz="4" w:space="0" w:color="009193"/>
              <w:right w:val="single" w:sz="4" w:space="0" w:color="009193"/>
            </w:tcBorders>
            <w:shd w:val="clear" w:color="000000" w:fill="FFFFFF"/>
            <w:noWrap/>
            <w:vAlign w:val="center"/>
            <w:hideMark/>
          </w:tcPr>
          <w:p w14:paraId="2CD3FB2F" w14:textId="6F49BC8E"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15.39</w:t>
            </w:r>
          </w:p>
        </w:tc>
        <w:tc>
          <w:tcPr>
            <w:tcW w:w="992" w:type="dxa"/>
            <w:tcBorders>
              <w:top w:val="nil"/>
              <w:left w:val="nil"/>
              <w:bottom w:val="single" w:sz="4" w:space="0" w:color="009193"/>
              <w:right w:val="single" w:sz="4" w:space="0" w:color="009193"/>
            </w:tcBorders>
            <w:shd w:val="clear" w:color="000000" w:fill="FFFFFF"/>
            <w:noWrap/>
            <w:vAlign w:val="center"/>
            <w:hideMark/>
          </w:tcPr>
          <w:p w14:paraId="5B580261" w14:textId="7AD397FB"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14.02</w:t>
            </w:r>
          </w:p>
        </w:tc>
        <w:tc>
          <w:tcPr>
            <w:tcW w:w="992" w:type="dxa"/>
            <w:gridSpan w:val="2"/>
            <w:tcBorders>
              <w:top w:val="nil"/>
              <w:left w:val="nil"/>
              <w:bottom w:val="single" w:sz="4" w:space="0" w:color="009193"/>
              <w:right w:val="single" w:sz="4" w:space="0" w:color="009193"/>
            </w:tcBorders>
            <w:shd w:val="clear" w:color="000000" w:fill="FFFFFF"/>
            <w:noWrap/>
            <w:vAlign w:val="center"/>
            <w:hideMark/>
          </w:tcPr>
          <w:p w14:paraId="5A6027F1" w14:textId="227A76E4"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14.28</w:t>
            </w:r>
          </w:p>
        </w:tc>
        <w:tc>
          <w:tcPr>
            <w:tcW w:w="993" w:type="dxa"/>
            <w:tcBorders>
              <w:top w:val="nil"/>
              <w:left w:val="nil"/>
              <w:bottom w:val="single" w:sz="4" w:space="0" w:color="009193"/>
              <w:right w:val="single" w:sz="4" w:space="0" w:color="009193"/>
            </w:tcBorders>
            <w:shd w:val="clear" w:color="000000" w:fill="FFFFFF"/>
            <w:noWrap/>
            <w:vAlign w:val="center"/>
            <w:hideMark/>
          </w:tcPr>
          <w:p w14:paraId="35E92730" w14:textId="4F2FC24C"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15.62</w:t>
            </w:r>
          </w:p>
        </w:tc>
        <w:tc>
          <w:tcPr>
            <w:tcW w:w="850" w:type="dxa"/>
            <w:tcBorders>
              <w:top w:val="nil"/>
              <w:left w:val="nil"/>
              <w:bottom w:val="single" w:sz="4" w:space="0" w:color="009193"/>
              <w:right w:val="single" w:sz="4" w:space="0" w:color="009193"/>
            </w:tcBorders>
            <w:shd w:val="clear" w:color="000000" w:fill="FFFFFF"/>
            <w:noWrap/>
            <w:vAlign w:val="center"/>
            <w:hideMark/>
          </w:tcPr>
          <w:p w14:paraId="4C911FB9" w14:textId="763DC3A9"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16.22</w:t>
            </w:r>
          </w:p>
        </w:tc>
        <w:tc>
          <w:tcPr>
            <w:tcW w:w="851" w:type="dxa"/>
            <w:tcBorders>
              <w:top w:val="nil"/>
              <w:left w:val="nil"/>
              <w:bottom w:val="single" w:sz="4" w:space="0" w:color="009193"/>
              <w:right w:val="single" w:sz="4" w:space="0" w:color="009193"/>
            </w:tcBorders>
            <w:shd w:val="clear" w:color="000000" w:fill="FFFFFF"/>
            <w:noWrap/>
            <w:vAlign w:val="center"/>
            <w:hideMark/>
          </w:tcPr>
          <w:p w14:paraId="767ADA64" w14:textId="3A88135F"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15.24</w:t>
            </w:r>
          </w:p>
        </w:tc>
      </w:tr>
      <w:tr w:rsidR="00BD4AAA" w:rsidRPr="003B4919" w14:paraId="3AAE9739" w14:textId="77777777" w:rsidTr="0078254D">
        <w:trPr>
          <w:gridAfter w:val="1"/>
          <w:wAfter w:w="6" w:type="dxa"/>
          <w:trHeight w:val="320"/>
        </w:trPr>
        <w:tc>
          <w:tcPr>
            <w:tcW w:w="1691" w:type="dxa"/>
            <w:tcBorders>
              <w:top w:val="nil"/>
              <w:left w:val="single" w:sz="4" w:space="0" w:color="009193"/>
              <w:bottom w:val="single" w:sz="4" w:space="0" w:color="009193"/>
              <w:right w:val="single" w:sz="4" w:space="0" w:color="009193"/>
            </w:tcBorders>
            <w:shd w:val="clear" w:color="auto" w:fill="auto"/>
            <w:noWrap/>
            <w:vAlign w:val="center"/>
            <w:hideMark/>
          </w:tcPr>
          <w:p w14:paraId="773575F3" w14:textId="115BE96C"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Greenwich</w:t>
            </w:r>
          </w:p>
        </w:tc>
        <w:tc>
          <w:tcPr>
            <w:tcW w:w="993" w:type="dxa"/>
            <w:tcBorders>
              <w:top w:val="nil"/>
              <w:left w:val="nil"/>
              <w:bottom w:val="single" w:sz="4" w:space="0" w:color="009193"/>
              <w:right w:val="single" w:sz="4" w:space="0" w:color="009193"/>
            </w:tcBorders>
            <w:shd w:val="clear" w:color="000000" w:fill="FFFFFF"/>
            <w:noWrap/>
            <w:vAlign w:val="center"/>
            <w:hideMark/>
          </w:tcPr>
          <w:p w14:paraId="58FAF598" w14:textId="0E1699C5"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10.58</w:t>
            </w:r>
          </w:p>
        </w:tc>
        <w:tc>
          <w:tcPr>
            <w:tcW w:w="1040" w:type="dxa"/>
            <w:tcBorders>
              <w:top w:val="nil"/>
              <w:left w:val="nil"/>
              <w:bottom w:val="single" w:sz="4" w:space="0" w:color="009193"/>
              <w:right w:val="single" w:sz="4" w:space="0" w:color="009193"/>
            </w:tcBorders>
            <w:shd w:val="clear" w:color="000000" w:fill="FFFFFF"/>
            <w:noWrap/>
            <w:vAlign w:val="center"/>
            <w:hideMark/>
          </w:tcPr>
          <w:p w14:paraId="2EACAE0C" w14:textId="1415E3A0"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13.47</w:t>
            </w:r>
          </w:p>
        </w:tc>
        <w:tc>
          <w:tcPr>
            <w:tcW w:w="799" w:type="dxa"/>
            <w:tcBorders>
              <w:top w:val="nil"/>
              <w:left w:val="nil"/>
              <w:bottom w:val="single" w:sz="4" w:space="0" w:color="009193"/>
              <w:right w:val="single" w:sz="4" w:space="0" w:color="009193"/>
            </w:tcBorders>
            <w:shd w:val="clear" w:color="000000" w:fill="FFFFFF"/>
            <w:noWrap/>
            <w:vAlign w:val="center"/>
            <w:hideMark/>
          </w:tcPr>
          <w:p w14:paraId="319DD66E" w14:textId="26CA286D"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14.17</w:t>
            </w:r>
          </w:p>
        </w:tc>
        <w:tc>
          <w:tcPr>
            <w:tcW w:w="992" w:type="dxa"/>
            <w:tcBorders>
              <w:top w:val="nil"/>
              <w:left w:val="nil"/>
              <w:bottom w:val="single" w:sz="4" w:space="0" w:color="009193"/>
              <w:right w:val="single" w:sz="4" w:space="0" w:color="009193"/>
            </w:tcBorders>
            <w:shd w:val="clear" w:color="000000" w:fill="FFFFFF"/>
            <w:noWrap/>
            <w:vAlign w:val="center"/>
            <w:hideMark/>
          </w:tcPr>
          <w:p w14:paraId="0F380C29" w14:textId="347D9306"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13.84</w:t>
            </w:r>
          </w:p>
        </w:tc>
        <w:tc>
          <w:tcPr>
            <w:tcW w:w="992" w:type="dxa"/>
            <w:gridSpan w:val="2"/>
            <w:tcBorders>
              <w:top w:val="nil"/>
              <w:left w:val="nil"/>
              <w:bottom w:val="single" w:sz="4" w:space="0" w:color="009193"/>
              <w:right w:val="single" w:sz="4" w:space="0" w:color="009193"/>
            </w:tcBorders>
            <w:shd w:val="clear" w:color="000000" w:fill="FFFFFF"/>
            <w:noWrap/>
            <w:vAlign w:val="center"/>
            <w:hideMark/>
          </w:tcPr>
          <w:p w14:paraId="74373E55" w14:textId="507E1436"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11.15</w:t>
            </w:r>
          </w:p>
        </w:tc>
        <w:tc>
          <w:tcPr>
            <w:tcW w:w="993" w:type="dxa"/>
            <w:tcBorders>
              <w:top w:val="nil"/>
              <w:left w:val="nil"/>
              <w:bottom w:val="single" w:sz="4" w:space="0" w:color="009193"/>
              <w:right w:val="single" w:sz="4" w:space="0" w:color="009193"/>
            </w:tcBorders>
            <w:shd w:val="clear" w:color="000000" w:fill="FFFFFF"/>
            <w:noWrap/>
            <w:vAlign w:val="center"/>
            <w:hideMark/>
          </w:tcPr>
          <w:p w14:paraId="065F40FD" w14:textId="0FDA3CF4"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12.75</w:t>
            </w:r>
          </w:p>
        </w:tc>
        <w:tc>
          <w:tcPr>
            <w:tcW w:w="850" w:type="dxa"/>
            <w:tcBorders>
              <w:top w:val="nil"/>
              <w:left w:val="nil"/>
              <w:bottom w:val="single" w:sz="4" w:space="0" w:color="009193"/>
              <w:right w:val="single" w:sz="4" w:space="0" w:color="009193"/>
            </w:tcBorders>
            <w:shd w:val="clear" w:color="000000" w:fill="FFFFFF"/>
            <w:noWrap/>
            <w:vAlign w:val="center"/>
            <w:hideMark/>
          </w:tcPr>
          <w:p w14:paraId="0F4CD200" w14:textId="42610E3E"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13.53</w:t>
            </w:r>
          </w:p>
        </w:tc>
        <w:tc>
          <w:tcPr>
            <w:tcW w:w="851" w:type="dxa"/>
            <w:tcBorders>
              <w:top w:val="nil"/>
              <w:left w:val="nil"/>
              <w:bottom w:val="single" w:sz="4" w:space="0" w:color="009193"/>
              <w:right w:val="single" w:sz="4" w:space="0" w:color="009193"/>
            </w:tcBorders>
            <w:shd w:val="clear" w:color="000000" w:fill="FFFFFF"/>
            <w:noWrap/>
            <w:vAlign w:val="center"/>
            <w:hideMark/>
          </w:tcPr>
          <w:p w14:paraId="1121044C" w14:textId="206C43CE"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13.12</w:t>
            </w:r>
          </w:p>
        </w:tc>
      </w:tr>
      <w:tr w:rsidR="00BD4AAA" w:rsidRPr="003B4919" w14:paraId="39CE8BDB" w14:textId="77777777" w:rsidTr="0078254D">
        <w:trPr>
          <w:gridAfter w:val="1"/>
          <w:wAfter w:w="6" w:type="dxa"/>
          <w:trHeight w:val="320"/>
        </w:trPr>
        <w:tc>
          <w:tcPr>
            <w:tcW w:w="1691" w:type="dxa"/>
            <w:tcBorders>
              <w:top w:val="nil"/>
              <w:left w:val="single" w:sz="4" w:space="0" w:color="009193"/>
              <w:bottom w:val="single" w:sz="4" w:space="0" w:color="009193"/>
              <w:right w:val="single" w:sz="4" w:space="0" w:color="009193"/>
            </w:tcBorders>
            <w:shd w:val="clear" w:color="auto" w:fill="auto"/>
            <w:noWrap/>
            <w:vAlign w:val="center"/>
            <w:hideMark/>
          </w:tcPr>
          <w:p w14:paraId="56EC47B6" w14:textId="74720329"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London</w:t>
            </w:r>
          </w:p>
        </w:tc>
        <w:tc>
          <w:tcPr>
            <w:tcW w:w="993" w:type="dxa"/>
            <w:tcBorders>
              <w:top w:val="nil"/>
              <w:left w:val="nil"/>
              <w:bottom w:val="single" w:sz="4" w:space="0" w:color="009193"/>
              <w:right w:val="single" w:sz="4" w:space="0" w:color="009193"/>
            </w:tcBorders>
            <w:shd w:val="clear" w:color="000000" w:fill="FFFFFF"/>
            <w:noWrap/>
            <w:vAlign w:val="center"/>
            <w:hideMark/>
          </w:tcPr>
          <w:p w14:paraId="4188016F" w14:textId="54F0271E"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11.38</w:t>
            </w:r>
          </w:p>
        </w:tc>
        <w:tc>
          <w:tcPr>
            <w:tcW w:w="1040" w:type="dxa"/>
            <w:tcBorders>
              <w:top w:val="nil"/>
              <w:left w:val="nil"/>
              <w:bottom w:val="single" w:sz="4" w:space="0" w:color="009193"/>
              <w:right w:val="single" w:sz="4" w:space="0" w:color="009193"/>
            </w:tcBorders>
            <w:shd w:val="clear" w:color="000000" w:fill="FFFFFF"/>
            <w:noWrap/>
            <w:vAlign w:val="center"/>
            <w:hideMark/>
          </w:tcPr>
          <w:p w14:paraId="19ABE3E1" w14:textId="1C19810B"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12.80</w:t>
            </w:r>
          </w:p>
        </w:tc>
        <w:tc>
          <w:tcPr>
            <w:tcW w:w="799" w:type="dxa"/>
            <w:tcBorders>
              <w:top w:val="nil"/>
              <w:left w:val="nil"/>
              <w:bottom w:val="single" w:sz="4" w:space="0" w:color="009193"/>
              <w:right w:val="single" w:sz="4" w:space="0" w:color="009193"/>
            </w:tcBorders>
            <w:shd w:val="clear" w:color="000000" w:fill="FFFFFF"/>
            <w:noWrap/>
            <w:vAlign w:val="center"/>
            <w:hideMark/>
          </w:tcPr>
          <w:p w14:paraId="7251FF6F" w14:textId="19783FFE"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13.27</w:t>
            </w:r>
          </w:p>
        </w:tc>
        <w:tc>
          <w:tcPr>
            <w:tcW w:w="992" w:type="dxa"/>
            <w:tcBorders>
              <w:top w:val="nil"/>
              <w:left w:val="nil"/>
              <w:bottom w:val="single" w:sz="4" w:space="0" w:color="009193"/>
              <w:right w:val="single" w:sz="4" w:space="0" w:color="009193"/>
            </w:tcBorders>
            <w:shd w:val="clear" w:color="000000" w:fill="FFFFFF"/>
            <w:noWrap/>
            <w:vAlign w:val="center"/>
            <w:hideMark/>
          </w:tcPr>
          <w:p w14:paraId="4EC13737" w14:textId="353BA135"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12.99</w:t>
            </w:r>
          </w:p>
        </w:tc>
        <w:tc>
          <w:tcPr>
            <w:tcW w:w="992" w:type="dxa"/>
            <w:gridSpan w:val="2"/>
            <w:tcBorders>
              <w:top w:val="nil"/>
              <w:left w:val="nil"/>
              <w:bottom w:val="single" w:sz="4" w:space="0" w:color="009193"/>
              <w:right w:val="single" w:sz="4" w:space="0" w:color="009193"/>
            </w:tcBorders>
            <w:shd w:val="clear" w:color="000000" w:fill="FFFFFF"/>
            <w:noWrap/>
            <w:vAlign w:val="center"/>
            <w:hideMark/>
          </w:tcPr>
          <w:p w14:paraId="6570166A" w14:textId="4BA42EFE"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12.16</w:t>
            </w:r>
          </w:p>
        </w:tc>
        <w:tc>
          <w:tcPr>
            <w:tcW w:w="993" w:type="dxa"/>
            <w:tcBorders>
              <w:top w:val="nil"/>
              <w:left w:val="nil"/>
              <w:bottom w:val="single" w:sz="4" w:space="0" w:color="009193"/>
              <w:right w:val="single" w:sz="4" w:space="0" w:color="009193"/>
            </w:tcBorders>
            <w:shd w:val="clear" w:color="000000" w:fill="FFFFFF"/>
            <w:noWrap/>
            <w:vAlign w:val="center"/>
            <w:hideMark/>
          </w:tcPr>
          <w:p w14:paraId="1818CDC2" w14:textId="74AB9DB6"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13.53</w:t>
            </w:r>
          </w:p>
        </w:tc>
        <w:tc>
          <w:tcPr>
            <w:tcW w:w="850" w:type="dxa"/>
            <w:tcBorders>
              <w:top w:val="nil"/>
              <w:left w:val="nil"/>
              <w:bottom w:val="single" w:sz="4" w:space="0" w:color="009193"/>
              <w:right w:val="single" w:sz="4" w:space="0" w:color="009193"/>
            </w:tcBorders>
            <w:shd w:val="clear" w:color="000000" w:fill="FFFFFF"/>
            <w:noWrap/>
            <w:vAlign w:val="center"/>
            <w:hideMark/>
          </w:tcPr>
          <w:p w14:paraId="0A9A3883" w14:textId="76CE4E58"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13.95</w:t>
            </w:r>
          </w:p>
        </w:tc>
        <w:tc>
          <w:tcPr>
            <w:tcW w:w="851" w:type="dxa"/>
            <w:tcBorders>
              <w:top w:val="nil"/>
              <w:left w:val="nil"/>
              <w:bottom w:val="single" w:sz="4" w:space="0" w:color="009193"/>
              <w:right w:val="single" w:sz="4" w:space="0" w:color="009193"/>
            </w:tcBorders>
            <w:shd w:val="clear" w:color="000000" w:fill="FFFFFF"/>
            <w:noWrap/>
            <w:vAlign w:val="center"/>
            <w:hideMark/>
          </w:tcPr>
          <w:p w14:paraId="5976B36F" w14:textId="63A0704A"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13.70</w:t>
            </w:r>
          </w:p>
        </w:tc>
      </w:tr>
      <w:tr w:rsidR="00BD4AAA" w:rsidRPr="003B4919" w14:paraId="430C49C7" w14:textId="77777777" w:rsidTr="0078254D">
        <w:trPr>
          <w:gridAfter w:val="1"/>
          <w:wAfter w:w="6" w:type="dxa"/>
          <w:trHeight w:val="320"/>
        </w:trPr>
        <w:tc>
          <w:tcPr>
            <w:tcW w:w="1691" w:type="dxa"/>
            <w:tcBorders>
              <w:top w:val="nil"/>
              <w:left w:val="single" w:sz="4" w:space="0" w:color="009193"/>
              <w:bottom w:val="single" w:sz="4" w:space="0" w:color="009193"/>
              <w:right w:val="single" w:sz="4" w:space="0" w:color="009193"/>
            </w:tcBorders>
            <w:shd w:val="clear" w:color="auto" w:fill="auto"/>
            <w:noWrap/>
            <w:vAlign w:val="center"/>
            <w:hideMark/>
          </w:tcPr>
          <w:p w14:paraId="43D824EE" w14:textId="1D00BD7F"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Tower Hamlets</w:t>
            </w:r>
          </w:p>
        </w:tc>
        <w:tc>
          <w:tcPr>
            <w:tcW w:w="993" w:type="dxa"/>
            <w:tcBorders>
              <w:top w:val="nil"/>
              <w:left w:val="nil"/>
              <w:bottom w:val="single" w:sz="4" w:space="0" w:color="009193"/>
              <w:right w:val="single" w:sz="4" w:space="0" w:color="009193"/>
            </w:tcBorders>
            <w:shd w:val="clear" w:color="000000" w:fill="FFFFFF"/>
            <w:noWrap/>
            <w:vAlign w:val="center"/>
            <w:hideMark/>
          </w:tcPr>
          <w:p w14:paraId="560D862B" w14:textId="40727938"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10.62</w:t>
            </w:r>
          </w:p>
        </w:tc>
        <w:tc>
          <w:tcPr>
            <w:tcW w:w="1040" w:type="dxa"/>
            <w:tcBorders>
              <w:top w:val="nil"/>
              <w:left w:val="nil"/>
              <w:bottom w:val="single" w:sz="4" w:space="0" w:color="009193"/>
              <w:right w:val="single" w:sz="4" w:space="0" w:color="009193"/>
            </w:tcBorders>
            <w:shd w:val="clear" w:color="000000" w:fill="FFFFFF"/>
            <w:noWrap/>
            <w:vAlign w:val="center"/>
            <w:hideMark/>
          </w:tcPr>
          <w:p w14:paraId="5FE0F2F1" w14:textId="02A12925"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12.10</w:t>
            </w:r>
          </w:p>
        </w:tc>
        <w:tc>
          <w:tcPr>
            <w:tcW w:w="799" w:type="dxa"/>
            <w:tcBorders>
              <w:top w:val="nil"/>
              <w:left w:val="nil"/>
              <w:bottom w:val="single" w:sz="4" w:space="0" w:color="009193"/>
              <w:right w:val="single" w:sz="4" w:space="0" w:color="009193"/>
            </w:tcBorders>
            <w:shd w:val="clear" w:color="000000" w:fill="FFFFFF"/>
            <w:noWrap/>
            <w:vAlign w:val="center"/>
            <w:hideMark/>
          </w:tcPr>
          <w:p w14:paraId="53D4E0CA" w14:textId="7BB43513"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11.78</w:t>
            </w:r>
          </w:p>
        </w:tc>
        <w:tc>
          <w:tcPr>
            <w:tcW w:w="992" w:type="dxa"/>
            <w:tcBorders>
              <w:top w:val="nil"/>
              <w:left w:val="nil"/>
              <w:bottom w:val="single" w:sz="4" w:space="0" w:color="009193"/>
              <w:right w:val="single" w:sz="4" w:space="0" w:color="009193"/>
            </w:tcBorders>
            <w:shd w:val="clear" w:color="000000" w:fill="FFFFFF"/>
            <w:noWrap/>
            <w:vAlign w:val="center"/>
            <w:hideMark/>
          </w:tcPr>
          <w:p w14:paraId="28C08C09" w14:textId="4B65026E"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11.97</w:t>
            </w:r>
          </w:p>
        </w:tc>
        <w:tc>
          <w:tcPr>
            <w:tcW w:w="992" w:type="dxa"/>
            <w:gridSpan w:val="2"/>
            <w:tcBorders>
              <w:top w:val="nil"/>
              <w:left w:val="nil"/>
              <w:bottom w:val="single" w:sz="4" w:space="0" w:color="009193"/>
              <w:right w:val="single" w:sz="4" w:space="0" w:color="009193"/>
            </w:tcBorders>
            <w:shd w:val="clear" w:color="000000" w:fill="FFFFFF"/>
            <w:noWrap/>
            <w:vAlign w:val="center"/>
            <w:hideMark/>
          </w:tcPr>
          <w:p w14:paraId="7DC90943" w14:textId="7D1B0F59"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13.40</w:t>
            </w:r>
          </w:p>
        </w:tc>
        <w:tc>
          <w:tcPr>
            <w:tcW w:w="993" w:type="dxa"/>
            <w:tcBorders>
              <w:top w:val="nil"/>
              <w:left w:val="nil"/>
              <w:bottom w:val="single" w:sz="4" w:space="0" w:color="009193"/>
              <w:right w:val="single" w:sz="4" w:space="0" w:color="009193"/>
            </w:tcBorders>
            <w:shd w:val="clear" w:color="000000" w:fill="FFFFFF"/>
            <w:noWrap/>
            <w:vAlign w:val="center"/>
            <w:hideMark/>
          </w:tcPr>
          <w:p w14:paraId="247540EF" w14:textId="1228BDEC"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14.54</w:t>
            </w:r>
          </w:p>
        </w:tc>
        <w:tc>
          <w:tcPr>
            <w:tcW w:w="850" w:type="dxa"/>
            <w:tcBorders>
              <w:top w:val="nil"/>
              <w:left w:val="nil"/>
              <w:bottom w:val="single" w:sz="4" w:space="0" w:color="009193"/>
              <w:right w:val="single" w:sz="4" w:space="0" w:color="009193"/>
            </w:tcBorders>
            <w:shd w:val="clear" w:color="000000" w:fill="FFFFFF"/>
            <w:noWrap/>
            <w:vAlign w:val="center"/>
            <w:hideMark/>
          </w:tcPr>
          <w:p w14:paraId="4148D263" w14:textId="400AD27D"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14.21</w:t>
            </w:r>
          </w:p>
        </w:tc>
        <w:tc>
          <w:tcPr>
            <w:tcW w:w="851" w:type="dxa"/>
            <w:tcBorders>
              <w:top w:val="nil"/>
              <w:left w:val="nil"/>
              <w:bottom w:val="single" w:sz="4" w:space="0" w:color="009193"/>
              <w:right w:val="single" w:sz="4" w:space="0" w:color="009193"/>
            </w:tcBorders>
            <w:shd w:val="clear" w:color="000000" w:fill="FFFFFF"/>
            <w:noWrap/>
            <w:vAlign w:val="center"/>
            <w:hideMark/>
          </w:tcPr>
          <w:p w14:paraId="21BBF755" w14:textId="7A39D162"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14.51</w:t>
            </w:r>
          </w:p>
        </w:tc>
      </w:tr>
      <w:tr w:rsidR="00BD4AAA" w:rsidRPr="003B4919" w14:paraId="566BFCD5" w14:textId="77777777" w:rsidTr="0078254D">
        <w:trPr>
          <w:gridAfter w:val="1"/>
          <w:wAfter w:w="6" w:type="dxa"/>
          <w:trHeight w:val="320"/>
        </w:trPr>
        <w:tc>
          <w:tcPr>
            <w:tcW w:w="1691" w:type="dxa"/>
            <w:tcBorders>
              <w:top w:val="nil"/>
              <w:left w:val="single" w:sz="4" w:space="0" w:color="009193"/>
              <w:bottom w:val="single" w:sz="4" w:space="0" w:color="009193"/>
              <w:right w:val="single" w:sz="4" w:space="0" w:color="009193"/>
            </w:tcBorders>
            <w:shd w:val="clear" w:color="auto" w:fill="auto"/>
            <w:noWrap/>
            <w:vAlign w:val="center"/>
            <w:hideMark/>
          </w:tcPr>
          <w:p w14:paraId="49771F39" w14:textId="1722A3DA"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Croydon</w:t>
            </w:r>
          </w:p>
        </w:tc>
        <w:tc>
          <w:tcPr>
            <w:tcW w:w="993" w:type="dxa"/>
            <w:tcBorders>
              <w:top w:val="nil"/>
              <w:left w:val="nil"/>
              <w:bottom w:val="single" w:sz="4" w:space="0" w:color="009193"/>
              <w:right w:val="single" w:sz="4" w:space="0" w:color="009193"/>
            </w:tcBorders>
            <w:shd w:val="clear" w:color="000000" w:fill="FFFFFF"/>
            <w:noWrap/>
            <w:vAlign w:val="center"/>
            <w:hideMark/>
          </w:tcPr>
          <w:p w14:paraId="79F5B5EE" w14:textId="26F4906E"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10.40</w:t>
            </w:r>
          </w:p>
        </w:tc>
        <w:tc>
          <w:tcPr>
            <w:tcW w:w="1040" w:type="dxa"/>
            <w:tcBorders>
              <w:top w:val="nil"/>
              <w:left w:val="nil"/>
              <w:bottom w:val="single" w:sz="4" w:space="0" w:color="009193"/>
              <w:right w:val="single" w:sz="4" w:space="0" w:color="009193"/>
            </w:tcBorders>
            <w:shd w:val="clear" w:color="000000" w:fill="FFFFFF"/>
            <w:noWrap/>
            <w:vAlign w:val="center"/>
            <w:hideMark/>
          </w:tcPr>
          <w:p w14:paraId="62515EB3" w14:textId="0F558236"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11.96</w:t>
            </w:r>
          </w:p>
        </w:tc>
        <w:tc>
          <w:tcPr>
            <w:tcW w:w="799" w:type="dxa"/>
            <w:tcBorders>
              <w:top w:val="nil"/>
              <w:left w:val="nil"/>
              <w:bottom w:val="single" w:sz="4" w:space="0" w:color="009193"/>
              <w:right w:val="single" w:sz="4" w:space="0" w:color="009193"/>
            </w:tcBorders>
            <w:shd w:val="clear" w:color="000000" w:fill="FFFFFF"/>
            <w:noWrap/>
            <w:vAlign w:val="center"/>
            <w:hideMark/>
          </w:tcPr>
          <w:p w14:paraId="66AAE0F3" w14:textId="5E711893"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12.32</w:t>
            </w:r>
          </w:p>
        </w:tc>
        <w:tc>
          <w:tcPr>
            <w:tcW w:w="992" w:type="dxa"/>
            <w:tcBorders>
              <w:top w:val="nil"/>
              <w:left w:val="nil"/>
              <w:bottom w:val="single" w:sz="4" w:space="0" w:color="009193"/>
              <w:right w:val="single" w:sz="4" w:space="0" w:color="009193"/>
            </w:tcBorders>
            <w:shd w:val="clear" w:color="000000" w:fill="FFFFFF"/>
            <w:noWrap/>
            <w:vAlign w:val="center"/>
            <w:hideMark/>
          </w:tcPr>
          <w:p w14:paraId="4484C802" w14:textId="33C899C4"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11.52</w:t>
            </w:r>
          </w:p>
        </w:tc>
        <w:tc>
          <w:tcPr>
            <w:tcW w:w="992" w:type="dxa"/>
            <w:gridSpan w:val="2"/>
            <w:tcBorders>
              <w:top w:val="nil"/>
              <w:left w:val="nil"/>
              <w:bottom w:val="single" w:sz="4" w:space="0" w:color="009193"/>
              <w:right w:val="single" w:sz="4" w:space="0" w:color="009193"/>
            </w:tcBorders>
            <w:shd w:val="clear" w:color="000000" w:fill="FFFFFF"/>
            <w:noWrap/>
            <w:vAlign w:val="center"/>
            <w:hideMark/>
          </w:tcPr>
          <w:p w14:paraId="34F9C6A0" w14:textId="31BFD04B"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10.24</w:t>
            </w:r>
          </w:p>
        </w:tc>
        <w:tc>
          <w:tcPr>
            <w:tcW w:w="993" w:type="dxa"/>
            <w:tcBorders>
              <w:top w:val="nil"/>
              <w:left w:val="nil"/>
              <w:bottom w:val="single" w:sz="4" w:space="0" w:color="009193"/>
              <w:right w:val="single" w:sz="4" w:space="0" w:color="009193"/>
            </w:tcBorders>
            <w:shd w:val="clear" w:color="000000" w:fill="FFFFFF"/>
            <w:noWrap/>
            <w:vAlign w:val="center"/>
            <w:hideMark/>
          </w:tcPr>
          <w:p w14:paraId="6D45B00E" w14:textId="26A689CA"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10.88</w:t>
            </w:r>
          </w:p>
        </w:tc>
        <w:tc>
          <w:tcPr>
            <w:tcW w:w="850" w:type="dxa"/>
            <w:tcBorders>
              <w:top w:val="nil"/>
              <w:left w:val="nil"/>
              <w:bottom w:val="single" w:sz="4" w:space="0" w:color="009193"/>
              <w:right w:val="single" w:sz="4" w:space="0" w:color="009193"/>
            </w:tcBorders>
            <w:shd w:val="clear" w:color="000000" w:fill="FFFFFF"/>
            <w:noWrap/>
            <w:vAlign w:val="center"/>
            <w:hideMark/>
          </w:tcPr>
          <w:p w14:paraId="257FF150" w14:textId="5E00DB3B"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12.12</w:t>
            </w:r>
          </w:p>
        </w:tc>
        <w:tc>
          <w:tcPr>
            <w:tcW w:w="851" w:type="dxa"/>
            <w:tcBorders>
              <w:top w:val="nil"/>
              <w:left w:val="nil"/>
              <w:bottom w:val="single" w:sz="4" w:space="0" w:color="009193"/>
              <w:right w:val="single" w:sz="4" w:space="0" w:color="009193"/>
            </w:tcBorders>
            <w:shd w:val="clear" w:color="000000" w:fill="FFFFFF"/>
            <w:noWrap/>
            <w:vAlign w:val="center"/>
            <w:hideMark/>
          </w:tcPr>
          <w:p w14:paraId="38595704" w14:textId="61E73FE5"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11.54</w:t>
            </w:r>
          </w:p>
        </w:tc>
      </w:tr>
      <w:tr w:rsidR="00BD4AAA" w:rsidRPr="003B4919" w14:paraId="4C52562B" w14:textId="77777777" w:rsidTr="0078254D">
        <w:trPr>
          <w:gridAfter w:val="1"/>
          <w:wAfter w:w="6" w:type="dxa"/>
          <w:trHeight w:val="320"/>
        </w:trPr>
        <w:tc>
          <w:tcPr>
            <w:tcW w:w="1691" w:type="dxa"/>
            <w:tcBorders>
              <w:top w:val="nil"/>
              <w:left w:val="single" w:sz="4" w:space="0" w:color="009193"/>
              <w:bottom w:val="single" w:sz="4" w:space="0" w:color="009193"/>
              <w:right w:val="single" w:sz="4" w:space="0" w:color="009193"/>
            </w:tcBorders>
            <w:shd w:val="clear" w:color="auto" w:fill="auto"/>
            <w:noWrap/>
            <w:vAlign w:val="center"/>
            <w:hideMark/>
          </w:tcPr>
          <w:p w14:paraId="07CF630E" w14:textId="7F8B2FBF"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South East</w:t>
            </w:r>
          </w:p>
        </w:tc>
        <w:tc>
          <w:tcPr>
            <w:tcW w:w="993" w:type="dxa"/>
            <w:tcBorders>
              <w:top w:val="nil"/>
              <w:left w:val="nil"/>
              <w:bottom w:val="single" w:sz="4" w:space="0" w:color="009193"/>
              <w:right w:val="single" w:sz="4" w:space="0" w:color="009193"/>
            </w:tcBorders>
            <w:shd w:val="clear" w:color="000000" w:fill="FFFFFF"/>
            <w:noWrap/>
            <w:vAlign w:val="center"/>
            <w:hideMark/>
          </w:tcPr>
          <w:p w14:paraId="3A17C43D" w14:textId="19B3A062"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9.34</w:t>
            </w:r>
          </w:p>
        </w:tc>
        <w:tc>
          <w:tcPr>
            <w:tcW w:w="1040" w:type="dxa"/>
            <w:tcBorders>
              <w:top w:val="nil"/>
              <w:left w:val="nil"/>
              <w:bottom w:val="single" w:sz="4" w:space="0" w:color="009193"/>
              <w:right w:val="single" w:sz="4" w:space="0" w:color="009193"/>
            </w:tcBorders>
            <w:shd w:val="clear" w:color="000000" w:fill="FFFFFF"/>
            <w:noWrap/>
            <w:vAlign w:val="center"/>
            <w:hideMark/>
          </w:tcPr>
          <w:p w14:paraId="3CD01BD2" w14:textId="1B1C9BF5"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10.08</w:t>
            </w:r>
          </w:p>
        </w:tc>
        <w:tc>
          <w:tcPr>
            <w:tcW w:w="799" w:type="dxa"/>
            <w:tcBorders>
              <w:top w:val="nil"/>
              <w:left w:val="nil"/>
              <w:bottom w:val="single" w:sz="4" w:space="0" w:color="009193"/>
              <w:right w:val="single" w:sz="4" w:space="0" w:color="009193"/>
            </w:tcBorders>
            <w:shd w:val="clear" w:color="000000" w:fill="FFFFFF"/>
            <w:noWrap/>
            <w:vAlign w:val="center"/>
            <w:hideMark/>
          </w:tcPr>
          <w:p w14:paraId="16C821F5" w14:textId="3397BD01"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10.61</w:t>
            </w:r>
          </w:p>
        </w:tc>
        <w:tc>
          <w:tcPr>
            <w:tcW w:w="992" w:type="dxa"/>
            <w:tcBorders>
              <w:top w:val="nil"/>
              <w:left w:val="nil"/>
              <w:bottom w:val="single" w:sz="4" w:space="0" w:color="009193"/>
              <w:right w:val="single" w:sz="4" w:space="0" w:color="009193"/>
            </w:tcBorders>
            <w:shd w:val="clear" w:color="000000" w:fill="FFFFFF"/>
            <w:noWrap/>
            <w:vAlign w:val="center"/>
            <w:hideMark/>
          </w:tcPr>
          <w:p w14:paraId="16CB5F3E" w14:textId="5F3A8F4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10.81</w:t>
            </w:r>
          </w:p>
        </w:tc>
        <w:tc>
          <w:tcPr>
            <w:tcW w:w="992" w:type="dxa"/>
            <w:gridSpan w:val="2"/>
            <w:tcBorders>
              <w:top w:val="nil"/>
              <w:left w:val="nil"/>
              <w:bottom w:val="single" w:sz="4" w:space="0" w:color="009193"/>
              <w:right w:val="single" w:sz="4" w:space="0" w:color="009193"/>
            </w:tcBorders>
            <w:shd w:val="clear" w:color="000000" w:fill="FFFFFF"/>
            <w:noWrap/>
            <w:vAlign w:val="center"/>
            <w:hideMark/>
          </w:tcPr>
          <w:p w14:paraId="13117996" w14:textId="64976E4F"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9.05</w:t>
            </w:r>
          </w:p>
        </w:tc>
        <w:tc>
          <w:tcPr>
            <w:tcW w:w="993" w:type="dxa"/>
            <w:tcBorders>
              <w:top w:val="nil"/>
              <w:left w:val="nil"/>
              <w:bottom w:val="single" w:sz="4" w:space="0" w:color="009193"/>
              <w:right w:val="single" w:sz="4" w:space="0" w:color="009193"/>
            </w:tcBorders>
            <w:shd w:val="clear" w:color="000000" w:fill="FFFFFF"/>
            <w:noWrap/>
            <w:vAlign w:val="center"/>
            <w:hideMark/>
          </w:tcPr>
          <w:p w14:paraId="20721B7A" w14:textId="206FAC89"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9.82</w:t>
            </w:r>
          </w:p>
        </w:tc>
        <w:tc>
          <w:tcPr>
            <w:tcW w:w="850" w:type="dxa"/>
            <w:tcBorders>
              <w:top w:val="nil"/>
              <w:left w:val="nil"/>
              <w:bottom w:val="single" w:sz="4" w:space="0" w:color="009193"/>
              <w:right w:val="single" w:sz="4" w:space="0" w:color="009193"/>
            </w:tcBorders>
            <w:shd w:val="clear" w:color="000000" w:fill="FFFFFF"/>
            <w:noWrap/>
            <w:vAlign w:val="center"/>
            <w:hideMark/>
          </w:tcPr>
          <w:p w14:paraId="5494E2B2" w14:textId="773AC375"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10.30</w:t>
            </w:r>
          </w:p>
        </w:tc>
        <w:tc>
          <w:tcPr>
            <w:tcW w:w="851" w:type="dxa"/>
            <w:tcBorders>
              <w:top w:val="nil"/>
              <w:left w:val="nil"/>
              <w:bottom w:val="single" w:sz="4" w:space="0" w:color="009193"/>
              <w:right w:val="single" w:sz="4" w:space="0" w:color="009193"/>
            </w:tcBorders>
            <w:shd w:val="clear" w:color="000000" w:fill="FFFFFF"/>
            <w:noWrap/>
            <w:vAlign w:val="center"/>
            <w:hideMark/>
          </w:tcPr>
          <w:p w14:paraId="6EC9BC86" w14:textId="2469487B"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10.51</w:t>
            </w:r>
          </w:p>
        </w:tc>
      </w:tr>
      <w:tr w:rsidR="00BD4AAA" w:rsidRPr="003B4919" w14:paraId="0AE4D5A8" w14:textId="77777777" w:rsidTr="0078254D">
        <w:trPr>
          <w:gridAfter w:val="1"/>
          <w:wAfter w:w="6" w:type="dxa"/>
          <w:trHeight w:val="320"/>
        </w:trPr>
        <w:tc>
          <w:tcPr>
            <w:tcW w:w="1691" w:type="dxa"/>
            <w:tcBorders>
              <w:top w:val="nil"/>
              <w:left w:val="single" w:sz="4" w:space="0" w:color="009193"/>
              <w:bottom w:val="single" w:sz="4" w:space="0" w:color="009193"/>
              <w:right w:val="single" w:sz="4" w:space="0" w:color="009193"/>
            </w:tcBorders>
            <w:shd w:val="clear" w:color="auto" w:fill="auto"/>
            <w:noWrap/>
            <w:vAlign w:val="center"/>
            <w:hideMark/>
          </w:tcPr>
          <w:p w14:paraId="0DC08245" w14:textId="760E5C97"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England</w:t>
            </w:r>
          </w:p>
        </w:tc>
        <w:tc>
          <w:tcPr>
            <w:tcW w:w="993" w:type="dxa"/>
            <w:tcBorders>
              <w:top w:val="nil"/>
              <w:left w:val="nil"/>
              <w:bottom w:val="single" w:sz="4" w:space="0" w:color="009193"/>
              <w:right w:val="single" w:sz="4" w:space="0" w:color="009193"/>
            </w:tcBorders>
            <w:shd w:val="clear" w:color="000000" w:fill="FFFFFF"/>
            <w:noWrap/>
            <w:vAlign w:val="center"/>
            <w:hideMark/>
          </w:tcPr>
          <w:p w14:paraId="2D5251F5" w14:textId="2002F8C1"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7.11</w:t>
            </w:r>
          </w:p>
        </w:tc>
        <w:tc>
          <w:tcPr>
            <w:tcW w:w="1040" w:type="dxa"/>
            <w:tcBorders>
              <w:top w:val="nil"/>
              <w:left w:val="nil"/>
              <w:bottom w:val="single" w:sz="4" w:space="0" w:color="009193"/>
              <w:right w:val="single" w:sz="4" w:space="0" w:color="009193"/>
            </w:tcBorders>
            <w:shd w:val="clear" w:color="000000" w:fill="FFFFFF"/>
            <w:noWrap/>
            <w:vAlign w:val="center"/>
            <w:hideMark/>
          </w:tcPr>
          <w:p w14:paraId="4A1EE305" w14:textId="2D0DCD2B"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7.16</w:t>
            </w:r>
          </w:p>
        </w:tc>
        <w:tc>
          <w:tcPr>
            <w:tcW w:w="799" w:type="dxa"/>
            <w:tcBorders>
              <w:top w:val="nil"/>
              <w:left w:val="nil"/>
              <w:bottom w:val="single" w:sz="4" w:space="0" w:color="009193"/>
              <w:right w:val="single" w:sz="4" w:space="0" w:color="009193"/>
            </w:tcBorders>
            <w:shd w:val="clear" w:color="000000" w:fill="FFFFFF"/>
            <w:noWrap/>
            <w:vAlign w:val="center"/>
            <w:hideMark/>
          </w:tcPr>
          <w:p w14:paraId="1DF80771" w14:textId="0584C849"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7.26</w:t>
            </w:r>
          </w:p>
        </w:tc>
        <w:tc>
          <w:tcPr>
            <w:tcW w:w="992" w:type="dxa"/>
            <w:tcBorders>
              <w:top w:val="nil"/>
              <w:left w:val="nil"/>
              <w:bottom w:val="single" w:sz="4" w:space="0" w:color="009193"/>
              <w:right w:val="single" w:sz="4" w:space="0" w:color="009193"/>
            </w:tcBorders>
            <w:shd w:val="clear" w:color="000000" w:fill="FFFFFF"/>
            <w:noWrap/>
            <w:vAlign w:val="center"/>
            <w:hideMark/>
          </w:tcPr>
          <w:p w14:paraId="4F423E9C" w14:textId="52044DF1"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7.29</w:t>
            </w:r>
          </w:p>
        </w:tc>
        <w:tc>
          <w:tcPr>
            <w:tcW w:w="992" w:type="dxa"/>
            <w:gridSpan w:val="2"/>
            <w:tcBorders>
              <w:top w:val="nil"/>
              <w:left w:val="nil"/>
              <w:bottom w:val="single" w:sz="4" w:space="0" w:color="009193"/>
              <w:right w:val="single" w:sz="4" w:space="0" w:color="009193"/>
            </w:tcBorders>
            <w:shd w:val="clear" w:color="000000" w:fill="FFFFFF"/>
            <w:noWrap/>
            <w:vAlign w:val="center"/>
            <w:hideMark/>
          </w:tcPr>
          <w:p w14:paraId="3B68C83B" w14:textId="0A2F03F3"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7.11</w:t>
            </w:r>
          </w:p>
        </w:tc>
        <w:tc>
          <w:tcPr>
            <w:tcW w:w="993" w:type="dxa"/>
            <w:tcBorders>
              <w:top w:val="nil"/>
              <w:left w:val="nil"/>
              <w:bottom w:val="single" w:sz="4" w:space="0" w:color="009193"/>
              <w:right w:val="single" w:sz="4" w:space="0" w:color="009193"/>
            </w:tcBorders>
            <w:shd w:val="clear" w:color="000000" w:fill="FFFFFF"/>
            <w:noWrap/>
            <w:vAlign w:val="center"/>
            <w:hideMark/>
          </w:tcPr>
          <w:p w14:paraId="3DD645F1" w14:textId="48B73C3F"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7.16</w:t>
            </w:r>
          </w:p>
        </w:tc>
        <w:tc>
          <w:tcPr>
            <w:tcW w:w="850" w:type="dxa"/>
            <w:tcBorders>
              <w:top w:val="nil"/>
              <w:left w:val="nil"/>
              <w:bottom w:val="single" w:sz="4" w:space="0" w:color="009193"/>
              <w:right w:val="single" w:sz="4" w:space="0" w:color="009193"/>
            </w:tcBorders>
            <w:shd w:val="clear" w:color="000000" w:fill="FFFFFF"/>
            <w:noWrap/>
            <w:vAlign w:val="center"/>
            <w:hideMark/>
          </w:tcPr>
          <w:p w14:paraId="60460577" w14:textId="388F14DA"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7.26</w:t>
            </w:r>
          </w:p>
        </w:tc>
        <w:tc>
          <w:tcPr>
            <w:tcW w:w="851" w:type="dxa"/>
            <w:tcBorders>
              <w:top w:val="nil"/>
              <w:left w:val="nil"/>
              <w:bottom w:val="single" w:sz="4" w:space="0" w:color="009193"/>
              <w:right w:val="single" w:sz="4" w:space="0" w:color="009193"/>
            </w:tcBorders>
            <w:shd w:val="clear" w:color="000000" w:fill="FFFFFF"/>
            <w:noWrap/>
            <w:vAlign w:val="center"/>
            <w:hideMark/>
          </w:tcPr>
          <w:p w14:paraId="794C9B0A" w14:textId="641FD279"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7.29</w:t>
            </w:r>
          </w:p>
        </w:tc>
      </w:tr>
    </w:tbl>
    <w:p w14:paraId="307A7851" w14:textId="1444F7ED" w:rsidR="00582767" w:rsidRPr="0067297E" w:rsidRDefault="00582767" w:rsidP="00BD4AAA">
      <w:pPr>
        <w:pStyle w:val="Maintext"/>
        <w:numPr>
          <w:ilvl w:val="0"/>
          <w:numId w:val="0"/>
        </w:numPr>
        <w:rPr>
          <w:rFonts w:asciiTheme="minorHAnsi" w:hAnsiTheme="minorHAnsi" w:cs="Calibri"/>
          <w:lang w:val="en-GB"/>
        </w:rPr>
      </w:pPr>
      <w:r w:rsidRPr="0067297E">
        <w:rPr>
          <w:rFonts w:asciiTheme="minorHAnsi" w:hAnsiTheme="minorHAnsi" w:cs="Calibri"/>
          <w:sz w:val="20"/>
          <w:szCs w:val="20"/>
        </w:rPr>
        <w:t xml:space="preserve">Sources: </w:t>
      </w:r>
      <w:r w:rsidR="00261F1D" w:rsidRPr="0067297E">
        <w:rPr>
          <w:rFonts w:asciiTheme="minorHAnsi" w:hAnsiTheme="minorHAnsi" w:cs="Calibri"/>
          <w:sz w:val="20"/>
          <w:szCs w:val="20"/>
          <w:lang w:val="en-GB"/>
        </w:rPr>
        <w:t xml:space="preserve">ONS Ratio of house price to </w:t>
      </w:r>
      <w:r w:rsidR="00BD4AAA" w:rsidRPr="0067297E">
        <w:rPr>
          <w:rFonts w:asciiTheme="minorHAnsi" w:hAnsiTheme="minorHAnsi" w:cs="Calibri"/>
          <w:sz w:val="20"/>
          <w:szCs w:val="20"/>
          <w:lang w:val="en-GB"/>
        </w:rPr>
        <w:t xml:space="preserve">workplace and </w:t>
      </w:r>
      <w:r w:rsidR="00261F1D" w:rsidRPr="0067297E">
        <w:rPr>
          <w:rFonts w:asciiTheme="minorHAnsi" w:hAnsiTheme="minorHAnsi" w:cs="Calibri"/>
          <w:sz w:val="20"/>
          <w:szCs w:val="20"/>
          <w:lang w:val="en-GB"/>
        </w:rPr>
        <w:t>residence-based earnings</w:t>
      </w:r>
    </w:p>
    <w:p w14:paraId="65669543" w14:textId="77777777" w:rsidR="00582767" w:rsidRPr="0067297E" w:rsidRDefault="00582767" w:rsidP="00543A76">
      <w:pPr>
        <w:rPr>
          <w:rFonts w:asciiTheme="minorHAnsi" w:hAnsiTheme="minorHAnsi" w:cs="Calibri"/>
        </w:rPr>
      </w:pPr>
    </w:p>
    <w:p w14:paraId="2B792360" w14:textId="50FB3FF0" w:rsidR="00582767" w:rsidRPr="0067297E" w:rsidRDefault="005E1ED0" w:rsidP="00543A76">
      <w:pPr>
        <w:pStyle w:val="Reporttext"/>
        <w:rPr>
          <w:rFonts w:asciiTheme="minorHAnsi" w:hAnsiTheme="minorHAnsi" w:cs="Calibri"/>
        </w:rPr>
      </w:pPr>
      <w:r w:rsidRPr="0067297E">
        <w:rPr>
          <w:rFonts w:asciiTheme="minorHAnsi" w:hAnsiTheme="minorHAnsi" w:cs="Calibri"/>
          <w:lang w:val="en-GB"/>
        </w:rPr>
        <w:t>I</w:t>
      </w:r>
      <w:r w:rsidR="00582767" w:rsidRPr="0067297E">
        <w:rPr>
          <w:rFonts w:asciiTheme="minorHAnsi" w:hAnsiTheme="minorHAnsi" w:cs="Calibri"/>
        </w:rPr>
        <w:t>n terms of relative affordability based on median prices</w:t>
      </w:r>
      <w:r w:rsidR="0078254D" w:rsidRPr="0067297E">
        <w:rPr>
          <w:rFonts w:asciiTheme="minorHAnsi" w:hAnsiTheme="minorHAnsi" w:cs="Calibri"/>
          <w:lang w:val="en-US"/>
        </w:rPr>
        <w:t xml:space="preserve"> (Table 3.5)</w:t>
      </w:r>
      <w:r w:rsidR="00582767" w:rsidRPr="0067297E">
        <w:rPr>
          <w:rFonts w:asciiTheme="minorHAnsi" w:hAnsiTheme="minorHAnsi" w:cs="Calibri"/>
        </w:rPr>
        <w:t xml:space="preserve">, </w:t>
      </w:r>
      <w:r w:rsidR="00FC2076" w:rsidRPr="0067297E">
        <w:rPr>
          <w:rFonts w:asciiTheme="minorHAnsi" w:hAnsiTheme="minorHAnsi" w:cs="Calibri"/>
        </w:rPr>
        <w:t xml:space="preserve">the Borough of </w:t>
      </w:r>
      <w:r w:rsidR="00F424EA" w:rsidRPr="0067297E">
        <w:rPr>
          <w:rFonts w:asciiTheme="minorHAnsi" w:hAnsiTheme="minorHAnsi" w:cs="Calibri"/>
          <w:lang w:val="en-GB"/>
        </w:rPr>
        <w:t>Lewisham</w:t>
      </w:r>
      <w:r w:rsidR="00A25EA0" w:rsidRPr="0067297E">
        <w:rPr>
          <w:rFonts w:asciiTheme="minorHAnsi" w:hAnsiTheme="minorHAnsi" w:cs="Calibri"/>
          <w:lang w:val="en-GB"/>
        </w:rPr>
        <w:t xml:space="preserve"> </w:t>
      </w:r>
      <w:r w:rsidRPr="0067297E">
        <w:rPr>
          <w:rFonts w:asciiTheme="minorHAnsi" w:hAnsiTheme="minorHAnsi" w:cs="Calibri"/>
          <w:lang w:val="en-GB"/>
        </w:rPr>
        <w:t>had</w:t>
      </w:r>
      <w:r w:rsidR="00582767" w:rsidRPr="0067297E">
        <w:rPr>
          <w:rFonts w:asciiTheme="minorHAnsi" w:hAnsiTheme="minorHAnsi" w:cs="Calibri"/>
        </w:rPr>
        <w:t xml:space="preserve"> a median </w:t>
      </w:r>
      <w:r w:rsidR="0078254D" w:rsidRPr="0067297E">
        <w:rPr>
          <w:rFonts w:asciiTheme="minorHAnsi" w:hAnsiTheme="minorHAnsi" w:cs="Calibri"/>
          <w:lang w:val="en-US"/>
        </w:rPr>
        <w:t xml:space="preserve">work-place based </w:t>
      </w:r>
      <w:r w:rsidR="00582767" w:rsidRPr="0067297E">
        <w:rPr>
          <w:rFonts w:asciiTheme="minorHAnsi" w:hAnsiTheme="minorHAnsi" w:cs="Calibri"/>
        </w:rPr>
        <w:t xml:space="preserve">income to house price ratio </w:t>
      </w:r>
      <w:r w:rsidR="001920D7" w:rsidRPr="0067297E">
        <w:rPr>
          <w:rFonts w:asciiTheme="minorHAnsi" w:hAnsiTheme="minorHAnsi" w:cs="Calibri"/>
          <w:lang w:val="en-GB"/>
        </w:rPr>
        <w:t>in 201</w:t>
      </w:r>
      <w:r w:rsidR="0078254D" w:rsidRPr="0067297E">
        <w:rPr>
          <w:rFonts w:asciiTheme="minorHAnsi" w:hAnsiTheme="minorHAnsi" w:cs="Calibri"/>
          <w:lang w:val="en-GB"/>
        </w:rPr>
        <w:t>8</w:t>
      </w:r>
      <w:r w:rsidR="001920D7" w:rsidRPr="0067297E">
        <w:rPr>
          <w:rFonts w:asciiTheme="minorHAnsi" w:hAnsiTheme="minorHAnsi" w:cs="Calibri"/>
          <w:lang w:val="en-GB"/>
        </w:rPr>
        <w:t xml:space="preserve"> </w:t>
      </w:r>
      <w:r w:rsidR="00582767" w:rsidRPr="0067297E">
        <w:rPr>
          <w:rFonts w:asciiTheme="minorHAnsi" w:hAnsiTheme="minorHAnsi" w:cs="Calibri"/>
        </w:rPr>
        <w:t xml:space="preserve">of </w:t>
      </w:r>
      <w:r w:rsidR="0078254D" w:rsidRPr="0067297E">
        <w:rPr>
          <w:rFonts w:asciiTheme="minorHAnsi" w:hAnsiTheme="minorHAnsi" w:cs="Calibri"/>
          <w:lang w:val="en-GB"/>
        </w:rPr>
        <w:t>13.94</w:t>
      </w:r>
      <w:r w:rsidR="00582767" w:rsidRPr="0067297E">
        <w:rPr>
          <w:rFonts w:asciiTheme="minorHAnsi" w:hAnsiTheme="minorHAnsi" w:cs="Calibri"/>
        </w:rPr>
        <w:t>.</w:t>
      </w:r>
      <w:r w:rsidR="0078254D" w:rsidRPr="0067297E">
        <w:rPr>
          <w:rFonts w:asciiTheme="minorHAnsi" w:hAnsiTheme="minorHAnsi" w:cs="Calibri"/>
          <w:lang w:val="en-US"/>
        </w:rPr>
        <w:t xml:space="preserve"> </w:t>
      </w:r>
      <w:r w:rsidR="00E17B06" w:rsidRPr="0067297E">
        <w:rPr>
          <w:rFonts w:asciiTheme="minorHAnsi" w:hAnsiTheme="minorHAnsi" w:cs="Calibri"/>
          <w:lang w:val="en-GB"/>
        </w:rPr>
        <w:t xml:space="preserve"> </w:t>
      </w:r>
      <w:r w:rsidRPr="0067297E">
        <w:rPr>
          <w:rFonts w:asciiTheme="minorHAnsi" w:hAnsiTheme="minorHAnsi" w:cs="Calibri"/>
          <w:lang w:val="en-GB"/>
        </w:rPr>
        <w:t xml:space="preserve">Based on median ratios, the Borough of Lewisham was </w:t>
      </w:r>
      <w:r w:rsidR="0078254D" w:rsidRPr="0067297E">
        <w:rPr>
          <w:rFonts w:asciiTheme="minorHAnsi" w:hAnsiTheme="minorHAnsi" w:cs="Calibri"/>
          <w:lang w:val="en-GB"/>
        </w:rPr>
        <w:t>relatively more</w:t>
      </w:r>
      <w:r w:rsidR="002606F1" w:rsidRPr="0067297E">
        <w:rPr>
          <w:rFonts w:asciiTheme="minorHAnsi" w:hAnsiTheme="minorHAnsi" w:cs="Calibri"/>
          <w:lang w:val="en-GB"/>
        </w:rPr>
        <w:t xml:space="preserve"> affordable than Lambeth and Bromley; and </w:t>
      </w:r>
      <w:r w:rsidR="0078254D" w:rsidRPr="0067297E">
        <w:rPr>
          <w:rFonts w:asciiTheme="minorHAnsi" w:hAnsiTheme="minorHAnsi" w:cs="Calibri"/>
          <w:lang w:val="en-GB"/>
        </w:rPr>
        <w:t>less</w:t>
      </w:r>
      <w:r w:rsidR="002606F1" w:rsidRPr="0067297E">
        <w:rPr>
          <w:rFonts w:asciiTheme="minorHAnsi" w:hAnsiTheme="minorHAnsi" w:cs="Calibri"/>
          <w:lang w:val="en-GB"/>
        </w:rPr>
        <w:t xml:space="preserve"> affordable than </w:t>
      </w:r>
      <w:r w:rsidRPr="0067297E">
        <w:rPr>
          <w:rFonts w:asciiTheme="minorHAnsi" w:hAnsiTheme="minorHAnsi" w:cs="Calibri"/>
          <w:lang w:val="en-GB"/>
        </w:rPr>
        <w:t xml:space="preserve">Southwark, Greenwich, </w:t>
      </w:r>
      <w:r w:rsidR="002606F1" w:rsidRPr="0067297E">
        <w:rPr>
          <w:rFonts w:asciiTheme="minorHAnsi" w:hAnsiTheme="minorHAnsi" w:cs="Calibri"/>
          <w:lang w:val="en-GB"/>
        </w:rPr>
        <w:t xml:space="preserve">Croydon, </w:t>
      </w:r>
      <w:r w:rsidRPr="0067297E">
        <w:rPr>
          <w:rFonts w:asciiTheme="minorHAnsi" w:hAnsiTheme="minorHAnsi" w:cs="Calibri"/>
          <w:lang w:val="en-GB"/>
        </w:rPr>
        <w:t>Tower Hamlets and London</w:t>
      </w:r>
      <w:r w:rsidR="0078254D" w:rsidRPr="0067297E">
        <w:rPr>
          <w:rFonts w:asciiTheme="minorHAnsi" w:hAnsiTheme="minorHAnsi" w:cs="Calibri"/>
          <w:lang w:val="en-GB"/>
        </w:rPr>
        <w:t xml:space="preserve"> overall</w:t>
      </w:r>
      <w:r w:rsidRPr="0067297E">
        <w:rPr>
          <w:rFonts w:asciiTheme="minorHAnsi" w:hAnsiTheme="minorHAnsi" w:cs="Calibri"/>
          <w:lang w:val="en-GB"/>
        </w:rPr>
        <w:t>, the South East region and England</w:t>
      </w:r>
      <w:r w:rsidR="002606F1" w:rsidRPr="0067297E">
        <w:rPr>
          <w:rFonts w:asciiTheme="minorHAnsi" w:hAnsiTheme="minorHAnsi" w:cs="Calibri"/>
          <w:lang w:val="en-GB"/>
        </w:rPr>
        <w:t>.</w:t>
      </w:r>
    </w:p>
    <w:p w14:paraId="4AB1C638" w14:textId="4CB3E7E2" w:rsidR="003C469F" w:rsidRDefault="003C469F">
      <w:pPr>
        <w:rPr>
          <w:rFonts w:asciiTheme="minorHAnsi" w:hAnsiTheme="minorHAnsi" w:cs="Calibri"/>
        </w:rPr>
      </w:pPr>
    </w:p>
    <w:p w14:paraId="2CD3B1A1" w14:textId="50522FE0" w:rsidR="003B4919" w:rsidRDefault="003B4919">
      <w:pPr>
        <w:rPr>
          <w:rFonts w:asciiTheme="minorHAnsi" w:hAnsiTheme="minorHAnsi" w:cs="Calibri"/>
        </w:rPr>
      </w:pPr>
      <w:r>
        <w:rPr>
          <w:rFonts w:asciiTheme="minorHAnsi" w:hAnsiTheme="minorHAnsi" w:cs="Calibri"/>
        </w:rPr>
        <w:br w:type="page"/>
      </w:r>
    </w:p>
    <w:tbl>
      <w:tblPr>
        <w:tblW w:w="5000" w:type="pct"/>
        <w:tblLook w:val="04A0" w:firstRow="1" w:lastRow="0" w:firstColumn="1" w:lastColumn="0" w:noHBand="0" w:noVBand="1"/>
      </w:tblPr>
      <w:tblGrid>
        <w:gridCol w:w="2233"/>
        <w:gridCol w:w="947"/>
        <w:gridCol w:w="798"/>
        <w:gridCol w:w="932"/>
        <w:gridCol w:w="934"/>
        <w:gridCol w:w="798"/>
        <w:gridCol w:w="798"/>
        <w:gridCol w:w="798"/>
        <w:gridCol w:w="932"/>
      </w:tblGrid>
      <w:tr w:rsidR="00BD4AAA" w:rsidRPr="003B4919" w14:paraId="1A953DC4" w14:textId="77777777" w:rsidTr="00FF4E2D">
        <w:trPr>
          <w:trHeight w:val="340"/>
          <w:tblHeader/>
        </w:trPr>
        <w:tc>
          <w:tcPr>
            <w:tcW w:w="5000" w:type="pct"/>
            <w:gridSpan w:val="9"/>
            <w:tcBorders>
              <w:top w:val="single" w:sz="8" w:space="0" w:color="006666"/>
              <w:left w:val="single" w:sz="8" w:space="0" w:color="006666"/>
              <w:bottom w:val="single" w:sz="8" w:space="0" w:color="006666"/>
              <w:right w:val="single" w:sz="8" w:space="0" w:color="006666"/>
            </w:tcBorders>
            <w:shd w:val="clear" w:color="000000" w:fill="009999"/>
            <w:vAlign w:val="center"/>
            <w:hideMark/>
          </w:tcPr>
          <w:p w14:paraId="575CB4E9" w14:textId="61227C6B" w:rsidR="00BD4AAA" w:rsidRPr="003B4919" w:rsidRDefault="00BD4AAA" w:rsidP="00BE3A87">
            <w:pPr>
              <w:pStyle w:val="tableheading"/>
              <w:rPr>
                <w:rFonts w:asciiTheme="minorHAnsi" w:hAnsiTheme="minorHAnsi"/>
                <w:szCs w:val="22"/>
              </w:rPr>
            </w:pPr>
            <w:bookmarkStart w:id="182" w:name="_Toc23151146"/>
            <w:bookmarkStart w:id="183" w:name="RANGE!A34"/>
            <w:r w:rsidRPr="003B4919">
              <w:rPr>
                <w:rFonts w:asciiTheme="minorHAnsi" w:hAnsiTheme="minorHAnsi"/>
                <w:szCs w:val="22"/>
              </w:rPr>
              <w:lastRenderedPageBreak/>
              <w:t>Table 3.5</w:t>
            </w:r>
            <w:r w:rsidR="00BE3A87" w:rsidRPr="003B4919">
              <w:rPr>
                <w:rFonts w:asciiTheme="minorHAnsi" w:hAnsiTheme="minorHAnsi"/>
                <w:szCs w:val="22"/>
              </w:rPr>
              <w:tab/>
            </w:r>
            <w:r w:rsidRPr="003B4919">
              <w:rPr>
                <w:rFonts w:asciiTheme="minorHAnsi" w:hAnsiTheme="minorHAnsi"/>
                <w:szCs w:val="22"/>
              </w:rPr>
              <w:t>Relative affordability of median prices by local authority area</w:t>
            </w:r>
            <w:bookmarkEnd w:id="182"/>
            <w:r w:rsidRPr="003B4919">
              <w:rPr>
                <w:rFonts w:asciiTheme="minorHAnsi" w:hAnsiTheme="minorHAnsi"/>
                <w:szCs w:val="22"/>
              </w:rPr>
              <w:t> </w:t>
            </w:r>
            <w:bookmarkEnd w:id="183"/>
          </w:p>
        </w:tc>
      </w:tr>
      <w:tr w:rsidR="00BD4AAA" w:rsidRPr="003B4919" w14:paraId="1F532CBB" w14:textId="77777777" w:rsidTr="003C469F">
        <w:trPr>
          <w:trHeight w:val="340"/>
        </w:trPr>
        <w:tc>
          <w:tcPr>
            <w:tcW w:w="1218" w:type="pct"/>
            <w:vMerge w:val="restart"/>
            <w:tcBorders>
              <w:top w:val="nil"/>
              <w:left w:val="single" w:sz="8" w:space="0" w:color="006666"/>
              <w:bottom w:val="nil"/>
              <w:right w:val="single" w:sz="8" w:space="0" w:color="006666"/>
            </w:tcBorders>
            <w:shd w:val="clear" w:color="000000" w:fill="009999"/>
            <w:vAlign w:val="center"/>
            <w:hideMark/>
          </w:tcPr>
          <w:p w14:paraId="6A6F49FD" w14:textId="77777777" w:rsidR="00BD4AAA" w:rsidRPr="003B4919" w:rsidRDefault="00BD4AAA" w:rsidP="00BD4AAA">
            <w:pPr>
              <w:rPr>
                <w:rFonts w:asciiTheme="minorHAnsi" w:hAnsiTheme="minorHAnsi" w:cs="Arial"/>
                <w:b/>
                <w:bCs/>
                <w:color w:val="FFFFFF"/>
                <w:sz w:val="22"/>
                <w:szCs w:val="22"/>
              </w:rPr>
            </w:pPr>
            <w:r w:rsidRPr="003B4919">
              <w:rPr>
                <w:rFonts w:asciiTheme="minorHAnsi" w:hAnsiTheme="minorHAnsi" w:cs="Arial"/>
                <w:b/>
                <w:bCs/>
                <w:color w:val="FFFFFF"/>
                <w:sz w:val="22"/>
                <w:szCs w:val="22"/>
              </w:rPr>
              <w:t>Area </w:t>
            </w:r>
          </w:p>
        </w:tc>
        <w:tc>
          <w:tcPr>
            <w:tcW w:w="1969" w:type="pct"/>
            <w:gridSpan w:val="4"/>
            <w:tcBorders>
              <w:top w:val="single" w:sz="8" w:space="0" w:color="006666"/>
              <w:left w:val="nil"/>
              <w:bottom w:val="single" w:sz="8" w:space="0" w:color="006666"/>
              <w:right w:val="single" w:sz="8" w:space="0" w:color="006666"/>
            </w:tcBorders>
            <w:shd w:val="clear" w:color="000000" w:fill="009999"/>
            <w:vAlign w:val="center"/>
            <w:hideMark/>
          </w:tcPr>
          <w:p w14:paraId="4A765B2E"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Workplace-based</w:t>
            </w:r>
          </w:p>
        </w:tc>
        <w:tc>
          <w:tcPr>
            <w:tcW w:w="1814" w:type="pct"/>
            <w:gridSpan w:val="4"/>
            <w:tcBorders>
              <w:top w:val="single" w:sz="8" w:space="0" w:color="006666"/>
              <w:left w:val="nil"/>
              <w:bottom w:val="single" w:sz="8" w:space="0" w:color="006666"/>
              <w:right w:val="single" w:sz="8" w:space="0" w:color="006666"/>
            </w:tcBorders>
            <w:shd w:val="clear" w:color="000000" w:fill="009999"/>
            <w:vAlign w:val="center"/>
            <w:hideMark/>
          </w:tcPr>
          <w:p w14:paraId="3994DF9C"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Resident-based</w:t>
            </w:r>
          </w:p>
        </w:tc>
      </w:tr>
      <w:tr w:rsidR="00BD4AAA" w:rsidRPr="003B4919" w14:paraId="5F6B4019" w14:textId="77777777" w:rsidTr="003B4919">
        <w:trPr>
          <w:trHeight w:val="320"/>
        </w:trPr>
        <w:tc>
          <w:tcPr>
            <w:tcW w:w="1218" w:type="pct"/>
            <w:vMerge/>
            <w:tcBorders>
              <w:top w:val="nil"/>
              <w:left w:val="single" w:sz="8" w:space="0" w:color="006666"/>
              <w:bottom w:val="nil"/>
              <w:right w:val="single" w:sz="8" w:space="0" w:color="006666"/>
            </w:tcBorders>
            <w:vAlign w:val="center"/>
            <w:hideMark/>
          </w:tcPr>
          <w:p w14:paraId="54E7B93B" w14:textId="77777777" w:rsidR="00BD4AAA" w:rsidRPr="003B4919" w:rsidRDefault="00BD4AAA" w:rsidP="00BD4AAA">
            <w:pPr>
              <w:rPr>
                <w:rFonts w:asciiTheme="minorHAnsi" w:hAnsiTheme="minorHAnsi" w:cs="Arial"/>
                <w:b/>
                <w:bCs/>
                <w:color w:val="FFFFFF"/>
                <w:sz w:val="22"/>
                <w:szCs w:val="22"/>
              </w:rPr>
            </w:pPr>
          </w:p>
        </w:tc>
        <w:tc>
          <w:tcPr>
            <w:tcW w:w="517" w:type="pct"/>
            <w:tcBorders>
              <w:top w:val="nil"/>
              <w:left w:val="nil"/>
              <w:bottom w:val="nil"/>
              <w:right w:val="single" w:sz="8" w:space="0" w:color="006666"/>
            </w:tcBorders>
            <w:shd w:val="clear" w:color="000000" w:fill="009999"/>
            <w:vAlign w:val="center"/>
            <w:hideMark/>
          </w:tcPr>
          <w:p w14:paraId="58B9E838"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2015</w:t>
            </w:r>
          </w:p>
        </w:tc>
        <w:tc>
          <w:tcPr>
            <w:tcW w:w="435" w:type="pct"/>
            <w:tcBorders>
              <w:top w:val="nil"/>
              <w:left w:val="nil"/>
              <w:bottom w:val="nil"/>
              <w:right w:val="single" w:sz="8" w:space="0" w:color="006666"/>
            </w:tcBorders>
            <w:shd w:val="clear" w:color="000000" w:fill="009999"/>
            <w:vAlign w:val="center"/>
            <w:hideMark/>
          </w:tcPr>
          <w:p w14:paraId="6F0E99BD"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2016</w:t>
            </w:r>
          </w:p>
        </w:tc>
        <w:tc>
          <w:tcPr>
            <w:tcW w:w="508" w:type="pct"/>
            <w:tcBorders>
              <w:top w:val="nil"/>
              <w:left w:val="nil"/>
              <w:bottom w:val="nil"/>
              <w:right w:val="single" w:sz="8" w:space="0" w:color="006666"/>
            </w:tcBorders>
            <w:shd w:val="clear" w:color="000000" w:fill="009999"/>
            <w:vAlign w:val="center"/>
            <w:hideMark/>
          </w:tcPr>
          <w:p w14:paraId="1E2CC8FF"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2017</w:t>
            </w:r>
          </w:p>
        </w:tc>
        <w:tc>
          <w:tcPr>
            <w:tcW w:w="508" w:type="pct"/>
            <w:tcBorders>
              <w:top w:val="nil"/>
              <w:left w:val="nil"/>
              <w:bottom w:val="nil"/>
              <w:right w:val="single" w:sz="8" w:space="0" w:color="006666"/>
            </w:tcBorders>
            <w:shd w:val="clear" w:color="000000" w:fill="009999"/>
            <w:vAlign w:val="center"/>
            <w:hideMark/>
          </w:tcPr>
          <w:p w14:paraId="37279051"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2018</w:t>
            </w:r>
          </w:p>
        </w:tc>
        <w:tc>
          <w:tcPr>
            <w:tcW w:w="435" w:type="pct"/>
            <w:tcBorders>
              <w:top w:val="nil"/>
              <w:left w:val="nil"/>
              <w:bottom w:val="nil"/>
              <w:right w:val="single" w:sz="8" w:space="0" w:color="006666"/>
            </w:tcBorders>
            <w:shd w:val="clear" w:color="000000" w:fill="009999"/>
            <w:vAlign w:val="center"/>
            <w:hideMark/>
          </w:tcPr>
          <w:p w14:paraId="03D83751"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2015</w:t>
            </w:r>
          </w:p>
        </w:tc>
        <w:tc>
          <w:tcPr>
            <w:tcW w:w="435" w:type="pct"/>
            <w:tcBorders>
              <w:top w:val="nil"/>
              <w:left w:val="nil"/>
              <w:bottom w:val="nil"/>
              <w:right w:val="single" w:sz="8" w:space="0" w:color="006666"/>
            </w:tcBorders>
            <w:shd w:val="clear" w:color="000000" w:fill="009999"/>
            <w:vAlign w:val="center"/>
            <w:hideMark/>
          </w:tcPr>
          <w:p w14:paraId="18CEC145"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2016</w:t>
            </w:r>
          </w:p>
        </w:tc>
        <w:tc>
          <w:tcPr>
            <w:tcW w:w="435" w:type="pct"/>
            <w:tcBorders>
              <w:top w:val="nil"/>
              <w:left w:val="nil"/>
              <w:bottom w:val="nil"/>
              <w:right w:val="single" w:sz="8" w:space="0" w:color="006666"/>
            </w:tcBorders>
            <w:shd w:val="clear" w:color="000000" w:fill="009999"/>
            <w:vAlign w:val="center"/>
            <w:hideMark/>
          </w:tcPr>
          <w:p w14:paraId="4ED9394D"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2017</w:t>
            </w:r>
          </w:p>
        </w:tc>
        <w:tc>
          <w:tcPr>
            <w:tcW w:w="508" w:type="pct"/>
            <w:tcBorders>
              <w:top w:val="nil"/>
              <w:left w:val="nil"/>
              <w:bottom w:val="nil"/>
              <w:right w:val="single" w:sz="8" w:space="0" w:color="006666"/>
            </w:tcBorders>
            <w:shd w:val="clear" w:color="000000" w:fill="009999"/>
            <w:vAlign w:val="center"/>
            <w:hideMark/>
          </w:tcPr>
          <w:p w14:paraId="7E781284" w14:textId="77777777" w:rsidR="00BD4AAA" w:rsidRPr="003B4919" w:rsidRDefault="00BD4AAA" w:rsidP="00BD4AAA">
            <w:pPr>
              <w:jc w:val="center"/>
              <w:rPr>
                <w:rFonts w:asciiTheme="minorHAnsi" w:hAnsiTheme="minorHAnsi" w:cs="Arial"/>
                <w:b/>
                <w:bCs/>
                <w:color w:val="FFFFFF"/>
                <w:sz w:val="22"/>
                <w:szCs w:val="22"/>
              </w:rPr>
            </w:pPr>
            <w:r w:rsidRPr="003B4919">
              <w:rPr>
                <w:rFonts w:asciiTheme="minorHAnsi" w:hAnsiTheme="minorHAnsi" w:cs="Arial"/>
                <w:b/>
                <w:bCs/>
                <w:color w:val="FFFFFF"/>
                <w:sz w:val="22"/>
                <w:szCs w:val="22"/>
              </w:rPr>
              <w:t>2018</w:t>
            </w:r>
          </w:p>
        </w:tc>
      </w:tr>
      <w:tr w:rsidR="00BD4AAA" w:rsidRPr="003B4919" w14:paraId="0D0B2D9C" w14:textId="77777777" w:rsidTr="003B4919">
        <w:trPr>
          <w:trHeight w:val="320"/>
        </w:trPr>
        <w:tc>
          <w:tcPr>
            <w:tcW w:w="1218" w:type="pct"/>
            <w:tcBorders>
              <w:top w:val="single" w:sz="4" w:space="0" w:color="009193"/>
              <w:left w:val="single" w:sz="4" w:space="0" w:color="009193"/>
              <w:bottom w:val="single" w:sz="4" w:space="0" w:color="009193"/>
              <w:right w:val="single" w:sz="4" w:space="0" w:color="009193"/>
            </w:tcBorders>
            <w:shd w:val="clear" w:color="auto" w:fill="auto"/>
            <w:noWrap/>
            <w:vAlign w:val="center"/>
            <w:hideMark/>
          </w:tcPr>
          <w:p w14:paraId="3086D986" w14:textId="77777777"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Lambeth</w:t>
            </w:r>
          </w:p>
        </w:tc>
        <w:tc>
          <w:tcPr>
            <w:tcW w:w="517" w:type="pct"/>
            <w:tcBorders>
              <w:top w:val="single" w:sz="4" w:space="0" w:color="009193"/>
              <w:left w:val="nil"/>
              <w:bottom w:val="single" w:sz="4" w:space="0" w:color="009193"/>
              <w:right w:val="single" w:sz="4" w:space="0" w:color="009193"/>
            </w:tcBorders>
            <w:shd w:val="clear" w:color="000000" w:fill="FFFFFF"/>
            <w:noWrap/>
            <w:vAlign w:val="center"/>
            <w:hideMark/>
          </w:tcPr>
          <w:p w14:paraId="4053A65F"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12.91</w:t>
            </w:r>
          </w:p>
        </w:tc>
        <w:tc>
          <w:tcPr>
            <w:tcW w:w="435" w:type="pct"/>
            <w:tcBorders>
              <w:top w:val="single" w:sz="4" w:space="0" w:color="009193"/>
              <w:left w:val="nil"/>
              <w:bottom w:val="single" w:sz="4" w:space="0" w:color="009193"/>
              <w:right w:val="single" w:sz="4" w:space="0" w:color="009193"/>
            </w:tcBorders>
            <w:shd w:val="clear" w:color="000000" w:fill="FFFFFF"/>
            <w:noWrap/>
            <w:vAlign w:val="center"/>
            <w:hideMark/>
          </w:tcPr>
          <w:p w14:paraId="6422694B"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14.42</w:t>
            </w:r>
          </w:p>
        </w:tc>
        <w:tc>
          <w:tcPr>
            <w:tcW w:w="508" w:type="pct"/>
            <w:tcBorders>
              <w:top w:val="single" w:sz="4" w:space="0" w:color="009193"/>
              <w:left w:val="nil"/>
              <w:bottom w:val="single" w:sz="4" w:space="0" w:color="009193"/>
              <w:right w:val="single" w:sz="4" w:space="0" w:color="009193"/>
            </w:tcBorders>
            <w:shd w:val="clear" w:color="000000" w:fill="FFFFFF"/>
            <w:noWrap/>
            <w:vAlign w:val="center"/>
            <w:hideMark/>
          </w:tcPr>
          <w:p w14:paraId="172E59D6"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14.70</w:t>
            </w:r>
          </w:p>
        </w:tc>
        <w:tc>
          <w:tcPr>
            <w:tcW w:w="508" w:type="pct"/>
            <w:tcBorders>
              <w:top w:val="single" w:sz="4" w:space="0" w:color="009193"/>
              <w:left w:val="nil"/>
              <w:bottom w:val="single" w:sz="4" w:space="0" w:color="009193"/>
              <w:right w:val="single" w:sz="4" w:space="0" w:color="009193"/>
            </w:tcBorders>
            <w:shd w:val="clear" w:color="000000" w:fill="FFFFFF"/>
            <w:noWrap/>
            <w:vAlign w:val="center"/>
            <w:hideMark/>
          </w:tcPr>
          <w:p w14:paraId="68391652"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14.49</w:t>
            </w:r>
          </w:p>
        </w:tc>
        <w:tc>
          <w:tcPr>
            <w:tcW w:w="435" w:type="pct"/>
            <w:tcBorders>
              <w:top w:val="single" w:sz="4" w:space="0" w:color="009193"/>
              <w:left w:val="nil"/>
              <w:bottom w:val="single" w:sz="4" w:space="0" w:color="009193"/>
              <w:right w:val="single" w:sz="4" w:space="0" w:color="009193"/>
            </w:tcBorders>
            <w:shd w:val="clear" w:color="000000" w:fill="FFFFFF"/>
            <w:noWrap/>
            <w:vAlign w:val="center"/>
            <w:hideMark/>
          </w:tcPr>
          <w:p w14:paraId="711A2EBD"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13.53</w:t>
            </w:r>
          </w:p>
        </w:tc>
        <w:tc>
          <w:tcPr>
            <w:tcW w:w="435" w:type="pct"/>
            <w:tcBorders>
              <w:top w:val="single" w:sz="4" w:space="0" w:color="009193"/>
              <w:left w:val="nil"/>
              <w:bottom w:val="single" w:sz="4" w:space="0" w:color="009193"/>
              <w:right w:val="single" w:sz="4" w:space="0" w:color="009193"/>
            </w:tcBorders>
            <w:shd w:val="clear" w:color="000000" w:fill="FFFFFF"/>
            <w:noWrap/>
            <w:vAlign w:val="center"/>
            <w:hideMark/>
          </w:tcPr>
          <w:p w14:paraId="147FF888"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15.01</w:t>
            </w:r>
          </w:p>
        </w:tc>
        <w:tc>
          <w:tcPr>
            <w:tcW w:w="435" w:type="pct"/>
            <w:tcBorders>
              <w:top w:val="single" w:sz="4" w:space="0" w:color="009193"/>
              <w:left w:val="nil"/>
              <w:bottom w:val="single" w:sz="4" w:space="0" w:color="009193"/>
              <w:right w:val="single" w:sz="4" w:space="0" w:color="009193"/>
            </w:tcBorders>
            <w:shd w:val="clear" w:color="000000" w:fill="FFFFFF"/>
            <w:noWrap/>
            <w:vAlign w:val="center"/>
            <w:hideMark/>
          </w:tcPr>
          <w:p w14:paraId="0C6E343A"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15.03</w:t>
            </w:r>
          </w:p>
        </w:tc>
        <w:tc>
          <w:tcPr>
            <w:tcW w:w="508" w:type="pct"/>
            <w:tcBorders>
              <w:top w:val="single" w:sz="4" w:space="0" w:color="009193"/>
              <w:left w:val="nil"/>
              <w:bottom w:val="single" w:sz="4" w:space="0" w:color="009193"/>
              <w:right w:val="single" w:sz="4" w:space="0" w:color="009193"/>
            </w:tcBorders>
            <w:shd w:val="clear" w:color="000000" w:fill="FFFFFF"/>
            <w:noWrap/>
            <w:vAlign w:val="center"/>
            <w:hideMark/>
          </w:tcPr>
          <w:p w14:paraId="7AD65F19"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13.89</w:t>
            </w:r>
          </w:p>
        </w:tc>
      </w:tr>
      <w:tr w:rsidR="00BD4AAA" w:rsidRPr="003B4919" w14:paraId="606B7431" w14:textId="77777777" w:rsidTr="003B4919">
        <w:trPr>
          <w:trHeight w:val="320"/>
        </w:trPr>
        <w:tc>
          <w:tcPr>
            <w:tcW w:w="1218" w:type="pct"/>
            <w:tcBorders>
              <w:top w:val="nil"/>
              <w:left w:val="single" w:sz="4" w:space="0" w:color="009193"/>
              <w:bottom w:val="single" w:sz="4" w:space="0" w:color="009193"/>
              <w:right w:val="single" w:sz="4" w:space="0" w:color="009193"/>
            </w:tcBorders>
            <w:shd w:val="clear" w:color="auto" w:fill="auto"/>
            <w:noWrap/>
            <w:vAlign w:val="center"/>
            <w:hideMark/>
          </w:tcPr>
          <w:p w14:paraId="00E15FF7" w14:textId="77777777"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Bromley</w:t>
            </w:r>
          </w:p>
        </w:tc>
        <w:tc>
          <w:tcPr>
            <w:tcW w:w="517" w:type="pct"/>
            <w:tcBorders>
              <w:top w:val="nil"/>
              <w:left w:val="nil"/>
              <w:bottom w:val="single" w:sz="4" w:space="0" w:color="009193"/>
              <w:right w:val="single" w:sz="4" w:space="0" w:color="009193"/>
            </w:tcBorders>
            <w:shd w:val="clear" w:color="000000" w:fill="FFFFFF"/>
            <w:noWrap/>
            <w:vAlign w:val="center"/>
            <w:hideMark/>
          </w:tcPr>
          <w:p w14:paraId="612B333C"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11.99</w:t>
            </w:r>
          </w:p>
        </w:tc>
        <w:tc>
          <w:tcPr>
            <w:tcW w:w="435" w:type="pct"/>
            <w:tcBorders>
              <w:top w:val="nil"/>
              <w:left w:val="nil"/>
              <w:bottom w:val="single" w:sz="4" w:space="0" w:color="009193"/>
              <w:right w:val="single" w:sz="4" w:space="0" w:color="009193"/>
            </w:tcBorders>
            <w:shd w:val="clear" w:color="000000" w:fill="FFFFFF"/>
            <w:noWrap/>
            <w:vAlign w:val="center"/>
            <w:hideMark/>
          </w:tcPr>
          <w:p w14:paraId="515980F4"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13.22</w:t>
            </w:r>
          </w:p>
        </w:tc>
        <w:tc>
          <w:tcPr>
            <w:tcW w:w="508" w:type="pct"/>
            <w:tcBorders>
              <w:top w:val="nil"/>
              <w:left w:val="nil"/>
              <w:bottom w:val="single" w:sz="4" w:space="0" w:color="009193"/>
              <w:right w:val="single" w:sz="4" w:space="0" w:color="009193"/>
            </w:tcBorders>
            <w:shd w:val="clear" w:color="000000" w:fill="FFFFFF"/>
            <w:noWrap/>
            <w:vAlign w:val="center"/>
            <w:hideMark/>
          </w:tcPr>
          <w:p w14:paraId="71B4F51E"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14.59</w:t>
            </w:r>
          </w:p>
        </w:tc>
        <w:tc>
          <w:tcPr>
            <w:tcW w:w="508" w:type="pct"/>
            <w:tcBorders>
              <w:top w:val="nil"/>
              <w:left w:val="nil"/>
              <w:bottom w:val="single" w:sz="4" w:space="0" w:color="009193"/>
              <w:right w:val="single" w:sz="4" w:space="0" w:color="009193"/>
            </w:tcBorders>
            <w:shd w:val="clear" w:color="000000" w:fill="FFFFFF"/>
            <w:noWrap/>
            <w:vAlign w:val="center"/>
            <w:hideMark/>
          </w:tcPr>
          <w:p w14:paraId="462C6FFE"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14.26</w:t>
            </w:r>
          </w:p>
        </w:tc>
        <w:tc>
          <w:tcPr>
            <w:tcW w:w="435" w:type="pct"/>
            <w:tcBorders>
              <w:top w:val="nil"/>
              <w:left w:val="nil"/>
              <w:bottom w:val="single" w:sz="4" w:space="0" w:color="009193"/>
              <w:right w:val="single" w:sz="4" w:space="0" w:color="009193"/>
            </w:tcBorders>
            <w:shd w:val="clear" w:color="000000" w:fill="FFFFFF"/>
            <w:noWrap/>
            <w:vAlign w:val="center"/>
            <w:hideMark/>
          </w:tcPr>
          <w:p w14:paraId="31D132EC"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9.93</w:t>
            </w:r>
          </w:p>
        </w:tc>
        <w:tc>
          <w:tcPr>
            <w:tcW w:w="435" w:type="pct"/>
            <w:tcBorders>
              <w:top w:val="nil"/>
              <w:left w:val="nil"/>
              <w:bottom w:val="single" w:sz="4" w:space="0" w:color="009193"/>
              <w:right w:val="single" w:sz="4" w:space="0" w:color="009193"/>
            </w:tcBorders>
            <w:shd w:val="clear" w:color="000000" w:fill="FFFFFF"/>
            <w:noWrap/>
            <w:vAlign w:val="center"/>
            <w:hideMark/>
          </w:tcPr>
          <w:p w14:paraId="419B64CC"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10.83</w:t>
            </w:r>
          </w:p>
        </w:tc>
        <w:tc>
          <w:tcPr>
            <w:tcW w:w="435" w:type="pct"/>
            <w:tcBorders>
              <w:top w:val="nil"/>
              <w:left w:val="nil"/>
              <w:bottom w:val="single" w:sz="4" w:space="0" w:color="009193"/>
              <w:right w:val="single" w:sz="4" w:space="0" w:color="009193"/>
            </w:tcBorders>
            <w:shd w:val="clear" w:color="000000" w:fill="FFFFFF"/>
            <w:noWrap/>
            <w:vAlign w:val="center"/>
            <w:hideMark/>
          </w:tcPr>
          <w:p w14:paraId="0176B084"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10.83</w:t>
            </w:r>
          </w:p>
        </w:tc>
        <w:tc>
          <w:tcPr>
            <w:tcW w:w="508" w:type="pct"/>
            <w:tcBorders>
              <w:top w:val="nil"/>
              <w:left w:val="nil"/>
              <w:bottom w:val="single" w:sz="4" w:space="0" w:color="009193"/>
              <w:right w:val="single" w:sz="4" w:space="0" w:color="009193"/>
            </w:tcBorders>
            <w:shd w:val="clear" w:color="000000" w:fill="FFFFFF"/>
            <w:noWrap/>
            <w:vAlign w:val="center"/>
            <w:hideMark/>
          </w:tcPr>
          <w:p w14:paraId="415E7997"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10.99</w:t>
            </w:r>
          </w:p>
        </w:tc>
      </w:tr>
      <w:tr w:rsidR="00BD4AAA" w:rsidRPr="003B4919" w14:paraId="11D021F4" w14:textId="77777777" w:rsidTr="003B4919">
        <w:trPr>
          <w:trHeight w:val="320"/>
        </w:trPr>
        <w:tc>
          <w:tcPr>
            <w:tcW w:w="1218" w:type="pct"/>
            <w:tcBorders>
              <w:top w:val="nil"/>
              <w:left w:val="single" w:sz="4" w:space="0" w:color="009193"/>
              <w:bottom w:val="single" w:sz="4" w:space="0" w:color="009193"/>
              <w:right w:val="single" w:sz="4" w:space="0" w:color="009193"/>
            </w:tcBorders>
            <w:shd w:val="clear" w:color="auto" w:fill="auto"/>
            <w:noWrap/>
            <w:vAlign w:val="center"/>
            <w:hideMark/>
          </w:tcPr>
          <w:p w14:paraId="1555550B" w14:textId="77777777"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Lewisham</w:t>
            </w:r>
          </w:p>
        </w:tc>
        <w:tc>
          <w:tcPr>
            <w:tcW w:w="517" w:type="pct"/>
            <w:tcBorders>
              <w:top w:val="nil"/>
              <w:left w:val="nil"/>
              <w:bottom w:val="single" w:sz="4" w:space="0" w:color="009193"/>
              <w:right w:val="single" w:sz="4" w:space="0" w:color="009193"/>
            </w:tcBorders>
            <w:shd w:val="clear" w:color="000000" w:fill="FFFFFF"/>
            <w:noWrap/>
            <w:vAlign w:val="center"/>
            <w:hideMark/>
          </w:tcPr>
          <w:p w14:paraId="05AC474A"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11.25</w:t>
            </w:r>
          </w:p>
        </w:tc>
        <w:tc>
          <w:tcPr>
            <w:tcW w:w="435" w:type="pct"/>
            <w:tcBorders>
              <w:top w:val="nil"/>
              <w:left w:val="nil"/>
              <w:bottom w:val="single" w:sz="4" w:space="0" w:color="009193"/>
              <w:right w:val="single" w:sz="4" w:space="0" w:color="009193"/>
            </w:tcBorders>
            <w:shd w:val="clear" w:color="000000" w:fill="FFFFFF"/>
            <w:noWrap/>
            <w:vAlign w:val="center"/>
            <w:hideMark/>
          </w:tcPr>
          <w:p w14:paraId="3D378F84"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12.03</w:t>
            </w:r>
          </w:p>
        </w:tc>
        <w:tc>
          <w:tcPr>
            <w:tcW w:w="508" w:type="pct"/>
            <w:tcBorders>
              <w:top w:val="nil"/>
              <w:left w:val="nil"/>
              <w:bottom w:val="single" w:sz="4" w:space="0" w:color="009193"/>
              <w:right w:val="single" w:sz="4" w:space="0" w:color="009193"/>
            </w:tcBorders>
            <w:shd w:val="clear" w:color="000000" w:fill="FFFFFF"/>
            <w:noWrap/>
            <w:vAlign w:val="center"/>
            <w:hideMark/>
          </w:tcPr>
          <w:p w14:paraId="1789862F"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12.61</w:t>
            </w:r>
          </w:p>
        </w:tc>
        <w:tc>
          <w:tcPr>
            <w:tcW w:w="508" w:type="pct"/>
            <w:tcBorders>
              <w:top w:val="nil"/>
              <w:left w:val="nil"/>
              <w:bottom w:val="single" w:sz="4" w:space="0" w:color="009193"/>
              <w:right w:val="single" w:sz="4" w:space="0" w:color="009193"/>
            </w:tcBorders>
            <w:shd w:val="clear" w:color="000000" w:fill="FFFFFF"/>
            <w:noWrap/>
            <w:vAlign w:val="center"/>
            <w:hideMark/>
          </w:tcPr>
          <w:p w14:paraId="11ED7AA4"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13.94</w:t>
            </w:r>
          </w:p>
        </w:tc>
        <w:tc>
          <w:tcPr>
            <w:tcW w:w="435" w:type="pct"/>
            <w:tcBorders>
              <w:top w:val="nil"/>
              <w:left w:val="nil"/>
              <w:bottom w:val="single" w:sz="4" w:space="0" w:color="009193"/>
              <w:right w:val="single" w:sz="4" w:space="0" w:color="009193"/>
            </w:tcBorders>
            <w:shd w:val="clear" w:color="000000" w:fill="FFFFFF"/>
            <w:noWrap/>
            <w:vAlign w:val="center"/>
            <w:hideMark/>
          </w:tcPr>
          <w:p w14:paraId="5E869694"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10.88</w:t>
            </w:r>
          </w:p>
        </w:tc>
        <w:tc>
          <w:tcPr>
            <w:tcW w:w="435" w:type="pct"/>
            <w:tcBorders>
              <w:top w:val="nil"/>
              <w:left w:val="nil"/>
              <w:bottom w:val="single" w:sz="4" w:space="0" w:color="009193"/>
              <w:right w:val="single" w:sz="4" w:space="0" w:color="009193"/>
            </w:tcBorders>
            <w:shd w:val="clear" w:color="000000" w:fill="FFFFFF"/>
            <w:noWrap/>
            <w:vAlign w:val="center"/>
            <w:hideMark/>
          </w:tcPr>
          <w:p w14:paraId="6C4BA406"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11.71</w:t>
            </w:r>
          </w:p>
        </w:tc>
        <w:tc>
          <w:tcPr>
            <w:tcW w:w="435" w:type="pct"/>
            <w:tcBorders>
              <w:top w:val="nil"/>
              <w:left w:val="nil"/>
              <w:bottom w:val="single" w:sz="4" w:space="0" w:color="009193"/>
              <w:right w:val="single" w:sz="4" w:space="0" w:color="009193"/>
            </w:tcBorders>
            <w:shd w:val="clear" w:color="000000" w:fill="FFFFFF"/>
            <w:noWrap/>
            <w:vAlign w:val="center"/>
            <w:hideMark/>
          </w:tcPr>
          <w:p w14:paraId="2CE0687A"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12.28</w:t>
            </w:r>
          </w:p>
        </w:tc>
        <w:tc>
          <w:tcPr>
            <w:tcW w:w="508" w:type="pct"/>
            <w:tcBorders>
              <w:top w:val="nil"/>
              <w:left w:val="nil"/>
              <w:bottom w:val="single" w:sz="4" w:space="0" w:color="009193"/>
              <w:right w:val="single" w:sz="4" w:space="0" w:color="009193"/>
            </w:tcBorders>
            <w:shd w:val="clear" w:color="000000" w:fill="FFFFFF"/>
            <w:noWrap/>
            <w:vAlign w:val="center"/>
            <w:hideMark/>
          </w:tcPr>
          <w:p w14:paraId="3814D22F"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12.26</w:t>
            </w:r>
          </w:p>
        </w:tc>
      </w:tr>
      <w:tr w:rsidR="00BD4AAA" w:rsidRPr="003B4919" w14:paraId="6ACB80D3" w14:textId="77777777" w:rsidTr="003B4919">
        <w:trPr>
          <w:trHeight w:val="320"/>
        </w:trPr>
        <w:tc>
          <w:tcPr>
            <w:tcW w:w="1218" w:type="pct"/>
            <w:tcBorders>
              <w:top w:val="nil"/>
              <w:left w:val="single" w:sz="4" w:space="0" w:color="009193"/>
              <w:bottom w:val="single" w:sz="4" w:space="0" w:color="009193"/>
              <w:right w:val="single" w:sz="4" w:space="0" w:color="009193"/>
            </w:tcBorders>
            <w:shd w:val="clear" w:color="auto" w:fill="auto"/>
            <w:noWrap/>
            <w:vAlign w:val="center"/>
            <w:hideMark/>
          </w:tcPr>
          <w:p w14:paraId="78B34F0D" w14:textId="77777777"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Southwark</w:t>
            </w:r>
          </w:p>
        </w:tc>
        <w:tc>
          <w:tcPr>
            <w:tcW w:w="517" w:type="pct"/>
            <w:tcBorders>
              <w:top w:val="nil"/>
              <w:left w:val="nil"/>
              <w:bottom w:val="single" w:sz="4" w:space="0" w:color="009193"/>
              <w:right w:val="single" w:sz="4" w:space="0" w:color="009193"/>
            </w:tcBorders>
            <w:shd w:val="clear" w:color="000000" w:fill="FFFFFF"/>
            <w:noWrap/>
            <w:vAlign w:val="center"/>
            <w:hideMark/>
          </w:tcPr>
          <w:p w14:paraId="11EC9585"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12.72</w:t>
            </w:r>
          </w:p>
        </w:tc>
        <w:tc>
          <w:tcPr>
            <w:tcW w:w="435" w:type="pct"/>
            <w:tcBorders>
              <w:top w:val="nil"/>
              <w:left w:val="nil"/>
              <w:bottom w:val="single" w:sz="4" w:space="0" w:color="009193"/>
              <w:right w:val="single" w:sz="4" w:space="0" w:color="009193"/>
            </w:tcBorders>
            <w:shd w:val="clear" w:color="000000" w:fill="FFFFFF"/>
            <w:noWrap/>
            <w:vAlign w:val="center"/>
            <w:hideMark/>
          </w:tcPr>
          <w:p w14:paraId="3C30C318"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13.46</w:t>
            </w:r>
          </w:p>
        </w:tc>
        <w:tc>
          <w:tcPr>
            <w:tcW w:w="508" w:type="pct"/>
            <w:tcBorders>
              <w:top w:val="nil"/>
              <w:left w:val="nil"/>
              <w:bottom w:val="single" w:sz="4" w:space="0" w:color="009193"/>
              <w:right w:val="single" w:sz="4" w:space="0" w:color="009193"/>
            </w:tcBorders>
            <w:shd w:val="clear" w:color="000000" w:fill="FFFFFF"/>
            <w:noWrap/>
            <w:vAlign w:val="center"/>
            <w:hideMark/>
          </w:tcPr>
          <w:p w14:paraId="35B936E7"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14.23</w:t>
            </w:r>
          </w:p>
        </w:tc>
        <w:tc>
          <w:tcPr>
            <w:tcW w:w="508" w:type="pct"/>
            <w:tcBorders>
              <w:top w:val="nil"/>
              <w:left w:val="nil"/>
              <w:bottom w:val="single" w:sz="4" w:space="0" w:color="009193"/>
              <w:right w:val="single" w:sz="4" w:space="0" w:color="009193"/>
            </w:tcBorders>
            <w:shd w:val="clear" w:color="000000" w:fill="FFFFFF"/>
            <w:noWrap/>
            <w:vAlign w:val="center"/>
            <w:hideMark/>
          </w:tcPr>
          <w:p w14:paraId="1D7C04D3"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13.92</w:t>
            </w:r>
          </w:p>
        </w:tc>
        <w:tc>
          <w:tcPr>
            <w:tcW w:w="435" w:type="pct"/>
            <w:tcBorders>
              <w:top w:val="nil"/>
              <w:left w:val="nil"/>
              <w:bottom w:val="single" w:sz="4" w:space="0" w:color="009193"/>
              <w:right w:val="single" w:sz="4" w:space="0" w:color="009193"/>
            </w:tcBorders>
            <w:shd w:val="clear" w:color="000000" w:fill="FFFFFF"/>
            <w:noWrap/>
            <w:vAlign w:val="center"/>
            <w:hideMark/>
          </w:tcPr>
          <w:p w14:paraId="39D1E260"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13.59</w:t>
            </w:r>
          </w:p>
        </w:tc>
        <w:tc>
          <w:tcPr>
            <w:tcW w:w="435" w:type="pct"/>
            <w:tcBorders>
              <w:top w:val="nil"/>
              <w:left w:val="nil"/>
              <w:bottom w:val="single" w:sz="4" w:space="0" w:color="009193"/>
              <w:right w:val="single" w:sz="4" w:space="0" w:color="009193"/>
            </w:tcBorders>
            <w:shd w:val="clear" w:color="000000" w:fill="FFFFFF"/>
            <w:noWrap/>
            <w:vAlign w:val="center"/>
            <w:hideMark/>
          </w:tcPr>
          <w:p w14:paraId="43E660E8"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14.72</w:t>
            </w:r>
          </w:p>
        </w:tc>
        <w:tc>
          <w:tcPr>
            <w:tcW w:w="435" w:type="pct"/>
            <w:tcBorders>
              <w:top w:val="nil"/>
              <w:left w:val="nil"/>
              <w:bottom w:val="single" w:sz="4" w:space="0" w:color="009193"/>
              <w:right w:val="single" w:sz="4" w:space="0" w:color="009193"/>
            </w:tcBorders>
            <w:shd w:val="clear" w:color="000000" w:fill="FFFFFF"/>
            <w:noWrap/>
            <w:vAlign w:val="center"/>
            <w:hideMark/>
          </w:tcPr>
          <w:p w14:paraId="78206A90"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15.28</w:t>
            </w:r>
          </w:p>
        </w:tc>
        <w:tc>
          <w:tcPr>
            <w:tcW w:w="508" w:type="pct"/>
            <w:tcBorders>
              <w:top w:val="nil"/>
              <w:left w:val="nil"/>
              <w:bottom w:val="single" w:sz="4" w:space="0" w:color="009193"/>
              <w:right w:val="single" w:sz="4" w:space="0" w:color="009193"/>
            </w:tcBorders>
            <w:shd w:val="clear" w:color="000000" w:fill="FFFFFF"/>
            <w:noWrap/>
            <w:vAlign w:val="center"/>
            <w:hideMark/>
          </w:tcPr>
          <w:p w14:paraId="0EA4FEB1"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15.19</w:t>
            </w:r>
          </w:p>
        </w:tc>
      </w:tr>
      <w:tr w:rsidR="00BD4AAA" w:rsidRPr="003B4919" w14:paraId="185B768C" w14:textId="77777777" w:rsidTr="003B4919">
        <w:trPr>
          <w:trHeight w:val="320"/>
        </w:trPr>
        <w:tc>
          <w:tcPr>
            <w:tcW w:w="1218" w:type="pct"/>
            <w:tcBorders>
              <w:top w:val="nil"/>
              <w:left w:val="single" w:sz="4" w:space="0" w:color="009193"/>
              <w:bottom w:val="single" w:sz="4" w:space="0" w:color="009193"/>
              <w:right w:val="single" w:sz="4" w:space="0" w:color="009193"/>
            </w:tcBorders>
            <w:shd w:val="clear" w:color="auto" w:fill="auto"/>
            <w:noWrap/>
            <w:vAlign w:val="center"/>
            <w:hideMark/>
          </w:tcPr>
          <w:p w14:paraId="1C1A0528" w14:textId="77777777"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Greenwich</w:t>
            </w:r>
          </w:p>
        </w:tc>
        <w:tc>
          <w:tcPr>
            <w:tcW w:w="517" w:type="pct"/>
            <w:tcBorders>
              <w:top w:val="nil"/>
              <w:left w:val="nil"/>
              <w:bottom w:val="single" w:sz="4" w:space="0" w:color="009193"/>
              <w:right w:val="single" w:sz="4" w:space="0" w:color="009193"/>
            </w:tcBorders>
            <w:shd w:val="clear" w:color="000000" w:fill="FFFFFF"/>
            <w:noWrap/>
            <w:vAlign w:val="center"/>
            <w:hideMark/>
          </w:tcPr>
          <w:p w14:paraId="2D449597"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10.88</w:t>
            </w:r>
          </w:p>
        </w:tc>
        <w:tc>
          <w:tcPr>
            <w:tcW w:w="435" w:type="pct"/>
            <w:tcBorders>
              <w:top w:val="nil"/>
              <w:left w:val="nil"/>
              <w:bottom w:val="single" w:sz="4" w:space="0" w:color="009193"/>
              <w:right w:val="single" w:sz="4" w:space="0" w:color="009193"/>
            </w:tcBorders>
            <w:shd w:val="clear" w:color="000000" w:fill="FFFFFF"/>
            <w:noWrap/>
            <w:vAlign w:val="center"/>
            <w:hideMark/>
          </w:tcPr>
          <w:p w14:paraId="3B2B9554"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12.76</w:t>
            </w:r>
          </w:p>
        </w:tc>
        <w:tc>
          <w:tcPr>
            <w:tcW w:w="508" w:type="pct"/>
            <w:tcBorders>
              <w:top w:val="nil"/>
              <w:left w:val="nil"/>
              <w:bottom w:val="single" w:sz="4" w:space="0" w:color="009193"/>
              <w:right w:val="single" w:sz="4" w:space="0" w:color="009193"/>
            </w:tcBorders>
            <w:shd w:val="clear" w:color="000000" w:fill="FFFFFF"/>
            <w:noWrap/>
            <w:vAlign w:val="center"/>
            <w:hideMark/>
          </w:tcPr>
          <w:p w14:paraId="120C7855"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12.87</w:t>
            </w:r>
          </w:p>
        </w:tc>
        <w:tc>
          <w:tcPr>
            <w:tcW w:w="508" w:type="pct"/>
            <w:tcBorders>
              <w:top w:val="nil"/>
              <w:left w:val="nil"/>
              <w:bottom w:val="single" w:sz="4" w:space="0" w:color="009193"/>
              <w:right w:val="single" w:sz="4" w:space="0" w:color="009193"/>
            </w:tcBorders>
            <w:shd w:val="clear" w:color="000000" w:fill="FFFFFF"/>
            <w:noWrap/>
            <w:vAlign w:val="center"/>
            <w:hideMark/>
          </w:tcPr>
          <w:p w14:paraId="03710CEE"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12.95</w:t>
            </w:r>
          </w:p>
        </w:tc>
        <w:tc>
          <w:tcPr>
            <w:tcW w:w="435" w:type="pct"/>
            <w:tcBorders>
              <w:top w:val="nil"/>
              <w:left w:val="nil"/>
              <w:bottom w:val="single" w:sz="4" w:space="0" w:color="009193"/>
              <w:right w:val="single" w:sz="4" w:space="0" w:color="009193"/>
            </w:tcBorders>
            <w:shd w:val="clear" w:color="000000" w:fill="FFFFFF"/>
            <w:noWrap/>
            <w:vAlign w:val="center"/>
            <w:hideMark/>
          </w:tcPr>
          <w:p w14:paraId="2309B4D8"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10.57</w:t>
            </w:r>
          </w:p>
        </w:tc>
        <w:tc>
          <w:tcPr>
            <w:tcW w:w="435" w:type="pct"/>
            <w:tcBorders>
              <w:top w:val="nil"/>
              <w:left w:val="nil"/>
              <w:bottom w:val="single" w:sz="4" w:space="0" w:color="009193"/>
              <w:right w:val="single" w:sz="4" w:space="0" w:color="009193"/>
            </w:tcBorders>
            <w:shd w:val="clear" w:color="000000" w:fill="FFFFFF"/>
            <w:noWrap/>
            <w:vAlign w:val="center"/>
            <w:hideMark/>
          </w:tcPr>
          <w:p w14:paraId="466B86A7"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11.87</w:t>
            </w:r>
          </w:p>
        </w:tc>
        <w:tc>
          <w:tcPr>
            <w:tcW w:w="435" w:type="pct"/>
            <w:tcBorders>
              <w:top w:val="nil"/>
              <w:left w:val="nil"/>
              <w:bottom w:val="single" w:sz="4" w:space="0" w:color="009193"/>
              <w:right w:val="single" w:sz="4" w:space="0" w:color="009193"/>
            </w:tcBorders>
            <w:shd w:val="clear" w:color="000000" w:fill="FFFFFF"/>
            <w:noWrap/>
            <w:vAlign w:val="center"/>
            <w:hideMark/>
          </w:tcPr>
          <w:p w14:paraId="261999C0"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12.67</w:t>
            </w:r>
          </w:p>
        </w:tc>
        <w:tc>
          <w:tcPr>
            <w:tcW w:w="508" w:type="pct"/>
            <w:tcBorders>
              <w:top w:val="nil"/>
              <w:left w:val="nil"/>
              <w:bottom w:val="single" w:sz="4" w:space="0" w:color="009193"/>
              <w:right w:val="single" w:sz="4" w:space="0" w:color="009193"/>
            </w:tcBorders>
            <w:shd w:val="clear" w:color="000000" w:fill="FFFFFF"/>
            <w:noWrap/>
            <w:vAlign w:val="center"/>
            <w:hideMark/>
          </w:tcPr>
          <w:p w14:paraId="3F2C0F80"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12.17</w:t>
            </w:r>
          </w:p>
        </w:tc>
      </w:tr>
      <w:tr w:rsidR="00BD4AAA" w:rsidRPr="003B4919" w14:paraId="535A8654" w14:textId="77777777" w:rsidTr="003B4919">
        <w:trPr>
          <w:trHeight w:val="320"/>
        </w:trPr>
        <w:tc>
          <w:tcPr>
            <w:tcW w:w="1218" w:type="pct"/>
            <w:tcBorders>
              <w:top w:val="nil"/>
              <w:left w:val="single" w:sz="4" w:space="0" w:color="009193"/>
              <w:bottom w:val="single" w:sz="4" w:space="0" w:color="009193"/>
              <w:right w:val="single" w:sz="4" w:space="0" w:color="009193"/>
            </w:tcBorders>
            <w:shd w:val="clear" w:color="auto" w:fill="auto"/>
            <w:noWrap/>
            <w:vAlign w:val="center"/>
            <w:hideMark/>
          </w:tcPr>
          <w:p w14:paraId="07DF928F" w14:textId="77777777"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Croydon</w:t>
            </w:r>
          </w:p>
        </w:tc>
        <w:tc>
          <w:tcPr>
            <w:tcW w:w="517" w:type="pct"/>
            <w:tcBorders>
              <w:top w:val="nil"/>
              <w:left w:val="nil"/>
              <w:bottom w:val="single" w:sz="4" w:space="0" w:color="009193"/>
              <w:right w:val="single" w:sz="4" w:space="0" w:color="009193"/>
            </w:tcBorders>
            <w:shd w:val="clear" w:color="000000" w:fill="FFFFFF"/>
            <w:noWrap/>
            <w:vAlign w:val="center"/>
            <w:hideMark/>
          </w:tcPr>
          <w:p w14:paraId="2706262F"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9.63</w:t>
            </w:r>
          </w:p>
        </w:tc>
        <w:tc>
          <w:tcPr>
            <w:tcW w:w="435" w:type="pct"/>
            <w:tcBorders>
              <w:top w:val="nil"/>
              <w:left w:val="nil"/>
              <w:bottom w:val="single" w:sz="4" w:space="0" w:color="009193"/>
              <w:right w:val="single" w:sz="4" w:space="0" w:color="009193"/>
            </w:tcBorders>
            <w:shd w:val="clear" w:color="000000" w:fill="FFFFFF"/>
            <w:noWrap/>
            <w:vAlign w:val="center"/>
            <w:hideMark/>
          </w:tcPr>
          <w:p w14:paraId="31F38F53"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10.51</w:t>
            </w:r>
          </w:p>
        </w:tc>
        <w:tc>
          <w:tcPr>
            <w:tcW w:w="508" w:type="pct"/>
            <w:tcBorders>
              <w:top w:val="nil"/>
              <w:left w:val="nil"/>
              <w:bottom w:val="single" w:sz="4" w:space="0" w:color="009193"/>
              <w:right w:val="single" w:sz="4" w:space="0" w:color="009193"/>
            </w:tcBorders>
            <w:shd w:val="clear" w:color="000000" w:fill="FFFFFF"/>
            <w:noWrap/>
            <w:vAlign w:val="center"/>
            <w:hideMark/>
          </w:tcPr>
          <w:p w14:paraId="67CE2A1B"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11.21</w:t>
            </w:r>
          </w:p>
        </w:tc>
        <w:tc>
          <w:tcPr>
            <w:tcW w:w="508" w:type="pct"/>
            <w:tcBorders>
              <w:top w:val="nil"/>
              <w:left w:val="nil"/>
              <w:bottom w:val="single" w:sz="4" w:space="0" w:color="009193"/>
              <w:right w:val="single" w:sz="4" w:space="0" w:color="009193"/>
            </w:tcBorders>
            <w:shd w:val="clear" w:color="000000" w:fill="FFFFFF"/>
            <w:noWrap/>
            <w:vAlign w:val="center"/>
            <w:hideMark/>
          </w:tcPr>
          <w:p w14:paraId="6B324E88"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11.13</w:t>
            </w:r>
          </w:p>
        </w:tc>
        <w:tc>
          <w:tcPr>
            <w:tcW w:w="435" w:type="pct"/>
            <w:tcBorders>
              <w:top w:val="nil"/>
              <w:left w:val="nil"/>
              <w:bottom w:val="single" w:sz="4" w:space="0" w:color="009193"/>
              <w:right w:val="single" w:sz="4" w:space="0" w:color="009193"/>
            </w:tcBorders>
            <w:shd w:val="clear" w:color="000000" w:fill="FFFFFF"/>
            <w:noWrap/>
            <w:vAlign w:val="center"/>
            <w:hideMark/>
          </w:tcPr>
          <w:p w14:paraId="03FBB9DC"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8.98</w:t>
            </w:r>
          </w:p>
        </w:tc>
        <w:tc>
          <w:tcPr>
            <w:tcW w:w="435" w:type="pct"/>
            <w:tcBorders>
              <w:top w:val="nil"/>
              <w:left w:val="nil"/>
              <w:bottom w:val="single" w:sz="4" w:space="0" w:color="009193"/>
              <w:right w:val="single" w:sz="4" w:space="0" w:color="009193"/>
            </w:tcBorders>
            <w:shd w:val="clear" w:color="000000" w:fill="FFFFFF"/>
            <w:noWrap/>
            <w:vAlign w:val="center"/>
            <w:hideMark/>
          </w:tcPr>
          <w:p w14:paraId="6B15E989"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10.18</w:t>
            </w:r>
          </w:p>
        </w:tc>
        <w:tc>
          <w:tcPr>
            <w:tcW w:w="435" w:type="pct"/>
            <w:tcBorders>
              <w:top w:val="nil"/>
              <w:left w:val="nil"/>
              <w:bottom w:val="single" w:sz="4" w:space="0" w:color="009193"/>
              <w:right w:val="single" w:sz="4" w:space="0" w:color="009193"/>
            </w:tcBorders>
            <w:shd w:val="clear" w:color="000000" w:fill="FFFFFF"/>
            <w:noWrap/>
            <w:vAlign w:val="center"/>
            <w:hideMark/>
          </w:tcPr>
          <w:p w14:paraId="42AD2AF3"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10.73</w:t>
            </w:r>
          </w:p>
        </w:tc>
        <w:tc>
          <w:tcPr>
            <w:tcW w:w="508" w:type="pct"/>
            <w:tcBorders>
              <w:top w:val="nil"/>
              <w:left w:val="nil"/>
              <w:bottom w:val="single" w:sz="4" w:space="0" w:color="009193"/>
              <w:right w:val="single" w:sz="4" w:space="0" w:color="009193"/>
            </w:tcBorders>
            <w:shd w:val="clear" w:color="000000" w:fill="FFFFFF"/>
            <w:noWrap/>
            <w:vAlign w:val="center"/>
            <w:hideMark/>
          </w:tcPr>
          <w:p w14:paraId="085581A0"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10.45</w:t>
            </w:r>
          </w:p>
        </w:tc>
      </w:tr>
      <w:tr w:rsidR="00BD4AAA" w:rsidRPr="003B4919" w14:paraId="68D283B6" w14:textId="77777777" w:rsidTr="003B4919">
        <w:trPr>
          <w:trHeight w:val="320"/>
        </w:trPr>
        <w:tc>
          <w:tcPr>
            <w:tcW w:w="1218" w:type="pct"/>
            <w:tcBorders>
              <w:top w:val="nil"/>
              <w:left w:val="single" w:sz="4" w:space="0" w:color="009193"/>
              <w:bottom w:val="single" w:sz="4" w:space="0" w:color="009193"/>
              <w:right w:val="single" w:sz="4" w:space="0" w:color="009193"/>
            </w:tcBorders>
            <w:shd w:val="clear" w:color="auto" w:fill="auto"/>
            <w:noWrap/>
            <w:vAlign w:val="center"/>
            <w:hideMark/>
          </w:tcPr>
          <w:p w14:paraId="52E02EFD" w14:textId="77777777"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South East</w:t>
            </w:r>
          </w:p>
        </w:tc>
        <w:tc>
          <w:tcPr>
            <w:tcW w:w="517" w:type="pct"/>
            <w:tcBorders>
              <w:top w:val="nil"/>
              <w:left w:val="nil"/>
              <w:bottom w:val="single" w:sz="4" w:space="0" w:color="009193"/>
              <w:right w:val="single" w:sz="4" w:space="0" w:color="009193"/>
            </w:tcBorders>
            <w:shd w:val="clear" w:color="000000" w:fill="FFFFFF"/>
            <w:noWrap/>
            <w:vAlign w:val="center"/>
            <w:hideMark/>
          </w:tcPr>
          <w:p w14:paraId="7D777E04"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9.13</w:t>
            </w:r>
          </w:p>
        </w:tc>
        <w:tc>
          <w:tcPr>
            <w:tcW w:w="435" w:type="pct"/>
            <w:tcBorders>
              <w:top w:val="nil"/>
              <w:left w:val="nil"/>
              <w:bottom w:val="single" w:sz="4" w:space="0" w:color="009193"/>
              <w:right w:val="single" w:sz="4" w:space="0" w:color="009193"/>
            </w:tcBorders>
            <w:shd w:val="clear" w:color="000000" w:fill="FFFFFF"/>
            <w:noWrap/>
            <w:vAlign w:val="center"/>
            <w:hideMark/>
          </w:tcPr>
          <w:p w14:paraId="6C2A650C"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9.76</w:t>
            </w:r>
          </w:p>
        </w:tc>
        <w:tc>
          <w:tcPr>
            <w:tcW w:w="508" w:type="pct"/>
            <w:tcBorders>
              <w:top w:val="nil"/>
              <w:left w:val="nil"/>
              <w:bottom w:val="single" w:sz="4" w:space="0" w:color="009193"/>
              <w:right w:val="single" w:sz="4" w:space="0" w:color="009193"/>
            </w:tcBorders>
            <w:shd w:val="clear" w:color="000000" w:fill="FFFFFF"/>
            <w:noWrap/>
            <w:vAlign w:val="center"/>
            <w:hideMark/>
          </w:tcPr>
          <w:p w14:paraId="31737878"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10.25</w:t>
            </w:r>
          </w:p>
        </w:tc>
        <w:tc>
          <w:tcPr>
            <w:tcW w:w="508" w:type="pct"/>
            <w:tcBorders>
              <w:top w:val="nil"/>
              <w:left w:val="nil"/>
              <w:bottom w:val="single" w:sz="4" w:space="0" w:color="009193"/>
              <w:right w:val="single" w:sz="4" w:space="0" w:color="009193"/>
            </w:tcBorders>
            <w:shd w:val="clear" w:color="000000" w:fill="FFFFFF"/>
            <w:noWrap/>
            <w:vAlign w:val="center"/>
            <w:hideMark/>
          </w:tcPr>
          <w:p w14:paraId="35E157DB"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10.38</w:t>
            </w:r>
          </w:p>
        </w:tc>
        <w:tc>
          <w:tcPr>
            <w:tcW w:w="435" w:type="pct"/>
            <w:tcBorders>
              <w:top w:val="nil"/>
              <w:left w:val="nil"/>
              <w:bottom w:val="single" w:sz="4" w:space="0" w:color="009193"/>
              <w:right w:val="single" w:sz="4" w:space="0" w:color="009193"/>
            </w:tcBorders>
            <w:shd w:val="clear" w:color="000000" w:fill="FFFFFF"/>
            <w:noWrap/>
            <w:vAlign w:val="center"/>
            <w:hideMark/>
          </w:tcPr>
          <w:p w14:paraId="20F4323E"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8.81</w:t>
            </w:r>
          </w:p>
        </w:tc>
        <w:tc>
          <w:tcPr>
            <w:tcW w:w="435" w:type="pct"/>
            <w:tcBorders>
              <w:top w:val="nil"/>
              <w:left w:val="nil"/>
              <w:bottom w:val="single" w:sz="4" w:space="0" w:color="009193"/>
              <w:right w:val="single" w:sz="4" w:space="0" w:color="009193"/>
            </w:tcBorders>
            <w:shd w:val="clear" w:color="000000" w:fill="FFFFFF"/>
            <w:noWrap/>
            <w:vAlign w:val="center"/>
            <w:hideMark/>
          </w:tcPr>
          <w:p w14:paraId="53384B84"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9.43</w:t>
            </w:r>
          </w:p>
        </w:tc>
        <w:tc>
          <w:tcPr>
            <w:tcW w:w="435" w:type="pct"/>
            <w:tcBorders>
              <w:top w:val="nil"/>
              <w:left w:val="nil"/>
              <w:bottom w:val="single" w:sz="4" w:space="0" w:color="009193"/>
              <w:right w:val="single" w:sz="4" w:space="0" w:color="009193"/>
            </w:tcBorders>
            <w:shd w:val="clear" w:color="000000" w:fill="FFFFFF"/>
            <w:noWrap/>
            <w:vAlign w:val="center"/>
            <w:hideMark/>
          </w:tcPr>
          <w:p w14:paraId="31B5DC5F"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9.79</w:t>
            </w:r>
          </w:p>
        </w:tc>
        <w:tc>
          <w:tcPr>
            <w:tcW w:w="508" w:type="pct"/>
            <w:tcBorders>
              <w:top w:val="nil"/>
              <w:left w:val="nil"/>
              <w:bottom w:val="single" w:sz="4" w:space="0" w:color="009193"/>
              <w:right w:val="single" w:sz="4" w:space="0" w:color="009193"/>
            </w:tcBorders>
            <w:shd w:val="clear" w:color="000000" w:fill="FFFFFF"/>
            <w:noWrap/>
            <w:vAlign w:val="center"/>
            <w:hideMark/>
          </w:tcPr>
          <w:p w14:paraId="28D4050D"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9.93</w:t>
            </w:r>
          </w:p>
        </w:tc>
      </w:tr>
      <w:tr w:rsidR="00BD4AAA" w:rsidRPr="003B4919" w14:paraId="76837F25" w14:textId="77777777" w:rsidTr="003B4919">
        <w:trPr>
          <w:trHeight w:val="320"/>
        </w:trPr>
        <w:tc>
          <w:tcPr>
            <w:tcW w:w="1218" w:type="pct"/>
            <w:tcBorders>
              <w:top w:val="nil"/>
              <w:left w:val="single" w:sz="4" w:space="0" w:color="009193"/>
              <w:bottom w:val="single" w:sz="4" w:space="0" w:color="009193"/>
              <w:right w:val="single" w:sz="4" w:space="0" w:color="009193"/>
            </w:tcBorders>
            <w:shd w:val="clear" w:color="auto" w:fill="auto"/>
            <w:noWrap/>
            <w:vAlign w:val="center"/>
            <w:hideMark/>
          </w:tcPr>
          <w:p w14:paraId="6F13BB99" w14:textId="77777777"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Tower Hamlets</w:t>
            </w:r>
          </w:p>
        </w:tc>
        <w:tc>
          <w:tcPr>
            <w:tcW w:w="517" w:type="pct"/>
            <w:tcBorders>
              <w:top w:val="nil"/>
              <w:left w:val="nil"/>
              <w:bottom w:val="single" w:sz="4" w:space="0" w:color="009193"/>
              <w:right w:val="single" w:sz="4" w:space="0" w:color="009193"/>
            </w:tcBorders>
            <w:shd w:val="clear" w:color="000000" w:fill="FFFFFF"/>
            <w:noWrap/>
            <w:vAlign w:val="center"/>
            <w:hideMark/>
          </w:tcPr>
          <w:p w14:paraId="6310DEA8"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8.77</w:t>
            </w:r>
          </w:p>
        </w:tc>
        <w:tc>
          <w:tcPr>
            <w:tcW w:w="435" w:type="pct"/>
            <w:tcBorders>
              <w:top w:val="nil"/>
              <w:left w:val="nil"/>
              <w:bottom w:val="single" w:sz="4" w:space="0" w:color="009193"/>
              <w:right w:val="single" w:sz="4" w:space="0" w:color="009193"/>
            </w:tcBorders>
            <w:shd w:val="clear" w:color="000000" w:fill="FFFFFF"/>
            <w:noWrap/>
            <w:vAlign w:val="center"/>
            <w:hideMark/>
          </w:tcPr>
          <w:p w14:paraId="193AB976"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10.06</w:t>
            </w:r>
          </w:p>
        </w:tc>
        <w:tc>
          <w:tcPr>
            <w:tcW w:w="508" w:type="pct"/>
            <w:tcBorders>
              <w:top w:val="nil"/>
              <w:left w:val="nil"/>
              <w:bottom w:val="single" w:sz="4" w:space="0" w:color="009193"/>
              <w:right w:val="single" w:sz="4" w:space="0" w:color="009193"/>
            </w:tcBorders>
            <w:shd w:val="clear" w:color="000000" w:fill="FFFFFF"/>
            <w:noWrap/>
            <w:vAlign w:val="center"/>
            <w:hideMark/>
          </w:tcPr>
          <w:p w14:paraId="7CE9A2F4"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9.82</w:t>
            </w:r>
          </w:p>
        </w:tc>
        <w:tc>
          <w:tcPr>
            <w:tcW w:w="508" w:type="pct"/>
            <w:tcBorders>
              <w:top w:val="nil"/>
              <w:left w:val="nil"/>
              <w:bottom w:val="single" w:sz="4" w:space="0" w:color="009193"/>
              <w:right w:val="single" w:sz="4" w:space="0" w:color="009193"/>
            </w:tcBorders>
            <w:shd w:val="clear" w:color="000000" w:fill="FFFFFF"/>
            <w:noWrap/>
            <w:vAlign w:val="center"/>
            <w:hideMark/>
          </w:tcPr>
          <w:p w14:paraId="2A1D6899"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9.84</w:t>
            </w:r>
          </w:p>
        </w:tc>
        <w:tc>
          <w:tcPr>
            <w:tcW w:w="435" w:type="pct"/>
            <w:tcBorders>
              <w:top w:val="nil"/>
              <w:left w:val="nil"/>
              <w:bottom w:val="single" w:sz="4" w:space="0" w:color="009193"/>
              <w:right w:val="single" w:sz="4" w:space="0" w:color="009193"/>
            </w:tcBorders>
            <w:shd w:val="clear" w:color="000000" w:fill="FFFFFF"/>
            <w:noWrap/>
            <w:vAlign w:val="center"/>
            <w:hideMark/>
          </w:tcPr>
          <w:p w14:paraId="45427618"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11.88</w:t>
            </w:r>
          </w:p>
        </w:tc>
        <w:tc>
          <w:tcPr>
            <w:tcW w:w="435" w:type="pct"/>
            <w:tcBorders>
              <w:top w:val="nil"/>
              <w:left w:val="nil"/>
              <w:bottom w:val="single" w:sz="4" w:space="0" w:color="009193"/>
              <w:right w:val="single" w:sz="4" w:space="0" w:color="009193"/>
            </w:tcBorders>
            <w:shd w:val="clear" w:color="000000" w:fill="FFFFFF"/>
            <w:noWrap/>
            <w:vAlign w:val="center"/>
            <w:hideMark/>
          </w:tcPr>
          <w:p w14:paraId="21B95F9F"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12.82</w:t>
            </w:r>
          </w:p>
        </w:tc>
        <w:tc>
          <w:tcPr>
            <w:tcW w:w="435" w:type="pct"/>
            <w:tcBorders>
              <w:top w:val="nil"/>
              <w:left w:val="nil"/>
              <w:bottom w:val="single" w:sz="4" w:space="0" w:color="009193"/>
              <w:right w:val="single" w:sz="4" w:space="0" w:color="009193"/>
            </w:tcBorders>
            <w:shd w:val="clear" w:color="000000" w:fill="FFFFFF"/>
            <w:noWrap/>
            <w:vAlign w:val="center"/>
            <w:hideMark/>
          </w:tcPr>
          <w:p w14:paraId="5F9615A0"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12.88</w:t>
            </w:r>
          </w:p>
        </w:tc>
        <w:tc>
          <w:tcPr>
            <w:tcW w:w="508" w:type="pct"/>
            <w:tcBorders>
              <w:top w:val="nil"/>
              <w:left w:val="nil"/>
              <w:bottom w:val="single" w:sz="4" w:space="0" w:color="009193"/>
              <w:right w:val="single" w:sz="4" w:space="0" w:color="009193"/>
            </w:tcBorders>
            <w:shd w:val="clear" w:color="000000" w:fill="FFFFFF"/>
            <w:noWrap/>
            <w:vAlign w:val="center"/>
            <w:hideMark/>
          </w:tcPr>
          <w:p w14:paraId="1BC8842D"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12.66</w:t>
            </w:r>
          </w:p>
        </w:tc>
      </w:tr>
      <w:tr w:rsidR="00BD4AAA" w:rsidRPr="003B4919" w14:paraId="109645F0" w14:textId="77777777" w:rsidTr="003B4919">
        <w:trPr>
          <w:trHeight w:val="320"/>
        </w:trPr>
        <w:tc>
          <w:tcPr>
            <w:tcW w:w="1218" w:type="pct"/>
            <w:tcBorders>
              <w:top w:val="nil"/>
              <w:left w:val="single" w:sz="4" w:space="0" w:color="009193"/>
              <w:bottom w:val="single" w:sz="4" w:space="0" w:color="009193"/>
              <w:right w:val="single" w:sz="4" w:space="0" w:color="009193"/>
            </w:tcBorders>
            <w:shd w:val="clear" w:color="auto" w:fill="auto"/>
            <w:noWrap/>
            <w:vAlign w:val="center"/>
            <w:hideMark/>
          </w:tcPr>
          <w:p w14:paraId="2DB1B59D" w14:textId="77777777"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London</w:t>
            </w:r>
          </w:p>
        </w:tc>
        <w:tc>
          <w:tcPr>
            <w:tcW w:w="517" w:type="pct"/>
            <w:tcBorders>
              <w:top w:val="nil"/>
              <w:left w:val="nil"/>
              <w:bottom w:val="single" w:sz="4" w:space="0" w:color="009193"/>
              <w:right w:val="single" w:sz="4" w:space="0" w:color="009193"/>
            </w:tcBorders>
            <w:shd w:val="clear" w:color="000000" w:fill="FFFFFF"/>
            <w:noWrap/>
            <w:vAlign w:val="center"/>
            <w:hideMark/>
          </w:tcPr>
          <w:p w14:paraId="15911597"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7.52</w:t>
            </w:r>
          </w:p>
        </w:tc>
        <w:tc>
          <w:tcPr>
            <w:tcW w:w="435" w:type="pct"/>
            <w:tcBorders>
              <w:top w:val="nil"/>
              <w:left w:val="nil"/>
              <w:bottom w:val="single" w:sz="4" w:space="0" w:color="009193"/>
              <w:right w:val="single" w:sz="4" w:space="0" w:color="009193"/>
            </w:tcBorders>
            <w:shd w:val="clear" w:color="000000" w:fill="FFFFFF"/>
            <w:noWrap/>
            <w:vAlign w:val="center"/>
            <w:hideMark/>
          </w:tcPr>
          <w:p w14:paraId="79F5F541"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7.72</w:t>
            </w:r>
          </w:p>
        </w:tc>
        <w:tc>
          <w:tcPr>
            <w:tcW w:w="508" w:type="pct"/>
            <w:tcBorders>
              <w:top w:val="nil"/>
              <w:left w:val="nil"/>
              <w:bottom w:val="single" w:sz="4" w:space="0" w:color="009193"/>
              <w:right w:val="single" w:sz="4" w:space="0" w:color="009193"/>
            </w:tcBorders>
            <w:shd w:val="clear" w:color="000000" w:fill="FFFFFF"/>
            <w:noWrap/>
            <w:vAlign w:val="center"/>
            <w:hideMark/>
          </w:tcPr>
          <w:p w14:paraId="6BCEAFAD"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7.91</w:t>
            </w:r>
          </w:p>
        </w:tc>
        <w:tc>
          <w:tcPr>
            <w:tcW w:w="508" w:type="pct"/>
            <w:tcBorders>
              <w:top w:val="nil"/>
              <w:left w:val="nil"/>
              <w:bottom w:val="single" w:sz="4" w:space="0" w:color="009193"/>
              <w:right w:val="single" w:sz="4" w:space="0" w:color="009193"/>
            </w:tcBorders>
            <w:shd w:val="clear" w:color="000000" w:fill="FFFFFF"/>
            <w:noWrap/>
            <w:vAlign w:val="center"/>
            <w:hideMark/>
          </w:tcPr>
          <w:p w14:paraId="733683CB"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8.00</w:t>
            </w:r>
          </w:p>
        </w:tc>
        <w:tc>
          <w:tcPr>
            <w:tcW w:w="435" w:type="pct"/>
            <w:tcBorders>
              <w:top w:val="nil"/>
              <w:left w:val="nil"/>
              <w:bottom w:val="single" w:sz="4" w:space="0" w:color="009193"/>
              <w:right w:val="single" w:sz="4" w:space="0" w:color="009193"/>
            </w:tcBorders>
            <w:shd w:val="clear" w:color="000000" w:fill="FFFFFF"/>
            <w:noWrap/>
            <w:vAlign w:val="center"/>
            <w:hideMark/>
          </w:tcPr>
          <w:p w14:paraId="0D6AFE02"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11.78</w:t>
            </w:r>
          </w:p>
        </w:tc>
        <w:tc>
          <w:tcPr>
            <w:tcW w:w="435" w:type="pct"/>
            <w:tcBorders>
              <w:top w:val="nil"/>
              <w:left w:val="nil"/>
              <w:bottom w:val="single" w:sz="4" w:space="0" w:color="009193"/>
              <w:right w:val="single" w:sz="4" w:space="0" w:color="009193"/>
            </w:tcBorders>
            <w:shd w:val="clear" w:color="000000" w:fill="FFFFFF"/>
            <w:noWrap/>
            <w:vAlign w:val="center"/>
            <w:hideMark/>
          </w:tcPr>
          <w:p w14:paraId="5C9F3E8F"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12.91</w:t>
            </w:r>
          </w:p>
        </w:tc>
        <w:tc>
          <w:tcPr>
            <w:tcW w:w="435" w:type="pct"/>
            <w:tcBorders>
              <w:top w:val="nil"/>
              <w:left w:val="nil"/>
              <w:bottom w:val="single" w:sz="4" w:space="0" w:color="009193"/>
              <w:right w:val="single" w:sz="4" w:space="0" w:color="009193"/>
            </w:tcBorders>
            <w:shd w:val="clear" w:color="000000" w:fill="FFFFFF"/>
            <w:noWrap/>
            <w:vAlign w:val="center"/>
            <w:hideMark/>
          </w:tcPr>
          <w:p w14:paraId="642FD7C0"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13.25</w:t>
            </w:r>
          </w:p>
        </w:tc>
        <w:tc>
          <w:tcPr>
            <w:tcW w:w="508" w:type="pct"/>
            <w:tcBorders>
              <w:top w:val="nil"/>
              <w:left w:val="nil"/>
              <w:bottom w:val="single" w:sz="4" w:space="0" w:color="009193"/>
              <w:right w:val="single" w:sz="4" w:space="0" w:color="009193"/>
            </w:tcBorders>
            <w:shd w:val="clear" w:color="000000" w:fill="FFFFFF"/>
            <w:noWrap/>
            <w:vAlign w:val="center"/>
            <w:hideMark/>
          </w:tcPr>
          <w:p w14:paraId="1A74DEDB"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13.09</w:t>
            </w:r>
          </w:p>
        </w:tc>
      </w:tr>
      <w:tr w:rsidR="00BD4AAA" w:rsidRPr="003B4919" w14:paraId="29813D70" w14:textId="77777777" w:rsidTr="003B4919">
        <w:trPr>
          <w:trHeight w:val="320"/>
        </w:trPr>
        <w:tc>
          <w:tcPr>
            <w:tcW w:w="1218" w:type="pct"/>
            <w:tcBorders>
              <w:top w:val="nil"/>
              <w:left w:val="single" w:sz="4" w:space="0" w:color="009193"/>
              <w:bottom w:val="single" w:sz="4" w:space="0" w:color="009193"/>
              <w:right w:val="single" w:sz="4" w:space="0" w:color="009193"/>
            </w:tcBorders>
            <w:shd w:val="clear" w:color="auto" w:fill="auto"/>
            <w:noWrap/>
            <w:vAlign w:val="center"/>
            <w:hideMark/>
          </w:tcPr>
          <w:p w14:paraId="7005BB83" w14:textId="77777777" w:rsidR="00BD4AAA" w:rsidRPr="003B4919" w:rsidRDefault="00BD4AAA" w:rsidP="0078254D">
            <w:pPr>
              <w:rPr>
                <w:rFonts w:asciiTheme="minorHAnsi" w:hAnsiTheme="minorHAnsi" w:cs="Arial"/>
                <w:sz w:val="22"/>
                <w:szCs w:val="22"/>
              </w:rPr>
            </w:pPr>
            <w:r w:rsidRPr="003B4919">
              <w:rPr>
                <w:rFonts w:asciiTheme="minorHAnsi" w:hAnsiTheme="minorHAnsi" w:cs="Arial"/>
                <w:sz w:val="22"/>
                <w:szCs w:val="22"/>
              </w:rPr>
              <w:t>England</w:t>
            </w:r>
          </w:p>
        </w:tc>
        <w:tc>
          <w:tcPr>
            <w:tcW w:w="517" w:type="pct"/>
            <w:tcBorders>
              <w:top w:val="nil"/>
              <w:left w:val="nil"/>
              <w:bottom w:val="single" w:sz="4" w:space="0" w:color="009193"/>
              <w:right w:val="single" w:sz="4" w:space="0" w:color="009193"/>
            </w:tcBorders>
            <w:shd w:val="clear" w:color="000000" w:fill="FFFFFF"/>
            <w:noWrap/>
            <w:vAlign w:val="center"/>
            <w:hideMark/>
          </w:tcPr>
          <w:p w14:paraId="26F77AB1"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7.52</w:t>
            </w:r>
          </w:p>
        </w:tc>
        <w:tc>
          <w:tcPr>
            <w:tcW w:w="435" w:type="pct"/>
            <w:tcBorders>
              <w:top w:val="nil"/>
              <w:left w:val="nil"/>
              <w:bottom w:val="single" w:sz="4" w:space="0" w:color="009193"/>
              <w:right w:val="single" w:sz="4" w:space="0" w:color="009193"/>
            </w:tcBorders>
            <w:shd w:val="clear" w:color="000000" w:fill="FFFFFF"/>
            <w:noWrap/>
            <w:vAlign w:val="center"/>
            <w:hideMark/>
          </w:tcPr>
          <w:p w14:paraId="7F2A9391"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7.72</w:t>
            </w:r>
          </w:p>
        </w:tc>
        <w:tc>
          <w:tcPr>
            <w:tcW w:w="508" w:type="pct"/>
            <w:tcBorders>
              <w:top w:val="nil"/>
              <w:left w:val="nil"/>
              <w:bottom w:val="single" w:sz="4" w:space="0" w:color="009193"/>
              <w:right w:val="single" w:sz="4" w:space="0" w:color="009193"/>
            </w:tcBorders>
            <w:shd w:val="clear" w:color="000000" w:fill="FFFFFF"/>
            <w:noWrap/>
            <w:vAlign w:val="center"/>
            <w:hideMark/>
          </w:tcPr>
          <w:p w14:paraId="1F6C1584"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7.91</w:t>
            </w:r>
          </w:p>
        </w:tc>
        <w:tc>
          <w:tcPr>
            <w:tcW w:w="508" w:type="pct"/>
            <w:tcBorders>
              <w:top w:val="nil"/>
              <w:left w:val="nil"/>
              <w:bottom w:val="single" w:sz="4" w:space="0" w:color="009193"/>
              <w:right w:val="single" w:sz="4" w:space="0" w:color="009193"/>
            </w:tcBorders>
            <w:shd w:val="clear" w:color="000000" w:fill="FFFFFF"/>
            <w:noWrap/>
            <w:vAlign w:val="center"/>
            <w:hideMark/>
          </w:tcPr>
          <w:p w14:paraId="10823BE7"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8.00</w:t>
            </w:r>
          </w:p>
        </w:tc>
        <w:tc>
          <w:tcPr>
            <w:tcW w:w="435" w:type="pct"/>
            <w:tcBorders>
              <w:top w:val="nil"/>
              <w:left w:val="nil"/>
              <w:bottom w:val="single" w:sz="4" w:space="0" w:color="009193"/>
              <w:right w:val="single" w:sz="4" w:space="0" w:color="009193"/>
            </w:tcBorders>
            <w:shd w:val="clear" w:color="000000" w:fill="FFFFFF"/>
            <w:noWrap/>
            <w:vAlign w:val="center"/>
            <w:hideMark/>
          </w:tcPr>
          <w:p w14:paraId="6F40C350"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7.53</w:t>
            </w:r>
          </w:p>
        </w:tc>
        <w:tc>
          <w:tcPr>
            <w:tcW w:w="435" w:type="pct"/>
            <w:tcBorders>
              <w:top w:val="nil"/>
              <w:left w:val="nil"/>
              <w:bottom w:val="single" w:sz="4" w:space="0" w:color="009193"/>
              <w:right w:val="single" w:sz="4" w:space="0" w:color="009193"/>
            </w:tcBorders>
            <w:shd w:val="clear" w:color="000000" w:fill="FFFFFF"/>
            <w:noWrap/>
            <w:vAlign w:val="center"/>
            <w:hideMark/>
          </w:tcPr>
          <w:p w14:paraId="2291CF52"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7.72</w:t>
            </w:r>
          </w:p>
        </w:tc>
        <w:tc>
          <w:tcPr>
            <w:tcW w:w="435" w:type="pct"/>
            <w:tcBorders>
              <w:top w:val="nil"/>
              <w:left w:val="nil"/>
              <w:bottom w:val="single" w:sz="4" w:space="0" w:color="009193"/>
              <w:right w:val="single" w:sz="4" w:space="0" w:color="009193"/>
            </w:tcBorders>
            <w:shd w:val="clear" w:color="000000" w:fill="FFFFFF"/>
            <w:noWrap/>
            <w:vAlign w:val="center"/>
            <w:hideMark/>
          </w:tcPr>
          <w:p w14:paraId="4ECB4EFC"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7.91</w:t>
            </w:r>
          </w:p>
        </w:tc>
        <w:tc>
          <w:tcPr>
            <w:tcW w:w="508" w:type="pct"/>
            <w:tcBorders>
              <w:top w:val="nil"/>
              <w:left w:val="nil"/>
              <w:bottom w:val="single" w:sz="4" w:space="0" w:color="009193"/>
              <w:right w:val="single" w:sz="4" w:space="0" w:color="009193"/>
            </w:tcBorders>
            <w:shd w:val="clear" w:color="000000" w:fill="FFFFFF"/>
            <w:noWrap/>
            <w:vAlign w:val="center"/>
            <w:hideMark/>
          </w:tcPr>
          <w:p w14:paraId="68A1FD59" w14:textId="77777777" w:rsidR="00BD4AAA" w:rsidRPr="003B4919" w:rsidRDefault="00BD4AAA" w:rsidP="003B4919">
            <w:pPr>
              <w:jc w:val="right"/>
              <w:rPr>
                <w:rFonts w:asciiTheme="minorHAnsi" w:hAnsiTheme="minorHAnsi" w:cs="Arial"/>
                <w:sz w:val="22"/>
                <w:szCs w:val="22"/>
              </w:rPr>
            </w:pPr>
            <w:r w:rsidRPr="003B4919">
              <w:rPr>
                <w:rFonts w:asciiTheme="minorHAnsi" w:hAnsiTheme="minorHAnsi" w:cs="Arial"/>
                <w:sz w:val="22"/>
                <w:szCs w:val="22"/>
              </w:rPr>
              <w:t>8.00</w:t>
            </w:r>
          </w:p>
        </w:tc>
      </w:tr>
    </w:tbl>
    <w:p w14:paraId="70AFA8DA" w14:textId="77777777" w:rsidR="00BD4AAA" w:rsidRPr="0067297E" w:rsidRDefault="00BD4AAA" w:rsidP="00BD4AAA">
      <w:pPr>
        <w:pStyle w:val="Maintext"/>
        <w:numPr>
          <w:ilvl w:val="0"/>
          <w:numId w:val="0"/>
        </w:numPr>
        <w:rPr>
          <w:rFonts w:asciiTheme="minorHAnsi" w:hAnsiTheme="minorHAnsi" w:cs="Calibri"/>
          <w:lang w:val="en-GB"/>
        </w:rPr>
      </w:pPr>
      <w:r w:rsidRPr="0067297E">
        <w:rPr>
          <w:rFonts w:asciiTheme="minorHAnsi" w:hAnsiTheme="minorHAnsi" w:cs="Calibri"/>
          <w:sz w:val="20"/>
          <w:szCs w:val="20"/>
        </w:rPr>
        <w:t xml:space="preserve">Sources: </w:t>
      </w:r>
      <w:r w:rsidRPr="0067297E">
        <w:rPr>
          <w:rFonts w:asciiTheme="minorHAnsi" w:hAnsiTheme="minorHAnsi" w:cs="Calibri"/>
          <w:sz w:val="20"/>
          <w:szCs w:val="20"/>
          <w:lang w:val="en-GB"/>
        </w:rPr>
        <w:t>ONS Ratio of house price to workplace and residence-based earnings</w:t>
      </w:r>
    </w:p>
    <w:p w14:paraId="7B27E7C9" w14:textId="77777777" w:rsidR="00BD4AAA" w:rsidRPr="0067297E" w:rsidRDefault="00BD4AAA" w:rsidP="00543A76">
      <w:pPr>
        <w:rPr>
          <w:rFonts w:asciiTheme="minorHAnsi" w:hAnsiTheme="minorHAnsi" w:cs="Calibri"/>
        </w:rPr>
      </w:pPr>
    </w:p>
    <w:p w14:paraId="1B27C019" w14:textId="77777777" w:rsidR="00582767" w:rsidRPr="0067297E" w:rsidRDefault="00582767" w:rsidP="00543A76">
      <w:pPr>
        <w:pStyle w:val="Heading2"/>
        <w:rPr>
          <w:rFonts w:asciiTheme="minorHAnsi" w:hAnsiTheme="minorHAnsi" w:cs="Calibri"/>
        </w:rPr>
      </w:pPr>
      <w:bookmarkStart w:id="184" w:name="_Toc1385747"/>
      <w:bookmarkStart w:id="185" w:name="_Toc23151062"/>
      <w:bookmarkStart w:id="186" w:name="_Toc428528474"/>
      <w:bookmarkStart w:id="187" w:name="_Toc430084567"/>
      <w:bookmarkStart w:id="188" w:name="_Toc430782021"/>
      <w:bookmarkStart w:id="189" w:name="_Toc399864359"/>
      <w:r w:rsidRPr="0067297E">
        <w:rPr>
          <w:rFonts w:asciiTheme="minorHAnsi" w:hAnsiTheme="minorHAnsi" w:cs="Calibri"/>
        </w:rPr>
        <w:t>Household migration</w:t>
      </w:r>
      <w:bookmarkEnd w:id="184"/>
      <w:bookmarkEnd w:id="185"/>
      <w:r w:rsidRPr="0067297E">
        <w:rPr>
          <w:rFonts w:asciiTheme="minorHAnsi" w:hAnsiTheme="minorHAnsi" w:cs="Calibri"/>
        </w:rPr>
        <w:t xml:space="preserve"> </w:t>
      </w:r>
      <w:bookmarkEnd w:id="186"/>
      <w:bookmarkEnd w:id="187"/>
      <w:bookmarkEnd w:id="188"/>
    </w:p>
    <w:bookmarkEnd w:id="189"/>
    <w:p w14:paraId="5F0148A9" w14:textId="0B2E5EEE" w:rsidR="00AD31DE" w:rsidRPr="0067297E" w:rsidRDefault="000A5C0C" w:rsidP="00543A76">
      <w:pPr>
        <w:pStyle w:val="Reporttext"/>
        <w:rPr>
          <w:rFonts w:asciiTheme="minorHAnsi" w:hAnsiTheme="minorHAnsi" w:cs="Calibri"/>
        </w:rPr>
      </w:pPr>
      <w:r w:rsidRPr="0067297E">
        <w:rPr>
          <w:rFonts w:asciiTheme="minorHAnsi" w:hAnsiTheme="minorHAnsi" w:cs="Calibri"/>
        </w:rPr>
        <w:t xml:space="preserve">Data reported in the 2011 Census </w:t>
      </w:r>
      <w:r w:rsidR="00FA1A93" w:rsidRPr="0067297E">
        <w:rPr>
          <w:rFonts w:asciiTheme="minorHAnsi" w:hAnsiTheme="minorHAnsi" w:cs="Calibri"/>
          <w:lang w:val="en-GB"/>
        </w:rPr>
        <w:t xml:space="preserve">records 35,010 households in </w:t>
      </w:r>
      <w:r w:rsidR="00FC2076" w:rsidRPr="0067297E">
        <w:rPr>
          <w:rFonts w:asciiTheme="minorHAnsi" w:hAnsiTheme="minorHAnsi" w:cs="Calibri"/>
          <w:lang w:val="en-GB"/>
        </w:rPr>
        <w:t xml:space="preserve">the Borough of </w:t>
      </w:r>
      <w:r w:rsidR="00FA1A93" w:rsidRPr="0067297E">
        <w:rPr>
          <w:rFonts w:asciiTheme="minorHAnsi" w:hAnsiTheme="minorHAnsi" w:cs="Calibri"/>
          <w:lang w:val="en-GB"/>
        </w:rPr>
        <w:t xml:space="preserve">Lewisham who moved address in the year preceding the Census. This </w:t>
      </w:r>
      <w:r w:rsidR="004C4D45" w:rsidRPr="0067297E">
        <w:rPr>
          <w:rFonts w:asciiTheme="minorHAnsi" w:hAnsiTheme="minorHAnsi" w:cs="Calibri"/>
          <w:lang w:val="en-GB"/>
        </w:rPr>
        <w:t>data is set out in Table 3.</w:t>
      </w:r>
      <w:r w:rsidR="00516B53" w:rsidRPr="0067297E">
        <w:rPr>
          <w:rFonts w:asciiTheme="minorHAnsi" w:hAnsiTheme="minorHAnsi" w:cs="Calibri"/>
          <w:lang w:val="en-GB"/>
        </w:rPr>
        <w:t>6</w:t>
      </w:r>
      <w:r w:rsidR="004C4D45" w:rsidRPr="0067297E">
        <w:rPr>
          <w:rFonts w:asciiTheme="minorHAnsi" w:hAnsiTheme="minorHAnsi" w:cs="Calibri"/>
          <w:lang w:val="en-GB"/>
        </w:rPr>
        <w:t xml:space="preserve">. It indicates </w:t>
      </w:r>
      <w:r w:rsidRPr="0067297E">
        <w:rPr>
          <w:rFonts w:asciiTheme="minorHAnsi" w:hAnsiTheme="minorHAnsi" w:cs="Calibri"/>
        </w:rPr>
        <w:t>that</w:t>
      </w:r>
      <w:r w:rsidR="00F424EA" w:rsidRPr="0067297E">
        <w:rPr>
          <w:rFonts w:asciiTheme="minorHAnsi" w:hAnsiTheme="minorHAnsi" w:cs="Calibri"/>
          <w:lang w:val="en-GB"/>
        </w:rPr>
        <w:t xml:space="preserve"> </w:t>
      </w:r>
      <w:r w:rsidR="00FA1A93" w:rsidRPr="0067297E">
        <w:rPr>
          <w:rFonts w:asciiTheme="minorHAnsi" w:hAnsiTheme="minorHAnsi" w:cs="Calibri"/>
          <w:lang w:val="en-GB"/>
        </w:rPr>
        <w:t>44.6</w:t>
      </w:r>
      <w:r w:rsidRPr="0067297E">
        <w:rPr>
          <w:rFonts w:asciiTheme="minorHAnsi" w:hAnsiTheme="minorHAnsi" w:cs="Calibri"/>
        </w:rPr>
        <w:t>%</w:t>
      </w:r>
      <w:r w:rsidR="00FA1A93" w:rsidRPr="0067297E">
        <w:rPr>
          <w:rFonts w:asciiTheme="minorHAnsi" w:hAnsiTheme="minorHAnsi" w:cs="Calibri"/>
        </w:rPr>
        <w:t xml:space="preserve"> of households who moved</w:t>
      </w:r>
      <w:r w:rsidR="004C4D45" w:rsidRPr="0067297E">
        <w:rPr>
          <w:rFonts w:asciiTheme="minorHAnsi" w:hAnsiTheme="minorHAnsi" w:cs="Calibri"/>
          <w:lang w:val="en-GB"/>
        </w:rPr>
        <w:t xml:space="preserve"> in the year preceding the Census</w:t>
      </w:r>
      <w:r w:rsidR="00FA1A93" w:rsidRPr="0067297E">
        <w:rPr>
          <w:rFonts w:asciiTheme="minorHAnsi" w:hAnsiTheme="minorHAnsi" w:cs="Calibri"/>
        </w:rPr>
        <w:t xml:space="preserve"> </w:t>
      </w:r>
      <w:r w:rsidRPr="0067297E">
        <w:rPr>
          <w:rFonts w:asciiTheme="minorHAnsi" w:hAnsiTheme="minorHAnsi" w:cs="Calibri"/>
        </w:rPr>
        <w:t xml:space="preserve">originated from within </w:t>
      </w:r>
      <w:r w:rsidR="00FC2076" w:rsidRPr="0067297E">
        <w:rPr>
          <w:rFonts w:asciiTheme="minorHAnsi" w:hAnsiTheme="minorHAnsi" w:cs="Calibri"/>
          <w:lang w:val="en-GB"/>
        </w:rPr>
        <w:t>the borough</w:t>
      </w:r>
      <w:r w:rsidR="00FA1A93" w:rsidRPr="0067297E">
        <w:rPr>
          <w:rFonts w:asciiTheme="minorHAnsi" w:hAnsiTheme="minorHAnsi" w:cs="Calibri"/>
          <w:lang w:val="en-GB"/>
        </w:rPr>
        <w:t xml:space="preserve"> and a further 40.0% from other London Boroughs (of which 9.2% w</w:t>
      </w:r>
      <w:r w:rsidR="004C4D45" w:rsidRPr="0067297E">
        <w:rPr>
          <w:rFonts w:asciiTheme="minorHAnsi" w:hAnsiTheme="minorHAnsi" w:cs="Calibri"/>
          <w:lang w:val="en-GB"/>
        </w:rPr>
        <w:t>ere</w:t>
      </w:r>
      <w:r w:rsidR="00FA1A93" w:rsidRPr="0067297E">
        <w:rPr>
          <w:rFonts w:asciiTheme="minorHAnsi" w:hAnsiTheme="minorHAnsi" w:cs="Calibri"/>
          <w:lang w:val="en-GB"/>
        </w:rPr>
        <w:t xml:space="preserve"> from neighbouring Southwark</w:t>
      </w:r>
      <w:r w:rsidR="004C4D45" w:rsidRPr="0067297E">
        <w:rPr>
          <w:rFonts w:asciiTheme="minorHAnsi" w:hAnsiTheme="minorHAnsi" w:cs="Calibri"/>
          <w:lang w:val="en-GB"/>
        </w:rPr>
        <w:t>, 5.6% from Greenwich, 3.7% from Lambeth and 3.2% from Bromley)</w:t>
      </w:r>
      <w:r w:rsidRPr="0067297E">
        <w:rPr>
          <w:rFonts w:asciiTheme="minorHAnsi" w:hAnsiTheme="minorHAnsi" w:cs="Calibri"/>
        </w:rPr>
        <w:t xml:space="preserve">. </w:t>
      </w:r>
    </w:p>
    <w:p w14:paraId="4F4D6378" w14:textId="77777777" w:rsidR="000A5C0C" w:rsidRPr="0067297E" w:rsidRDefault="000A5C0C" w:rsidP="00543A76">
      <w:pPr>
        <w:pStyle w:val="Reporttext"/>
        <w:numPr>
          <w:ilvl w:val="0"/>
          <w:numId w:val="0"/>
        </w:numPr>
        <w:rPr>
          <w:rFonts w:asciiTheme="minorHAnsi" w:hAnsiTheme="minorHAnsi" w:cs="Calibri"/>
          <w:lang w:val="en-GB"/>
        </w:rPr>
      </w:pPr>
    </w:p>
    <w:tbl>
      <w:tblPr>
        <w:tblW w:w="3373" w:type="pct"/>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933"/>
        <w:gridCol w:w="1558"/>
        <w:gridCol w:w="1702"/>
      </w:tblGrid>
      <w:tr w:rsidR="000A5C0C" w:rsidRPr="0067297E" w14:paraId="4D805C35" w14:textId="77777777" w:rsidTr="00FF4E2D">
        <w:trPr>
          <w:trHeight w:val="300"/>
          <w:tblHeader/>
        </w:trPr>
        <w:tc>
          <w:tcPr>
            <w:tcW w:w="5000" w:type="pct"/>
            <w:gridSpan w:val="3"/>
            <w:shd w:val="clear" w:color="auto" w:fill="009999"/>
            <w:noWrap/>
            <w:vAlign w:val="bottom"/>
            <w:hideMark/>
          </w:tcPr>
          <w:p w14:paraId="66EDD7E5" w14:textId="4CC3525A" w:rsidR="000A5C0C" w:rsidRPr="0067297E" w:rsidRDefault="000A5C0C" w:rsidP="003F4875">
            <w:pPr>
              <w:pStyle w:val="tableheading"/>
              <w:rPr>
                <w:rFonts w:asciiTheme="minorHAnsi" w:hAnsiTheme="minorHAnsi"/>
                <w:color w:val="000000"/>
              </w:rPr>
            </w:pPr>
            <w:bookmarkStart w:id="190" w:name="_Toc424735133"/>
            <w:bookmarkStart w:id="191" w:name="_Toc23151147"/>
            <w:r w:rsidRPr="0067297E">
              <w:rPr>
                <w:rFonts w:asciiTheme="minorHAnsi" w:hAnsiTheme="minorHAnsi"/>
              </w:rPr>
              <w:t>Table 3.</w:t>
            </w:r>
            <w:r w:rsidR="00516B53" w:rsidRPr="0067297E">
              <w:rPr>
                <w:rFonts w:asciiTheme="minorHAnsi" w:hAnsiTheme="minorHAnsi"/>
              </w:rPr>
              <w:t>6</w:t>
            </w:r>
            <w:r w:rsidRPr="0067297E">
              <w:rPr>
                <w:rFonts w:asciiTheme="minorHAnsi" w:hAnsiTheme="minorHAnsi"/>
              </w:rPr>
              <w:tab/>
              <w:t>Origin of moving households</w:t>
            </w:r>
            <w:bookmarkEnd w:id="190"/>
            <w:bookmarkEnd w:id="191"/>
          </w:p>
        </w:tc>
      </w:tr>
      <w:tr w:rsidR="000A5C0C" w:rsidRPr="0067297E" w14:paraId="3133B874" w14:textId="77777777" w:rsidTr="000256AC">
        <w:trPr>
          <w:trHeight w:val="300"/>
        </w:trPr>
        <w:tc>
          <w:tcPr>
            <w:tcW w:w="2368" w:type="pct"/>
            <w:shd w:val="clear" w:color="auto" w:fill="009999"/>
            <w:noWrap/>
            <w:vAlign w:val="bottom"/>
            <w:hideMark/>
          </w:tcPr>
          <w:p w14:paraId="505E4C4C" w14:textId="77777777" w:rsidR="000A5C0C" w:rsidRPr="0067297E" w:rsidRDefault="000A5C0C" w:rsidP="000256AC">
            <w:pP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Place of Origin</w:t>
            </w:r>
          </w:p>
        </w:tc>
        <w:tc>
          <w:tcPr>
            <w:tcW w:w="1258" w:type="pct"/>
            <w:shd w:val="clear" w:color="auto" w:fill="009999"/>
            <w:noWrap/>
            <w:vAlign w:val="bottom"/>
            <w:hideMark/>
          </w:tcPr>
          <w:p w14:paraId="4CA1E0CA" w14:textId="77777777" w:rsidR="000A5C0C" w:rsidRPr="0067297E" w:rsidRDefault="000A5C0C" w:rsidP="000256AC">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Number</w:t>
            </w:r>
          </w:p>
        </w:tc>
        <w:tc>
          <w:tcPr>
            <w:tcW w:w="1374" w:type="pct"/>
            <w:shd w:val="clear" w:color="auto" w:fill="009999"/>
            <w:noWrap/>
            <w:vAlign w:val="bottom"/>
            <w:hideMark/>
          </w:tcPr>
          <w:p w14:paraId="793995C6" w14:textId="77777777" w:rsidR="000A5C0C" w:rsidRPr="0067297E" w:rsidRDefault="000A5C0C" w:rsidP="000256AC">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w:t>
            </w:r>
          </w:p>
        </w:tc>
      </w:tr>
      <w:tr w:rsidR="00FA1A93" w:rsidRPr="0067297E" w14:paraId="664B93D0" w14:textId="77777777" w:rsidTr="000256AC">
        <w:trPr>
          <w:trHeight w:val="300"/>
        </w:trPr>
        <w:tc>
          <w:tcPr>
            <w:tcW w:w="2368" w:type="pct"/>
            <w:shd w:val="clear" w:color="auto" w:fill="auto"/>
            <w:noWrap/>
            <w:vAlign w:val="center"/>
          </w:tcPr>
          <w:p w14:paraId="283806CB" w14:textId="77777777" w:rsidR="00FA1A93" w:rsidRPr="0067297E" w:rsidRDefault="00FA1A93" w:rsidP="000256AC">
            <w:pPr>
              <w:rPr>
                <w:rFonts w:asciiTheme="minorHAnsi" w:hAnsiTheme="minorHAnsi" w:cs="Calibri"/>
                <w:color w:val="000000"/>
                <w:sz w:val="22"/>
                <w:szCs w:val="22"/>
              </w:rPr>
            </w:pPr>
            <w:r w:rsidRPr="0067297E">
              <w:rPr>
                <w:rFonts w:asciiTheme="minorHAnsi" w:hAnsiTheme="minorHAnsi" w:cs="Calibri"/>
                <w:color w:val="000000"/>
                <w:sz w:val="22"/>
                <w:szCs w:val="22"/>
              </w:rPr>
              <w:t>Lewisham</w:t>
            </w:r>
          </w:p>
        </w:tc>
        <w:tc>
          <w:tcPr>
            <w:tcW w:w="1258" w:type="pct"/>
            <w:shd w:val="clear" w:color="auto" w:fill="auto"/>
            <w:noWrap/>
            <w:vAlign w:val="center"/>
          </w:tcPr>
          <w:p w14:paraId="08696C9F"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15,626</w:t>
            </w:r>
          </w:p>
        </w:tc>
        <w:tc>
          <w:tcPr>
            <w:tcW w:w="1374" w:type="pct"/>
            <w:shd w:val="clear" w:color="auto" w:fill="auto"/>
            <w:noWrap/>
            <w:vAlign w:val="center"/>
          </w:tcPr>
          <w:p w14:paraId="4F78BF31"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44.6%</w:t>
            </w:r>
          </w:p>
        </w:tc>
      </w:tr>
      <w:tr w:rsidR="00FA1A93" w:rsidRPr="0067297E" w14:paraId="0A732346" w14:textId="77777777" w:rsidTr="000256AC">
        <w:trPr>
          <w:trHeight w:val="300"/>
        </w:trPr>
        <w:tc>
          <w:tcPr>
            <w:tcW w:w="2368" w:type="pct"/>
            <w:shd w:val="clear" w:color="auto" w:fill="auto"/>
            <w:noWrap/>
            <w:vAlign w:val="center"/>
          </w:tcPr>
          <w:p w14:paraId="7C728AAB" w14:textId="77777777" w:rsidR="00FA1A93" w:rsidRPr="0067297E" w:rsidRDefault="00FA1A93" w:rsidP="000256AC">
            <w:pPr>
              <w:rPr>
                <w:rFonts w:asciiTheme="minorHAnsi" w:hAnsiTheme="minorHAnsi" w:cs="Calibri"/>
                <w:color w:val="000000"/>
                <w:sz w:val="22"/>
                <w:szCs w:val="22"/>
              </w:rPr>
            </w:pPr>
            <w:r w:rsidRPr="0067297E">
              <w:rPr>
                <w:rFonts w:asciiTheme="minorHAnsi" w:hAnsiTheme="minorHAnsi" w:cs="Calibri"/>
                <w:color w:val="000000"/>
                <w:sz w:val="22"/>
                <w:szCs w:val="22"/>
              </w:rPr>
              <w:t>Southwark</w:t>
            </w:r>
          </w:p>
        </w:tc>
        <w:tc>
          <w:tcPr>
            <w:tcW w:w="1258" w:type="pct"/>
            <w:shd w:val="clear" w:color="auto" w:fill="auto"/>
            <w:noWrap/>
            <w:vAlign w:val="center"/>
          </w:tcPr>
          <w:p w14:paraId="513EC8D7"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3,234</w:t>
            </w:r>
          </w:p>
        </w:tc>
        <w:tc>
          <w:tcPr>
            <w:tcW w:w="1374" w:type="pct"/>
            <w:shd w:val="clear" w:color="auto" w:fill="auto"/>
            <w:noWrap/>
            <w:vAlign w:val="center"/>
          </w:tcPr>
          <w:p w14:paraId="70ABD0B8"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9.2%</w:t>
            </w:r>
          </w:p>
        </w:tc>
      </w:tr>
      <w:tr w:rsidR="00FA1A93" w:rsidRPr="0067297E" w14:paraId="1D6EA5C0" w14:textId="77777777" w:rsidTr="000256AC">
        <w:trPr>
          <w:trHeight w:val="300"/>
        </w:trPr>
        <w:tc>
          <w:tcPr>
            <w:tcW w:w="2368" w:type="pct"/>
            <w:shd w:val="clear" w:color="auto" w:fill="auto"/>
            <w:noWrap/>
            <w:vAlign w:val="center"/>
          </w:tcPr>
          <w:p w14:paraId="7E1CF4CA" w14:textId="77777777" w:rsidR="00FA1A93" w:rsidRPr="0067297E" w:rsidRDefault="00FA1A93" w:rsidP="000256AC">
            <w:pPr>
              <w:rPr>
                <w:rFonts w:asciiTheme="minorHAnsi" w:hAnsiTheme="minorHAnsi" w:cs="Calibri"/>
                <w:color w:val="000000"/>
                <w:sz w:val="22"/>
                <w:szCs w:val="22"/>
              </w:rPr>
            </w:pPr>
            <w:r w:rsidRPr="0067297E">
              <w:rPr>
                <w:rFonts w:asciiTheme="minorHAnsi" w:hAnsiTheme="minorHAnsi" w:cs="Calibri"/>
                <w:color w:val="000000"/>
                <w:sz w:val="22"/>
                <w:szCs w:val="22"/>
              </w:rPr>
              <w:t>Greenwich</w:t>
            </w:r>
          </w:p>
        </w:tc>
        <w:tc>
          <w:tcPr>
            <w:tcW w:w="1258" w:type="pct"/>
            <w:shd w:val="clear" w:color="auto" w:fill="auto"/>
            <w:noWrap/>
            <w:vAlign w:val="center"/>
          </w:tcPr>
          <w:p w14:paraId="37E7EAB6"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1,958</w:t>
            </w:r>
          </w:p>
        </w:tc>
        <w:tc>
          <w:tcPr>
            <w:tcW w:w="1374" w:type="pct"/>
            <w:shd w:val="clear" w:color="auto" w:fill="auto"/>
            <w:noWrap/>
            <w:vAlign w:val="center"/>
          </w:tcPr>
          <w:p w14:paraId="57240F5F"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5.6%</w:t>
            </w:r>
          </w:p>
        </w:tc>
      </w:tr>
      <w:tr w:rsidR="00FA1A93" w:rsidRPr="0067297E" w14:paraId="39348006" w14:textId="77777777" w:rsidTr="000256AC">
        <w:trPr>
          <w:trHeight w:val="300"/>
        </w:trPr>
        <w:tc>
          <w:tcPr>
            <w:tcW w:w="2368" w:type="pct"/>
            <w:shd w:val="clear" w:color="auto" w:fill="auto"/>
            <w:noWrap/>
            <w:vAlign w:val="center"/>
          </w:tcPr>
          <w:p w14:paraId="38D9825A" w14:textId="77777777" w:rsidR="00FA1A93" w:rsidRPr="0067297E" w:rsidRDefault="00FA1A93" w:rsidP="000256AC">
            <w:pPr>
              <w:rPr>
                <w:rFonts w:asciiTheme="minorHAnsi" w:hAnsiTheme="minorHAnsi" w:cs="Calibri"/>
                <w:color w:val="000000"/>
                <w:sz w:val="22"/>
                <w:szCs w:val="22"/>
              </w:rPr>
            </w:pPr>
            <w:r w:rsidRPr="0067297E">
              <w:rPr>
                <w:rFonts w:asciiTheme="minorHAnsi" w:hAnsiTheme="minorHAnsi" w:cs="Calibri"/>
                <w:color w:val="000000"/>
                <w:sz w:val="22"/>
                <w:szCs w:val="22"/>
              </w:rPr>
              <w:t>Lambeth</w:t>
            </w:r>
          </w:p>
        </w:tc>
        <w:tc>
          <w:tcPr>
            <w:tcW w:w="1258" w:type="pct"/>
            <w:shd w:val="clear" w:color="auto" w:fill="auto"/>
            <w:noWrap/>
            <w:vAlign w:val="center"/>
          </w:tcPr>
          <w:p w14:paraId="0B6A9B1A"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1,299</w:t>
            </w:r>
          </w:p>
        </w:tc>
        <w:tc>
          <w:tcPr>
            <w:tcW w:w="1374" w:type="pct"/>
            <w:shd w:val="clear" w:color="auto" w:fill="auto"/>
            <w:noWrap/>
            <w:vAlign w:val="center"/>
          </w:tcPr>
          <w:p w14:paraId="13CCF736"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3.7%</w:t>
            </w:r>
          </w:p>
        </w:tc>
      </w:tr>
      <w:tr w:rsidR="00FA1A93" w:rsidRPr="0067297E" w14:paraId="6C454B67" w14:textId="77777777" w:rsidTr="000256AC">
        <w:trPr>
          <w:trHeight w:val="300"/>
        </w:trPr>
        <w:tc>
          <w:tcPr>
            <w:tcW w:w="2368" w:type="pct"/>
            <w:shd w:val="clear" w:color="auto" w:fill="auto"/>
            <w:noWrap/>
            <w:vAlign w:val="center"/>
          </w:tcPr>
          <w:p w14:paraId="2E2042DE" w14:textId="77777777" w:rsidR="00FA1A93" w:rsidRPr="0067297E" w:rsidRDefault="00FA1A93" w:rsidP="000256AC">
            <w:pPr>
              <w:rPr>
                <w:rFonts w:asciiTheme="minorHAnsi" w:hAnsiTheme="minorHAnsi" w:cs="Calibri"/>
                <w:color w:val="000000"/>
                <w:sz w:val="22"/>
                <w:szCs w:val="22"/>
              </w:rPr>
            </w:pPr>
            <w:r w:rsidRPr="0067297E">
              <w:rPr>
                <w:rFonts w:asciiTheme="minorHAnsi" w:hAnsiTheme="minorHAnsi" w:cs="Calibri"/>
                <w:color w:val="000000"/>
                <w:sz w:val="22"/>
                <w:szCs w:val="22"/>
              </w:rPr>
              <w:t>Bromley</w:t>
            </w:r>
          </w:p>
        </w:tc>
        <w:tc>
          <w:tcPr>
            <w:tcW w:w="1258" w:type="pct"/>
            <w:shd w:val="clear" w:color="auto" w:fill="auto"/>
            <w:noWrap/>
            <w:vAlign w:val="center"/>
          </w:tcPr>
          <w:p w14:paraId="26B20C93"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1,126</w:t>
            </w:r>
          </w:p>
        </w:tc>
        <w:tc>
          <w:tcPr>
            <w:tcW w:w="1374" w:type="pct"/>
            <w:shd w:val="clear" w:color="auto" w:fill="auto"/>
            <w:noWrap/>
            <w:vAlign w:val="center"/>
          </w:tcPr>
          <w:p w14:paraId="179939A6"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3.2%</w:t>
            </w:r>
          </w:p>
        </w:tc>
      </w:tr>
      <w:tr w:rsidR="00FA1A93" w:rsidRPr="0067297E" w14:paraId="78710DC8" w14:textId="77777777" w:rsidTr="000256AC">
        <w:trPr>
          <w:trHeight w:val="300"/>
        </w:trPr>
        <w:tc>
          <w:tcPr>
            <w:tcW w:w="2368" w:type="pct"/>
            <w:shd w:val="clear" w:color="auto" w:fill="auto"/>
            <w:noWrap/>
            <w:vAlign w:val="center"/>
          </w:tcPr>
          <w:p w14:paraId="396A8DCD" w14:textId="77777777" w:rsidR="00FA1A93" w:rsidRPr="0067297E" w:rsidRDefault="00FC2076" w:rsidP="000256AC">
            <w:pPr>
              <w:rPr>
                <w:rFonts w:asciiTheme="minorHAnsi" w:hAnsiTheme="minorHAnsi" w:cs="Calibri"/>
                <w:color w:val="000000"/>
                <w:sz w:val="22"/>
                <w:szCs w:val="22"/>
              </w:rPr>
            </w:pPr>
            <w:r w:rsidRPr="0067297E">
              <w:rPr>
                <w:rFonts w:asciiTheme="minorHAnsi" w:hAnsiTheme="minorHAnsi" w:cs="Calibri"/>
                <w:color w:val="000000"/>
                <w:sz w:val="22"/>
                <w:szCs w:val="22"/>
              </w:rPr>
              <w:t>Other London B</w:t>
            </w:r>
            <w:r w:rsidR="00FA1A93" w:rsidRPr="0067297E">
              <w:rPr>
                <w:rFonts w:asciiTheme="minorHAnsi" w:hAnsiTheme="minorHAnsi" w:cs="Calibri"/>
                <w:color w:val="000000"/>
                <w:sz w:val="22"/>
                <w:szCs w:val="22"/>
              </w:rPr>
              <w:t>oroughs</w:t>
            </w:r>
          </w:p>
        </w:tc>
        <w:tc>
          <w:tcPr>
            <w:tcW w:w="1258" w:type="pct"/>
            <w:shd w:val="clear" w:color="auto" w:fill="auto"/>
            <w:noWrap/>
            <w:vAlign w:val="center"/>
          </w:tcPr>
          <w:p w14:paraId="47CED427"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6,384</w:t>
            </w:r>
          </w:p>
        </w:tc>
        <w:tc>
          <w:tcPr>
            <w:tcW w:w="1374" w:type="pct"/>
            <w:shd w:val="clear" w:color="auto" w:fill="auto"/>
            <w:noWrap/>
            <w:vAlign w:val="center"/>
          </w:tcPr>
          <w:p w14:paraId="64ADBE79"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18.2%</w:t>
            </w:r>
          </w:p>
        </w:tc>
      </w:tr>
      <w:tr w:rsidR="00FA1A93" w:rsidRPr="0067297E" w14:paraId="2CE34911" w14:textId="77777777" w:rsidTr="000256AC">
        <w:trPr>
          <w:trHeight w:val="300"/>
        </w:trPr>
        <w:tc>
          <w:tcPr>
            <w:tcW w:w="2368" w:type="pct"/>
            <w:shd w:val="clear" w:color="auto" w:fill="auto"/>
            <w:noWrap/>
            <w:vAlign w:val="center"/>
          </w:tcPr>
          <w:p w14:paraId="242AAC17" w14:textId="77777777" w:rsidR="00FA1A93" w:rsidRPr="0067297E" w:rsidRDefault="00FA1A93" w:rsidP="000256AC">
            <w:pPr>
              <w:rPr>
                <w:rFonts w:asciiTheme="minorHAnsi" w:hAnsiTheme="minorHAnsi" w:cs="Calibri"/>
                <w:color w:val="000000"/>
                <w:sz w:val="22"/>
                <w:szCs w:val="22"/>
              </w:rPr>
            </w:pPr>
            <w:r w:rsidRPr="0067297E">
              <w:rPr>
                <w:rFonts w:asciiTheme="minorHAnsi" w:hAnsiTheme="minorHAnsi" w:cs="Calibri"/>
                <w:color w:val="000000"/>
                <w:sz w:val="22"/>
                <w:szCs w:val="22"/>
              </w:rPr>
              <w:t>South East</w:t>
            </w:r>
          </w:p>
        </w:tc>
        <w:tc>
          <w:tcPr>
            <w:tcW w:w="1258" w:type="pct"/>
            <w:shd w:val="clear" w:color="auto" w:fill="auto"/>
            <w:noWrap/>
            <w:vAlign w:val="center"/>
          </w:tcPr>
          <w:p w14:paraId="1418C0B4"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2,013</w:t>
            </w:r>
          </w:p>
        </w:tc>
        <w:tc>
          <w:tcPr>
            <w:tcW w:w="1374" w:type="pct"/>
            <w:shd w:val="clear" w:color="auto" w:fill="auto"/>
            <w:noWrap/>
            <w:vAlign w:val="center"/>
          </w:tcPr>
          <w:p w14:paraId="14A584C5"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5.7%</w:t>
            </w:r>
          </w:p>
        </w:tc>
      </w:tr>
      <w:tr w:rsidR="00FA1A93" w:rsidRPr="0067297E" w14:paraId="0AC625B0" w14:textId="77777777" w:rsidTr="000256AC">
        <w:trPr>
          <w:trHeight w:val="300"/>
        </w:trPr>
        <w:tc>
          <w:tcPr>
            <w:tcW w:w="2368" w:type="pct"/>
            <w:shd w:val="clear" w:color="auto" w:fill="auto"/>
            <w:noWrap/>
            <w:vAlign w:val="center"/>
          </w:tcPr>
          <w:p w14:paraId="2676E04D" w14:textId="77777777" w:rsidR="00FA1A93" w:rsidRPr="0067297E" w:rsidRDefault="00FA1A93" w:rsidP="000256AC">
            <w:pPr>
              <w:rPr>
                <w:rFonts w:asciiTheme="minorHAnsi" w:hAnsiTheme="minorHAnsi" w:cs="Calibri"/>
                <w:color w:val="000000"/>
                <w:sz w:val="22"/>
                <w:szCs w:val="22"/>
              </w:rPr>
            </w:pPr>
            <w:r w:rsidRPr="0067297E">
              <w:rPr>
                <w:rFonts w:asciiTheme="minorHAnsi" w:hAnsiTheme="minorHAnsi" w:cs="Calibri"/>
                <w:color w:val="000000"/>
                <w:sz w:val="22"/>
                <w:szCs w:val="22"/>
              </w:rPr>
              <w:t>Elsewhere in UK</w:t>
            </w:r>
          </w:p>
        </w:tc>
        <w:tc>
          <w:tcPr>
            <w:tcW w:w="1258" w:type="pct"/>
            <w:shd w:val="clear" w:color="auto" w:fill="auto"/>
            <w:noWrap/>
            <w:vAlign w:val="center"/>
          </w:tcPr>
          <w:p w14:paraId="3987BC9F"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3,370</w:t>
            </w:r>
          </w:p>
        </w:tc>
        <w:tc>
          <w:tcPr>
            <w:tcW w:w="1374" w:type="pct"/>
            <w:shd w:val="clear" w:color="auto" w:fill="auto"/>
            <w:noWrap/>
            <w:vAlign w:val="center"/>
          </w:tcPr>
          <w:p w14:paraId="275BE0A7" w14:textId="77777777" w:rsidR="00FA1A93" w:rsidRPr="0067297E" w:rsidRDefault="00FA1A93"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9.6%</w:t>
            </w:r>
          </w:p>
        </w:tc>
      </w:tr>
      <w:tr w:rsidR="00FA1A93" w:rsidRPr="0067297E" w14:paraId="6C78F899" w14:textId="77777777" w:rsidTr="000256AC">
        <w:trPr>
          <w:trHeight w:val="300"/>
        </w:trPr>
        <w:tc>
          <w:tcPr>
            <w:tcW w:w="2368" w:type="pct"/>
            <w:shd w:val="clear" w:color="auto" w:fill="auto"/>
            <w:noWrap/>
            <w:vAlign w:val="center"/>
          </w:tcPr>
          <w:p w14:paraId="6EA07B32" w14:textId="77777777" w:rsidR="00FA1A93" w:rsidRPr="0067297E" w:rsidRDefault="00FA1A93" w:rsidP="000256AC">
            <w:pPr>
              <w:rPr>
                <w:rFonts w:asciiTheme="minorHAnsi" w:hAnsiTheme="minorHAnsi" w:cs="Calibri"/>
                <w:b/>
                <w:color w:val="000000"/>
                <w:sz w:val="22"/>
                <w:szCs w:val="22"/>
              </w:rPr>
            </w:pPr>
            <w:r w:rsidRPr="0067297E">
              <w:rPr>
                <w:rFonts w:asciiTheme="minorHAnsi" w:hAnsiTheme="minorHAnsi" w:cs="Calibri"/>
                <w:b/>
                <w:color w:val="000000"/>
                <w:sz w:val="22"/>
                <w:szCs w:val="22"/>
              </w:rPr>
              <w:t>Total</w:t>
            </w:r>
          </w:p>
        </w:tc>
        <w:tc>
          <w:tcPr>
            <w:tcW w:w="1258" w:type="pct"/>
            <w:shd w:val="clear" w:color="auto" w:fill="auto"/>
            <w:noWrap/>
            <w:vAlign w:val="center"/>
          </w:tcPr>
          <w:p w14:paraId="1DA31817" w14:textId="77777777" w:rsidR="00FA1A93" w:rsidRPr="0067297E" w:rsidRDefault="00FA1A93" w:rsidP="003B4919">
            <w:pPr>
              <w:jc w:val="right"/>
              <w:rPr>
                <w:rFonts w:asciiTheme="minorHAnsi" w:hAnsiTheme="minorHAnsi" w:cs="Calibri"/>
                <w:b/>
                <w:color w:val="000000"/>
                <w:sz w:val="22"/>
                <w:szCs w:val="22"/>
              </w:rPr>
            </w:pPr>
            <w:r w:rsidRPr="0067297E">
              <w:rPr>
                <w:rFonts w:asciiTheme="minorHAnsi" w:hAnsiTheme="minorHAnsi" w:cs="Calibri"/>
                <w:b/>
                <w:color w:val="000000"/>
                <w:sz w:val="22"/>
                <w:szCs w:val="22"/>
              </w:rPr>
              <w:t>35,010</w:t>
            </w:r>
          </w:p>
        </w:tc>
        <w:tc>
          <w:tcPr>
            <w:tcW w:w="1374" w:type="pct"/>
            <w:shd w:val="clear" w:color="auto" w:fill="auto"/>
            <w:noWrap/>
            <w:vAlign w:val="center"/>
          </w:tcPr>
          <w:p w14:paraId="14DFE5A0" w14:textId="77777777" w:rsidR="00FA1A93" w:rsidRPr="0067297E" w:rsidRDefault="00FA1A93" w:rsidP="003B4919">
            <w:pPr>
              <w:jc w:val="right"/>
              <w:rPr>
                <w:rFonts w:asciiTheme="minorHAnsi" w:hAnsiTheme="minorHAnsi" w:cs="Calibri"/>
                <w:b/>
                <w:color w:val="000000"/>
                <w:sz w:val="22"/>
                <w:szCs w:val="22"/>
              </w:rPr>
            </w:pPr>
            <w:r w:rsidRPr="0067297E">
              <w:rPr>
                <w:rFonts w:asciiTheme="minorHAnsi" w:hAnsiTheme="minorHAnsi" w:cs="Calibri"/>
                <w:b/>
                <w:color w:val="000000"/>
                <w:sz w:val="22"/>
                <w:szCs w:val="22"/>
              </w:rPr>
              <w:t>100.0%</w:t>
            </w:r>
          </w:p>
        </w:tc>
      </w:tr>
    </w:tbl>
    <w:p w14:paraId="77E5FEBD" w14:textId="77777777" w:rsidR="000A5C0C" w:rsidRPr="0067297E" w:rsidRDefault="000A5C0C" w:rsidP="000256AC">
      <w:pPr>
        <w:pStyle w:val="Reporttext"/>
        <w:numPr>
          <w:ilvl w:val="0"/>
          <w:numId w:val="0"/>
        </w:numPr>
        <w:ind w:left="709"/>
        <w:rPr>
          <w:rFonts w:asciiTheme="minorHAnsi" w:hAnsiTheme="minorHAnsi" w:cs="Calibri"/>
          <w:lang w:val="en-GB"/>
        </w:rPr>
      </w:pPr>
      <w:r w:rsidRPr="0067297E">
        <w:rPr>
          <w:rFonts w:asciiTheme="minorHAnsi" w:hAnsiTheme="minorHAnsi" w:cs="Calibri"/>
          <w:sz w:val="20"/>
          <w:szCs w:val="20"/>
        </w:rPr>
        <w:t>Source: 2011 Census</w:t>
      </w:r>
    </w:p>
    <w:p w14:paraId="4D6A8DEC" w14:textId="158411E0" w:rsidR="008E01E2" w:rsidRPr="0067297E" w:rsidRDefault="008E01E2" w:rsidP="000256AC">
      <w:pPr>
        <w:rPr>
          <w:rFonts w:asciiTheme="minorHAnsi" w:hAnsiTheme="minorHAnsi"/>
        </w:rPr>
      </w:pPr>
      <w:bookmarkStart w:id="192" w:name="_Toc399864366"/>
      <w:bookmarkStart w:id="193" w:name="_Toc428528475"/>
      <w:bookmarkStart w:id="194" w:name="_Toc430084568"/>
      <w:bookmarkStart w:id="195" w:name="_Toc430782022"/>
    </w:p>
    <w:p w14:paraId="3735BD97" w14:textId="0AEFF1DC" w:rsidR="008A31C1" w:rsidRPr="0067297E" w:rsidRDefault="008A31C1" w:rsidP="00543A76">
      <w:pPr>
        <w:pStyle w:val="Reporttext"/>
        <w:rPr>
          <w:rFonts w:asciiTheme="minorHAnsi" w:hAnsiTheme="minorHAnsi"/>
        </w:rPr>
      </w:pPr>
      <w:r w:rsidRPr="0067297E">
        <w:rPr>
          <w:rFonts w:asciiTheme="minorHAnsi" w:hAnsiTheme="minorHAnsi"/>
          <w:lang w:val="en-US"/>
        </w:rPr>
        <w:t>2011 Census indicates that of those moving out of the borough to elsewhere in the UK, 12.9% moved to Bromley, 10.9% to Greenwich, 10.8% to Southwark, 20.9% to elsewhere in London, 14.8% to the South East and 29.8% to elsewhere in the UK</w:t>
      </w:r>
      <w:r w:rsidR="00363030" w:rsidRPr="0067297E">
        <w:rPr>
          <w:rFonts w:asciiTheme="minorHAnsi" w:hAnsiTheme="minorHAnsi"/>
          <w:lang w:val="en-US"/>
        </w:rPr>
        <w:t>.</w:t>
      </w:r>
    </w:p>
    <w:p w14:paraId="0BD37AEB" w14:textId="286C7482" w:rsidR="00CC5CC3" w:rsidRPr="0067297E" w:rsidRDefault="00CC5CC3" w:rsidP="00543A76">
      <w:pPr>
        <w:pStyle w:val="Heading2"/>
        <w:rPr>
          <w:rFonts w:asciiTheme="minorHAnsi" w:hAnsiTheme="minorHAnsi" w:cs="Calibri"/>
        </w:rPr>
      </w:pPr>
      <w:bookmarkStart w:id="196" w:name="_Toc1385748"/>
      <w:bookmarkStart w:id="197" w:name="_Toc23151063"/>
      <w:r w:rsidRPr="0067297E">
        <w:rPr>
          <w:rFonts w:asciiTheme="minorHAnsi" w:hAnsiTheme="minorHAnsi" w:cs="Calibri"/>
        </w:rPr>
        <w:t>Travel to work trends</w:t>
      </w:r>
      <w:bookmarkEnd w:id="192"/>
      <w:bookmarkEnd w:id="193"/>
      <w:bookmarkEnd w:id="194"/>
      <w:bookmarkEnd w:id="195"/>
      <w:bookmarkEnd w:id="196"/>
      <w:bookmarkEnd w:id="197"/>
    </w:p>
    <w:p w14:paraId="4B1F373A" w14:textId="77777777" w:rsidR="00461AEA" w:rsidRPr="0067297E" w:rsidRDefault="00CC5CC3" w:rsidP="00543A76">
      <w:pPr>
        <w:pStyle w:val="Reporttext"/>
        <w:rPr>
          <w:rFonts w:asciiTheme="minorHAnsi" w:hAnsiTheme="minorHAnsi" w:cs="Calibri"/>
        </w:rPr>
      </w:pPr>
      <w:r w:rsidRPr="0067297E">
        <w:rPr>
          <w:rFonts w:asciiTheme="minorHAnsi" w:hAnsiTheme="minorHAnsi" w:cs="Calibri"/>
        </w:rPr>
        <w:t xml:space="preserve">The 2011 </w:t>
      </w:r>
      <w:r w:rsidR="00B82C89" w:rsidRPr="0067297E">
        <w:rPr>
          <w:rFonts w:asciiTheme="minorHAnsi" w:hAnsiTheme="minorHAnsi" w:cs="Calibri"/>
        </w:rPr>
        <w:t xml:space="preserve">Census </w:t>
      </w:r>
      <w:r w:rsidRPr="0067297E">
        <w:rPr>
          <w:rFonts w:asciiTheme="minorHAnsi" w:hAnsiTheme="minorHAnsi" w:cs="Calibri"/>
        </w:rPr>
        <w:t xml:space="preserve">provides an analysis of travel to work patterns and the extent to which residents in </w:t>
      </w:r>
      <w:r w:rsidR="00D661D4" w:rsidRPr="0067297E">
        <w:rPr>
          <w:rFonts w:asciiTheme="minorHAnsi" w:hAnsiTheme="minorHAnsi" w:cs="Calibri"/>
        </w:rPr>
        <w:t xml:space="preserve">the </w:t>
      </w:r>
      <w:r w:rsidR="00A37EF6" w:rsidRPr="0067297E">
        <w:rPr>
          <w:rFonts w:asciiTheme="minorHAnsi" w:hAnsiTheme="minorHAnsi" w:cs="Calibri"/>
          <w:lang w:val="en-GB"/>
        </w:rPr>
        <w:t xml:space="preserve">Borough </w:t>
      </w:r>
      <w:r w:rsidR="00DF6579" w:rsidRPr="0067297E">
        <w:rPr>
          <w:rFonts w:asciiTheme="minorHAnsi" w:hAnsiTheme="minorHAnsi" w:cs="Calibri"/>
          <w:lang w:val="en-GB"/>
        </w:rPr>
        <w:t>of Lewisham</w:t>
      </w:r>
      <w:r w:rsidR="00FC386C" w:rsidRPr="0067297E">
        <w:rPr>
          <w:rFonts w:asciiTheme="minorHAnsi" w:hAnsiTheme="minorHAnsi" w:cs="Calibri"/>
        </w:rPr>
        <w:t xml:space="preserve"> </w:t>
      </w:r>
      <w:r w:rsidRPr="0067297E">
        <w:rPr>
          <w:rFonts w:asciiTheme="minorHAnsi" w:hAnsiTheme="minorHAnsi" w:cs="Calibri"/>
        </w:rPr>
        <w:t xml:space="preserve">travel to other areas together with details of how many people commute into the </w:t>
      </w:r>
      <w:r w:rsidR="001A1291" w:rsidRPr="0067297E">
        <w:rPr>
          <w:rFonts w:asciiTheme="minorHAnsi" w:hAnsiTheme="minorHAnsi" w:cs="Calibri"/>
          <w:lang w:val="en-GB"/>
        </w:rPr>
        <w:t>area</w:t>
      </w:r>
      <w:r w:rsidR="008A6508" w:rsidRPr="0067297E">
        <w:rPr>
          <w:rFonts w:asciiTheme="minorHAnsi" w:hAnsiTheme="minorHAnsi" w:cs="Calibri"/>
        </w:rPr>
        <w:t>.</w:t>
      </w:r>
    </w:p>
    <w:p w14:paraId="07968C35" w14:textId="77777777" w:rsidR="008F474E" w:rsidRPr="0067297E" w:rsidRDefault="008F474E" w:rsidP="000256AC">
      <w:pPr>
        <w:pStyle w:val="Reporttext"/>
        <w:rPr>
          <w:rFonts w:asciiTheme="minorHAnsi" w:hAnsiTheme="minorHAnsi" w:cs="Calibri"/>
        </w:rPr>
      </w:pPr>
      <w:r w:rsidRPr="0067297E">
        <w:rPr>
          <w:rFonts w:asciiTheme="minorHAnsi" w:hAnsiTheme="minorHAnsi" w:cs="Calibri"/>
        </w:rPr>
        <w:t xml:space="preserve">The 2011 Census identified the travel to work patterns of </w:t>
      </w:r>
      <w:r w:rsidR="004C4D45" w:rsidRPr="0067297E">
        <w:rPr>
          <w:rFonts w:asciiTheme="minorHAnsi" w:hAnsiTheme="minorHAnsi" w:cs="Calibri"/>
          <w:lang w:val="en-GB"/>
        </w:rPr>
        <w:t>122,250</w:t>
      </w:r>
      <w:r w:rsidR="00DF6579" w:rsidRPr="0067297E">
        <w:rPr>
          <w:rFonts w:asciiTheme="minorHAnsi" w:hAnsiTheme="minorHAnsi" w:cs="Calibri"/>
          <w:lang w:val="en-GB"/>
        </w:rPr>
        <w:t xml:space="preserve"> </w:t>
      </w:r>
      <w:r w:rsidRPr="0067297E">
        <w:rPr>
          <w:rFonts w:asciiTheme="minorHAnsi" w:hAnsiTheme="minorHAnsi" w:cs="Calibri"/>
          <w:lang w:val="en-GB"/>
        </w:rPr>
        <w:t xml:space="preserve">working </w:t>
      </w:r>
      <w:r w:rsidRPr="0067297E">
        <w:rPr>
          <w:rFonts w:asciiTheme="minorHAnsi" w:hAnsiTheme="minorHAnsi" w:cs="Calibri"/>
        </w:rPr>
        <w:t xml:space="preserve">individuals </w:t>
      </w:r>
      <w:r w:rsidRPr="0067297E">
        <w:rPr>
          <w:rFonts w:asciiTheme="minorHAnsi" w:hAnsiTheme="minorHAnsi" w:cs="Calibri"/>
          <w:lang w:val="en-GB"/>
        </w:rPr>
        <w:t xml:space="preserve">who live in the </w:t>
      </w:r>
      <w:r w:rsidR="00FC2076" w:rsidRPr="0067297E">
        <w:rPr>
          <w:rFonts w:asciiTheme="minorHAnsi" w:hAnsiTheme="minorHAnsi" w:cs="Calibri"/>
          <w:lang w:val="en-GB"/>
        </w:rPr>
        <w:t>borough</w:t>
      </w:r>
      <w:r w:rsidRPr="0067297E">
        <w:rPr>
          <w:rFonts w:asciiTheme="minorHAnsi" w:hAnsiTheme="minorHAnsi" w:cs="Calibri"/>
          <w:lang w:val="en-GB"/>
        </w:rPr>
        <w:t xml:space="preserve">. </w:t>
      </w:r>
      <w:r w:rsidR="001D0299" w:rsidRPr="0067297E">
        <w:rPr>
          <w:rFonts w:asciiTheme="minorHAnsi" w:hAnsiTheme="minorHAnsi" w:cs="Calibri"/>
          <w:lang w:val="en-GB"/>
        </w:rPr>
        <w:t xml:space="preserve">Looking only at the workplaces that </w:t>
      </w:r>
      <w:r w:rsidR="004C4D45" w:rsidRPr="0067297E">
        <w:rPr>
          <w:rFonts w:asciiTheme="minorHAnsi" w:hAnsiTheme="minorHAnsi" w:cs="Calibri"/>
          <w:lang w:val="en-GB"/>
        </w:rPr>
        <w:t>these working</w:t>
      </w:r>
      <w:r w:rsidR="001D0299" w:rsidRPr="0067297E">
        <w:rPr>
          <w:rFonts w:asciiTheme="minorHAnsi" w:hAnsiTheme="minorHAnsi" w:cs="Calibri"/>
          <w:lang w:val="en-GB"/>
        </w:rPr>
        <w:t xml:space="preserve"> residents travel to from </w:t>
      </w:r>
      <w:r w:rsidR="004C4D45" w:rsidRPr="0067297E">
        <w:rPr>
          <w:rFonts w:asciiTheme="minorHAnsi" w:hAnsiTheme="minorHAnsi" w:cs="Calibri"/>
          <w:lang w:val="en-GB"/>
        </w:rPr>
        <w:t xml:space="preserve">their home in </w:t>
      </w:r>
      <w:r w:rsidR="00FC2076" w:rsidRPr="0067297E">
        <w:rPr>
          <w:rFonts w:asciiTheme="minorHAnsi" w:hAnsiTheme="minorHAnsi" w:cs="Calibri"/>
          <w:lang w:val="en-GB"/>
        </w:rPr>
        <w:t>the Borough of Lewisham</w:t>
      </w:r>
      <w:r w:rsidRPr="0067297E">
        <w:rPr>
          <w:rFonts w:asciiTheme="minorHAnsi" w:hAnsiTheme="minorHAnsi" w:cs="Calibri"/>
        </w:rPr>
        <w:t>:</w:t>
      </w:r>
    </w:p>
    <w:p w14:paraId="358D8274" w14:textId="77777777" w:rsidR="008F474E" w:rsidRPr="0067297E" w:rsidRDefault="004C4D45" w:rsidP="006C722F">
      <w:pPr>
        <w:pStyle w:val="bullet"/>
        <w:rPr>
          <w:rFonts w:asciiTheme="minorHAnsi" w:hAnsiTheme="minorHAnsi" w:cs="Calibri"/>
        </w:rPr>
      </w:pPr>
      <w:r w:rsidRPr="0067297E">
        <w:rPr>
          <w:rFonts w:asciiTheme="minorHAnsi" w:hAnsiTheme="minorHAnsi" w:cs="Calibri"/>
          <w:lang w:val="en-GB"/>
        </w:rPr>
        <w:t>32,134</w:t>
      </w:r>
      <w:r w:rsidR="008F474E" w:rsidRPr="0067297E">
        <w:rPr>
          <w:rFonts w:asciiTheme="minorHAnsi" w:hAnsiTheme="minorHAnsi" w:cs="Calibri"/>
          <w:lang w:val="en-GB"/>
        </w:rPr>
        <w:t xml:space="preserve"> (</w:t>
      </w:r>
      <w:r w:rsidRPr="0067297E">
        <w:rPr>
          <w:rFonts w:asciiTheme="minorHAnsi" w:hAnsiTheme="minorHAnsi" w:cs="Calibri"/>
          <w:lang w:val="en-GB"/>
        </w:rPr>
        <w:t>26.3</w:t>
      </w:r>
      <w:r w:rsidR="008F474E" w:rsidRPr="0067297E">
        <w:rPr>
          <w:rFonts w:asciiTheme="minorHAnsi" w:hAnsiTheme="minorHAnsi" w:cs="Calibri"/>
          <w:lang w:val="en-GB"/>
        </w:rPr>
        <w:t xml:space="preserve">%) </w:t>
      </w:r>
      <w:r w:rsidR="008F474E" w:rsidRPr="0067297E">
        <w:rPr>
          <w:rFonts w:asciiTheme="minorHAnsi" w:hAnsiTheme="minorHAnsi" w:cs="Calibri"/>
        </w:rPr>
        <w:t xml:space="preserve">lived and worked in the </w:t>
      </w:r>
      <w:r w:rsidR="00FC2076" w:rsidRPr="0067297E">
        <w:rPr>
          <w:rFonts w:asciiTheme="minorHAnsi" w:hAnsiTheme="minorHAnsi" w:cs="Calibri"/>
          <w:lang w:val="en-GB"/>
        </w:rPr>
        <w:t>borough</w:t>
      </w:r>
      <w:r w:rsidR="008F474E" w:rsidRPr="0067297E">
        <w:rPr>
          <w:rFonts w:asciiTheme="minorHAnsi" w:hAnsiTheme="minorHAnsi" w:cs="Calibri"/>
        </w:rPr>
        <w:t xml:space="preserve"> (including </w:t>
      </w:r>
      <w:r w:rsidR="008F474E" w:rsidRPr="0067297E">
        <w:rPr>
          <w:rFonts w:asciiTheme="minorHAnsi" w:hAnsiTheme="minorHAnsi" w:cs="Calibri"/>
          <w:lang w:val="en-GB"/>
        </w:rPr>
        <w:t xml:space="preserve">those </w:t>
      </w:r>
      <w:r w:rsidR="008F474E" w:rsidRPr="0067297E">
        <w:rPr>
          <w:rFonts w:asciiTheme="minorHAnsi" w:hAnsiTheme="minorHAnsi" w:cs="Calibri"/>
        </w:rPr>
        <w:t>who work at home);</w:t>
      </w:r>
    </w:p>
    <w:p w14:paraId="10D274A2" w14:textId="77777777" w:rsidR="005D7174" w:rsidRPr="0067297E" w:rsidRDefault="003113B4" w:rsidP="006C722F">
      <w:pPr>
        <w:pStyle w:val="bullet"/>
        <w:rPr>
          <w:rFonts w:asciiTheme="minorHAnsi" w:hAnsiTheme="minorHAnsi" w:cs="Calibri"/>
        </w:rPr>
      </w:pPr>
      <w:r w:rsidRPr="0067297E">
        <w:rPr>
          <w:rFonts w:asciiTheme="minorHAnsi" w:hAnsiTheme="minorHAnsi" w:cs="Calibri"/>
          <w:lang w:val="en-GB"/>
        </w:rPr>
        <w:t>18.6</w:t>
      </w:r>
      <w:r w:rsidR="001D0299" w:rsidRPr="0067297E">
        <w:rPr>
          <w:rFonts w:asciiTheme="minorHAnsi" w:hAnsiTheme="minorHAnsi" w:cs="Calibri"/>
          <w:lang w:val="en-GB"/>
        </w:rPr>
        <w:t>%</w:t>
      </w:r>
      <w:r w:rsidR="008F474E" w:rsidRPr="0067297E">
        <w:rPr>
          <w:rFonts w:asciiTheme="minorHAnsi" w:hAnsiTheme="minorHAnsi" w:cs="Calibri"/>
        </w:rPr>
        <w:t xml:space="preserve"> commuted into </w:t>
      </w:r>
      <w:r w:rsidR="005D7174" w:rsidRPr="0067297E">
        <w:rPr>
          <w:rFonts w:asciiTheme="minorHAnsi" w:hAnsiTheme="minorHAnsi" w:cs="Calibri"/>
          <w:lang w:val="en-GB"/>
        </w:rPr>
        <w:t xml:space="preserve">the City of London and Westminster; and </w:t>
      </w:r>
    </w:p>
    <w:p w14:paraId="74D1322E" w14:textId="0B598852" w:rsidR="008F474E" w:rsidRPr="0067297E" w:rsidRDefault="003113B4" w:rsidP="006C722F">
      <w:pPr>
        <w:pStyle w:val="bullet"/>
        <w:rPr>
          <w:rFonts w:asciiTheme="minorHAnsi" w:hAnsiTheme="minorHAnsi" w:cs="Calibri"/>
        </w:rPr>
      </w:pPr>
      <w:r w:rsidRPr="0067297E">
        <w:rPr>
          <w:rFonts w:asciiTheme="minorHAnsi" w:hAnsiTheme="minorHAnsi" w:cs="Calibri"/>
          <w:lang w:val="en-GB"/>
        </w:rPr>
        <w:t>9.6</w:t>
      </w:r>
      <w:r w:rsidR="005D7174" w:rsidRPr="0067297E">
        <w:rPr>
          <w:rFonts w:asciiTheme="minorHAnsi" w:hAnsiTheme="minorHAnsi" w:cs="Calibri"/>
          <w:lang w:val="en-GB"/>
        </w:rPr>
        <w:t xml:space="preserve">% commuted into nearby </w:t>
      </w:r>
      <w:r w:rsidRPr="0067297E">
        <w:rPr>
          <w:rFonts w:asciiTheme="minorHAnsi" w:hAnsiTheme="minorHAnsi" w:cs="Calibri"/>
          <w:lang w:val="en-GB"/>
        </w:rPr>
        <w:t xml:space="preserve">Southwark, </w:t>
      </w:r>
    </w:p>
    <w:p w14:paraId="187F0BEB" w14:textId="4C36F93E" w:rsidR="003113B4" w:rsidRPr="0067297E" w:rsidRDefault="008A31C1" w:rsidP="00944242">
      <w:pPr>
        <w:pStyle w:val="bullet"/>
        <w:rPr>
          <w:rFonts w:asciiTheme="minorHAnsi" w:hAnsiTheme="minorHAnsi" w:cs="Calibri"/>
        </w:rPr>
      </w:pPr>
      <w:r w:rsidRPr="0067297E">
        <w:rPr>
          <w:rFonts w:asciiTheme="minorHAnsi" w:hAnsiTheme="minorHAnsi" w:cs="Calibri"/>
          <w:lang w:val="en-GB"/>
        </w:rPr>
        <w:t>41.1</w:t>
      </w:r>
      <w:r w:rsidR="00FC2076" w:rsidRPr="0067297E">
        <w:rPr>
          <w:rFonts w:asciiTheme="minorHAnsi" w:hAnsiTheme="minorHAnsi" w:cs="Calibri"/>
          <w:lang w:val="en-GB"/>
        </w:rPr>
        <w:t>% commuted into other London B</w:t>
      </w:r>
      <w:r w:rsidR="003113B4" w:rsidRPr="0067297E">
        <w:rPr>
          <w:rFonts w:asciiTheme="minorHAnsi" w:hAnsiTheme="minorHAnsi" w:cs="Calibri"/>
          <w:lang w:val="en-GB"/>
        </w:rPr>
        <w:t>oroughs</w:t>
      </w:r>
      <w:r w:rsidRPr="0067297E">
        <w:rPr>
          <w:rFonts w:asciiTheme="minorHAnsi" w:hAnsiTheme="minorHAnsi" w:cs="Calibri"/>
          <w:lang w:val="en-GB"/>
        </w:rPr>
        <w:t>; and</w:t>
      </w:r>
    </w:p>
    <w:p w14:paraId="29242837" w14:textId="27DC1066" w:rsidR="008A31C1" w:rsidRPr="0067297E" w:rsidRDefault="008A31C1" w:rsidP="006B6473">
      <w:pPr>
        <w:pStyle w:val="bullet"/>
        <w:rPr>
          <w:rFonts w:asciiTheme="minorHAnsi" w:hAnsiTheme="minorHAnsi" w:cs="Calibri"/>
        </w:rPr>
      </w:pPr>
      <w:r w:rsidRPr="0067297E">
        <w:rPr>
          <w:rFonts w:asciiTheme="minorHAnsi" w:hAnsiTheme="minorHAnsi" w:cs="Calibri"/>
          <w:lang w:val="en-GB"/>
        </w:rPr>
        <w:t>4.4% commuted elsewhere</w:t>
      </w:r>
    </w:p>
    <w:p w14:paraId="5CF8FDED" w14:textId="266C85B9" w:rsidR="008F474E" w:rsidRPr="0067297E" w:rsidRDefault="008F474E" w:rsidP="003B4919">
      <w:pPr>
        <w:pStyle w:val="Reporttext"/>
        <w:rPr>
          <w:rFonts w:asciiTheme="minorHAnsi" w:hAnsiTheme="minorHAnsi" w:cs="Calibri"/>
        </w:rPr>
      </w:pPr>
      <w:r w:rsidRPr="0067297E">
        <w:rPr>
          <w:rFonts w:asciiTheme="minorHAnsi" w:hAnsiTheme="minorHAnsi" w:cs="Calibri"/>
        </w:rPr>
        <w:t xml:space="preserve">In addition, the 2011 Census </w:t>
      </w:r>
      <w:r w:rsidRPr="0067297E">
        <w:rPr>
          <w:rFonts w:asciiTheme="minorHAnsi" w:hAnsiTheme="minorHAnsi" w:cs="Calibri"/>
          <w:lang w:val="en-GB"/>
        </w:rPr>
        <w:t>reports</w:t>
      </w:r>
      <w:r w:rsidRPr="0067297E">
        <w:rPr>
          <w:rFonts w:asciiTheme="minorHAnsi" w:hAnsiTheme="minorHAnsi" w:cs="Calibri"/>
        </w:rPr>
        <w:t xml:space="preserve"> a base of </w:t>
      </w:r>
      <w:r w:rsidR="003113B4" w:rsidRPr="0067297E">
        <w:rPr>
          <w:rFonts w:asciiTheme="minorHAnsi" w:hAnsiTheme="minorHAnsi" w:cs="Calibri"/>
          <w:lang w:val="en-GB"/>
        </w:rPr>
        <w:t>53,500</w:t>
      </w:r>
      <w:r w:rsidRPr="0067297E">
        <w:rPr>
          <w:rFonts w:asciiTheme="minorHAnsi" w:hAnsiTheme="minorHAnsi" w:cs="Calibri"/>
        </w:rPr>
        <w:t xml:space="preserve"> </w:t>
      </w:r>
      <w:r w:rsidRPr="0067297E">
        <w:rPr>
          <w:rFonts w:asciiTheme="minorHAnsi" w:hAnsiTheme="minorHAnsi" w:cs="Calibri"/>
          <w:lang w:val="en-GB"/>
        </w:rPr>
        <w:t>individuals who work in</w:t>
      </w:r>
      <w:r w:rsidRPr="0067297E">
        <w:rPr>
          <w:rFonts w:asciiTheme="minorHAnsi" w:hAnsiTheme="minorHAnsi" w:cs="Calibri"/>
        </w:rPr>
        <w:t xml:space="preserve"> the </w:t>
      </w:r>
      <w:r w:rsidR="00FC2076" w:rsidRPr="0067297E">
        <w:rPr>
          <w:rFonts w:asciiTheme="minorHAnsi" w:hAnsiTheme="minorHAnsi" w:cs="Calibri"/>
          <w:lang w:val="en-GB"/>
        </w:rPr>
        <w:t>borough</w:t>
      </w:r>
      <w:r w:rsidR="001D0299" w:rsidRPr="0067297E">
        <w:rPr>
          <w:rFonts w:asciiTheme="minorHAnsi" w:hAnsiTheme="minorHAnsi" w:cs="Calibri"/>
          <w:lang w:val="en-GB"/>
        </w:rPr>
        <w:t xml:space="preserve">. Looking </w:t>
      </w:r>
      <w:r w:rsidR="00E87157" w:rsidRPr="0067297E">
        <w:rPr>
          <w:rFonts w:asciiTheme="minorHAnsi" w:hAnsiTheme="minorHAnsi" w:cs="Calibri"/>
          <w:lang w:val="en-GB"/>
        </w:rPr>
        <w:t xml:space="preserve">at </w:t>
      </w:r>
      <w:r w:rsidR="003113B4" w:rsidRPr="0067297E">
        <w:rPr>
          <w:rFonts w:asciiTheme="minorHAnsi" w:hAnsiTheme="minorHAnsi" w:cs="Calibri"/>
          <w:lang w:val="en-GB"/>
        </w:rPr>
        <w:t>the</w:t>
      </w:r>
      <w:r w:rsidR="001D0299" w:rsidRPr="0067297E">
        <w:rPr>
          <w:rFonts w:asciiTheme="minorHAnsi" w:hAnsiTheme="minorHAnsi" w:cs="Calibri"/>
          <w:lang w:val="en-GB"/>
        </w:rPr>
        <w:t xml:space="preserve"> residents who </w:t>
      </w:r>
      <w:r w:rsidR="003113B4" w:rsidRPr="0067297E">
        <w:rPr>
          <w:rFonts w:asciiTheme="minorHAnsi" w:hAnsiTheme="minorHAnsi" w:cs="Calibri"/>
          <w:lang w:val="en-GB"/>
        </w:rPr>
        <w:t>work within</w:t>
      </w:r>
      <w:r w:rsidR="001D0299" w:rsidRPr="0067297E">
        <w:rPr>
          <w:rFonts w:asciiTheme="minorHAnsi" w:hAnsiTheme="minorHAnsi" w:cs="Calibri"/>
          <w:lang w:val="en-GB"/>
        </w:rPr>
        <w:t xml:space="preserve"> </w:t>
      </w:r>
      <w:r w:rsidR="00FC2076" w:rsidRPr="0067297E">
        <w:rPr>
          <w:rFonts w:asciiTheme="minorHAnsi" w:hAnsiTheme="minorHAnsi" w:cs="Calibri"/>
          <w:lang w:val="en-GB"/>
        </w:rPr>
        <w:t xml:space="preserve">the Borough of </w:t>
      </w:r>
      <w:r w:rsidR="00DF6579" w:rsidRPr="0067297E">
        <w:rPr>
          <w:rFonts w:asciiTheme="minorHAnsi" w:hAnsiTheme="minorHAnsi" w:cs="Calibri"/>
          <w:lang w:val="en-GB"/>
        </w:rPr>
        <w:t>Lewisham</w:t>
      </w:r>
      <w:r w:rsidRPr="0067297E">
        <w:rPr>
          <w:rFonts w:asciiTheme="minorHAnsi" w:hAnsiTheme="minorHAnsi" w:cs="Calibri"/>
          <w:lang w:val="en-GB"/>
        </w:rPr>
        <w:t>:</w:t>
      </w:r>
    </w:p>
    <w:p w14:paraId="573258D8" w14:textId="77777777" w:rsidR="008F474E" w:rsidRPr="0067297E" w:rsidRDefault="003113B4" w:rsidP="00C12BC3">
      <w:pPr>
        <w:pStyle w:val="bullet"/>
        <w:rPr>
          <w:rFonts w:asciiTheme="minorHAnsi" w:hAnsiTheme="minorHAnsi" w:cs="Calibri"/>
        </w:rPr>
      </w:pPr>
      <w:r w:rsidRPr="0067297E">
        <w:rPr>
          <w:rFonts w:asciiTheme="minorHAnsi" w:hAnsiTheme="minorHAnsi" w:cs="Calibri"/>
          <w:lang w:val="en-GB"/>
        </w:rPr>
        <w:t>20,625</w:t>
      </w:r>
      <w:r w:rsidR="008F474E" w:rsidRPr="0067297E">
        <w:rPr>
          <w:rFonts w:asciiTheme="minorHAnsi" w:hAnsiTheme="minorHAnsi" w:cs="Calibri"/>
          <w:lang w:val="en-GB"/>
        </w:rPr>
        <w:t xml:space="preserve"> people (</w:t>
      </w:r>
      <w:r w:rsidRPr="0067297E">
        <w:rPr>
          <w:rFonts w:asciiTheme="minorHAnsi" w:hAnsiTheme="minorHAnsi" w:cs="Calibri"/>
          <w:lang w:val="en-GB"/>
        </w:rPr>
        <w:t>38.6</w:t>
      </w:r>
      <w:r w:rsidR="008F474E" w:rsidRPr="0067297E">
        <w:rPr>
          <w:rFonts w:asciiTheme="minorHAnsi" w:hAnsiTheme="minorHAnsi" w:cs="Calibri"/>
          <w:lang w:val="en-GB"/>
        </w:rPr>
        <w:t>%)</w:t>
      </w:r>
      <w:r w:rsidR="008F474E" w:rsidRPr="0067297E">
        <w:rPr>
          <w:rFonts w:asciiTheme="minorHAnsi" w:hAnsiTheme="minorHAnsi" w:cs="Calibri"/>
        </w:rPr>
        <w:t xml:space="preserve"> </w:t>
      </w:r>
      <w:r w:rsidR="008F474E" w:rsidRPr="0067297E">
        <w:rPr>
          <w:rFonts w:asciiTheme="minorHAnsi" w:hAnsiTheme="minorHAnsi" w:cs="Calibri"/>
          <w:lang w:val="en-GB"/>
        </w:rPr>
        <w:t xml:space="preserve">also </w:t>
      </w:r>
      <w:r w:rsidR="00FC2076" w:rsidRPr="0067297E">
        <w:rPr>
          <w:rFonts w:asciiTheme="minorHAnsi" w:hAnsiTheme="minorHAnsi" w:cs="Calibri"/>
        </w:rPr>
        <w:t>live in the Borough of Lewisham</w:t>
      </w:r>
      <w:r w:rsidR="008F474E" w:rsidRPr="0067297E">
        <w:rPr>
          <w:rFonts w:asciiTheme="minorHAnsi" w:hAnsiTheme="minorHAnsi" w:cs="Calibri"/>
          <w:lang w:val="en-GB"/>
        </w:rPr>
        <w:t>;</w:t>
      </w:r>
    </w:p>
    <w:p w14:paraId="418737F3" w14:textId="77777777" w:rsidR="008F474E" w:rsidRPr="0067297E" w:rsidRDefault="003113B4" w:rsidP="00A04CC5">
      <w:pPr>
        <w:pStyle w:val="bullet"/>
        <w:rPr>
          <w:rFonts w:asciiTheme="minorHAnsi" w:hAnsiTheme="minorHAnsi" w:cs="Calibri"/>
        </w:rPr>
      </w:pPr>
      <w:r w:rsidRPr="0067297E">
        <w:rPr>
          <w:rFonts w:asciiTheme="minorHAnsi" w:hAnsiTheme="minorHAnsi" w:cs="Calibri"/>
          <w:lang w:val="en-GB"/>
        </w:rPr>
        <w:t>5,771</w:t>
      </w:r>
      <w:r w:rsidR="008F474E" w:rsidRPr="0067297E">
        <w:rPr>
          <w:rFonts w:asciiTheme="minorHAnsi" w:hAnsiTheme="minorHAnsi" w:cs="Calibri"/>
          <w:lang w:val="en-GB"/>
        </w:rPr>
        <w:t xml:space="preserve"> (</w:t>
      </w:r>
      <w:r w:rsidRPr="0067297E">
        <w:rPr>
          <w:rFonts w:asciiTheme="minorHAnsi" w:hAnsiTheme="minorHAnsi" w:cs="Calibri"/>
          <w:lang w:val="en-GB"/>
        </w:rPr>
        <w:t>10.8</w:t>
      </w:r>
      <w:r w:rsidR="008F474E" w:rsidRPr="0067297E">
        <w:rPr>
          <w:rFonts w:asciiTheme="minorHAnsi" w:hAnsiTheme="minorHAnsi" w:cs="Calibri"/>
          <w:lang w:val="en-GB"/>
        </w:rPr>
        <w:t xml:space="preserve">%) commute into </w:t>
      </w:r>
      <w:r w:rsidRPr="0067297E">
        <w:rPr>
          <w:rFonts w:asciiTheme="minorHAnsi" w:hAnsiTheme="minorHAnsi" w:cs="Calibri"/>
          <w:lang w:val="en-GB"/>
        </w:rPr>
        <w:t xml:space="preserve">Lewisham from </w:t>
      </w:r>
      <w:r w:rsidR="008F474E" w:rsidRPr="0067297E">
        <w:rPr>
          <w:rFonts w:asciiTheme="minorHAnsi" w:hAnsiTheme="minorHAnsi" w:cs="Calibri"/>
          <w:lang w:val="en-GB"/>
        </w:rPr>
        <w:t xml:space="preserve">the Borough </w:t>
      </w:r>
      <w:r w:rsidRPr="0067297E">
        <w:rPr>
          <w:rFonts w:asciiTheme="minorHAnsi" w:hAnsiTheme="minorHAnsi" w:cs="Calibri"/>
          <w:lang w:val="en-GB"/>
        </w:rPr>
        <w:t>of</w:t>
      </w:r>
      <w:r w:rsidR="008F474E" w:rsidRPr="0067297E">
        <w:rPr>
          <w:rFonts w:asciiTheme="minorHAnsi" w:hAnsiTheme="minorHAnsi" w:cs="Calibri"/>
          <w:lang w:val="en-GB"/>
        </w:rPr>
        <w:t xml:space="preserve"> </w:t>
      </w:r>
      <w:r w:rsidR="005D7174" w:rsidRPr="0067297E">
        <w:rPr>
          <w:rFonts w:asciiTheme="minorHAnsi" w:hAnsiTheme="minorHAnsi" w:cs="Calibri"/>
          <w:lang w:val="en-GB"/>
        </w:rPr>
        <w:t>Greenwich</w:t>
      </w:r>
      <w:r w:rsidR="008F474E" w:rsidRPr="0067297E">
        <w:rPr>
          <w:rFonts w:asciiTheme="minorHAnsi" w:hAnsiTheme="minorHAnsi" w:cs="Calibri"/>
          <w:lang w:val="en-GB"/>
        </w:rPr>
        <w:t>;</w:t>
      </w:r>
      <w:r w:rsidR="005D7174" w:rsidRPr="0067297E">
        <w:rPr>
          <w:rFonts w:asciiTheme="minorHAnsi" w:hAnsiTheme="minorHAnsi" w:cs="Calibri"/>
          <w:lang w:val="en-GB"/>
        </w:rPr>
        <w:t xml:space="preserve"> </w:t>
      </w:r>
    </w:p>
    <w:p w14:paraId="7B7A4B2D" w14:textId="77777777" w:rsidR="003113B4" w:rsidRPr="0067297E" w:rsidRDefault="003113B4" w:rsidP="007E2C96">
      <w:pPr>
        <w:pStyle w:val="bullet"/>
        <w:rPr>
          <w:rFonts w:asciiTheme="minorHAnsi" w:hAnsiTheme="minorHAnsi" w:cs="Calibri"/>
        </w:rPr>
      </w:pPr>
      <w:r w:rsidRPr="0067297E">
        <w:rPr>
          <w:rFonts w:asciiTheme="minorHAnsi" w:hAnsiTheme="minorHAnsi" w:cs="Calibri"/>
          <w:lang w:val="en-GB"/>
        </w:rPr>
        <w:t>5,425</w:t>
      </w:r>
      <w:r w:rsidR="00DF6579" w:rsidRPr="0067297E">
        <w:rPr>
          <w:rFonts w:asciiTheme="minorHAnsi" w:hAnsiTheme="minorHAnsi" w:cs="Calibri"/>
          <w:lang w:val="en-GB"/>
        </w:rPr>
        <w:t xml:space="preserve"> (</w:t>
      </w:r>
      <w:r w:rsidRPr="0067297E">
        <w:rPr>
          <w:rFonts w:asciiTheme="minorHAnsi" w:hAnsiTheme="minorHAnsi" w:cs="Calibri"/>
          <w:lang w:val="en-GB"/>
        </w:rPr>
        <w:t>10.1</w:t>
      </w:r>
      <w:r w:rsidR="005D7174" w:rsidRPr="0067297E">
        <w:rPr>
          <w:rFonts w:asciiTheme="minorHAnsi" w:hAnsiTheme="minorHAnsi" w:cs="Calibri"/>
          <w:lang w:val="en-GB"/>
        </w:rPr>
        <w:t>%) commute</w:t>
      </w:r>
      <w:r w:rsidR="000F61A3" w:rsidRPr="0067297E">
        <w:rPr>
          <w:rFonts w:asciiTheme="minorHAnsi" w:hAnsiTheme="minorHAnsi" w:cs="Calibri"/>
          <w:lang w:val="en-GB"/>
        </w:rPr>
        <w:t xml:space="preserve"> </w:t>
      </w:r>
      <w:r w:rsidR="008F474E" w:rsidRPr="0067297E">
        <w:rPr>
          <w:rFonts w:asciiTheme="minorHAnsi" w:hAnsiTheme="minorHAnsi" w:cs="Calibri"/>
          <w:lang w:val="en-GB"/>
        </w:rPr>
        <w:t xml:space="preserve">from </w:t>
      </w:r>
      <w:r w:rsidRPr="0067297E">
        <w:rPr>
          <w:rFonts w:asciiTheme="minorHAnsi" w:hAnsiTheme="minorHAnsi" w:cs="Calibri"/>
          <w:lang w:val="en-GB"/>
        </w:rPr>
        <w:t>Bromley;</w:t>
      </w:r>
    </w:p>
    <w:p w14:paraId="1DA2FEC0" w14:textId="14FACDFC" w:rsidR="003113B4" w:rsidRPr="0067297E" w:rsidRDefault="003113B4" w:rsidP="00516B53">
      <w:pPr>
        <w:pStyle w:val="bullet"/>
        <w:rPr>
          <w:rFonts w:asciiTheme="minorHAnsi" w:hAnsiTheme="minorHAnsi" w:cs="Calibri"/>
        </w:rPr>
      </w:pPr>
      <w:r w:rsidRPr="0067297E">
        <w:rPr>
          <w:rFonts w:asciiTheme="minorHAnsi" w:hAnsiTheme="minorHAnsi" w:cs="Calibri"/>
          <w:lang w:val="en-GB"/>
        </w:rPr>
        <w:t xml:space="preserve">3,399 (6.4%) commute from Southwark; </w:t>
      </w:r>
    </w:p>
    <w:p w14:paraId="77C868A3" w14:textId="77777777" w:rsidR="008A31C1" w:rsidRPr="0067297E" w:rsidRDefault="003113B4" w:rsidP="00516B53">
      <w:pPr>
        <w:pStyle w:val="bullet"/>
        <w:rPr>
          <w:rFonts w:asciiTheme="minorHAnsi" w:hAnsiTheme="minorHAnsi" w:cs="Calibri"/>
          <w:lang w:val="en-GB"/>
        </w:rPr>
      </w:pPr>
      <w:r w:rsidRPr="0067297E">
        <w:rPr>
          <w:rFonts w:asciiTheme="minorHAnsi" w:hAnsiTheme="minorHAnsi" w:cs="Calibri"/>
          <w:lang w:val="en-GB"/>
        </w:rPr>
        <w:t>3,089 (5.8%) from Bexley</w:t>
      </w:r>
      <w:r w:rsidR="008A31C1" w:rsidRPr="0067297E">
        <w:rPr>
          <w:rFonts w:asciiTheme="minorHAnsi" w:hAnsiTheme="minorHAnsi" w:cs="Calibri"/>
          <w:lang w:val="en-GB"/>
        </w:rPr>
        <w:t>;</w:t>
      </w:r>
    </w:p>
    <w:p w14:paraId="6DE291A4" w14:textId="11B23F5F" w:rsidR="008A31C1" w:rsidRPr="0067297E" w:rsidRDefault="003F4FF7" w:rsidP="00516B53">
      <w:pPr>
        <w:pStyle w:val="bullet"/>
        <w:rPr>
          <w:rFonts w:asciiTheme="minorHAnsi" w:hAnsiTheme="minorHAnsi" w:cs="Calibri"/>
          <w:color w:val="000000" w:themeColor="text1"/>
          <w:lang w:val="en-GB"/>
        </w:rPr>
      </w:pPr>
      <w:r w:rsidRPr="0067297E">
        <w:rPr>
          <w:rFonts w:asciiTheme="minorHAnsi" w:hAnsiTheme="minorHAnsi" w:cs="Calibri"/>
          <w:color w:val="000000" w:themeColor="text1"/>
          <w:lang w:val="en-GB"/>
        </w:rPr>
        <w:t>9,621</w:t>
      </w:r>
      <w:r w:rsidR="008A31C1" w:rsidRPr="0067297E">
        <w:rPr>
          <w:rFonts w:asciiTheme="minorHAnsi" w:hAnsiTheme="minorHAnsi" w:cs="Calibri"/>
          <w:color w:val="000000" w:themeColor="text1"/>
          <w:lang w:val="en-GB"/>
        </w:rPr>
        <w:t xml:space="preserve"> (</w:t>
      </w:r>
      <w:r w:rsidR="00F76FCD" w:rsidRPr="0067297E">
        <w:rPr>
          <w:rFonts w:asciiTheme="minorHAnsi" w:hAnsiTheme="minorHAnsi" w:cs="Calibri"/>
          <w:color w:val="000000" w:themeColor="text1"/>
          <w:lang w:val="en-GB"/>
        </w:rPr>
        <w:t>1</w:t>
      </w:r>
      <w:r w:rsidR="008A31C1" w:rsidRPr="0067297E">
        <w:rPr>
          <w:rFonts w:asciiTheme="minorHAnsi" w:hAnsiTheme="minorHAnsi" w:cs="Calibri"/>
          <w:color w:val="000000" w:themeColor="text1"/>
          <w:lang w:val="en-GB"/>
        </w:rPr>
        <w:t>8</w:t>
      </w:r>
      <w:r w:rsidR="00F76FCD" w:rsidRPr="0067297E">
        <w:rPr>
          <w:rFonts w:asciiTheme="minorHAnsi" w:hAnsiTheme="minorHAnsi" w:cs="Calibri"/>
          <w:color w:val="000000" w:themeColor="text1"/>
          <w:lang w:val="en-GB"/>
        </w:rPr>
        <w:t>.0</w:t>
      </w:r>
      <w:r w:rsidR="008A31C1" w:rsidRPr="0067297E">
        <w:rPr>
          <w:rFonts w:asciiTheme="minorHAnsi" w:hAnsiTheme="minorHAnsi" w:cs="Calibri"/>
          <w:color w:val="000000" w:themeColor="text1"/>
          <w:lang w:val="en-GB"/>
        </w:rPr>
        <w:t>%) from elsewhere in London;</w:t>
      </w:r>
      <w:r w:rsidR="00363030" w:rsidRPr="0067297E">
        <w:rPr>
          <w:rFonts w:asciiTheme="minorHAnsi" w:hAnsiTheme="minorHAnsi" w:cs="Calibri"/>
          <w:color w:val="000000" w:themeColor="text1"/>
          <w:lang w:val="en-GB"/>
        </w:rPr>
        <w:t xml:space="preserve"> and</w:t>
      </w:r>
    </w:p>
    <w:p w14:paraId="1113D9E7" w14:textId="1A7E9817" w:rsidR="008F474E" w:rsidRPr="0067297E" w:rsidRDefault="00F76FCD" w:rsidP="00516B53">
      <w:pPr>
        <w:pStyle w:val="bullet"/>
        <w:rPr>
          <w:rFonts w:asciiTheme="minorHAnsi" w:hAnsiTheme="minorHAnsi" w:cs="Calibri"/>
          <w:color w:val="000000" w:themeColor="text1"/>
        </w:rPr>
      </w:pPr>
      <w:r w:rsidRPr="0067297E">
        <w:rPr>
          <w:rFonts w:asciiTheme="minorHAnsi" w:hAnsiTheme="minorHAnsi" w:cs="Calibri"/>
          <w:color w:val="000000" w:themeColor="text1"/>
          <w:lang w:val="en-GB"/>
        </w:rPr>
        <w:t>5,570</w:t>
      </w:r>
      <w:r w:rsidR="008A31C1" w:rsidRPr="0067297E">
        <w:rPr>
          <w:rFonts w:asciiTheme="minorHAnsi" w:hAnsiTheme="minorHAnsi" w:cs="Calibri"/>
          <w:color w:val="000000" w:themeColor="text1"/>
          <w:lang w:val="en-GB"/>
        </w:rPr>
        <w:t xml:space="preserve"> (</w:t>
      </w:r>
      <w:r w:rsidRPr="0067297E">
        <w:rPr>
          <w:rFonts w:asciiTheme="minorHAnsi" w:hAnsiTheme="minorHAnsi" w:cs="Calibri"/>
          <w:color w:val="000000" w:themeColor="text1"/>
          <w:lang w:val="en-GB"/>
        </w:rPr>
        <w:t>10.</w:t>
      </w:r>
      <w:r w:rsidR="001475C0" w:rsidRPr="0067297E">
        <w:rPr>
          <w:rFonts w:asciiTheme="minorHAnsi" w:hAnsiTheme="minorHAnsi" w:cs="Calibri"/>
          <w:color w:val="000000" w:themeColor="text1"/>
          <w:lang w:val="en-GB"/>
        </w:rPr>
        <w:t>4</w:t>
      </w:r>
      <w:r w:rsidR="008A31C1" w:rsidRPr="0067297E">
        <w:rPr>
          <w:rFonts w:asciiTheme="minorHAnsi" w:hAnsiTheme="minorHAnsi" w:cs="Calibri"/>
          <w:color w:val="000000" w:themeColor="text1"/>
          <w:lang w:val="en-GB"/>
        </w:rPr>
        <w:t>%) from outside London</w:t>
      </w:r>
    </w:p>
    <w:p w14:paraId="419B37B4" w14:textId="77777777" w:rsidR="000F61A3" w:rsidRPr="0067297E" w:rsidRDefault="000F61A3" w:rsidP="00516B53">
      <w:pPr>
        <w:pStyle w:val="Reporttext"/>
        <w:numPr>
          <w:ilvl w:val="0"/>
          <w:numId w:val="0"/>
        </w:numPr>
        <w:rPr>
          <w:rFonts w:asciiTheme="minorHAnsi" w:hAnsiTheme="minorHAnsi" w:cs="Calibri"/>
        </w:rPr>
      </w:pPr>
    </w:p>
    <w:p w14:paraId="7AB4C47C" w14:textId="77777777" w:rsidR="00582767" w:rsidRPr="0067297E" w:rsidRDefault="001371D2" w:rsidP="00516B53">
      <w:pPr>
        <w:pStyle w:val="Heading2"/>
        <w:rPr>
          <w:rFonts w:asciiTheme="minorHAnsi" w:hAnsiTheme="minorHAnsi" w:cs="Calibri"/>
          <w:lang w:val="en-GB"/>
        </w:rPr>
      </w:pPr>
      <w:bookmarkStart w:id="198" w:name="_Toc1385749"/>
      <w:bookmarkStart w:id="199" w:name="_Toc23151064"/>
      <w:r w:rsidRPr="0067297E">
        <w:rPr>
          <w:rFonts w:asciiTheme="minorHAnsi" w:hAnsiTheme="minorHAnsi" w:cs="Calibri"/>
          <w:lang w:val="en-GB"/>
        </w:rPr>
        <w:t>Housing development (past and planned)</w:t>
      </w:r>
      <w:bookmarkEnd w:id="198"/>
      <w:bookmarkEnd w:id="199"/>
    </w:p>
    <w:p w14:paraId="03E2CFEC" w14:textId="77777777" w:rsidR="006522E6" w:rsidRPr="0067297E" w:rsidRDefault="006522E6" w:rsidP="00FA273F">
      <w:pPr>
        <w:pStyle w:val="Reporttext"/>
        <w:numPr>
          <w:ilvl w:val="0"/>
          <w:numId w:val="0"/>
        </w:numPr>
        <w:ind w:left="709"/>
        <w:rPr>
          <w:rStyle w:val="Heading3Char1"/>
          <w:rFonts w:asciiTheme="minorHAnsi" w:hAnsiTheme="minorHAnsi" w:cs="Calibri"/>
          <w:bCs/>
          <w:iCs/>
        </w:rPr>
      </w:pPr>
      <w:r w:rsidRPr="0067297E">
        <w:rPr>
          <w:rStyle w:val="Heading3Char1"/>
          <w:rFonts w:asciiTheme="minorHAnsi" w:hAnsiTheme="minorHAnsi" w:cs="Calibri"/>
        </w:rPr>
        <w:t>Past trends in housing delivery</w:t>
      </w:r>
    </w:p>
    <w:p w14:paraId="2F4F426A" w14:textId="4ED0235C" w:rsidR="007D452C" w:rsidRPr="0067297E" w:rsidRDefault="006522E6" w:rsidP="00543A76">
      <w:pPr>
        <w:pStyle w:val="Reporttext"/>
        <w:rPr>
          <w:rFonts w:asciiTheme="minorHAnsi" w:hAnsiTheme="minorHAnsi" w:cs="Calibri"/>
          <w:color w:val="FF0000"/>
        </w:rPr>
      </w:pPr>
      <w:bookmarkStart w:id="200" w:name="h.sqyw64" w:colFirst="0" w:colLast="0"/>
      <w:bookmarkEnd w:id="200"/>
      <w:r w:rsidRPr="0067297E">
        <w:rPr>
          <w:rFonts w:asciiTheme="minorHAnsi" w:hAnsiTheme="minorHAnsi" w:cs="Calibri"/>
        </w:rPr>
        <w:t xml:space="preserve">Over the </w:t>
      </w:r>
      <w:r w:rsidR="00244DB1" w:rsidRPr="0067297E">
        <w:rPr>
          <w:rFonts w:asciiTheme="minorHAnsi" w:hAnsiTheme="minorHAnsi" w:cs="Calibri"/>
          <w:lang w:val="en-GB"/>
        </w:rPr>
        <w:t>eleven</w:t>
      </w:r>
      <w:r w:rsidR="00244DB1" w:rsidRPr="0067297E">
        <w:rPr>
          <w:rFonts w:asciiTheme="minorHAnsi" w:hAnsiTheme="minorHAnsi" w:cs="Calibri"/>
        </w:rPr>
        <w:t xml:space="preserve"> </w:t>
      </w:r>
      <w:r w:rsidRPr="0067297E">
        <w:rPr>
          <w:rFonts w:asciiTheme="minorHAnsi" w:hAnsiTheme="minorHAnsi" w:cs="Calibri"/>
        </w:rPr>
        <w:t xml:space="preserve">years, </w:t>
      </w:r>
      <w:r w:rsidR="003447FD" w:rsidRPr="0067297E">
        <w:rPr>
          <w:rFonts w:asciiTheme="minorHAnsi" w:hAnsiTheme="minorHAnsi" w:cs="Calibri"/>
          <w:lang w:val="en-GB"/>
        </w:rPr>
        <w:t>2007/08</w:t>
      </w:r>
      <w:r w:rsidRPr="0067297E">
        <w:rPr>
          <w:rFonts w:asciiTheme="minorHAnsi" w:hAnsiTheme="minorHAnsi" w:cs="Calibri"/>
        </w:rPr>
        <w:t xml:space="preserve"> to </w:t>
      </w:r>
      <w:r w:rsidRPr="0067297E">
        <w:rPr>
          <w:rFonts w:asciiTheme="minorHAnsi" w:hAnsiTheme="minorHAnsi" w:cs="Calibri"/>
          <w:lang w:val="en-GB"/>
        </w:rPr>
        <w:t>201</w:t>
      </w:r>
      <w:r w:rsidR="00244DB1" w:rsidRPr="0067297E">
        <w:rPr>
          <w:rFonts w:asciiTheme="minorHAnsi" w:hAnsiTheme="minorHAnsi" w:cs="Calibri"/>
          <w:lang w:val="en-GB"/>
        </w:rPr>
        <w:t>7</w:t>
      </w:r>
      <w:r w:rsidR="003447FD" w:rsidRPr="0067297E">
        <w:rPr>
          <w:rFonts w:asciiTheme="minorHAnsi" w:hAnsiTheme="minorHAnsi" w:cs="Calibri"/>
          <w:lang w:val="en-GB"/>
        </w:rPr>
        <w:t>/1</w:t>
      </w:r>
      <w:r w:rsidR="00244DB1" w:rsidRPr="0067297E">
        <w:rPr>
          <w:rFonts w:asciiTheme="minorHAnsi" w:hAnsiTheme="minorHAnsi" w:cs="Calibri"/>
          <w:lang w:val="en-GB"/>
        </w:rPr>
        <w:t>8</w:t>
      </w:r>
      <w:r w:rsidR="008B1E3F" w:rsidRPr="0067297E">
        <w:rPr>
          <w:rFonts w:asciiTheme="minorHAnsi" w:hAnsiTheme="minorHAnsi" w:cs="Calibri"/>
          <w:lang w:val="en-GB"/>
        </w:rPr>
        <w:t xml:space="preserve"> </w:t>
      </w:r>
      <w:r w:rsidRPr="0067297E">
        <w:rPr>
          <w:rFonts w:asciiTheme="minorHAnsi" w:hAnsiTheme="minorHAnsi" w:cs="Calibri"/>
        </w:rPr>
        <w:t xml:space="preserve">there has been an average of </w:t>
      </w:r>
      <w:r w:rsidR="00244DB1" w:rsidRPr="0067297E">
        <w:rPr>
          <w:rFonts w:asciiTheme="minorHAnsi" w:hAnsiTheme="minorHAnsi" w:cs="Calibri"/>
          <w:lang w:val="en-GB"/>
        </w:rPr>
        <w:t>1,387</w:t>
      </w:r>
      <w:r w:rsidR="007D452C" w:rsidRPr="0067297E">
        <w:rPr>
          <w:rFonts w:asciiTheme="minorHAnsi" w:hAnsiTheme="minorHAnsi" w:cs="Calibri"/>
          <w:lang w:val="en-GB"/>
        </w:rPr>
        <w:t xml:space="preserve"> </w:t>
      </w:r>
      <w:r w:rsidR="00244DB1" w:rsidRPr="0067297E">
        <w:rPr>
          <w:rFonts w:asciiTheme="minorHAnsi" w:hAnsiTheme="minorHAnsi" w:cs="Calibri"/>
          <w:lang w:val="en-GB"/>
        </w:rPr>
        <w:t xml:space="preserve">net </w:t>
      </w:r>
      <w:r w:rsidR="007D452C" w:rsidRPr="0067297E">
        <w:rPr>
          <w:rFonts w:asciiTheme="minorHAnsi" w:hAnsiTheme="minorHAnsi" w:cs="Calibri"/>
          <w:lang w:val="en-GB"/>
        </w:rPr>
        <w:t>housing</w:t>
      </w:r>
      <w:r w:rsidR="007D452C" w:rsidRPr="0067297E">
        <w:rPr>
          <w:rFonts w:asciiTheme="minorHAnsi" w:hAnsiTheme="minorHAnsi" w:cs="Calibri"/>
        </w:rPr>
        <w:t xml:space="preserve"> completions</w:t>
      </w:r>
      <w:r w:rsidR="004A7DAF" w:rsidRPr="0067297E">
        <w:rPr>
          <w:rFonts w:asciiTheme="minorHAnsi" w:hAnsiTheme="minorHAnsi" w:cs="Calibri"/>
          <w:lang w:val="en-GB"/>
        </w:rPr>
        <w:t xml:space="preserve"> </w:t>
      </w:r>
      <w:r w:rsidR="00244DB1" w:rsidRPr="0067297E">
        <w:rPr>
          <w:rFonts w:asciiTheme="minorHAnsi" w:hAnsiTheme="minorHAnsi" w:cs="Calibri"/>
          <w:lang w:val="en-US"/>
        </w:rPr>
        <w:t>each</w:t>
      </w:r>
      <w:r w:rsidRPr="0067297E">
        <w:rPr>
          <w:rFonts w:asciiTheme="minorHAnsi" w:hAnsiTheme="minorHAnsi" w:cs="Calibri"/>
        </w:rPr>
        <w:t xml:space="preserve"> year across the </w:t>
      </w:r>
      <w:r w:rsidR="00FC2076" w:rsidRPr="0067297E">
        <w:rPr>
          <w:rFonts w:asciiTheme="minorHAnsi" w:hAnsiTheme="minorHAnsi" w:cs="Calibri"/>
          <w:lang w:val="en-GB"/>
        </w:rPr>
        <w:t>borough</w:t>
      </w:r>
      <w:r w:rsidRPr="0067297E">
        <w:rPr>
          <w:rFonts w:asciiTheme="minorHAnsi" w:hAnsiTheme="minorHAnsi" w:cs="Calibri"/>
        </w:rPr>
        <w:t xml:space="preserve"> (Table </w:t>
      </w:r>
      <w:r w:rsidR="00C20E54" w:rsidRPr="0067297E">
        <w:rPr>
          <w:rFonts w:asciiTheme="minorHAnsi" w:hAnsiTheme="minorHAnsi" w:cs="Calibri"/>
          <w:lang w:val="en-GB"/>
        </w:rPr>
        <w:t>3.</w:t>
      </w:r>
      <w:r w:rsidR="00516B53" w:rsidRPr="0067297E">
        <w:rPr>
          <w:rFonts w:asciiTheme="minorHAnsi" w:hAnsiTheme="minorHAnsi" w:cs="Calibri"/>
          <w:lang w:val="en-GB"/>
        </w:rPr>
        <w:t>7</w:t>
      </w:r>
      <w:r w:rsidRPr="0067297E">
        <w:rPr>
          <w:rFonts w:asciiTheme="minorHAnsi" w:hAnsiTheme="minorHAnsi" w:cs="Calibri"/>
        </w:rPr>
        <w:t xml:space="preserve">). </w:t>
      </w:r>
    </w:p>
    <w:p w14:paraId="0EB3A065" w14:textId="6AD732DA" w:rsidR="007D452C" w:rsidRPr="0067297E" w:rsidRDefault="007D452C" w:rsidP="00543A76">
      <w:pPr>
        <w:pStyle w:val="Reporttext"/>
        <w:numPr>
          <w:ilvl w:val="0"/>
          <w:numId w:val="0"/>
        </w:numPr>
        <w:rPr>
          <w:rFonts w:asciiTheme="minorHAnsi" w:hAnsiTheme="minorHAnsi" w:cs="Calibri"/>
          <w:color w:val="FF0000"/>
        </w:rPr>
      </w:pPr>
    </w:p>
    <w:p w14:paraId="5CC6C835" w14:textId="50FB9290" w:rsidR="000256AC" w:rsidRPr="0067297E" w:rsidRDefault="000256AC">
      <w:pPr>
        <w:rPr>
          <w:rFonts w:asciiTheme="minorHAnsi" w:hAnsiTheme="minorHAnsi" w:cs="Calibri"/>
          <w:color w:val="FF0000"/>
          <w:lang w:val="x-none"/>
        </w:rPr>
      </w:pPr>
      <w:r w:rsidRPr="0067297E">
        <w:rPr>
          <w:rFonts w:asciiTheme="minorHAnsi" w:hAnsiTheme="minorHAnsi" w:cs="Calibri"/>
          <w:color w:val="FF0000"/>
        </w:rPr>
        <w:br w:type="page"/>
      </w:r>
    </w:p>
    <w:tbl>
      <w:tblPr>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1666"/>
        <w:gridCol w:w="2684"/>
        <w:gridCol w:w="3402"/>
      </w:tblGrid>
      <w:tr w:rsidR="006522E6" w:rsidRPr="0067297E" w14:paraId="215E3BCA" w14:textId="77777777" w:rsidTr="00FF4E2D">
        <w:trPr>
          <w:trHeight w:val="300"/>
          <w:tblHeader/>
        </w:trPr>
        <w:tc>
          <w:tcPr>
            <w:tcW w:w="7752" w:type="dxa"/>
            <w:gridSpan w:val="3"/>
            <w:shd w:val="clear" w:color="000000" w:fill="009999"/>
            <w:noWrap/>
            <w:vAlign w:val="bottom"/>
          </w:tcPr>
          <w:p w14:paraId="1C1D0BE6" w14:textId="1143E1FD" w:rsidR="006522E6" w:rsidRPr="0067297E" w:rsidRDefault="006522E6" w:rsidP="003F4875">
            <w:pPr>
              <w:pStyle w:val="tableheading"/>
              <w:rPr>
                <w:rFonts w:asciiTheme="minorHAnsi" w:hAnsiTheme="minorHAnsi"/>
                <w:color w:val="FFFFFF"/>
              </w:rPr>
            </w:pPr>
            <w:bookmarkStart w:id="201" w:name="_Toc23151148"/>
            <w:r w:rsidRPr="0067297E">
              <w:rPr>
                <w:rFonts w:asciiTheme="minorHAnsi" w:hAnsiTheme="minorHAnsi"/>
              </w:rPr>
              <w:t xml:space="preserve">Table </w:t>
            </w:r>
            <w:r w:rsidR="00C20E54" w:rsidRPr="0067297E">
              <w:rPr>
                <w:rFonts w:asciiTheme="minorHAnsi" w:hAnsiTheme="minorHAnsi"/>
              </w:rPr>
              <w:t>3.</w:t>
            </w:r>
            <w:r w:rsidR="00516B53" w:rsidRPr="0067297E">
              <w:rPr>
                <w:rFonts w:asciiTheme="minorHAnsi" w:hAnsiTheme="minorHAnsi"/>
              </w:rPr>
              <w:t>7</w:t>
            </w:r>
            <w:r w:rsidRPr="0067297E">
              <w:rPr>
                <w:rFonts w:asciiTheme="minorHAnsi" w:hAnsiTheme="minorHAnsi"/>
              </w:rPr>
              <w:tab/>
              <w:t xml:space="preserve">Dwelling completions </w:t>
            </w:r>
            <w:r w:rsidR="00C663A9" w:rsidRPr="0067297E">
              <w:rPr>
                <w:rFonts w:asciiTheme="minorHAnsi" w:hAnsiTheme="minorHAnsi"/>
              </w:rPr>
              <w:t>20</w:t>
            </w:r>
            <w:r w:rsidR="000F0E2F" w:rsidRPr="0067297E">
              <w:rPr>
                <w:rFonts w:asciiTheme="minorHAnsi" w:hAnsiTheme="minorHAnsi"/>
              </w:rPr>
              <w:t>07/08 to 201</w:t>
            </w:r>
            <w:r w:rsidR="008D60B2" w:rsidRPr="0067297E">
              <w:rPr>
                <w:rFonts w:asciiTheme="minorHAnsi" w:hAnsiTheme="minorHAnsi"/>
                <w:lang w:val="en-US"/>
              </w:rPr>
              <w:t>7</w:t>
            </w:r>
            <w:r w:rsidR="000F0E2F" w:rsidRPr="0067297E">
              <w:rPr>
                <w:rFonts w:asciiTheme="minorHAnsi" w:hAnsiTheme="minorHAnsi"/>
              </w:rPr>
              <w:t>/1</w:t>
            </w:r>
            <w:r w:rsidR="008D60B2" w:rsidRPr="0067297E">
              <w:rPr>
                <w:rFonts w:asciiTheme="minorHAnsi" w:hAnsiTheme="minorHAnsi"/>
                <w:lang w:val="en-US"/>
              </w:rPr>
              <w:t>8</w:t>
            </w:r>
            <w:bookmarkEnd w:id="201"/>
          </w:p>
        </w:tc>
      </w:tr>
      <w:tr w:rsidR="006522E6" w:rsidRPr="0067297E" w14:paraId="690539AE" w14:textId="77777777" w:rsidTr="000256AC">
        <w:trPr>
          <w:trHeight w:val="300"/>
        </w:trPr>
        <w:tc>
          <w:tcPr>
            <w:tcW w:w="1666" w:type="dxa"/>
            <w:shd w:val="clear" w:color="000000" w:fill="009999"/>
            <w:noWrap/>
            <w:vAlign w:val="center"/>
            <w:hideMark/>
          </w:tcPr>
          <w:p w14:paraId="372887EE" w14:textId="77777777" w:rsidR="006522E6" w:rsidRPr="0067297E" w:rsidRDefault="006522E6" w:rsidP="000256AC">
            <w:pPr>
              <w:rPr>
                <w:rFonts w:asciiTheme="minorHAnsi" w:hAnsiTheme="minorHAnsi" w:cs="Calibri"/>
                <w:b/>
                <w:bCs/>
                <w:color w:val="FFFFFF"/>
                <w:sz w:val="22"/>
                <w:szCs w:val="22"/>
              </w:rPr>
            </w:pPr>
            <w:r w:rsidRPr="0067297E">
              <w:rPr>
                <w:rFonts w:asciiTheme="minorHAnsi" w:hAnsiTheme="minorHAnsi" w:cs="Calibri"/>
                <w:b/>
                <w:bCs/>
                <w:color w:val="FFFFFF"/>
                <w:sz w:val="22"/>
                <w:szCs w:val="22"/>
              </w:rPr>
              <w:t>Year</w:t>
            </w:r>
          </w:p>
        </w:tc>
        <w:tc>
          <w:tcPr>
            <w:tcW w:w="2684" w:type="dxa"/>
            <w:shd w:val="clear" w:color="000000" w:fill="009999"/>
            <w:noWrap/>
            <w:vAlign w:val="center"/>
            <w:hideMark/>
          </w:tcPr>
          <w:p w14:paraId="28F37D3E" w14:textId="77777777" w:rsidR="006522E6" w:rsidRPr="0067297E" w:rsidRDefault="006522E6" w:rsidP="000256AC">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Total Net Completions</w:t>
            </w:r>
          </w:p>
        </w:tc>
        <w:tc>
          <w:tcPr>
            <w:tcW w:w="3402" w:type="dxa"/>
            <w:shd w:val="clear" w:color="000000" w:fill="009999"/>
            <w:noWrap/>
            <w:vAlign w:val="center"/>
            <w:hideMark/>
          </w:tcPr>
          <w:p w14:paraId="20188DD0" w14:textId="77777777" w:rsidR="006522E6" w:rsidRPr="0067297E" w:rsidRDefault="007D452C" w:rsidP="000256AC">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London Plan Target (Annualised)</w:t>
            </w:r>
          </w:p>
        </w:tc>
      </w:tr>
      <w:tr w:rsidR="000F0E2F" w:rsidRPr="0067297E" w14:paraId="0082B18C" w14:textId="77777777" w:rsidTr="000256AC">
        <w:trPr>
          <w:trHeight w:val="300"/>
        </w:trPr>
        <w:tc>
          <w:tcPr>
            <w:tcW w:w="1666" w:type="dxa"/>
            <w:shd w:val="clear" w:color="auto" w:fill="auto"/>
            <w:noWrap/>
            <w:vAlign w:val="center"/>
          </w:tcPr>
          <w:p w14:paraId="0882AF3E" w14:textId="77777777" w:rsidR="000F0E2F" w:rsidRPr="0067297E" w:rsidRDefault="000F0E2F" w:rsidP="000256AC">
            <w:pPr>
              <w:rPr>
                <w:rFonts w:asciiTheme="minorHAnsi" w:hAnsiTheme="minorHAnsi" w:cs="Calibri"/>
                <w:color w:val="000000"/>
                <w:sz w:val="22"/>
                <w:szCs w:val="22"/>
              </w:rPr>
            </w:pPr>
            <w:r w:rsidRPr="0067297E">
              <w:rPr>
                <w:rFonts w:asciiTheme="minorHAnsi" w:hAnsiTheme="minorHAnsi" w:cs="Calibri"/>
                <w:color w:val="000000"/>
                <w:sz w:val="22"/>
                <w:szCs w:val="22"/>
              </w:rPr>
              <w:t>2007/08</w:t>
            </w:r>
          </w:p>
        </w:tc>
        <w:tc>
          <w:tcPr>
            <w:tcW w:w="2684" w:type="dxa"/>
            <w:shd w:val="clear" w:color="auto" w:fill="auto"/>
            <w:noWrap/>
            <w:vAlign w:val="bottom"/>
          </w:tcPr>
          <w:p w14:paraId="188987A3" w14:textId="124526BE"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F76FCD" w:rsidRPr="0067297E">
              <w:rPr>
                <w:rFonts w:asciiTheme="minorHAnsi" w:hAnsiTheme="minorHAnsi" w:cs="Calibri"/>
                <w:color w:val="000000"/>
                <w:sz w:val="22"/>
                <w:szCs w:val="22"/>
              </w:rPr>
              <w:t>,</w:t>
            </w:r>
            <w:r w:rsidRPr="0067297E">
              <w:rPr>
                <w:rFonts w:asciiTheme="minorHAnsi" w:hAnsiTheme="minorHAnsi" w:cs="Calibri"/>
                <w:color w:val="000000"/>
                <w:sz w:val="22"/>
                <w:szCs w:val="22"/>
              </w:rPr>
              <w:t>278</w:t>
            </w:r>
          </w:p>
        </w:tc>
        <w:tc>
          <w:tcPr>
            <w:tcW w:w="3402" w:type="dxa"/>
            <w:shd w:val="clear" w:color="auto" w:fill="auto"/>
            <w:noWrap/>
            <w:vAlign w:val="bottom"/>
          </w:tcPr>
          <w:p w14:paraId="6F252ED6" w14:textId="77777777"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975</w:t>
            </w:r>
          </w:p>
        </w:tc>
      </w:tr>
      <w:tr w:rsidR="000F0E2F" w:rsidRPr="0067297E" w14:paraId="14A99A21" w14:textId="77777777" w:rsidTr="000256AC">
        <w:trPr>
          <w:trHeight w:val="300"/>
        </w:trPr>
        <w:tc>
          <w:tcPr>
            <w:tcW w:w="1666" w:type="dxa"/>
            <w:shd w:val="clear" w:color="auto" w:fill="auto"/>
            <w:noWrap/>
            <w:vAlign w:val="center"/>
          </w:tcPr>
          <w:p w14:paraId="30E1E741" w14:textId="77777777" w:rsidR="000F0E2F" w:rsidRPr="0067297E" w:rsidRDefault="000F0E2F" w:rsidP="000256AC">
            <w:pPr>
              <w:rPr>
                <w:rFonts w:asciiTheme="minorHAnsi" w:hAnsiTheme="minorHAnsi" w:cs="Calibri"/>
                <w:color w:val="000000"/>
                <w:sz w:val="22"/>
                <w:szCs w:val="22"/>
              </w:rPr>
            </w:pPr>
            <w:r w:rsidRPr="0067297E">
              <w:rPr>
                <w:rFonts w:asciiTheme="minorHAnsi" w:hAnsiTheme="minorHAnsi" w:cs="Calibri"/>
                <w:color w:val="000000"/>
                <w:sz w:val="22"/>
                <w:szCs w:val="22"/>
              </w:rPr>
              <w:t>2008/09</w:t>
            </w:r>
          </w:p>
        </w:tc>
        <w:tc>
          <w:tcPr>
            <w:tcW w:w="2684" w:type="dxa"/>
            <w:shd w:val="clear" w:color="auto" w:fill="auto"/>
            <w:noWrap/>
            <w:vAlign w:val="bottom"/>
          </w:tcPr>
          <w:p w14:paraId="65718693" w14:textId="01EC066B"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F76FCD" w:rsidRPr="0067297E">
              <w:rPr>
                <w:rFonts w:asciiTheme="minorHAnsi" w:hAnsiTheme="minorHAnsi" w:cs="Calibri"/>
                <w:color w:val="000000"/>
                <w:sz w:val="22"/>
                <w:szCs w:val="22"/>
              </w:rPr>
              <w:t>,</w:t>
            </w:r>
            <w:r w:rsidRPr="0067297E">
              <w:rPr>
                <w:rFonts w:asciiTheme="minorHAnsi" w:hAnsiTheme="minorHAnsi" w:cs="Calibri"/>
                <w:color w:val="000000"/>
                <w:sz w:val="22"/>
                <w:szCs w:val="22"/>
              </w:rPr>
              <w:t>223</w:t>
            </w:r>
          </w:p>
        </w:tc>
        <w:tc>
          <w:tcPr>
            <w:tcW w:w="3402" w:type="dxa"/>
            <w:shd w:val="clear" w:color="auto" w:fill="auto"/>
            <w:noWrap/>
            <w:vAlign w:val="bottom"/>
          </w:tcPr>
          <w:p w14:paraId="4F449233" w14:textId="77777777"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975</w:t>
            </w:r>
          </w:p>
        </w:tc>
      </w:tr>
      <w:tr w:rsidR="000F0E2F" w:rsidRPr="0067297E" w14:paraId="6241D7E4" w14:textId="77777777" w:rsidTr="000256AC">
        <w:trPr>
          <w:trHeight w:val="300"/>
        </w:trPr>
        <w:tc>
          <w:tcPr>
            <w:tcW w:w="1666" w:type="dxa"/>
            <w:shd w:val="clear" w:color="auto" w:fill="auto"/>
            <w:noWrap/>
            <w:vAlign w:val="center"/>
          </w:tcPr>
          <w:p w14:paraId="498A912B" w14:textId="77777777" w:rsidR="000F0E2F" w:rsidRPr="0067297E" w:rsidRDefault="000F0E2F" w:rsidP="000256AC">
            <w:pPr>
              <w:rPr>
                <w:rFonts w:asciiTheme="minorHAnsi" w:hAnsiTheme="minorHAnsi" w:cs="Calibri"/>
                <w:color w:val="000000"/>
                <w:sz w:val="22"/>
                <w:szCs w:val="22"/>
              </w:rPr>
            </w:pPr>
            <w:r w:rsidRPr="0067297E">
              <w:rPr>
                <w:rFonts w:asciiTheme="minorHAnsi" w:hAnsiTheme="minorHAnsi" w:cs="Calibri"/>
                <w:color w:val="000000"/>
                <w:sz w:val="22"/>
                <w:szCs w:val="22"/>
              </w:rPr>
              <w:t>2009/10</w:t>
            </w:r>
          </w:p>
        </w:tc>
        <w:tc>
          <w:tcPr>
            <w:tcW w:w="2684" w:type="dxa"/>
            <w:shd w:val="clear" w:color="auto" w:fill="auto"/>
            <w:noWrap/>
            <w:vAlign w:val="bottom"/>
          </w:tcPr>
          <w:p w14:paraId="63F00CC4" w14:textId="56BEDD9C"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F76FCD" w:rsidRPr="0067297E">
              <w:rPr>
                <w:rFonts w:asciiTheme="minorHAnsi" w:hAnsiTheme="minorHAnsi" w:cs="Calibri"/>
                <w:color w:val="000000"/>
                <w:sz w:val="22"/>
                <w:szCs w:val="22"/>
              </w:rPr>
              <w:t>,</w:t>
            </w:r>
            <w:r w:rsidRPr="0067297E">
              <w:rPr>
                <w:rFonts w:asciiTheme="minorHAnsi" w:hAnsiTheme="minorHAnsi" w:cs="Calibri"/>
                <w:color w:val="000000"/>
                <w:sz w:val="22"/>
                <w:szCs w:val="22"/>
              </w:rPr>
              <w:t>179</w:t>
            </w:r>
          </w:p>
        </w:tc>
        <w:tc>
          <w:tcPr>
            <w:tcW w:w="3402" w:type="dxa"/>
            <w:shd w:val="clear" w:color="auto" w:fill="auto"/>
            <w:noWrap/>
            <w:vAlign w:val="bottom"/>
          </w:tcPr>
          <w:p w14:paraId="0B26957F" w14:textId="77777777"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975</w:t>
            </w:r>
          </w:p>
        </w:tc>
      </w:tr>
      <w:tr w:rsidR="000F0E2F" w:rsidRPr="0067297E" w14:paraId="506795A0" w14:textId="77777777" w:rsidTr="000256AC">
        <w:trPr>
          <w:trHeight w:val="300"/>
        </w:trPr>
        <w:tc>
          <w:tcPr>
            <w:tcW w:w="1666" w:type="dxa"/>
            <w:shd w:val="clear" w:color="auto" w:fill="auto"/>
            <w:noWrap/>
            <w:vAlign w:val="center"/>
          </w:tcPr>
          <w:p w14:paraId="13042CDC" w14:textId="77777777" w:rsidR="000F0E2F" w:rsidRPr="0067297E" w:rsidRDefault="000F0E2F" w:rsidP="000256AC">
            <w:pPr>
              <w:rPr>
                <w:rFonts w:asciiTheme="minorHAnsi" w:hAnsiTheme="minorHAnsi" w:cs="Calibri"/>
                <w:color w:val="000000"/>
                <w:sz w:val="22"/>
                <w:szCs w:val="22"/>
              </w:rPr>
            </w:pPr>
            <w:r w:rsidRPr="0067297E">
              <w:rPr>
                <w:rFonts w:asciiTheme="minorHAnsi" w:hAnsiTheme="minorHAnsi" w:cs="Calibri"/>
                <w:color w:val="000000"/>
                <w:sz w:val="22"/>
                <w:szCs w:val="22"/>
              </w:rPr>
              <w:t>2010/11</w:t>
            </w:r>
          </w:p>
        </w:tc>
        <w:tc>
          <w:tcPr>
            <w:tcW w:w="2684" w:type="dxa"/>
            <w:shd w:val="clear" w:color="auto" w:fill="auto"/>
            <w:noWrap/>
            <w:vAlign w:val="bottom"/>
          </w:tcPr>
          <w:p w14:paraId="22399E09" w14:textId="73487FFD"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F76FCD" w:rsidRPr="0067297E">
              <w:rPr>
                <w:rFonts w:asciiTheme="minorHAnsi" w:hAnsiTheme="minorHAnsi" w:cs="Calibri"/>
                <w:color w:val="000000"/>
                <w:sz w:val="22"/>
                <w:szCs w:val="22"/>
              </w:rPr>
              <w:t>,</w:t>
            </w:r>
            <w:r w:rsidRPr="0067297E">
              <w:rPr>
                <w:rFonts w:asciiTheme="minorHAnsi" w:hAnsiTheme="minorHAnsi" w:cs="Calibri"/>
                <w:color w:val="000000"/>
                <w:sz w:val="22"/>
                <w:szCs w:val="22"/>
              </w:rPr>
              <w:t>096</w:t>
            </w:r>
          </w:p>
        </w:tc>
        <w:tc>
          <w:tcPr>
            <w:tcW w:w="3402" w:type="dxa"/>
            <w:shd w:val="clear" w:color="auto" w:fill="auto"/>
            <w:noWrap/>
            <w:vAlign w:val="bottom"/>
          </w:tcPr>
          <w:p w14:paraId="177075E5" w14:textId="77777777"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975</w:t>
            </w:r>
          </w:p>
        </w:tc>
      </w:tr>
      <w:tr w:rsidR="000F0E2F" w:rsidRPr="0067297E" w14:paraId="02536DE7" w14:textId="77777777" w:rsidTr="000256AC">
        <w:trPr>
          <w:trHeight w:val="300"/>
        </w:trPr>
        <w:tc>
          <w:tcPr>
            <w:tcW w:w="1666" w:type="dxa"/>
            <w:shd w:val="clear" w:color="auto" w:fill="auto"/>
            <w:noWrap/>
            <w:vAlign w:val="center"/>
          </w:tcPr>
          <w:p w14:paraId="30E4073F" w14:textId="77777777" w:rsidR="000F0E2F" w:rsidRPr="0067297E" w:rsidRDefault="000F0E2F" w:rsidP="000256AC">
            <w:pPr>
              <w:rPr>
                <w:rFonts w:asciiTheme="minorHAnsi" w:hAnsiTheme="minorHAnsi" w:cs="Calibri"/>
                <w:color w:val="000000"/>
                <w:sz w:val="22"/>
                <w:szCs w:val="22"/>
              </w:rPr>
            </w:pPr>
            <w:r w:rsidRPr="0067297E">
              <w:rPr>
                <w:rFonts w:asciiTheme="minorHAnsi" w:hAnsiTheme="minorHAnsi" w:cs="Calibri"/>
                <w:color w:val="000000"/>
                <w:sz w:val="22"/>
                <w:szCs w:val="22"/>
              </w:rPr>
              <w:t>2011/12</w:t>
            </w:r>
          </w:p>
        </w:tc>
        <w:tc>
          <w:tcPr>
            <w:tcW w:w="2684" w:type="dxa"/>
            <w:shd w:val="clear" w:color="auto" w:fill="auto"/>
            <w:noWrap/>
            <w:vAlign w:val="bottom"/>
          </w:tcPr>
          <w:p w14:paraId="36F6D9D9" w14:textId="3F630758"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F76FCD" w:rsidRPr="0067297E">
              <w:rPr>
                <w:rFonts w:asciiTheme="minorHAnsi" w:hAnsiTheme="minorHAnsi" w:cs="Calibri"/>
                <w:color w:val="000000"/>
                <w:sz w:val="22"/>
                <w:szCs w:val="22"/>
              </w:rPr>
              <w:t>,</w:t>
            </w:r>
            <w:r w:rsidRPr="0067297E">
              <w:rPr>
                <w:rFonts w:asciiTheme="minorHAnsi" w:hAnsiTheme="minorHAnsi" w:cs="Calibri"/>
                <w:color w:val="000000"/>
                <w:sz w:val="22"/>
                <w:szCs w:val="22"/>
              </w:rPr>
              <w:t>653</w:t>
            </w:r>
          </w:p>
        </w:tc>
        <w:tc>
          <w:tcPr>
            <w:tcW w:w="3402" w:type="dxa"/>
            <w:shd w:val="clear" w:color="auto" w:fill="auto"/>
            <w:noWrap/>
            <w:vAlign w:val="bottom"/>
          </w:tcPr>
          <w:p w14:paraId="37102B21" w14:textId="77777777"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975</w:t>
            </w:r>
          </w:p>
        </w:tc>
      </w:tr>
      <w:tr w:rsidR="000F0E2F" w:rsidRPr="0067297E" w14:paraId="4E1EC834" w14:textId="77777777" w:rsidTr="000256AC">
        <w:trPr>
          <w:trHeight w:val="300"/>
        </w:trPr>
        <w:tc>
          <w:tcPr>
            <w:tcW w:w="1666" w:type="dxa"/>
            <w:shd w:val="clear" w:color="auto" w:fill="auto"/>
            <w:noWrap/>
            <w:vAlign w:val="center"/>
          </w:tcPr>
          <w:p w14:paraId="55ABF362" w14:textId="77777777" w:rsidR="000F0E2F" w:rsidRPr="0067297E" w:rsidRDefault="000F0E2F" w:rsidP="000256AC">
            <w:pPr>
              <w:rPr>
                <w:rFonts w:asciiTheme="minorHAnsi" w:hAnsiTheme="minorHAnsi" w:cs="Calibri"/>
                <w:color w:val="000000"/>
                <w:sz w:val="22"/>
                <w:szCs w:val="22"/>
              </w:rPr>
            </w:pPr>
            <w:r w:rsidRPr="0067297E">
              <w:rPr>
                <w:rFonts w:asciiTheme="minorHAnsi" w:hAnsiTheme="minorHAnsi" w:cs="Calibri"/>
                <w:color w:val="000000"/>
                <w:sz w:val="22"/>
                <w:szCs w:val="22"/>
              </w:rPr>
              <w:t>2012/13</w:t>
            </w:r>
          </w:p>
        </w:tc>
        <w:tc>
          <w:tcPr>
            <w:tcW w:w="2684" w:type="dxa"/>
            <w:shd w:val="clear" w:color="auto" w:fill="auto"/>
            <w:noWrap/>
            <w:vAlign w:val="bottom"/>
          </w:tcPr>
          <w:p w14:paraId="40A4E6D9" w14:textId="551D8D50"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F76FCD" w:rsidRPr="0067297E">
              <w:rPr>
                <w:rFonts w:asciiTheme="minorHAnsi" w:hAnsiTheme="minorHAnsi" w:cs="Calibri"/>
                <w:color w:val="000000"/>
                <w:sz w:val="22"/>
                <w:szCs w:val="22"/>
              </w:rPr>
              <w:t>,</w:t>
            </w:r>
            <w:r w:rsidRPr="0067297E">
              <w:rPr>
                <w:rFonts w:asciiTheme="minorHAnsi" w:hAnsiTheme="minorHAnsi" w:cs="Calibri"/>
                <w:color w:val="000000"/>
                <w:sz w:val="22"/>
                <w:szCs w:val="22"/>
              </w:rPr>
              <w:t>972</w:t>
            </w:r>
          </w:p>
        </w:tc>
        <w:tc>
          <w:tcPr>
            <w:tcW w:w="3402" w:type="dxa"/>
            <w:shd w:val="clear" w:color="auto" w:fill="auto"/>
            <w:noWrap/>
            <w:vAlign w:val="bottom"/>
          </w:tcPr>
          <w:p w14:paraId="1138E10F" w14:textId="340EB104"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F76FCD" w:rsidRPr="0067297E">
              <w:rPr>
                <w:rFonts w:asciiTheme="minorHAnsi" w:hAnsiTheme="minorHAnsi" w:cs="Calibri"/>
                <w:color w:val="000000"/>
                <w:sz w:val="22"/>
                <w:szCs w:val="22"/>
              </w:rPr>
              <w:t>,</w:t>
            </w:r>
            <w:r w:rsidRPr="0067297E">
              <w:rPr>
                <w:rFonts w:asciiTheme="minorHAnsi" w:hAnsiTheme="minorHAnsi" w:cs="Calibri"/>
                <w:color w:val="000000"/>
                <w:sz w:val="22"/>
                <w:szCs w:val="22"/>
              </w:rPr>
              <w:t>105</w:t>
            </w:r>
          </w:p>
        </w:tc>
      </w:tr>
      <w:tr w:rsidR="000F0E2F" w:rsidRPr="0067297E" w14:paraId="4FDADDBD" w14:textId="77777777" w:rsidTr="000256AC">
        <w:trPr>
          <w:trHeight w:val="300"/>
        </w:trPr>
        <w:tc>
          <w:tcPr>
            <w:tcW w:w="1666" w:type="dxa"/>
            <w:shd w:val="clear" w:color="auto" w:fill="auto"/>
            <w:noWrap/>
            <w:vAlign w:val="center"/>
          </w:tcPr>
          <w:p w14:paraId="0DF33EDF" w14:textId="77777777" w:rsidR="000F0E2F" w:rsidRPr="0067297E" w:rsidRDefault="000F0E2F" w:rsidP="000256AC">
            <w:pPr>
              <w:rPr>
                <w:rFonts w:asciiTheme="minorHAnsi" w:hAnsiTheme="minorHAnsi" w:cs="Calibri"/>
                <w:color w:val="000000"/>
                <w:sz w:val="22"/>
                <w:szCs w:val="22"/>
              </w:rPr>
            </w:pPr>
            <w:r w:rsidRPr="0067297E">
              <w:rPr>
                <w:rFonts w:asciiTheme="minorHAnsi" w:hAnsiTheme="minorHAnsi" w:cs="Calibri"/>
                <w:color w:val="000000"/>
                <w:sz w:val="22"/>
                <w:szCs w:val="22"/>
              </w:rPr>
              <w:t>2013/14</w:t>
            </w:r>
          </w:p>
        </w:tc>
        <w:tc>
          <w:tcPr>
            <w:tcW w:w="2684" w:type="dxa"/>
            <w:shd w:val="clear" w:color="auto" w:fill="auto"/>
            <w:noWrap/>
            <w:vAlign w:val="bottom"/>
          </w:tcPr>
          <w:p w14:paraId="47BFAB88" w14:textId="7EDAD955"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928</w:t>
            </w:r>
          </w:p>
        </w:tc>
        <w:tc>
          <w:tcPr>
            <w:tcW w:w="3402" w:type="dxa"/>
            <w:shd w:val="clear" w:color="auto" w:fill="auto"/>
            <w:noWrap/>
            <w:vAlign w:val="bottom"/>
          </w:tcPr>
          <w:p w14:paraId="1F2454ED" w14:textId="32A9B714"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F76FCD" w:rsidRPr="0067297E">
              <w:rPr>
                <w:rFonts w:asciiTheme="minorHAnsi" w:hAnsiTheme="minorHAnsi" w:cs="Calibri"/>
                <w:color w:val="000000"/>
                <w:sz w:val="22"/>
                <w:szCs w:val="22"/>
              </w:rPr>
              <w:t>,</w:t>
            </w:r>
            <w:r w:rsidRPr="0067297E">
              <w:rPr>
                <w:rFonts w:asciiTheme="minorHAnsi" w:hAnsiTheme="minorHAnsi" w:cs="Calibri"/>
                <w:color w:val="000000"/>
                <w:sz w:val="22"/>
                <w:szCs w:val="22"/>
              </w:rPr>
              <w:t>105</w:t>
            </w:r>
          </w:p>
        </w:tc>
      </w:tr>
      <w:tr w:rsidR="000F0E2F" w:rsidRPr="0067297E" w14:paraId="25BF36F9" w14:textId="77777777" w:rsidTr="000256AC">
        <w:trPr>
          <w:trHeight w:val="300"/>
        </w:trPr>
        <w:tc>
          <w:tcPr>
            <w:tcW w:w="1666" w:type="dxa"/>
            <w:shd w:val="clear" w:color="auto" w:fill="auto"/>
            <w:noWrap/>
            <w:vAlign w:val="center"/>
          </w:tcPr>
          <w:p w14:paraId="1A798D1B" w14:textId="74415A4F" w:rsidR="000F0E2F" w:rsidRPr="0067297E" w:rsidRDefault="00204D21" w:rsidP="00204D21">
            <w:pPr>
              <w:rPr>
                <w:rFonts w:asciiTheme="minorHAnsi" w:hAnsiTheme="minorHAnsi" w:cs="Calibri"/>
                <w:color w:val="000000"/>
                <w:sz w:val="22"/>
                <w:szCs w:val="22"/>
              </w:rPr>
            </w:pPr>
            <w:r w:rsidRPr="0067297E">
              <w:rPr>
                <w:rFonts w:asciiTheme="minorHAnsi" w:hAnsiTheme="minorHAnsi" w:cs="Calibri"/>
                <w:color w:val="000000"/>
                <w:sz w:val="22"/>
                <w:szCs w:val="22"/>
              </w:rPr>
              <w:t>2014</w:t>
            </w:r>
            <w:r w:rsidR="000F0E2F" w:rsidRPr="0067297E">
              <w:rPr>
                <w:rFonts w:asciiTheme="minorHAnsi" w:hAnsiTheme="minorHAnsi" w:cs="Calibri"/>
                <w:color w:val="000000"/>
                <w:sz w:val="22"/>
                <w:szCs w:val="22"/>
              </w:rPr>
              <w:t>/15</w:t>
            </w:r>
          </w:p>
        </w:tc>
        <w:tc>
          <w:tcPr>
            <w:tcW w:w="2684" w:type="dxa"/>
            <w:shd w:val="clear" w:color="auto" w:fill="auto"/>
            <w:noWrap/>
            <w:vAlign w:val="bottom"/>
          </w:tcPr>
          <w:p w14:paraId="4426F86F" w14:textId="2CD0875E"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F76FCD" w:rsidRPr="0067297E">
              <w:rPr>
                <w:rFonts w:asciiTheme="minorHAnsi" w:hAnsiTheme="minorHAnsi" w:cs="Calibri"/>
                <w:color w:val="000000"/>
                <w:sz w:val="22"/>
                <w:szCs w:val="22"/>
              </w:rPr>
              <w:t>,</w:t>
            </w:r>
            <w:r w:rsidRPr="0067297E">
              <w:rPr>
                <w:rFonts w:asciiTheme="minorHAnsi" w:hAnsiTheme="minorHAnsi" w:cs="Calibri"/>
                <w:color w:val="000000"/>
                <w:sz w:val="22"/>
                <w:szCs w:val="22"/>
              </w:rPr>
              <w:t>776</w:t>
            </w:r>
          </w:p>
        </w:tc>
        <w:tc>
          <w:tcPr>
            <w:tcW w:w="3402" w:type="dxa"/>
            <w:shd w:val="clear" w:color="auto" w:fill="auto"/>
            <w:noWrap/>
            <w:vAlign w:val="bottom"/>
          </w:tcPr>
          <w:p w14:paraId="261599EF" w14:textId="33E13ED3"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F76FCD" w:rsidRPr="0067297E">
              <w:rPr>
                <w:rFonts w:asciiTheme="minorHAnsi" w:hAnsiTheme="minorHAnsi" w:cs="Calibri"/>
                <w:color w:val="000000"/>
                <w:sz w:val="22"/>
                <w:szCs w:val="22"/>
              </w:rPr>
              <w:t>,</w:t>
            </w:r>
            <w:r w:rsidRPr="0067297E">
              <w:rPr>
                <w:rFonts w:asciiTheme="minorHAnsi" w:hAnsiTheme="minorHAnsi" w:cs="Calibri"/>
                <w:color w:val="000000"/>
                <w:sz w:val="22"/>
                <w:szCs w:val="22"/>
              </w:rPr>
              <w:t>385</w:t>
            </w:r>
          </w:p>
        </w:tc>
      </w:tr>
      <w:tr w:rsidR="000F0E2F" w:rsidRPr="0067297E" w14:paraId="1D7317B0" w14:textId="77777777" w:rsidTr="000256AC">
        <w:trPr>
          <w:trHeight w:val="300"/>
        </w:trPr>
        <w:tc>
          <w:tcPr>
            <w:tcW w:w="1666" w:type="dxa"/>
            <w:shd w:val="clear" w:color="auto" w:fill="auto"/>
            <w:noWrap/>
            <w:vAlign w:val="center"/>
          </w:tcPr>
          <w:p w14:paraId="33ACBD6F" w14:textId="77777777" w:rsidR="000F0E2F" w:rsidRPr="0067297E" w:rsidRDefault="000F0E2F" w:rsidP="000256AC">
            <w:pPr>
              <w:rPr>
                <w:rFonts w:asciiTheme="minorHAnsi" w:hAnsiTheme="minorHAnsi" w:cs="Calibri"/>
                <w:color w:val="000000"/>
                <w:sz w:val="22"/>
                <w:szCs w:val="22"/>
              </w:rPr>
            </w:pPr>
            <w:r w:rsidRPr="0067297E">
              <w:rPr>
                <w:rFonts w:asciiTheme="minorHAnsi" w:hAnsiTheme="minorHAnsi" w:cs="Calibri"/>
                <w:color w:val="000000"/>
                <w:sz w:val="22"/>
                <w:szCs w:val="22"/>
              </w:rPr>
              <w:t>2015/16</w:t>
            </w:r>
          </w:p>
        </w:tc>
        <w:tc>
          <w:tcPr>
            <w:tcW w:w="2684" w:type="dxa"/>
            <w:shd w:val="clear" w:color="auto" w:fill="auto"/>
            <w:noWrap/>
            <w:vAlign w:val="bottom"/>
          </w:tcPr>
          <w:p w14:paraId="04EC100A" w14:textId="56E5F3CB"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F76FCD" w:rsidRPr="0067297E">
              <w:rPr>
                <w:rFonts w:asciiTheme="minorHAnsi" w:hAnsiTheme="minorHAnsi" w:cs="Calibri"/>
                <w:color w:val="000000"/>
                <w:sz w:val="22"/>
                <w:szCs w:val="22"/>
              </w:rPr>
              <w:t>,</w:t>
            </w:r>
            <w:r w:rsidRPr="0067297E">
              <w:rPr>
                <w:rFonts w:asciiTheme="minorHAnsi" w:hAnsiTheme="minorHAnsi" w:cs="Calibri"/>
                <w:color w:val="000000"/>
                <w:sz w:val="22"/>
                <w:szCs w:val="22"/>
              </w:rPr>
              <w:t>702</w:t>
            </w:r>
          </w:p>
        </w:tc>
        <w:tc>
          <w:tcPr>
            <w:tcW w:w="3402" w:type="dxa"/>
            <w:shd w:val="clear" w:color="auto" w:fill="auto"/>
            <w:noWrap/>
            <w:vAlign w:val="bottom"/>
          </w:tcPr>
          <w:p w14:paraId="6F2FF266" w14:textId="63340635"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F76FCD" w:rsidRPr="0067297E">
              <w:rPr>
                <w:rFonts w:asciiTheme="minorHAnsi" w:hAnsiTheme="minorHAnsi" w:cs="Calibri"/>
                <w:color w:val="000000"/>
                <w:sz w:val="22"/>
                <w:szCs w:val="22"/>
              </w:rPr>
              <w:t>,</w:t>
            </w:r>
            <w:r w:rsidRPr="0067297E">
              <w:rPr>
                <w:rFonts w:asciiTheme="minorHAnsi" w:hAnsiTheme="minorHAnsi" w:cs="Calibri"/>
                <w:color w:val="000000"/>
                <w:sz w:val="22"/>
                <w:szCs w:val="22"/>
              </w:rPr>
              <w:t>385</w:t>
            </w:r>
          </w:p>
        </w:tc>
      </w:tr>
      <w:tr w:rsidR="000F0E2F" w:rsidRPr="0067297E" w14:paraId="3A576DFE" w14:textId="77777777" w:rsidTr="00DD5741">
        <w:trPr>
          <w:trHeight w:val="300"/>
        </w:trPr>
        <w:tc>
          <w:tcPr>
            <w:tcW w:w="1666" w:type="dxa"/>
            <w:shd w:val="clear" w:color="auto" w:fill="auto"/>
            <w:noWrap/>
            <w:vAlign w:val="center"/>
          </w:tcPr>
          <w:p w14:paraId="63606C50" w14:textId="77777777" w:rsidR="000F0E2F" w:rsidRPr="0067297E" w:rsidRDefault="000F0E2F" w:rsidP="000256AC">
            <w:pPr>
              <w:rPr>
                <w:rFonts w:asciiTheme="minorHAnsi" w:hAnsiTheme="minorHAnsi" w:cs="Calibri"/>
                <w:color w:val="000000"/>
                <w:sz w:val="22"/>
                <w:szCs w:val="22"/>
              </w:rPr>
            </w:pPr>
            <w:r w:rsidRPr="0067297E">
              <w:rPr>
                <w:rFonts w:asciiTheme="minorHAnsi" w:hAnsiTheme="minorHAnsi" w:cs="Calibri"/>
                <w:color w:val="000000"/>
                <w:sz w:val="22"/>
                <w:szCs w:val="22"/>
              </w:rPr>
              <w:t>2016/17</w:t>
            </w:r>
          </w:p>
        </w:tc>
        <w:tc>
          <w:tcPr>
            <w:tcW w:w="2684" w:type="dxa"/>
            <w:shd w:val="clear" w:color="auto" w:fill="auto"/>
            <w:noWrap/>
            <w:vAlign w:val="bottom"/>
          </w:tcPr>
          <w:p w14:paraId="05282DCE" w14:textId="4EC699FF"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F76FCD" w:rsidRPr="0067297E">
              <w:rPr>
                <w:rFonts w:asciiTheme="minorHAnsi" w:hAnsiTheme="minorHAnsi" w:cs="Calibri"/>
                <w:color w:val="000000"/>
                <w:sz w:val="22"/>
                <w:szCs w:val="22"/>
              </w:rPr>
              <w:t>,</w:t>
            </w:r>
            <w:r w:rsidRPr="0067297E">
              <w:rPr>
                <w:rFonts w:asciiTheme="minorHAnsi" w:hAnsiTheme="minorHAnsi" w:cs="Calibri"/>
                <w:color w:val="000000"/>
                <w:sz w:val="22"/>
                <w:szCs w:val="22"/>
              </w:rPr>
              <w:t>781</w:t>
            </w:r>
          </w:p>
        </w:tc>
        <w:tc>
          <w:tcPr>
            <w:tcW w:w="3402" w:type="dxa"/>
            <w:tcBorders>
              <w:bottom w:val="single" w:sz="4" w:space="0" w:color="006666"/>
            </w:tcBorders>
            <w:shd w:val="clear" w:color="auto" w:fill="auto"/>
            <w:noWrap/>
            <w:vAlign w:val="bottom"/>
          </w:tcPr>
          <w:p w14:paraId="7171EB29" w14:textId="5DDF0C20" w:rsidR="000F0E2F" w:rsidRPr="0067297E" w:rsidRDefault="003447FD"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F76FCD" w:rsidRPr="0067297E">
              <w:rPr>
                <w:rFonts w:asciiTheme="minorHAnsi" w:hAnsiTheme="minorHAnsi" w:cs="Calibri"/>
                <w:color w:val="000000"/>
                <w:sz w:val="22"/>
                <w:szCs w:val="22"/>
              </w:rPr>
              <w:t>,</w:t>
            </w:r>
            <w:r w:rsidRPr="0067297E">
              <w:rPr>
                <w:rFonts w:asciiTheme="minorHAnsi" w:hAnsiTheme="minorHAnsi" w:cs="Calibri"/>
                <w:color w:val="000000"/>
                <w:sz w:val="22"/>
                <w:szCs w:val="22"/>
              </w:rPr>
              <w:t>385</w:t>
            </w:r>
          </w:p>
        </w:tc>
      </w:tr>
      <w:tr w:rsidR="008D60B2" w:rsidRPr="0067297E" w14:paraId="666505E5" w14:textId="77777777" w:rsidTr="00F4072E">
        <w:trPr>
          <w:trHeight w:val="300"/>
        </w:trPr>
        <w:tc>
          <w:tcPr>
            <w:tcW w:w="1666" w:type="dxa"/>
            <w:shd w:val="clear" w:color="auto" w:fill="auto"/>
            <w:noWrap/>
            <w:vAlign w:val="center"/>
          </w:tcPr>
          <w:p w14:paraId="0718FA73" w14:textId="0F35774B" w:rsidR="008D60B2" w:rsidRPr="0067297E" w:rsidRDefault="008D60B2" w:rsidP="000256AC">
            <w:pPr>
              <w:rPr>
                <w:rFonts w:asciiTheme="minorHAnsi" w:hAnsiTheme="minorHAnsi" w:cs="Calibri"/>
                <w:color w:val="000000"/>
                <w:sz w:val="22"/>
                <w:szCs w:val="22"/>
              </w:rPr>
            </w:pPr>
            <w:r w:rsidRPr="0067297E">
              <w:rPr>
                <w:rFonts w:asciiTheme="minorHAnsi" w:hAnsiTheme="minorHAnsi" w:cs="Calibri"/>
                <w:color w:val="000000"/>
                <w:sz w:val="22"/>
                <w:szCs w:val="22"/>
              </w:rPr>
              <w:t>2017/18</w:t>
            </w:r>
          </w:p>
        </w:tc>
        <w:tc>
          <w:tcPr>
            <w:tcW w:w="2684" w:type="dxa"/>
            <w:shd w:val="clear" w:color="auto" w:fill="auto"/>
            <w:noWrap/>
            <w:vAlign w:val="bottom"/>
          </w:tcPr>
          <w:p w14:paraId="644CC55F" w14:textId="19BBE389" w:rsidR="008D60B2" w:rsidRPr="0067297E" w:rsidRDefault="008D60B2"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674</w:t>
            </w:r>
          </w:p>
        </w:tc>
        <w:tc>
          <w:tcPr>
            <w:tcW w:w="3402" w:type="dxa"/>
            <w:tcBorders>
              <w:bottom w:val="single" w:sz="4" w:space="0" w:color="006666"/>
            </w:tcBorders>
            <w:shd w:val="clear" w:color="auto" w:fill="auto"/>
            <w:noWrap/>
            <w:vAlign w:val="bottom"/>
          </w:tcPr>
          <w:p w14:paraId="703CC52B" w14:textId="4873C332" w:rsidR="008D60B2" w:rsidRPr="0067297E" w:rsidRDefault="008D60B2" w:rsidP="003B4919">
            <w:pPr>
              <w:jc w:val="right"/>
              <w:rPr>
                <w:rFonts w:asciiTheme="minorHAnsi" w:hAnsiTheme="minorHAnsi" w:cs="Calibri"/>
                <w:color w:val="000000"/>
                <w:sz w:val="22"/>
                <w:szCs w:val="22"/>
              </w:rPr>
            </w:pPr>
            <w:r w:rsidRPr="0067297E">
              <w:rPr>
                <w:rFonts w:asciiTheme="minorHAnsi" w:hAnsiTheme="minorHAnsi" w:cs="Calibri"/>
                <w:color w:val="000000"/>
                <w:sz w:val="22"/>
                <w:szCs w:val="22"/>
              </w:rPr>
              <w:t>1,385</w:t>
            </w:r>
          </w:p>
        </w:tc>
      </w:tr>
      <w:tr w:rsidR="003C469F" w:rsidRPr="0067297E" w14:paraId="3C350841" w14:textId="77777777" w:rsidTr="00F4072E">
        <w:trPr>
          <w:gridAfter w:val="1"/>
          <w:wAfter w:w="3402" w:type="dxa"/>
          <w:trHeight w:val="300"/>
        </w:trPr>
        <w:tc>
          <w:tcPr>
            <w:tcW w:w="1666" w:type="dxa"/>
            <w:shd w:val="clear" w:color="auto" w:fill="auto"/>
            <w:noWrap/>
            <w:vAlign w:val="center"/>
            <w:hideMark/>
          </w:tcPr>
          <w:p w14:paraId="47238AE8" w14:textId="4D7631CA" w:rsidR="003C469F" w:rsidRPr="0067297E" w:rsidRDefault="003C469F" w:rsidP="000256AC">
            <w:pPr>
              <w:rPr>
                <w:rFonts w:asciiTheme="minorHAnsi" w:hAnsiTheme="minorHAnsi" w:cs="Calibri"/>
                <w:b/>
                <w:color w:val="000000"/>
                <w:sz w:val="22"/>
                <w:szCs w:val="22"/>
              </w:rPr>
            </w:pPr>
            <w:r w:rsidRPr="0067297E">
              <w:rPr>
                <w:rFonts w:asciiTheme="minorHAnsi" w:hAnsiTheme="minorHAnsi" w:cs="Calibri"/>
                <w:b/>
                <w:color w:val="000000"/>
                <w:sz w:val="22"/>
                <w:szCs w:val="22"/>
              </w:rPr>
              <w:t>11-year Total</w:t>
            </w:r>
          </w:p>
        </w:tc>
        <w:tc>
          <w:tcPr>
            <w:tcW w:w="2684" w:type="dxa"/>
            <w:shd w:val="clear" w:color="auto" w:fill="auto"/>
            <w:noWrap/>
            <w:vAlign w:val="center"/>
          </w:tcPr>
          <w:p w14:paraId="3994B3C2" w14:textId="4A60E734" w:rsidR="003C469F" w:rsidRPr="0067297E" w:rsidRDefault="003C469F" w:rsidP="003B4919">
            <w:pPr>
              <w:jc w:val="right"/>
              <w:rPr>
                <w:rFonts w:asciiTheme="minorHAnsi" w:hAnsiTheme="minorHAnsi" w:cs="Calibri"/>
                <w:b/>
                <w:color w:val="000000"/>
                <w:sz w:val="22"/>
                <w:szCs w:val="22"/>
              </w:rPr>
            </w:pPr>
            <w:r w:rsidRPr="0067297E">
              <w:rPr>
                <w:rFonts w:asciiTheme="minorHAnsi" w:hAnsiTheme="minorHAnsi" w:cs="Calibri"/>
                <w:b/>
                <w:color w:val="000000"/>
                <w:sz w:val="22"/>
                <w:szCs w:val="22"/>
              </w:rPr>
              <w:t>15,262</w:t>
            </w:r>
          </w:p>
        </w:tc>
      </w:tr>
      <w:tr w:rsidR="003C469F" w:rsidRPr="0067297E" w14:paraId="572E21C9" w14:textId="77777777" w:rsidTr="00F4072E">
        <w:trPr>
          <w:gridAfter w:val="1"/>
          <w:wAfter w:w="3402" w:type="dxa"/>
          <w:trHeight w:val="300"/>
        </w:trPr>
        <w:tc>
          <w:tcPr>
            <w:tcW w:w="1666" w:type="dxa"/>
            <w:shd w:val="clear" w:color="auto" w:fill="auto"/>
            <w:noWrap/>
            <w:vAlign w:val="center"/>
            <w:hideMark/>
          </w:tcPr>
          <w:p w14:paraId="598A82BF" w14:textId="77777777" w:rsidR="003C469F" w:rsidRPr="0067297E" w:rsidRDefault="003C469F" w:rsidP="000256AC">
            <w:pPr>
              <w:rPr>
                <w:rFonts w:asciiTheme="minorHAnsi" w:hAnsiTheme="minorHAnsi" w:cs="Calibri"/>
                <w:b/>
                <w:color w:val="000000"/>
                <w:sz w:val="22"/>
                <w:szCs w:val="22"/>
              </w:rPr>
            </w:pPr>
            <w:r w:rsidRPr="0067297E">
              <w:rPr>
                <w:rFonts w:asciiTheme="minorHAnsi" w:hAnsiTheme="minorHAnsi" w:cs="Calibri"/>
                <w:b/>
                <w:color w:val="000000"/>
                <w:sz w:val="22"/>
                <w:szCs w:val="22"/>
              </w:rPr>
              <w:t>Annual Average</w:t>
            </w:r>
          </w:p>
        </w:tc>
        <w:tc>
          <w:tcPr>
            <w:tcW w:w="2684" w:type="dxa"/>
            <w:shd w:val="clear" w:color="auto" w:fill="auto"/>
            <w:noWrap/>
            <w:vAlign w:val="bottom"/>
          </w:tcPr>
          <w:p w14:paraId="31C6D120" w14:textId="0292810C" w:rsidR="003C469F" w:rsidRPr="0067297E" w:rsidRDefault="003C469F" w:rsidP="003B4919">
            <w:pPr>
              <w:jc w:val="right"/>
              <w:rPr>
                <w:rFonts w:asciiTheme="minorHAnsi" w:hAnsiTheme="minorHAnsi" w:cs="Calibri"/>
                <w:b/>
                <w:color w:val="000000"/>
                <w:sz w:val="22"/>
                <w:szCs w:val="22"/>
              </w:rPr>
            </w:pPr>
            <w:r w:rsidRPr="0067297E">
              <w:rPr>
                <w:rFonts w:asciiTheme="minorHAnsi" w:hAnsiTheme="minorHAnsi" w:cs="Calibri"/>
                <w:b/>
                <w:color w:val="000000"/>
                <w:sz w:val="22"/>
                <w:szCs w:val="22"/>
              </w:rPr>
              <w:t>1,387</w:t>
            </w:r>
          </w:p>
        </w:tc>
      </w:tr>
    </w:tbl>
    <w:p w14:paraId="1FD30CA4" w14:textId="496D63F4" w:rsidR="00C663A9" w:rsidRPr="0067297E" w:rsidRDefault="006522E6" w:rsidP="000256AC">
      <w:pPr>
        <w:ind w:left="709"/>
        <w:rPr>
          <w:rFonts w:asciiTheme="minorHAnsi" w:hAnsiTheme="minorHAnsi" w:cs="Calibri"/>
          <w:sz w:val="20"/>
          <w:szCs w:val="20"/>
          <w:shd w:val="clear" w:color="auto" w:fill="FFFFFF"/>
          <w:lang w:eastAsia="en-GB"/>
        </w:rPr>
      </w:pPr>
      <w:r w:rsidRPr="0067297E">
        <w:rPr>
          <w:rFonts w:asciiTheme="minorHAnsi" w:hAnsiTheme="minorHAnsi" w:cs="Calibri"/>
          <w:sz w:val="20"/>
          <w:szCs w:val="20"/>
          <w:shd w:val="clear" w:color="auto" w:fill="FFFFFF"/>
          <w:lang w:eastAsia="en-GB"/>
        </w:rPr>
        <w:t xml:space="preserve">Source: </w:t>
      </w:r>
      <w:r w:rsidR="003447FD" w:rsidRPr="0067297E">
        <w:rPr>
          <w:rFonts w:asciiTheme="minorHAnsi" w:hAnsiTheme="minorHAnsi" w:cs="Calibri"/>
          <w:sz w:val="20"/>
          <w:szCs w:val="20"/>
          <w:shd w:val="clear" w:color="auto" w:fill="FFFFFF"/>
          <w:lang w:eastAsia="en-GB"/>
        </w:rPr>
        <w:t>Borough of Lewisham Annual Monitoring Report</w:t>
      </w:r>
      <w:r w:rsidR="008D60B2" w:rsidRPr="0067297E">
        <w:rPr>
          <w:rFonts w:asciiTheme="minorHAnsi" w:hAnsiTheme="minorHAnsi" w:cs="Calibri"/>
          <w:sz w:val="20"/>
          <w:szCs w:val="20"/>
          <w:shd w:val="clear" w:color="auto" w:fill="FFFFFF"/>
          <w:lang w:eastAsia="en-GB"/>
        </w:rPr>
        <w:t>s</w:t>
      </w:r>
    </w:p>
    <w:p w14:paraId="7E98A346" w14:textId="77777777" w:rsidR="006522E6" w:rsidRPr="0067297E" w:rsidRDefault="006522E6" w:rsidP="00FA273F">
      <w:pPr>
        <w:pStyle w:val="Reporttext"/>
        <w:numPr>
          <w:ilvl w:val="0"/>
          <w:numId w:val="0"/>
        </w:numPr>
        <w:ind w:left="709"/>
        <w:rPr>
          <w:rFonts w:asciiTheme="minorHAnsi" w:hAnsiTheme="minorHAnsi"/>
          <w:shd w:val="clear" w:color="auto" w:fill="FFFFFF"/>
          <w:lang w:eastAsia="en-GB"/>
        </w:rPr>
      </w:pPr>
    </w:p>
    <w:p w14:paraId="40BCC15F" w14:textId="1D32C760" w:rsidR="007D452C" w:rsidRPr="0067297E" w:rsidRDefault="007D452C" w:rsidP="00543A76">
      <w:pPr>
        <w:pStyle w:val="Reporttext"/>
        <w:rPr>
          <w:rFonts w:asciiTheme="minorHAnsi" w:hAnsiTheme="minorHAnsi" w:cs="Calibri"/>
        </w:rPr>
      </w:pPr>
      <w:r w:rsidRPr="0067297E">
        <w:rPr>
          <w:rFonts w:asciiTheme="minorHAnsi" w:hAnsiTheme="minorHAnsi" w:cs="Calibri"/>
        </w:rPr>
        <w:t xml:space="preserve">A comparison of annual completions and the annual target is set out in graphical form in Figure </w:t>
      </w:r>
      <w:r w:rsidRPr="0067297E">
        <w:rPr>
          <w:rFonts w:asciiTheme="minorHAnsi" w:hAnsiTheme="minorHAnsi" w:cs="Calibri"/>
          <w:lang w:val="en-GB"/>
        </w:rPr>
        <w:t>3.2</w:t>
      </w:r>
      <w:r w:rsidRPr="0067297E">
        <w:rPr>
          <w:rFonts w:asciiTheme="minorHAnsi" w:hAnsiTheme="minorHAnsi" w:cs="Calibri"/>
        </w:rPr>
        <w:t>.</w:t>
      </w:r>
      <w:r w:rsidRPr="0067297E">
        <w:rPr>
          <w:rFonts w:asciiTheme="minorHAnsi" w:hAnsiTheme="minorHAnsi" w:cs="Calibri"/>
          <w:lang w:val="en-GB"/>
        </w:rPr>
        <w:t xml:space="preserve"> This indicates that in nine of the </w:t>
      </w:r>
      <w:r w:rsidR="00992ED6">
        <w:rPr>
          <w:rFonts w:asciiTheme="minorHAnsi" w:hAnsiTheme="minorHAnsi" w:cs="Calibri"/>
          <w:lang w:val="en-GB"/>
        </w:rPr>
        <w:t>11</w:t>
      </w:r>
      <w:r w:rsidR="00992ED6" w:rsidRPr="0067297E">
        <w:rPr>
          <w:rFonts w:asciiTheme="minorHAnsi" w:hAnsiTheme="minorHAnsi" w:cs="Calibri"/>
          <w:lang w:val="en-GB"/>
        </w:rPr>
        <w:t xml:space="preserve"> </w:t>
      </w:r>
      <w:r w:rsidRPr="0067297E">
        <w:rPr>
          <w:rFonts w:asciiTheme="minorHAnsi" w:hAnsiTheme="minorHAnsi" w:cs="Calibri"/>
          <w:lang w:val="en-GB"/>
        </w:rPr>
        <w:t xml:space="preserve">years the </w:t>
      </w:r>
      <w:r w:rsidR="001B50FB" w:rsidRPr="0067297E">
        <w:rPr>
          <w:rFonts w:asciiTheme="minorHAnsi" w:hAnsiTheme="minorHAnsi" w:cs="Calibri"/>
          <w:lang w:val="en-GB"/>
        </w:rPr>
        <w:t>b</w:t>
      </w:r>
      <w:r w:rsidRPr="0067297E">
        <w:rPr>
          <w:rFonts w:asciiTheme="minorHAnsi" w:hAnsiTheme="minorHAnsi" w:cs="Calibri"/>
          <w:lang w:val="en-GB"/>
        </w:rPr>
        <w:t>orough has exceeded the London Plan annualised target.</w:t>
      </w:r>
    </w:p>
    <w:p w14:paraId="2453269D" w14:textId="77777777" w:rsidR="003447FD" w:rsidRPr="0067297E" w:rsidRDefault="003447FD" w:rsidP="00543A76">
      <w:pPr>
        <w:pStyle w:val="Reporttext"/>
        <w:numPr>
          <w:ilvl w:val="0"/>
          <w:numId w:val="0"/>
        </w:numPr>
        <w:rPr>
          <w:rFonts w:asciiTheme="minorHAnsi" w:hAnsiTheme="minorHAnsi"/>
          <w:shd w:val="clear" w:color="auto" w:fill="FFFFFF"/>
          <w:lang w:eastAsia="en-GB"/>
        </w:rPr>
      </w:pPr>
    </w:p>
    <w:p w14:paraId="24FD2B5B" w14:textId="77777777" w:rsidR="006522E6" w:rsidRPr="0067297E" w:rsidRDefault="006522E6" w:rsidP="00543A76">
      <w:pPr>
        <w:pStyle w:val="figureheading"/>
        <w:rPr>
          <w:rFonts w:asciiTheme="minorHAnsi" w:hAnsiTheme="minorHAnsi" w:cs="Calibri"/>
          <w:shd w:val="clear" w:color="auto" w:fill="FFFFFF"/>
          <w:lang w:val="en-GB" w:eastAsia="en-GB"/>
        </w:rPr>
      </w:pPr>
      <w:bookmarkStart w:id="202" w:name="_Toc23151222"/>
      <w:r w:rsidRPr="0067297E">
        <w:rPr>
          <w:rFonts w:asciiTheme="minorHAnsi" w:hAnsiTheme="minorHAnsi" w:cs="Calibri"/>
          <w:shd w:val="clear" w:color="auto" w:fill="FFFFFF"/>
          <w:lang w:val="en-GB" w:eastAsia="en-GB"/>
        </w:rPr>
        <w:t xml:space="preserve">Figure </w:t>
      </w:r>
      <w:r w:rsidR="00C663A9" w:rsidRPr="0067297E">
        <w:rPr>
          <w:rFonts w:asciiTheme="minorHAnsi" w:hAnsiTheme="minorHAnsi" w:cs="Calibri"/>
          <w:shd w:val="clear" w:color="auto" w:fill="FFFFFF"/>
          <w:lang w:val="en-GB" w:eastAsia="en-GB"/>
        </w:rPr>
        <w:t>3.2</w:t>
      </w:r>
      <w:r w:rsidRPr="0067297E">
        <w:rPr>
          <w:rFonts w:asciiTheme="minorHAnsi" w:hAnsiTheme="minorHAnsi" w:cs="Calibri"/>
          <w:shd w:val="clear" w:color="auto" w:fill="FFFFFF"/>
          <w:lang w:val="en-GB" w:eastAsia="en-GB"/>
        </w:rPr>
        <w:tab/>
        <w:t>Dwelling completions compared with the annual target</w:t>
      </w:r>
      <w:bookmarkEnd w:id="202"/>
    </w:p>
    <w:p w14:paraId="1F74FF21" w14:textId="04A06322" w:rsidR="006522E6" w:rsidRPr="0067297E" w:rsidRDefault="00244DB1" w:rsidP="00543A76">
      <w:pPr>
        <w:rPr>
          <w:rFonts w:asciiTheme="minorHAnsi" w:hAnsiTheme="minorHAnsi" w:cs="Calibri"/>
          <w:b/>
          <w:sz w:val="20"/>
          <w:szCs w:val="20"/>
          <w:highlight w:val="yellow"/>
          <w:shd w:val="clear" w:color="auto" w:fill="FFFFFF"/>
          <w:lang w:eastAsia="en-GB"/>
        </w:rPr>
      </w:pPr>
      <w:r w:rsidRPr="0067297E">
        <w:rPr>
          <w:rFonts w:asciiTheme="minorHAnsi" w:hAnsiTheme="minorHAnsi"/>
          <w:noProof/>
          <w:lang w:eastAsia="en-GB"/>
        </w:rPr>
        <w:drawing>
          <wp:inline distT="0" distB="0" distL="0" distR="0" wp14:anchorId="1B17CAC1" wp14:editId="5F36DC3B">
            <wp:extent cx="5835650" cy="3140710"/>
            <wp:effectExtent l="0" t="0" r="0" b="2540"/>
            <wp:docPr id="22" name="Picture 22" descr="Chart showing dwelling completions (blue bars) compared with London Plan Target (Red curve), from 2007-2018. " title="Figure 3.2 Dwelling completions compared with the annual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35650" cy="3140710"/>
                    </a:xfrm>
                    <a:prstGeom prst="rect">
                      <a:avLst/>
                    </a:prstGeom>
                  </pic:spPr>
                </pic:pic>
              </a:graphicData>
            </a:graphic>
          </wp:inline>
        </w:drawing>
      </w:r>
    </w:p>
    <w:p w14:paraId="666C49E3" w14:textId="1807D184" w:rsidR="00C663A9" w:rsidRPr="0067297E" w:rsidRDefault="00C663A9" w:rsidP="00543A76">
      <w:pPr>
        <w:rPr>
          <w:rFonts w:asciiTheme="minorHAnsi" w:hAnsiTheme="minorHAnsi" w:cs="Calibri"/>
          <w:sz w:val="20"/>
          <w:szCs w:val="20"/>
          <w:shd w:val="clear" w:color="auto" w:fill="FFFFFF"/>
          <w:lang w:eastAsia="en-GB"/>
        </w:rPr>
      </w:pPr>
      <w:r w:rsidRPr="0067297E">
        <w:rPr>
          <w:rFonts w:asciiTheme="minorHAnsi" w:hAnsiTheme="minorHAnsi" w:cs="Calibri"/>
          <w:sz w:val="20"/>
          <w:szCs w:val="20"/>
          <w:shd w:val="clear" w:color="auto" w:fill="FFFFFF"/>
          <w:lang w:eastAsia="en-GB"/>
        </w:rPr>
        <w:t>Source</w:t>
      </w:r>
      <w:r w:rsidR="00DF6579" w:rsidRPr="0067297E">
        <w:rPr>
          <w:rFonts w:asciiTheme="minorHAnsi" w:hAnsiTheme="minorHAnsi" w:cs="Calibri"/>
          <w:sz w:val="20"/>
          <w:szCs w:val="20"/>
          <w:shd w:val="clear" w:color="auto" w:fill="FFFFFF"/>
          <w:lang w:eastAsia="en-GB"/>
        </w:rPr>
        <w:t xml:space="preserve">: </w:t>
      </w:r>
      <w:r w:rsidR="003447FD" w:rsidRPr="0067297E">
        <w:rPr>
          <w:rFonts w:asciiTheme="minorHAnsi" w:hAnsiTheme="minorHAnsi" w:cs="Calibri"/>
          <w:sz w:val="20"/>
          <w:szCs w:val="20"/>
          <w:shd w:val="clear" w:color="auto" w:fill="FFFFFF"/>
          <w:lang w:eastAsia="en-GB"/>
        </w:rPr>
        <w:t>Borough of Lewisham Annual Monitoring Report</w:t>
      </w:r>
      <w:r w:rsidR="00244DB1" w:rsidRPr="0067297E">
        <w:rPr>
          <w:rFonts w:asciiTheme="minorHAnsi" w:hAnsiTheme="minorHAnsi" w:cs="Calibri"/>
          <w:sz w:val="20"/>
          <w:szCs w:val="20"/>
          <w:shd w:val="clear" w:color="auto" w:fill="FFFFFF"/>
          <w:lang w:eastAsia="en-GB"/>
        </w:rPr>
        <w:t>s</w:t>
      </w:r>
    </w:p>
    <w:p w14:paraId="635B6C71" w14:textId="77777777" w:rsidR="001371D2" w:rsidRPr="0067297E" w:rsidRDefault="001371D2" w:rsidP="00543A76">
      <w:pPr>
        <w:pStyle w:val="Reporttext"/>
        <w:numPr>
          <w:ilvl w:val="0"/>
          <w:numId w:val="0"/>
        </w:numPr>
        <w:rPr>
          <w:rFonts w:asciiTheme="minorHAnsi" w:hAnsiTheme="minorHAnsi"/>
          <w:highlight w:val="yellow"/>
        </w:rPr>
      </w:pPr>
    </w:p>
    <w:p w14:paraId="455C293B" w14:textId="6EA27B55" w:rsidR="007D452C" w:rsidRPr="0067297E" w:rsidRDefault="007D452C" w:rsidP="00543A76">
      <w:pPr>
        <w:pStyle w:val="Reporttext"/>
        <w:rPr>
          <w:rFonts w:asciiTheme="minorHAnsi" w:hAnsiTheme="minorHAnsi" w:cstheme="minorHAnsi"/>
          <w:shd w:val="clear" w:color="auto" w:fill="FFFFFF"/>
          <w:lang w:eastAsia="en-GB"/>
        </w:rPr>
      </w:pPr>
      <w:r w:rsidRPr="0067297E">
        <w:rPr>
          <w:rFonts w:asciiTheme="minorHAnsi" w:hAnsiTheme="minorHAnsi" w:cstheme="minorHAnsi"/>
          <w:shd w:val="clear" w:color="auto" w:fill="FFFFFF"/>
          <w:lang w:val="en-GB" w:eastAsia="en-GB"/>
        </w:rPr>
        <w:t>It is worth noting that the Draft New London Plan Policy HSG1 proposes raising the dwelling completion target for the Borough of Lewisham to 2,117 units per year.</w:t>
      </w:r>
      <w:r w:rsidR="008A31C1" w:rsidRPr="0067297E">
        <w:rPr>
          <w:rFonts w:asciiTheme="minorHAnsi" w:hAnsiTheme="minorHAnsi" w:cstheme="minorHAnsi"/>
          <w:shd w:val="clear" w:color="auto" w:fill="FFFFFF"/>
          <w:lang w:val="en-GB" w:eastAsia="en-GB"/>
        </w:rPr>
        <w:t xml:space="preserve"> By way of </w:t>
      </w:r>
      <w:r w:rsidR="005B2517" w:rsidRPr="0067297E">
        <w:rPr>
          <w:rFonts w:asciiTheme="minorHAnsi" w:hAnsiTheme="minorHAnsi" w:cstheme="minorHAnsi"/>
          <w:shd w:val="clear" w:color="auto" w:fill="FFFFFF"/>
          <w:lang w:val="en-GB" w:eastAsia="en-GB"/>
        </w:rPr>
        <w:t>comparison</w:t>
      </w:r>
      <w:r w:rsidR="008A31C1" w:rsidRPr="0067297E">
        <w:rPr>
          <w:rFonts w:asciiTheme="minorHAnsi" w:hAnsiTheme="minorHAnsi" w:cstheme="minorHAnsi"/>
          <w:shd w:val="clear" w:color="auto" w:fill="FFFFFF"/>
          <w:lang w:val="en-GB" w:eastAsia="en-GB"/>
        </w:rPr>
        <w:t xml:space="preserve">, the annual average delivery has been </w:t>
      </w:r>
      <w:r w:rsidR="00992ED6">
        <w:rPr>
          <w:rFonts w:asciiTheme="minorHAnsi" w:hAnsiTheme="minorHAnsi" w:cstheme="minorHAnsi"/>
          <w:shd w:val="clear" w:color="auto" w:fill="FFFFFF"/>
          <w:lang w:val="en-GB" w:eastAsia="en-GB"/>
        </w:rPr>
        <w:t>1,387</w:t>
      </w:r>
      <w:r w:rsidR="008A31C1" w:rsidRPr="0067297E">
        <w:rPr>
          <w:rFonts w:asciiTheme="minorHAnsi" w:hAnsiTheme="minorHAnsi" w:cstheme="minorHAnsi"/>
          <w:shd w:val="clear" w:color="auto" w:fill="FFFFFF"/>
          <w:lang w:val="en-GB" w:eastAsia="en-GB"/>
        </w:rPr>
        <w:t xml:space="preserve"> or </w:t>
      </w:r>
      <w:r w:rsidR="00992ED6">
        <w:rPr>
          <w:rFonts w:asciiTheme="minorHAnsi" w:hAnsiTheme="minorHAnsi" w:cstheme="minorHAnsi"/>
          <w:shd w:val="clear" w:color="auto" w:fill="FFFFFF"/>
          <w:lang w:val="en-GB" w:eastAsia="en-GB"/>
        </w:rPr>
        <w:t>65.5</w:t>
      </w:r>
      <w:r w:rsidR="008A31C1" w:rsidRPr="0067297E">
        <w:rPr>
          <w:rFonts w:asciiTheme="minorHAnsi" w:hAnsiTheme="minorHAnsi" w:cstheme="minorHAnsi"/>
          <w:shd w:val="clear" w:color="auto" w:fill="FFFFFF"/>
          <w:lang w:val="en-GB" w:eastAsia="en-GB"/>
        </w:rPr>
        <w:t xml:space="preserve">% of the proposed target. </w:t>
      </w:r>
    </w:p>
    <w:p w14:paraId="62EFE6B2" w14:textId="146BAF8C" w:rsidR="00116319" w:rsidRPr="0067297E" w:rsidRDefault="00116319" w:rsidP="000256AC">
      <w:pPr>
        <w:pStyle w:val="Reporttext"/>
        <w:rPr>
          <w:rFonts w:asciiTheme="minorHAnsi" w:hAnsiTheme="minorHAnsi" w:cstheme="minorHAnsi"/>
          <w:shd w:val="clear" w:color="auto" w:fill="FFFFFF"/>
          <w:lang w:eastAsia="en-GB"/>
        </w:rPr>
      </w:pPr>
      <w:r w:rsidRPr="0067297E">
        <w:rPr>
          <w:rFonts w:asciiTheme="minorHAnsi" w:hAnsiTheme="minorHAnsi" w:cstheme="minorHAnsi"/>
          <w:shd w:val="clear" w:color="auto" w:fill="FFFFFF"/>
          <w:lang w:val="en-GB" w:eastAsia="en-GB"/>
        </w:rPr>
        <w:t>Table 3.</w:t>
      </w:r>
      <w:r w:rsidR="00516B53" w:rsidRPr="0067297E">
        <w:rPr>
          <w:rFonts w:asciiTheme="minorHAnsi" w:hAnsiTheme="minorHAnsi" w:cstheme="minorHAnsi"/>
          <w:shd w:val="clear" w:color="auto" w:fill="FFFFFF"/>
          <w:lang w:val="en-GB" w:eastAsia="en-GB"/>
        </w:rPr>
        <w:t>8</w:t>
      </w:r>
      <w:r w:rsidRPr="0067297E">
        <w:rPr>
          <w:rFonts w:asciiTheme="minorHAnsi" w:hAnsiTheme="minorHAnsi" w:cstheme="minorHAnsi"/>
          <w:shd w:val="clear" w:color="auto" w:fill="FFFFFF"/>
          <w:lang w:val="en-GB" w:eastAsia="en-GB"/>
        </w:rPr>
        <w:t xml:space="preserve"> sets out the price of new</w:t>
      </w:r>
      <w:r w:rsidR="00363030" w:rsidRPr="0067297E">
        <w:rPr>
          <w:rFonts w:asciiTheme="minorHAnsi" w:hAnsiTheme="minorHAnsi" w:cstheme="minorHAnsi"/>
          <w:shd w:val="clear" w:color="auto" w:fill="FFFFFF"/>
          <w:lang w:val="en-GB" w:eastAsia="en-GB"/>
        </w:rPr>
        <w:t xml:space="preserve"> </w:t>
      </w:r>
      <w:r w:rsidRPr="0067297E">
        <w:rPr>
          <w:rFonts w:asciiTheme="minorHAnsi" w:hAnsiTheme="minorHAnsi" w:cstheme="minorHAnsi"/>
          <w:shd w:val="clear" w:color="auto" w:fill="FFFFFF"/>
          <w:lang w:val="en-GB" w:eastAsia="en-GB"/>
        </w:rPr>
        <w:t>build dwellings sold over the period 2015-2017 and compare</w:t>
      </w:r>
      <w:r w:rsidR="00363030" w:rsidRPr="0067297E">
        <w:rPr>
          <w:rFonts w:asciiTheme="minorHAnsi" w:hAnsiTheme="minorHAnsi" w:cstheme="minorHAnsi"/>
          <w:shd w:val="clear" w:color="auto" w:fill="FFFFFF"/>
          <w:lang w:val="en-GB" w:eastAsia="en-GB"/>
        </w:rPr>
        <w:t>s</w:t>
      </w:r>
      <w:r w:rsidRPr="0067297E">
        <w:rPr>
          <w:rFonts w:asciiTheme="minorHAnsi" w:hAnsiTheme="minorHAnsi" w:cstheme="minorHAnsi"/>
          <w:shd w:val="clear" w:color="auto" w:fill="FFFFFF"/>
          <w:lang w:val="en-GB" w:eastAsia="en-GB"/>
        </w:rPr>
        <w:t xml:space="preserve"> prices with overall property sales. It is particularly noticeable that the premium on new</w:t>
      </w:r>
      <w:r w:rsidR="00363030" w:rsidRPr="0067297E">
        <w:rPr>
          <w:rFonts w:asciiTheme="minorHAnsi" w:hAnsiTheme="minorHAnsi" w:cstheme="minorHAnsi"/>
          <w:shd w:val="clear" w:color="auto" w:fill="FFFFFF"/>
          <w:lang w:val="en-GB" w:eastAsia="en-GB"/>
        </w:rPr>
        <w:t xml:space="preserve"> </w:t>
      </w:r>
      <w:r w:rsidRPr="0067297E">
        <w:rPr>
          <w:rFonts w:asciiTheme="minorHAnsi" w:hAnsiTheme="minorHAnsi" w:cstheme="minorHAnsi"/>
          <w:shd w:val="clear" w:color="auto" w:fill="FFFFFF"/>
          <w:lang w:val="en-GB" w:eastAsia="en-GB"/>
        </w:rPr>
        <w:t xml:space="preserve">build has been </w:t>
      </w:r>
      <w:r w:rsidR="005B2517" w:rsidRPr="0067297E">
        <w:rPr>
          <w:rFonts w:asciiTheme="minorHAnsi" w:hAnsiTheme="minorHAnsi" w:cstheme="minorHAnsi"/>
          <w:shd w:val="clear" w:color="auto" w:fill="FFFFFF"/>
          <w:lang w:val="en-GB" w:eastAsia="en-GB"/>
        </w:rPr>
        <w:t>accelerating</w:t>
      </w:r>
      <w:r w:rsidRPr="0067297E">
        <w:rPr>
          <w:rFonts w:asciiTheme="minorHAnsi" w:hAnsiTheme="minorHAnsi" w:cstheme="minorHAnsi"/>
          <w:shd w:val="clear" w:color="auto" w:fill="FFFFFF"/>
          <w:lang w:val="en-GB" w:eastAsia="en-GB"/>
        </w:rPr>
        <w:t xml:space="preserve"> in 2017. </w:t>
      </w:r>
    </w:p>
    <w:p w14:paraId="20989938" w14:textId="3D8DE627" w:rsidR="00116319" w:rsidRPr="0067297E" w:rsidRDefault="00116319" w:rsidP="00FA273F">
      <w:pPr>
        <w:pStyle w:val="Reporttext"/>
        <w:numPr>
          <w:ilvl w:val="0"/>
          <w:numId w:val="0"/>
        </w:numPr>
        <w:ind w:left="709"/>
        <w:rPr>
          <w:rFonts w:asciiTheme="minorHAnsi" w:hAnsiTheme="minorHAnsi" w:cstheme="minorHAnsi"/>
          <w:shd w:val="clear" w:color="auto" w:fill="FFFFFF"/>
          <w:lang w:val="en-GB" w:eastAsia="en-GB"/>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shd w:val="clear" w:color="auto" w:fill="FFFFFF" w:themeFill="background1"/>
        <w:tblLayout w:type="fixed"/>
        <w:tblLook w:val="04A0" w:firstRow="1" w:lastRow="0" w:firstColumn="1" w:lastColumn="0" w:noHBand="0" w:noVBand="1"/>
      </w:tblPr>
      <w:tblGrid>
        <w:gridCol w:w="847"/>
        <w:gridCol w:w="1700"/>
        <w:gridCol w:w="1417"/>
        <w:gridCol w:w="1700"/>
        <w:gridCol w:w="1276"/>
        <w:gridCol w:w="1271"/>
        <w:gridCol w:w="969"/>
      </w:tblGrid>
      <w:tr w:rsidR="000256AC" w:rsidRPr="0067297E" w14:paraId="283514D2" w14:textId="77777777" w:rsidTr="00FF4E2D">
        <w:trPr>
          <w:trHeight w:val="260"/>
          <w:tblHeader/>
        </w:trPr>
        <w:tc>
          <w:tcPr>
            <w:tcW w:w="5000" w:type="pct"/>
            <w:gridSpan w:val="7"/>
            <w:shd w:val="clear" w:color="auto" w:fill="009999"/>
            <w:noWrap/>
            <w:vAlign w:val="bottom"/>
            <w:hideMark/>
          </w:tcPr>
          <w:p w14:paraId="28D9022C" w14:textId="45BC2C33" w:rsidR="00116319" w:rsidRPr="0067297E" w:rsidRDefault="00116319" w:rsidP="003F4875">
            <w:pPr>
              <w:pStyle w:val="tableheading"/>
              <w:rPr>
                <w:rFonts w:asciiTheme="minorHAnsi" w:hAnsiTheme="minorHAnsi"/>
                <w:sz w:val="20"/>
                <w:szCs w:val="20"/>
              </w:rPr>
            </w:pPr>
            <w:bookmarkStart w:id="203" w:name="_Toc23151149"/>
            <w:r w:rsidRPr="0067297E">
              <w:rPr>
                <w:rFonts w:asciiTheme="minorHAnsi" w:hAnsiTheme="minorHAnsi"/>
              </w:rPr>
              <w:t>Table 3.</w:t>
            </w:r>
            <w:r w:rsidR="00516B53" w:rsidRPr="0067297E">
              <w:rPr>
                <w:rFonts w:asciiTheme="minorHAnsi" w:hAnsiTheme="minorHAnsi"/>
              </w:rPr>
              <w:t>8</w:t>
            </w:r>
            <w:r w:rsidRPr="0067297E">
              <w:rPr>
                <w:rFonts w:asciiTheme="minorHAnsi" w:hAnsiTheme="minorHAnsi"/>
              </w:rPr>
              <w:tab/>
              <w:t>Recent trends in newbuild prices compared with all property sales</w:t>
            </w:r>
            <w:bookmarkEnd w:id="203"/>
            <w:r w:rsidRPr="0067297E">
              <w:rPr>
                <w:rFonts w:asciiTheme="minorHAnsi" w:hAnsiTheme="minorHAnsi"/>
                <w:sz w:val="20"/>
                <w:szCs w:val="20"/>
              </w:rPr>
              <w:t> </w:t>
            </w:r>
          </w:p>
        </w:tc>
      </w:tr>
      <w:tr w:rsidR="00152C6F" w:rsidRPr="0067297E" w14:paraId="2668C831" w14:textId="77777777" w:rsidTr="001A5AAF">
        <w:trPr>
          <w:trHeight w:val="260"/>
        </w:trPr>
        <w:tc>
          <w:tcPr>
            <w:tcW w:w="461" w:type="pct"/>
            <w:shd w:val="clear" w:color="auto" w:fill="009999"/>
            <w:noWrap/>
            <w:vAlign w:val="bottom"/>
            <w:hideMark/>
          </w:tcPr>
          <w:p w14:paraId="176C9708" w14:textId="77777777" w:rsidR="00152C6F" w:rsidRPr="0067297E" w:rsidRDefault="00152C6F" w:rsidP="00152C6F">
            <w:pP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Year</w:t>
            </w:r>
          </w:p>
        </w:tc>
        <w:tc>
          <w:tcPr>
            <w:tcW w:w="1698" w:type="pct"/>
            <w:gridSpan w:val="2"/>
            <w:shd w:val="clear" w:color="auto" w:fill="009999"/>
            <w:noWrap/>
            <w:vAlign w:val="bottom"/>
            <w:hideMark/>
          </w:tcPr>
          <w:p w14:paraId="37D8C079" w14:textId="7957F072" w:rsidR="00152C6F" w:rsidRPr="0067297E" w:rsidRDefault="00152C6F" w:rsidP="00152C6F">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Newbuild price</w:t>
            </w:r>
          </w:p>
        </w:tc>
        <w:tc>
          <w:tcPr>
            <w:tcW w:w="1621" w:type="pct"/>
            <w:gridSpan w:val="2"/>
            <w:shd w:val="clear" w:color="auto" w:fill="009999"/>
            <w:noWrap/>
            <w:vAlign w:val="bottom"/>
            <w:hideMark/>
          </w:tcPr>
          <w:p w14:paraId="2C8C3F12" w14:textId="0E8D9099" w:rsidR="00152C6F" w:rsidRPr="0067297E" w:rsidRDefault="00152C6F" w:rsidP="00152C6F">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All Sales</w:t>
            </w:r>
          </w:p>
        </w:tc>
        <w:tc>
          <w:tcPr>
            <w:tcW w:w="1220" w:type="pct"/>
            <w:gridSpan w:val="2"/>
            <w:shd w:val="clear" w:color="auto" w:fill="009999"/>
            <w:noWrap/>
            <w:vAlign w:val="bottom"/>
            <w:hideMark/>
          </w:tcPr>
          <w:p w14:paraId="3F868352" w14:textId="67F0F015" w:rsidR="00152C6F" w:rsidRPr="0067297E" w:rsidRDefault="00152C6F" w:rsidP="00152C6F">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 Premium/Discount of newbuild</w:t>
            </w:r>
          </w:p>
        </w:tc>
      </w:tr>
      <w:tr w:rsidR="00152C6F" w:rsidRPr="0067297E" w14:paraId="0E077517" w14:textId="77777777" w:rsidTr="001A5AAF">
        <w:trPr>
          <w:trHeight w:val="260"/>
        </w:trPr>
        <w:tc>
          <w:tcPr>
            <w:tcW w:w="461" w:type="pct"/>
            <w:shd w:val="clear" w:color="auto" w:fill="FFFFFF" w:themeFill="background1"/>
            <w:noWrap/>
            <w:vAlign w:val="bottom"/>
            <w:hideMark/>
          </w:tcPr>
          <w:p w14:paraId="1CD4CCC1" w14:textId="77777777" w:rsidR="00116319" w:rsidRPr="0067297E" w:rsidRDefault="00116319" w:rsidP="00152C6F">
            <w:pPr>
              <w:rPr>
                <w:rFonts w:asciiTheme="minorHAnsi" w:hAnsiTheme="minorHAnsi" w:cs="Calibri"/>
                <w:b/>
                <w:sz w:val="22"/>
                <w:szCs w:val="22"/>
              </w:rPr>
            </w:pPr>
            <w:r w:rsidRPr="0067297E">
              <w:rPr>
                <w:rFonts w:asciiTheme="minorHAnsi" w:hAnsiTheme="minorHAnsi" w:cs="Calibri"/>
                <w:b/>
                <w:sz w:val="22"/>
                <w:szCs w:val="22"/>
              </w:rPr>
              <w:t> </w:t>
            </w:r>
          </w:p>
        </w:tc>
        <w:tc>
          <w:tcPr>
            <w:tcW w:w="926" w:type="pct"/>
            <w:shd w:val="clear" w:color="auto" w:fill="FFFFFF" w:themeFill="background1"/>
            <w:noWrap/>
            <w:vAlign w:val="bottom"/>
            <w:hideMark/>
          </w:tcPr>
          <w:p w14:paraId="2ABFD07F" w14:textId="77777777" w:rsidR="00116319" w:rsidRPr="0067297E" w:rsidRDefault="00116319" w:rsidP="00152C6F">
            <w:pPr>
              <w:jc w:val="center"/>
              <w:rPr>
                <w:rFonts w:asciiTheme="minorHAnsi" w:hAnsiTheme="minorHAnsi" w:cs="Calibri"/>
                <w:b/>
                <w:sz w:val="22"/>
                <w:szCs w:val="22"/>
              </w:rPr>
            </w:pPr>
            <w:r w:rsidRPr="0067297E">
              <w:rPr>
                <w:rFonts w:asciiTheme="minorHAnsi" w:hAnsiTheme="minorHAnsi" w:cs="Calibri"/>
                <w:b/>
                <w:sz w:val="22"/>
                <w:szCs w:val="22"/>
              </w:rPr>
              <w:t>Lower Quartile</w:t>
            </w:r>
          </w:p>
        </w:tc>
        <w:tc>
          <w:tcPr>
            <w:tcW w:w="772" w:type="pct"/>
            <w:shd w:val="clear" w:color="auto" w:fill="FFFFFF" w:themeFill="background1"/>
            <w:noWrap/>
            <w:vAlign w:val="bottom"/>
            <w:hideMark/>
          </w:tcPr>
          <w:p w14:paraId="1BAE5D73" w14:textId="77777777" w:rsidR="00116319" w:rsidRPr="0067297E" w:rsidRDefault="00116319" w:rsidP="00152C6F">
            <w:pPr>
              <w:jc w:val="center"/>
              <w:rPr>
                <w:rFonts w:asciiTheme="minorHAnsi" w:hAnsiTheme="minorHAnsi" w:cs="Calibri"/>
                <w:b/>
                <w:sz w:val="22"/>
                <w:szCs w:val="22"/>
              </w:rPr>
            </w:pPr>
            <w:r w:rsidRPr="0067297E">
              <w:rPr>
                <w:rFonts w:asciiTheme="minorHAnsi" w:hAnsiTheme="minorHAnsi" w:cs="Calibri"/>
                <w:b/>
                <w:sz w:val="22"/>
                <w:szCs w:val="22"/>
              </w:rPr>
              <w:t>Median</w:t>
            </w:r>
          </w:p>
        </w:tc>
        <w:tc>
          <w:tcPr>
            <w:tcW w:w="926" w:type="pct"/>
            <w:shd w:val="clear" w:color="auto" w:fill="FFFFFF" w:themeFill="background1"/>
            <w:noWrap/>
            <w:vAlign w:val="bottom"/>
            <w:hideMark/>
          </w:tcPr>
          <w:p w14:paraId="0B43B8EE" w14:textId="77777777" w:rsidR="00116319" w:rsidRPr="0067297E" w:rsidRDefault="00116319" w:rsidP="00152C6F">
            <w:pPr>
              <w:jc w:val="center"/>
              <w:rPr>
                <w:rFonts w:asciiTheme="minorHAnsi" w:hAnsiTheme="minorHAnsi" w:cs="Calibri"/>
                <w:b/>
                <w:sz w:val="22"/>
                <w:szCs w:val="22"/>
              </w:rPr>
            </w:pPr>
            <w:r w:rsidRPr="0067297E">
              <w:rPr>
                <w:rFonts w:asciiTheme="minorHAnsi" w:hAnsiTheme="minorHAnsi" w:cs="Calibri"/>
                <w:b/>
                <w:sz w:val="22"/>
                <w:szCs w:val="22"/>
              </w:rPr>
              <w:t>Lower Quartile</w:t>
            </w:r>
          </w:p>
        </w:tc>
        <w:tc>
          <w:tcPr>
            <w:tcW w:w="695" w:type="pct"/>
            <w:shd w:val="clear" w:color="auto" w:fill="FFFFFF" w:themeFill="background1"/>
            <w:noWrap/>
            <w:vAlign w:val="bottom"/>
            <w:hideMark/>
          </w:tcPr>
          <w:p w14:paraId="401A461F" w14:textId="77777777" w:rsidR="00116319" w:rsidRPr="0067297E" w:rsidRDefault="00116319" w:rsidP="00152C6F">
            <w:pPr>
              <w:jc w:val="center"/>
              <w:rPr>
                <w:rFonts w:asciiTheme="minorHAnsi" w:hAnsiTheme="minorHAnsi" w:cs="Calibri"/>
                <w:b/>
                <w:sz w:val="22"/>
                <w:szCs w:val="22"/>
              </w:rPr>
            </w:pPr>
            <w:r w:rsidRPr="0067297E">
              <w:rPr>
                <w:rFonts w:asciiTheme="minorHAnsi" w:hAnsiTheme="minorHAnsi" w:cs="Calibri"/>
                <w:b/>
                <w:sz w:val="22"/>
                <w:szCs w:val="22"/>
              </w:rPr>
              <w:t>Median</w:t>
            </w:r>
          </w:p>
        </w:tc>
        <w:tc>
          <w:tcPr>
            <w:tcW w:w="692" w:type="pct"/>
            <w:shd w:val="clear" w:color="auto" w:fill="FFFFFF" w:themeFill="background1"/>
            <w:noWrap/>
            <w:vAlign w:val="bottom"/>
            <w:hideMark/>
          </w:tcPr>
          <w:p w14:paraId="4B00EDED" w14:textId="77777777" w:rsidR="00116319" w:rsidRPr="0067297E" w:rsidRDefault="00116319" w:rsidP="00152C6F">
            <w:pPr>
              <w:jc w:val="center"/>
              <w:rPr>
                <w:rFonts w:asciiTheme="minorHAnsi" w:hAnsiTheme="minorHAnsi" w:cs="Calibri"/>
                <w:b/>
                <w:sz w:val="22"/>
                <w:szCs w:val="22"/>
              </w:rPr>
            </w:pPr>
            <w:r w:rsidRPr="0067297E">
              <w:rPr>
                <w:rFonts w:asciiTheme="minorHAnsi" w:hAnsiTheme="minorHAnsi" w:cs="Calibri"/>
                <w:b/>
                <w:sz w:val="22"/>
                <w:szCs w:val="22"/>
              </w:rPr>
              <w:t>LQ</w:t>
            </w:r>
          </w:p>
        </w:tc>
        <w:tc>
          <w:tcPr>
            <w:tcW w:w="528" w:type="pct"/>
            <w:shd w:val="clear" w:color="auto" w:fill="FFFFFF" w:themeFill="background1"/>
            <w:noWrap/>
            <w:vAlign w:val="bottom"/>
            <w:hideMark/>
          </w:tcPr>
          <w:p w14:paraId="7DB46EB1" w14:textId="77777777" w:rsidR="00116319" w:rsidRPr="0067297E" w:rsidRDefault="00116319" w:rsidP="00152C6F">
            <w:pPr>
              <w:jc w:val="center"/>
              <w:rPr>
                <w:rFonts w:asciiTheme="minorHAnsi" w:hAnsiTheme="minorHAnsi" w:cs="Calibri"/>
                <w:b/>
                <w:sz w:val="22"/>
                <w:szCs w:val="22"/>
              </w:rPr>
            </w:pPr>
            <w:r w:rsidRPr="0067297E">
              <w:rPr>
                <w:rFonts w:asciiTheme="minorHAnsi" w:hAnsiTheme="minorHAnsi" w:cs="Calibri"/>
                <w:b/>
                <w:sz w:val="22"/>
                <w:szCs w:val="22"/>
              </w:rPr>
              <w:t>Median</w:t>
            </w:r>
          </w:p>
        </w:tc>
      </w:tr>
      <w:tr w:rsidR="00152C6F" w:rsidRPr="0067297E" w14:paraId="7BFF7575" w14:textId="77777777" w:rsidTr="001A5AAF">
        <w:trPr>
          <w:trHeight w:val="260"/>
        </w:trPr>
        <w:tc>
          <w:tcPr>
            <w:tcW w:w="461" w:type="pct"/>
            <w:shd w:val="clear" w:color="auto" w:fill="FFFFFF" w:themeFill="background1"/>
            <w:noWrap/>
            <w:vAlign w:val="bottom"/>
            <w:hideMark/>
          </w:tcPr>
          <w:p w14:paraId="4F239F56" w14:textId="77777777" w:rsidR="00116319" w:rsidRPr="0067297E" w:rsidRDefault="00116319" w:rsidP="00152C6F">
            <w:pPr>
              <w:rPr>
                <w:rFonts w:asciiTheme="minorHAnsi" w:hAnsiTheme="minorHAnsi" w:cs="Calibri"/>
                <w:sz w:val="22"/>
                <w:szCs w:val="22"/>
              </w:rPr>
            </w:pPr>
            <w:r w:rsidRPr="0067297E">
              <w:rPr>
                <w:rFonts w:asciiTheme="minorHAnsi" w:hAnsiTheme="minorHAnsi" w:cs="Calibri"/>
                <w:sz w:val="22"/>
                <w:szCs w:val="22"/>
              </w:rPr>
              <w:t>2015</w:t>
            </w:r>
          </w:p>
        </w:tc>
        <w:tc>
          <w:tcPr>
            <w:tcW w:w="926" w:type="pct"/>
            <w:shd w:val="clear" w:color="auto" w:fill="FFFFFF" w:themeFill="background1"/>
            <w:noWrap/>
            <w:vAlign w:val="bottom"/>
            <w:hideMark/>
          </w:tcPr>
          <w:p w14:paraId="24A497FC" w14:textId="707FBE72"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£301,000</w:t>
            </w:r>
          </w:p>
        </w:tc>
        <w:tc>
          <w:tcPr>
            <w:tcW w:w="772" w:type="pct"/>
            <w:shd w:val="clear" w:color="auto" w:fill="FFFFFF" w:themeFill="background1"/>
            <w:noWrap/>
            <w:vAlign w:val="bottom"/>
            <w:hideMark/>
          </w:tcPr>
          <w:p w14:paraId="59676E0B" w14:textId="6FBA1CF6"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£358,250</w:t>
            </w:r>
          </w:p>
        </w:tc>
        <w:tc>
          <w:tcPr>
            <w:tcW w:w="926" w:type="pct"/>
            <w:shd w:val="clear" w:color="auto" w:fill="FFFFFF" w:themeFill="background1"/>
            <w:noWrap/>
            <w:vAlign w:val="bottom"/>
            <w:hideMark/>
          </w:tcPr>
          <w:p w14:paraId="6FF5917B" w14:textId="51F60BD1"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£272,550</w:t>
            </w:r>
          </w:p>
        </w:tc>
        <w:tc>
          <w:tcPr>
            <w:tcW w:w="695" w:type="pct"/>
            <w:shd w:val="clear" w:color="auto" w:fill="FFFFFF" w:themeFill="background1"/>
            <w:noWrap/>
            <w:vAlign w:val="bottom"/>
            <w:hideMark/>
          </w:tcPr>
          <w:p w14:paraId="3ADB14B2" w14:textId="673033E7"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£354,500</w:t>
            </w:r>
          </w:p>
        </w:tc>
        <w:tc>
          <w:tcPr>
            <w:tcW w:w="692" w:type="pct"/>
            <w:shd w:val="clear" w:color="auto" w:fill="FFFFFF" w:themeFill="background1"/>
            <w:noWrap/>
            <w:vAlign w:val="bottom"/>
            <w:hideMark/>
          </w:tcPr>
          <w:p w14:paraId="01B5B1A2" w14:textId="3F442319"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10.4</w:t>
            </w:r>
          </w:p>
        </w:tc>
        <w:tc>
          <w:tcPr>
            <w:tcW w:w="528" w:type="pct"/>
            <w:shd w:val="clear" w:color="auto" w:fill="FFFFFF" w:themeFill="background1"/>
            <w:noWrap/>
            <w:vAlign w:val="bottom"/>
            <w:hideMark/>
          </w:tcPr>
          <w:p w14:paraId="326C3379" w14:textId="34034B6D"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1.1</w:t>
            </w:r>
          </w:p>
        </w:tc>
      </w:tr>
      <w:tr w:rsidR="00152C6F" w:rsidRPr="0067297E" w14:paraId="3B4D7E41" w14:textId="77777777" w:rsidTr="001A5AAF">
        <w:trPr>
          <w:trHeight w:val="260"/>
        </w:trPr>
        <w:tc>
          <w:tcPr>
            <w:tcW w:w="461" w:type="pct"/>
            <w:shd w:val="clear" w:color="auto" w:fill="FFFFFF" w:themeFill="background1"/>
            <w:noWrap/>
            <w:vAlign w:val="bottom"/>
            <w:hideMark/>
          </w:tcPr>
          <w:p w14:paraId="124A0BCF" w14:textId="77777777" w:rsidR="00116319" w:rsidRPr="0067297E" w:rsidRDefault="00116319" w:rsidP="00152C6F">
            <w:pPr>
              <w:rPr>
                <w:rFonts w:asciiTheme="minorHAnsi" w:hAnsiTheme="minorHAnsi" w:cs="Calibri"/>
                <w:sz w:val="22"/>
                <w:szCs w:val="22"/>
              </w:rPr>
            </w:pPr>
            <w:r w:rsidRPr="0067297E">
              <w:rPr>
                <w:rFonts w:asciiTheme="minorHAnsi" w:hAnsiTheme="minorHAnsi" w:cs="Calibri"/>
                <w:sz w:val="22"/>
                <w:szCs w:val="22"/>
              </w:rPr>
              <w:t>2016</w:t>
            </w:r>
          </w:p>
        </w:tc>
        <w:tc>
          <w:tcPr>
            <w:tcW w:w="926" w:type="pct"/>
            <w:shd w:val="clear" w:color="auto" w:fill="FFFFFF" w:themeFill="background1"/>
            <w:noWrap/>
            <w:vAlign w:val="bottom"/>
            <w:hideMark/>
          </w:tcPr>
          <w:p w14:paraId="3DB3B2E1" w14:textId="7D716A2A"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£296,425</w:t>
            </w:r>
          </w:p>
        </w:tc>
        <w:tc>
          <w:tcPr>
            <w:tcW w:w="772" w:type="pct"/>
            <w:shd w:val="clear" w:color="auto" w:fill="FFFFFF" w:themeFill="background1"/>
            <w:noWrap/>
            <w:vAlign w:val="bottom"/>
            <w:hideMark/>
          </w:tcPr>
          <w:p w14:paraId="31E241CC" w14:textId="0302B7BC"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£370,000</w:t>
            </w:r>
          </w:p>
        </w:tc>
        <w:tc>
          <w:tcPr>
            <w:tcW w:w="926" w:type="pct"/>
            <w:shd w:val="clear" w:color="auto" w:fill="FFFFFF" w:themeFill="background1"/>
            <w:noWrap/>
            <w:vAlign w:val="bottom"/>
            <w:hideMark/>
          </w:tcPr>
          <w:p w14:paraId="500303B4" w14:textId="1A4F5F1F"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£300,000</w:t>
            </w:r>
          </w:p>
        </w:tc>
        <w:tc>
          <w:tcPr>
            <w:tcW w:w="695" w:type="pct"/>
            <w:shd w:val="clear" w:color="auto" w:fill="FFFFFF" w:themeFill="background1"/>
            <w:noWrap/>
            <w:vAlign w:val="bottom"/>
            <w:hideMark/>
          </w:tcPr>
          <w:p w14:paraId="1EB1ED01" w14:textId="7200E81A"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£379,000</w:t>
            </w:r>
          </w:p>
        </w:tc>
        <w:tc>
          <w:tcPr>
            <w:tcW w:w="692" w:type="pct"/>
            <w:shd w:val="clear" w:color="auto" w:fill="FFFFFF" w:themeFill="background1"/>
            <w:noWrap/>
            <w:vAlign w:val="bottom"/>
            <w:hideMark/>
          </w:tcPr>
          <w:p w14:paraId="2ADE0652" w14:textId="77777777"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color w:val="FF0000"/>
                <w:sz w:val="22"/>
                <w:szCs w:val="22"/>
              </w:rPr>
              <w:t>(1.2)</w:t>
            </w:r>
          </w:p>
        </w:tc>
        <w:tc>
          <w:tcPr>
            <w:tcW w:w="528" w:type="pct"/>
            <w:shd w:val="clear" w:color="auto" w:fill="FFFFFF" w:themeFill="background1"/>
            <w:noWrap/>
            <w:vAlign w:val="bottom"/>
            <w:hideMark/>
          </w:tcPr>
          <w:p w14:paraId="22A55228" w14:textId="77777777"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color w:val="FF0000"/>
                <w:sz w:val="22"/>
                <w:szCs w:val="22"/>
              </w:rPr>
              <w:t>(2.4)</w:t>
            </w:r>
          </w:p>
        </w:tc>
      </w:tr>
      <w:tr w:rsidR="00152C6F" w:rsidRPr="0067297E" w14:paraId="4FFF3F7D" w14:textId="77777777" w:rsidTr="001A5AAF">
        <w:trPr>
          <w:trHeight w:val="260"/>
        </w:trPr>
        <w:tc>
          <w:tcPr>
            <w:tcW w:w="461" w:type="pct"/>
            <w:shd w:val="clear" w:color="auto" w:fill="FFFFFF" w:themeFill="background1"/>
            <w:noWrap/>
            <w:vAlign w:val="bottom"/>
            <w:hideMark/>
          </w:tcPr>
          <w:p w14:paraId="26F16685" w14:textId="77777777" w:rsidR="00116319" w:rsidRPr="0067297E" w:rsidRDefault="00116319" w:rsidP="00152C6F">
            <w:pPr>
              <w:rPr>
                <w:rFonts w:asciiTheme="minorHAnsi" w:hAnsiTheme="minorHAnsi" w:cs="Calibri"/>
                <w:sz w:val="22"/>
                <w:szCs w:val="22"/>
              </w:rPr>
            </w:pPr>
            <w:r w:rsidRPr="0067297E">
              <w:rPr>
                <w:rFonts w:asciiTheme="minorHAnsi" w:hAnsiTheme="minorHAnsi" w:cs="Calibri"/>
                <w:sz w:val="22"/>
                <w:szCs w:val="22"/>
              </w:rPr>
              <w:t>2017</w:t>
            </w:r>
          </w:p>
        </w:tc>
        <w:tc>
          <w:tcPr>
            <w:tcW w:w="926" w:type="pct"/>
            <w:shd w:val="clear" w:color="auto" w:fill="FFFFFF" w:themeFill="background1"/>
            <w:noWrap/>
            <w:vAlign w:val="bottom"/>
            <w:hideMark/>
          </w:tcPr>
          <w:p w14:paraId="15F6CD2B" w14:textId="27D514FF"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£396,000</w:t>
            </w:r>
          </w:p>
        </w:tc>
        <w:tc>
          <w:tcPr>
            <w:tcW w:w="772" w:type="pct"/>
            <w:shd w:val="clear" w:color="auto" w:fill="FFFFFF" w:themeFill="background1"/>
            <w:noWrap/>
            <w:vAlign w:val="bottom"/>
            <w:hideMark/>
          </w:tcPr>
          <w:p w14:paraId="38299DB9" w14:textId="349355AD"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£488,000</w:t>
            </w:r>
          </w:p>
        </w:tc>
        <w:tc>
          <w:tcPr>
            <w:tcW w:w="926" w:type="pct"/>
            <w:shd w:val="clear" w:color="auto" w:fill="FFFFFF" w:themeFill="background1"/>
            <w:noWrap/>
            <w:vAlign w:val="bottom"/>
            <w:hideMark/>
          </w:tcPr>
          <w:p w14:paraId="2F949767" w14:textId="134A9BED"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£320,000</w:t>
            </w:r>
          </w:p>
        </w:tc>
        <w:tc>
          <w:tcPr>
            <w:tcW w:w="695" w:type="pct"/>
            <w:shd w:val="clear" w:color="auto" w:fill="FFFFFF" w:themeFill="background1"/>
            <w:noWrap/>
            <w:vAlign w:val="bottom"/>
            <w:hideMark/>
          </w:tcPr>
          <w:p w14:paraId="7281120C" w14:textId="304C90EA"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£412,000</w:t>
            </w:r>
          </w:p>
        </w:tc>
        <w:tc>
          <w:tcPr>
            <w:tcW w:w="692" w:type="pct"/>
            <w:shd w:val="clear" w:color="auto" w:fill="FFFFFF" w:themeFill="background1"/>
            <w:noWrap/>
            <w:vAlign w:val="bottom"/>
            <w:hideMark/>
          </w:tcPr>
          <w:p w14:paraId="5C9E4913" w14:textId="0460353B"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23.8</w:t>
            </w:r>
          </w:p>
        </w:tc>
        <w:tc>
          <w:tcPr>
            <w:tcW w:w="528" w:type="pct"/>
            <w:shd w:val="clear" w:color="auto" w:fill="FFFFFF" w:themeFill="background1"/>
            <w:noWrap/>
            <w:vAlign w:val="bottom"/>
            <w:hideMark/>
          </w:tcPr>
          <w:p w14:paraId="3F663B57" w14:textId="79E6D233" w:rsidR="00116319" w:rsidRPr="0067297E" w:rsidRDefault="00116319" w:rsidP="003B4919">
            <w:pPr>
              <w:jc w:val="right"/>
              <w:rPr>
                <w:rFonts w:asciiTheme="minorHAnsi" w:hAnsiTheme="minorHAnsi" w:cs="Calibri"/>
                <w:sz w:val="22"/>
                <w:szCs w:val="22"/>
              </w:rPr>
            </w:pPr>
            <w:r w:rsidRPr="0067297E">
              <w:rPr>
                <w:rFonts w:asciiTheme="minorHAnsi" w:hAnsiTheme="minorHAnsi" w:cs="Calibri"/>
                <w:sz w:val="22"/>
                <w:szCs w:val="22"/>
              </w:rPr>
              <w:t>18.4</w:t>
            </w:r>
          </w:p>
        </w:tc>
      </w:tr>
    </w:tbl>
    <w:p w14:paraId="07C3385E" w14:textId="77777777" w:rsidR="00116319" w:rsidRPr="0067297E" w:rsidRDefault="00116319" w:rsidP="00FA273F">
      <w:pPr>
        <w:pStyle w:val="Reporttext"/>
        <w:numPr>
          <w:ilvl w:val="0"/>
          <w:numId w:val="0"/>
        </w:numPr>
        <w:ind w:left="709"/>
        <w:rPr>
          <w:rFonts w:asciiTheme="minorHAnsi" w:hAnsiTheme="minorHAnsi" w:cstheme="minorHAnsi"/>
          <w:shd w:val="clear" w:color="auto" w:fill="FFFFFF"/>
          <w:lang w:eastAsia="en-GB"/>
        </w:rPr>
      </w:pPr>
    </w:p>
    <w:p w14:paraId="403354DD" w14:textId="77777777" w:rsidR="008F7D71" w:rsidRPr="0067297E" w:rsidRDefault="004D1EFA" w:rsidP="00543A76">
      <w:pPr>
        <w:pStyle w:val="Heading2"/>
        <w:rPr>
          <w:rFonts w:asciiTheme="minorHAnsi" w:hAnsiTheme="minorHAnsi"/>
        </w:rPr>
      </w:pPr>
      <w:bookmarkStart w:id="204" w:name="_Toc524935577"/>
      <w:bookmarkStart w:id="205" w:name="_Toc1385750"/>
      <w:bookmarkStart w:id="206" w:name="_Toc23151065"/>
      <w:r w:rsidRPr="0067297E">
        <w:rPr>
          <w:rFonts w:asciiTheme="minorHAnsi" w:hAnsiTheme="minorHAnsi"/>
        </w:rPr>
        <w:t>A qualitative perspective on housing market dynamics and drivers</w:t>
      </w:r>
      <w:bookmarkEnd w:id="204"/>
      <w:bookmarkEnd w:id="205"/>
      <w:bookmarkEnd w:id="206"/>
    </w:p>
    <w:p w14:paraId="0C4B668C" w14:textId="023A40BD" w:rsidR="004D1EFA" w:rsidRPr="0067297E" w:rsidRDefault="004D1EFA" w:rsidP="00543A76">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Previous sections of this report have focused on describing the policy context and the widely accepted ‘big picture’ quantitative indicators such as price and affordability trends and flows of people.  However, the price and rental maps 3.1 and 3.2 illustrate that housing costs vary considerably across </w:t>
      </w:r>
      <w:r w:rsidR="009D746F" w:rsidRPr="0067297E">
        <w:rPr>
          <w:rFonts w:asciiTheme="minorHAnsi" w:hAnsiTheme="minorHAnsi" w:cstheme="minorHAnsi"/>
          <w:shd w:val="clear" w:color="auto" w:fill="FFFFFF"/>
          <w:lang w:val="en-GB" w:eastAsia="en-GB"/>
        </w:rPr>
        <w:t>Lewisham</w:t>
      </w:r>
      <w:r w:rsidRPr="0067297E">
        <w:rPr>
          <w:rFonts w:asciiTheme="minorHAnsi" w:hAnsiTheme="minorHAnsi" w:cstheme="minorHAnsi"/>
          <w:shd w:val="clear" w:color="auto" w:fill="FFFFFF"/>
          <w:lang w:val="en-GB" w:eastAsia="en-GB"/>
        </w:rPr>
        <w:t xml:space="preserve">. An understanding of why price and affordability vary across </w:t>
      </w:r>
      <w:r w:rsidR="00BB7CD0" w:rsidRPr="0067297E">
        <w:rPr>
          <w:rFonts w:asciiTheme="minorHAnsi" w:hAnsiTheme="minorHAnsi" w:cstheme="minorHAnsi"/>
          <w:shd w:val="clear" w:color="auto" w:fill="FFFFFF"/>
          <w:lang w:val="en-GB" w:eastAsia="en-GB"/>
        </w:rPr>
        <w:t>Lewisham</w:t>
      </w:r>
      <w:r w:rsidRPr="0067297E">
        <w:rPr>
          <w:rFonts w:asciiTheme="minorHAnsi" w:hAnsiTheme="minorHAnsi" w:cstheme="minorHAnsi"/>
          <w:shd w:val="clear" w:color="auto" w:fill="FFFFFF"/>
          <w:lang w:val="en-GB" w:eastAsia="en-GB"/>
        </w:rPr>
        <w:t xml:space="preserve"> is crucial. The following qualitative research is designed to explain this at a local level and add context to the analysis of </w:t>
      </w:r>
      <w:r w:rsidR="00BB7CD0" w:rsidRPr="0067297E">
        <w:rPr>
          <w:rFonts w:asciiTheme="minorHAnsi" w:hAnsiTheme="minorHAnsi" w:cstheme="minorHAnsi"/>
          <w:shd w:val="clear" w:color="auto" w:fill="FFFFFF"/>
          <w:lang w:val="en-GB" w:eastAsia="en-GB"/>
        </w:rPr>
        <w:t>Lewisham</w:t>
      </w:r>
      <w:r w:rsidRPr="0067297E">
        <w:rPr>
          <w:rFonts w:asciiTheme="minorHAnsi" w:hAnsiTheme="minorHAnsi" w:cstheme="minorHAnsi"/>
          <w:shd w:val="clear" w:color="auto" w:fill="FFFFFF"/>
          <w:lang w:val="en-GB" w:eastAsia="en-GB"/>
        </w:rPr>
        <w:t xml:space="preserve">’s sub areas in later chapters of the report. </w:t>
      </w:r>
    </w:p>
    <w:p w14:paraId="43A9CE8B" w14:textId="77777777" w:rsidR="004D1EFA" w:rsidRPr="0067297E" w:rsidRDefault="004D1EFA" w:rsidP="00543A76">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The information is quite detailed, so we lead with the key findings with supporting evidence below. </w:t>
      </w:r>
    </w:p>
    <w:p w14:paraId="6465817C" w14:textId="77777777" w:rsidR="004D1EFA" w:rsidRPr="0067297E" w:rsidRDefault="004D1EFA" w:rsidP="00152C6F">
      <w:pPr>
        <w:rPr>
          <w:rFonts w:asciiTheme="minorHAnsi" w:hAnsiTheme="minorHAnsi"/>
        </w:rPr>
      </w:pPr>
    </w:p>
    <w:p w14:paraId="25256DD5" w14:textId="75175513" w:rsidR="008F7D71" w:rsidRPr="0067297E" w:rsidRDefault="00BB7CD0" w:rsidP="000256AC">
      <w:pPr>
        <w:pStyle w:val="Heading3"/>
        <w:rPr>
          <w:rFonts w:asciiTheme="minorHAnsi" w:hAnsiTheme="minorHAnsi"/>
        </w:rPr>
      </w:pPr>
      <w:r w:rsidRPr="0067297E">
        <w:rPr>
          <w:rFonts w:asciiTheme="minorHAnsi" w:hAnsiTheme="minorHAnsi"/>
          <w:lang w:val="en-GB"/>
        </w:rPr>
        <w:t>Interviews with estate and letting agents and observations made when visiting the borough</w:t>
      </w:r>
    </w:p>
    <w:p w14:paraId="27F33A8E" w14:textId="77777777" w:rsidR="008F7D71" w:rsidRPr="0067297E" w:rsidRDefault="008F7D71" w:rsidP="006C722F">
      <w:pPr>
        <w:pStyle w:val="Reporttext"/>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Interviews and observations revealed that: </w:t>
      </w:r>
    </w:p>
    <w:p w14:paraId="391A1993" w14:textId="77777777" w:rsidR="008F7D71" w:rsidRPr="0067297E" w:rsidRDefault="008F7D71" w:rsidP="006C722F">
      <w:pPr>
        <w:pStyle w:val="bullet"/>
        <w:rPr>
          <w:rFonts w:asciiTheme="minorHAnsi" w:hAnsiTheme="minorHAnsi" w:cstheme="minorHAnsi"/>
        </w:rPr>
      </w:pPr>
      <w:r w:rsidRPr="0067297E">
        <w:rPr>
          <w:rFonts w:asciiTheme="minorHAnsi" w:hAnsiTheme="minorHAnsi" w:cstheme="minorHAnsi"/>
        </w:rPr>
        <w:t>the Borough of Lewisham is playing a significant role within the wider Greater London housing market;</w:t>
      </w:r>
    </w:p>
    <w:p w14:paraId="3953FAE3" w14:textId="40335FD5" w:rsidR="008F7D71" w:rsidRPr="0067297E" w:rsidRDefault="008F7D71" w:rsidP="006C722F">
      <w:pPr>
        <w:pStyle w:val="bullet"/>
        <w:rPr>
          <w:rFonts w:asciiTheme="minorHAnsi" w:hAnsiTheme="minorHAnsi" w:cstheme="minorHAnsi"/>
        </w:rPr>
      </w:pPr>
      <w:r w:rsidRPr="0067297E">
        <w:rPr>
          <w:rFonts w:asciiTheme="minorHAnsi" w:hAnsiTheme="minorHAnsi" w:cstheme="minorHAnsi"/>
        </w:rPr>
        <w:t xml:space="preserve">Lewisham is largely urban in nature being densely developed and populated however, Blackheath to the east, is an area of </w:t>
      </w:r>
      <w:r w:rsidR="0068153C" w:rsidRPr="0067297E">
        <w:rPr>
          <w:rFonts w:asciiTheme="minorHAnsi" w:hAnsiTheme="minorHAnsi" w:cstheme="minorHAnsi"/>
          <w:lang w:val="en-GB"/>
        </w:rPr>
        <w:t xml:space="preserve">relatively large, high cost </w:t>
      </w:r>
      <w:r w:rsidRPr="0067297E">
        <w:rPr>
          <w:rFonts w:asciiTheme="minorHAnsi" w:hAnsiTheme="minorHAnsi" w:cstheme="minorHAnsi"/>
        </w:rPr>
        <w:t>housing; other areas to the east and south east are more suburban in nature;</w:t>
      </w:r>
    </w:p>
    <w:p w14:paraId="65CCB22D" w14:textId="77777777" w:rsidR="008F7D71" w:rsidRPr="0067297E" w:rsidRDefault="008F7D71" w:rsidP="00944242">
      <w:pPr>
        <w:pStyle w:val="bullet"/>
        <w:rPr>
          <w:rFonts w:asciiTheme="minorHAnsi" w:hAnsiTheme="minorHAnsi" w:cstheme="minorHAnsi"/>
        </w:rPr>
      </w:pPr>
      <w:r w:rsidRPr="0067297E">
        <w:rPr>
          <w:rFonts w:asciiTheme="minorHAnsi" w:hAnsiTheme="minorHAnsi" w:cstheme="minorHAnsi"/>
        </w:rPr>
        <w:t>whilst the urban areas of Lewisham and Catford are closely connected in terms of road and rail links, they differ in role and character;</w:t>
      </w:r>
    </w:p>
    <w:p w14:paraId="78DC4EC6" w14:textId="77777777" w:rsidR="008F7D71" w:rsidRPr="0067297E" w:rsidRDefault="008F7D71" w:rsidP="006B6473">
      <w:pPr>
        <w:pStyle w:val="bullet"/>
        <w:rPr>
          <w:rFonts w:asciiTheme="minorHAnsi" w:hAnsiTheme="minorHAnsi" w:cstheme="minorHAnsi"/>
        </w:rPr>
      </w:pPr>
      <w:r w:rsidRPr="0067297E">
        <w:rPr>
          <w:rFonts w:asciiTheme="minorHAnsi" w:hAnsiTheme="minorHAnsi" w:cstheme="minorHAnsi"/>
        </w:rPr>
        <w:t>local housing markets are a good fit to local plan sub-area boundaries;</w:t>
      </w:r>
    </w:p>
    <w:p w14:paraId="36C6E762" w14:textId="77777777" w:rsidR="008F7D71" w:rsidRPr="0067297E" w:rsidRDefault="008F7D71" w:rsidP="006B6473">
      <w:pPr>
        <w:pStyle w:val="bullet"/>
        <w:rPr>
          <w:rFonts w:asciiTheme="minorHAnsi" w:hAnsiTheme="minorHAnsi" w:cstheme="minorHAnsi"/>
        </w:rPr>
      </w:pPr>
      <w:r w:rsidRPr="0067297E">
        <w:rPr>
          <w:rFonts w:asciiTheme="minorHAnsi" w:hAnsiTheme="minorHAnsi" w:cstheme="minorHAnsi"/>
        </w:rPr>
        <w:t>supply from re-sale and re-let market housing is curtailed because of uncertainty arising from the Brexit process;</w:t>
      </w:r>
    </w:p>
    <w:p w14:paraId="07A77259" w14:textId="77777777" w:rsidR="008F7D71" w:rsidRPr="0067297E" w:rsidRDefault="008F7D71" w:rsidP="008C3647">
      <w:pPr>
        <w:pStyle w:val="bullet"/>
        <w:rPr>
          <w:rFonts w:asciiTheme="minorHAnsi" w:hAnsiTheme="minorHAnsi" w:cstheme="minorHAnsi"/>
        </w:rPr>
      </w:pPr>
      <w:r w:rsidRPr="0067297E">
        <w:rPr>
          <w:rFonts w:asciiTheme="minorHAnsi" w:hAnsiTheme="minorHAnsi" w:cstheme="minorHAnsi"/>
        </w:rPr>
        <w:t xml:space="preserve">a key feature of the local area is that a great deal of family housing has been acquired by investors over time and sub divided to form smaller more affordable lettings, the planning policy response has been to resist this; </w:t>
      </w:r>
    </w:p>
    <w:p w14:paraId="3DDA6858" w14:textId="600602D9" w:rsidR="008F7D71" w:rsidRPr="0067297E" w:rsidRDefault="008F7D71" w:rsidP="00C12BC3">
      <w:pPr>
        <w:pStyle w:val="bullet"/>
        <w:rPr>
          <w:rFonts w:asciiTheme="minorHAnsi" w:hAnsiTheme="minorHAnsi" w:cstheme="minorHAnsi"/>
        </w:rPr>
      </w:pPr>
      <w:r w:rsidRPr="0067297E">
        <w:rPr>
          <w:rFonts w:asciiTheme="minorHAnsi" w:hAnsiTheme="minorHAnsi" w:cstheme="minorHAnsi"/>
        </w:rPr>
        <w:t>the processes of gentrification, regeneration and planning policy is putting many low to medium income households at risk of displacement to more affordable areas within and outside the borough</w:t>
      </w:r>
      <w:r w:rsidR="00DF121C" w:rsidRPr="0067297E">
        <w:rPr>
          <w:rFonts w:asciiTheme="minorHAnsi" w:hAnsiTheme="minorHAnsi" w:cstheme="minorHAnsi"/>
          <w:lang w:val="en-US"/>
        </w:rPr>
        <w:t>.</w:t>
      </w:r>
    </w:p>
    <w:p w14:paraId="7EE1D1A8" w14:textId="77777777" w:rsidR="008F7D71" w:rsidRPr="0067297E" w:rsidRDefault="008F7D71" w:rsidP="00FA273F">
      <w:pPr>
        <w:pStyle w:val="bullet"/>
        <w:numPr>
          <w:ilvl w:val="0"/>
          <w:numId w:val="0"/>
        </w:numPr>
        <w:ind w:left="1069"/>
        <w:rPr>
          <w:rFonts w:asciiTheme="minorHAnsi" w:hAnsiTheme="minorHAnsi"/>
        </w:rPr>
      </w:pPr>
    </w:p>
    <w:p w14:paraId="38350421" w14:textId="77777777" w:rsidR="008F7D71" w:rsidRPr="0067297E" w:rsidRDefault="008F7D71" w:rsidP="00152C6F">
      <w:pPr>
        <w:pStyle w:val="Heading4"/>
        <w:rPr>
          <w:rFonts w:asciiTheme="minorHAnsi" w:hAnsiTheme="minorHAnsi"/>
        </w:rPr>
      </w:pPr>
      <w:r w:rsidRPr="0067297E">
        <w:rPr>
          <w:rFonts w:asciiTheme="minorHAnsi" w:hAnsiTheme="minorHAnsi"/>
        </w:rPr>
        <w:t>Introduction</w:t>
      </w:r>
    </w:p>
    <w:p w14:paraId="64EC479E" w14:textId="1658FD42" w:rsidR="008F7D71" w:rsidRPr="0067297E" w:rsidRDefault="008F7D71" w:rsidP="00543A76">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The following information has been obtained from </w:t>
      </w:r>
      <w:r w:rsidR="009D746F" w:rsidRPr="0067297E">
        <w:rPr>
          <w:rFonts w:asciiTheme="minorHAnsi" w:hAnsiTheme="minorHAnsi" w:cstheme="minorHAnsi"/>
          <w:shd w:val="clear" w:color="auto" w:fill="FFFFFF"/>
          <w:lang w:val="en-GB" w:eastAsia="en-GB"/>
        </w:rPr>
        <w:t xml:space="preserve">a small sample of </w:t>
      </w:r>
      <w:r w:rsidRPr="0067297E">
        <w:rPr>
          <w:rFonts w:asciiTheme="minorHAnsi" w:hAnsiTheme="minorHAnsi" w:cstheme="minorHAnsi"/>
          <w:shd w:val="clear" w:color="auto" w:fill="FFFFFF"/>
          <w:lang w:val="en-GB" w:eastAsia="en-GB"/>
        </w:rPr>
        <w:t>interviews with estate and letting agents and from our observations when visiting the borough.  We have reported agent views and perceptions as stated by them.  Our aim was to get a better understanding of housing market dynamics and the geography of sub markets.  The following narrative is based upon the 5 local plan sub-areas</w:t>
      </w:r>
      <w:r w:rsidR="0068153C" w:rsidRPr="0067297E">
        <w:rPr>
          <w:rFonts w:asciiTheme="minorHAnsi" w:hAnsiTheme="minorHAnsi" w:cstheme="minorHAnsi"/>
          <w:shd w:val="clear" w:color="auto" w:fill="FFFFFF"/>
          <w:lang w:val="en-GB" w:eastAsia="en-GB"/>
        </w:rPr>
        <w:t xml:space="preserve"> (</w:t>
      </w:r>
      <w:r w:rsidR="00363030" w:rsidRPr="0067297E">
        <w:rPr>
          <w:rFonts w:asciiTheme="minorHAnsi" w:hAnsiTheme="minorHAnsi" w:cstheme="minorHAnsi"/>
          <w:shd w:val="clear" w:color="auto" w:fill="FFFFFF"/>
          <w:lang w:val="en-GB" w:eastAsia="en-GB"/>
        </w:rPr>
        <w:t>M</w:t>
      </w:r>
      <w:r w:rsidR="0068153C" w:rsidRPr="0067297E">
        <w:rPr>
          <w:rFonts w:asciiTheme="minorHAnsi" w:hAnsiTheme="minorHAnsi" w:cstheme="minorHAnsi"/>
          <w:shd w:val="clear" w:color="auto" w:fill="FFFFFF"/>
          <w:lang w:val="en-GB" w:eastAsia="en-GB"/>
        </w:rPr>
        <w:t>ap 1.</w:t>
      </w:r>
      <w:r w:rsidR="00363030" w:rsidRPr="0067297E">
        <w:rPr>
          <w:rFonts w:asciiTheme="minorHAnsi" w:hAnsiTheme="minorHAnsi" w:cstheme="minorHAnsi"/>
          <w:shd w:val="clear" w:color="auto" w:fill="FFFFFF"/>
          <w:lang w:val="en-GB" w:eastAsia="en-GB"/>
        </w:rPr>
        <w:t>2</w:t>
      </w:r>
      <w:r w:rsidR="0068153C" w:rsidRPr="0067297E">
        <w:rPr>
          <w:rFonts w:asciiTheme="minorHAnsi" w:hAnsiTheme="minorHAnsi" w:cstheme="minorHAnsi"/>
          <w:shd w:val="clear" w:color="auto" w:fill="FFFFFF"/>
          <w:lang w:val="en-GB" w:eastAsia="en-GB"/>
        </w:rPr>
        <w:t>)</w:t>
      </w:r>
      <w:r w:rsidRPr="0067297E">
        <w:rPr>
          <w:rFonts w:asciiTheme="minorHAnsi" w:hAnsiTheme="minorHAnsi" w:cstheme="minorHAnsi"/>
          <w:shd w:val="clear" w:color="auto" w:fill="FFFFFF"/>
          <w:lang w:val="en-GB" w:eastAsia="en-GB"/>
        </w:rPr>
        <w:t xml:space="preserve">. </w:t>
      </w:r>
    </w:p>
    <w:p w14:paraId="57846C3D" w14:textId="77777777" w:rsidR="008F7D71" w:rsidRPr="0067297E" w:rsidRDefault="008F7D71" w:rsidP="00543A76">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Most estate agency brands operate from local branches and are self-contained with the branch area of operation being the town in which the branch is located. Letting agencies tend to be managed from a single office with local branches providing key holding and viewing services.  Therefore, the information provided for each sub area below is a summary of information provided across several branches.</w:t>
      </w:r>
    </w:p>
    <w:p w14:paraId="4364AFD4" w14:textId="51FFD4B3" w:rsidR="008F7D71" w:rsidRPr="0067297E" w:rsidRDefault="008F7D71" w:rsidP="00114D52">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Throughout the investigation we sought to understand the options available for older people seeking more suitable housing as they aged.  No agent raised this as being an issue.  We were subsequently advised </w:t>
      </w:r>
      <w:r w:rsidR="0068153C" w:rsidRPr="0067297E">
        <w:rPr>
          <w:rFonts w:asciiTheme="minorHAnsi" w:hAnsiTheme="minorHAnsi" w:cstheme="minorHAnsi"/>
          <w:shd w:val="clear" w:color="auto" w:fill="FFFFFF"/>
          <w:lang w:val="en-GB" w:eastAsia="en-GB"/>
        </w:rPr>
        <w:t xml:space="preserve">by council officers </w:t>
      </w:r>
      <w:r w:rsidRPr="0067297E">
        <w:rPr>
          <w:rFonts w:asciiTheme="minorHAnsi" w:hAnsiTheme="minorHAnsi" w:cstheme="minorHAnsi"/>
          <w:shd w:val="clear" w:color="auto" w:fill="FFFFFF"/>
          <w:lang w:val="en-GB" w:eastAsia="en-GB"/>
        </w:rPr>
        <w:t xml:space="preserve">that the supply of modern </w:t>
      </w:r>
      <w:r w:rsidRPr="0067297E">
        <w:rPr>
          <w:rFonts w:asciiTheme="minorHAnsi" w:hAnsiTheme="minorHAnsi" w:cstheme="minorHAnsi"/>
          <w:shd w:val="clear" w:color="auto" w:fill="FFFFFF"/>
          <w:lang w:eastAsia="en-GB"/>
        </w:rPr>
        <w:t>apartments with lift access were readily available for market sale and rent</w:t>
      </w:r>
      <w:r w:rsidR="001254A4" w:rsidRPr="0067297E">
        <w:rPr>
          <w:rFonts w:asciiTheme="minorHAnsi" w:hAnsiTheme="minorHAnsi" w:cstheme="minorHAnsi"/>
          <w:shd w:val="clear" w:color="auto" w:fill="FFFFFF"/>
          <w:lang w:eastAsia="en-GB"/>
        </w:rPr>
        <w:t xml:space="preserve"> affordable to many older people seeking to downsize from higher priced housing</w:t>
      </w:r>
      <w:r w:rsidRPr="0067297E">
        <w:rPr>
          <w:rFonts w:asciiTheme="minorHAnsi" w:hAnsiTheme="minorHAnsi" w:cstheme="minorHAnsi"/>
          <w:shd w:val="clear" w:color="auto" w:fill="FFFFFF"/>
          <w:lang w:eastAsia="en-GB"/>
        </w:rPr>
        <w:t xml:space="preserve">.  </w:t>
      </w:r>
    </w:p>
    <w:p w14:paraId="5E8FC805" w14:textId="77777777" w:rsidR="003C469F" w:rsidRPr="0067297E" w:rsidRDefault="003C469F" w:rsidP="003C469F">
      <w:pPr>
        <w:pStyle w:val="Reporttext"/>
        <w:numPr>
          <w:ilvl w:val="0"/>
          <w:numId w:val="0"/>
        </w:numPr>
        <w:ind w:left="709"/>
        <w:rPr>
          <w:rFonts w:asciiTheme="minorHAnsi" w:hAnsiTheme="minorHAnsi" w:cstheme="minorHAnsi"/>
          <w:shd w:val="clear" w:color="auto" w:fill="FFFFFF"/>
          <w:lang w:val="en-GB" w:eastAsia="en-GB"/>
        </w:rPr>
      </w:pPr>
    </w:p>
    <w:p w14:paraId="43708FD8" w14:textId="7328FBD2" w:rsidR="0068153C" w:rsidRPr="0067297E" w:rsidRDefault="008F7D71" w:rsidP="00152C6F">
      <w:pPr>
        <w:pStyle w:val="Heading4"/>
        <w:rPr>
          <w:rFonts w:asciiTheme="minorHAnsi" w:hAnsiTheme="minorHAnsi"/>
        </w:rPr>
      </w:pPr>
      <w:r w:rsidRPr="0067297E">
        <w:rPr>
          <w:rFonts w:asciiTheme="minorHAnsi" w:hAnsiTheme="minorHAnsi"/>
        </w:rPr>
        <w:t xml:space="preserve">The </w:t>
      </w:r>
      <w:r w:rsidR="00446B98" w:rsidRPr="0067297E">
        <w:rPr>
          <w:rFonts w:asciiTheme="minorHAnsi" w:hAnsiTheme="minorHAnsi"/>
        </w:rPr>
        <w:t xml:space="preserve">south and </w:t>
      </w:r>
      <w:r w:rsidRPr="0067297E">
        <w:rPr>
          <w:rFonts w:asciiTheme="minorHAnsi" w:hAnsiTheme="minorHAnsi"/>
        </w:rPr>
        <w:t xml:space="preserve">west </w:t>
      </w:r>
      <w:r w:rsidR="0068153C" w:rsidRPr="0067297E">
        <w:rPr>
          <w:rFonts w:asciiTheme="minorHAnsi" w:hAnsiTheme="minorHAnsi"/>
        </w:rPr>
        <w:t>sub-area</w:t>
      </w:r>
      <w:r w:rsidR="00446B98" w:rsidRPr="0067297E">
        <w:rPr>
          <w:rFonts w:asciiTheme="minorHAnsi" w:hAnsiTheme="minorHAnsi"/>
        </w:rPr>
        <w:t>s</w:t>
      </w:r>
    </w:p>
    <w:p w14:paraId="6A95EA8A" w14:textId="27E8FE32" w:rsidR="008F7D71" w:rsidRPr="0067297E" w:rsidRDefault="008F7D71" w:rsidP="006C722F">
      <w:pPr>
        <w:pStyle w:val="Reporttext"/>
        <w:rPr>
          <w:rFonts w:asciiTheme="minorHAnsi" w:hAnsiTheme="minorHAnsi"/>
          <w:shd w:val="clear" w:color="auto" w:fill="FFFFFF"/>
          <w:lang w:eastAsia="en-GB"/>
        </w:rPr>
      </w:pPr>
      <w:r w:rsidRPr="0067297E">
        <w:rPr>
          <w:rFonts w:asciiTheme="minorHAnsi" w:hAnsiTheme="minorHAnsi"/>
          <w:shd w:val="clear" w:color="auto" w:fill="FFFFFF"/>
          <w:lang w:eastAsia="en-GB"/>
        </w:rPr>
        <w:t xml:space="preserve">This contains the Sydenham, Forest Hill and other </w:t>
      </w:r>
      <w:r w:rsidR="009D746F" w:rsidRPr="0067297E">
        <w:rPr>
          <w:rFonts w:asciiTheme="minorHAnsi" w:hAnsiTheme="minorHAnsi"/>
          <w:shd w:val="clear" w:color="auto" w:fill="FFFFFF"/>
          <w:lang w:val="en-GB" w:eastAsia="en-GB"/>
        </w:rPr>
        <w:t>areas</w:t>
      </w:r>
      <w:r w:rsidR="009D746F" w:rsidRPr="0067297E">
        <w:rPr>
          <w:rFonts w:asciiTheme="minorHAnsi" w:hAnsiTheme="minorHAnsi"/>
          <w:shd w:val="clear" w:color="auto" w:fill="FFFFFF"/>
          <w:lang w:eastAsia="en-GB"/>
        </w:rPr>
        <w:t xml:space="preserve"> </w:t>
      </w:r>
      <w:r w:rsidRPr="0067297E">
        <w:rPr>
          <w:rFonts w:asciiTheme="minorHAnsi" w:hAnsiTheme="minorHAnsi"/>
          <w:shd w:val="clear" w:color="auto" w:fill="FFFFFF"/>
          <w:lang w:eastAsia="en-GB"/>
        </w:rPr>
        <w:t xml:space="preserve">as far north as Brockley.  </w:t>
      </w:r>
    </w:p>
    <w:p w14:paraId="14539404" w14:textId="48954123" w:rsidR="008F7D71" w:rsidRPr="0067297E" w:rsidRDefault="008F7D71" w:rsidP="006C722F">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The area is typically low and medium rise, detached, semi-detached and terraced houses some of which have been subdivided into flats.  Other flats are purpose built.  The area has main service centres in the form of high streets but there are many smaller local service centres. Key to communications is the </w:t>
      </w:r>
      <w:r w:rsidR="00544F56" w:rsidRPr="0067297E">
        <w:rPr>
          <w:rFonts w:asciiTheme="minorHAnsi" w:hAnsiTheme="minorHAnsi" w:cstheme="minorHAnsi"/>
          <w:shd w:val="clear" w:color="auto" w:fill="FFFFFF"/>
          <w:lang w:val="en-GB" w:eastAsia="en-GB"/>
        </w:rPr>
        <w:t xml:space="preserve">overground </w:t>
      </w:r>
      <w:r w:rsidRPr="0067297E">
        <w:rPr>
          <w:rFonts w:asciiTheme="minorHAnsi" w:hAnsiTheme="minorHAnsi" w:cstheme="minorHAnsi"/>
          <w:shd w:val="clear" w:color="auto" w:fill="FFFFFF"/>
          <w:lang w:val="en-GB" w:eastAsia="en-GB"/>
        </w:rPr>
        <w:t xml:space="preserve">railway line that connects New Cross, Brockley and Sydenham to Croydon and beyond. </w:t>
      </w:r>
    </w:p>
    <w:p w14:paraId="656215CC" w14:textId="00B0066F" w:rsidR="008F7D71" w:rsidRPr="0067297E" w:rsidRDefault="008F7D71" w:rsidP="006C722F">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Agents told us that prices tend to be higher in the northern parts of the sub area.  They told us that supply had been severely affected by Brexit uncertainty with many households choosing to stay put rather than find more suitable housing. </w:t>
      </w:r>
      <w:r w:rsidR="00520303" w:rsidRPr="0067297E">
        <w:rPr>
          <w:rFonts w:asciiTheme="minorHAnsi" w:hAnsiTheme="minorHAnsi" w:cstheme="minorHAnsi"/>
          <w:shd w:val="clear" w:color="auto" w:fill="FFFFFF"/>
          <w:lang w:val="en-GB" w:eastAsia="en-GB"/>
        </w:rPr>
        <w:t xml:space="preserve">Tenants </w:t>
      </w:r>
      <w:r w:rsidRPr="0067297E">
        <w:rPr>
          <w:rFonts w:asciiTheme="minorHAnsi" w:hAnsiTheme="minorHAnsi" w:cstheme="minorHAnsi"/>
          <w:shd w:val="clear" w:color="auto" w:fill="FFFFFF"/>
          <w:lang w:val="en-GB" w:eastAsia="en-GB"/>
        </w:rPr>
        <w:t>are also staying put, anticipating change to the practice of agents charging fees.</w:t>
      </w:r>
    </w:p>
    <w:p w14:paraId="7EEB23B9" w14:textId="306C9576" w:rsidR="008F7D71" w:rsidRPr="0067297E" w:rsidRDefault="008F7D71" w:rsidP="00944242">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There is a ripple effect due to households relocating from central and north London and local people moving south in the event that </w:t>
      </w:r>
      <w:r w:rsidR="00520303" w:rsidRPr="0067297E">
        <w:rPr>
          <w:rFonts w:asciiTheme="minorHAnsi" w:hAnsiTheme="minorHAnsi" w:cstheme="minorHAnsi"/>
          <w:shd w:val="clear" w:color="auto" w:fill="FFFFFF"/>
          <w:lang w:val="en-GB" w:eastAsia="en-GB"/>
        </w:rPr>
        <w:t xml:space="preserve">their </w:t>
      </w:r>
      <w:r w:rsidRPr="0067297E">
        <w:rPr>
          <w:rFonts w:asciiTheme="minorHAnsi" w:hAnsiTheme="minorHAnsi" w:cstheme="minorHAnsi"/>
          <w:shd w:val="clear" w:color="auto" w:fill="FFFFFF"/>
          <w:lang w:val="en-GB" w:eastAsia="en-GB"/>
        </w:rPr>
        <w:t>exi</w:t>
      </w:r>
      <w:r w:rsidR="001254A4" w:rsidRPr="0067297E">
        <w:rPr>
          <w:rFonts w:asciiTheme="minorHAnsi" w:hAnsiTheme="minorHAnsi" w:cstheme="minorHAnsi"/>
          <w:shd w:val="clear" w:color="auto" w:fill="FFFFFF"/>
          <w:lang w:val="en-GB" w:eastAsia="en-GB"/>
        </w:rPr>
        <w:t>st</w:t>
      </w:r>
      <w:r w:rsidRPr="0067297E">
        <w:rPr>
          <w:rFonts w:asciiTheme="minorHAnsi" w:hAnsiTheme="minorHAnsi" w:cstheme="minorHAnsi"/>
          <w:shd w:val="clear" w:color="auto" w:fill="FFFFFF"/>
          <w:lang w:val="en-GB" w:eastAsia="en-GB"/>
        </w:rPr>
        <w:t>ing housing is unsuitable.</w:t>
      </w:r>
    </w:p>
    <w:p w14:paraId="1DC670A3" w14:textId="6874D049" w:rsidR="008F7D71" w:rsidRPr="0067297E" w:rsidRDefault="008F7D71" w:rsidP="006B6473">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We were told that it was difficult to gauge local market gaps as many households actively seeking housing currently lived outside the borough.  They told us that family housing for rent was always in short supply and would let very quickly. Prospective tenants in receipt of benefit were almost entirely dependent on social tenancies as were older private rented sector tenants seeking suitable secure housing. Older </w:t>
      </w:r>
      <w:r w:rsidR="00785D71" w:rsidRPr="0067297E">
        <w:rPr>
          <w:rFonts w:asciiTheme="minorHAnsi" w:hAnsiTheme="minorHAnsi" w:cstheme="minorHAnsi"/>
          <w:shd w:val="clear" w:color="auto" w:fill="FFFFFF"/>
          <w:lang w:val="en-GB" w:eastAsia="en-GB"/>
        </w:rPr>
        <w:t>homeowners</w:t>
      </w:r>
      <w:r w:rsidRPr="0067297E">
        <w:rPr>
          <w:rFonts w:asciiTheme="minorHAnsi" w:hAnsiTheme="minorHAnsi" w:cstheme="minorHAnsi"/>
          <w:shd w:val="clear" w:color="auto" w:fill="FFFFFF"/>
          <w:lang w:val="en-GB" w:eastAsia="en-GB"/>
        </w:rPr>
        <w:t xml:space="preserve"> with significant equity had more choice due to the significant and growing apartment market.</w:t>
      </w:r>
    </w:p>
    <w:p w14:paraId="60DBDD94" w14:textId="77777777" w:rsidR="008F7D71" w:rsidRPr="0067297E" w:rsidRDefault="008F7D71" w:rsidP="006B6473">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Agents told us that landlords could help to meet growing demand for rented accommodation but are frustrated in doing so by planning policy that resists conversion of houses into flats.  We were told that there is a growing practice of letting by room.</w:t>
      </w:r>
    </w:p>
    <w:p w14:paraId="6DD051BA" w14:textId="77777777" w:rsidR="008F7D71" w:rsidRPr="0067297E" w:rsidRDefault="008F7D71" w:rsidP="00FA273F">
      <w:pPr>
        <w:rPr>
          <w:rFonts w:asciiTheme="minorHAnsi" w:hAnsiTheme="minorHAnsi"/>
        </w:rPr>
      </w:pPr>
    </w:p>
    <w:p w14:paraId="6BDC3A0A" w14:textId="31E5AC32" w:rsidR="008F7D71" w:rsidRPr="0067297E" w:rsidRDefault="008F7D71">
      <w:pPr>
        <w:pStyle w:val="Heading4"/>
        <w:rPr>
          <w:rFonts w:asciiTheme="minorHAnsi" w:hAnsiTheme="minorHAnsi"/>
          <w:lang w:val="en-GB"/>
        </w:rPr>
      </w:pPr>
      <w:r w:rsidRPr="0067297E">
        <w:rPr>
          <w:rFonts w:asciiTheme="minorHAnsi" w:hAnsiTheme="minorHAnsi"/>
        </w:rPr>
        <w:t>The north</w:t>
      </w:r>
      <w:r w:rsidR="0068153C" w:rsidRPr="0067297E">
        <w:rPr>
          <w:rFonts w:asciiTheme="minorHAnsi" w:hAnsiTheme="minorHAnsi"/>
          <w:lang w:val="en-GB"/>
        </w:rPr>
        <w:t xml:space="preserve"> sub-area</w:t>
      </w:r>
    </w:p>
    <w:p w14:paraId="7AAB7A01" w14:textId="12CC1E87" w:rsidR="008F7D71" w:rsidRPr="0067297E" w:rsidRDefault="008F7D71">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Deptford</w:t>
      </w:r>
      <w:r w:rsidR="002C5172" w:rsidRPr="0067297E" w:rsidDel="002C5172">
        <w:rPr>
          <w:rFonts w:asciiTheme="minorHAnsi" w:hAnsiTheme="minorHAnsi" w:cstheme="minorHAnsi"/>
          <w:shd w:val="clear" w:color="auto" w:fill="FFFFFF"/>
          <w:lang w:val="en-GB" w:eastAsia="en-GB"/>
        </w:rPr>
        <w:t xml:space="preserve"> </w:t>
      </w:r>
      <w:r w:rsidR="002C5172" w:rsidRPr="0067297E">
        <w:rPr>
          <w:rFonts w:asciiTheme="minorHAnsi" w:hAnsiTheme="minorHAnsi" w:cstheme="minorHAnsi"/>
          <w:shd w:val="clear" w:color="auto" w:fill="FFFFFF"/>
          <w:lang w:val="en-GB" w:eastAsia="en-GB"/>
        </w:rPr>
        <w:t>a</w:t>
      </w:r>
      <w:r w:rsidRPr="0067297E">
        <w:rPr>
          <w:rFonts w:asciiTheme="minorHAnsi" w:hAnsiTheme="minorHAnsi" w:cstheme="minorHAnsi"/>
          <w:shd w:val="clear" w:color="auto" w:fill="FFFFFF"/>
          <w:lang w:val="en-GB" w:eastAsia="en-GB"/>
        </w:rPr>
        <w:t>nd New Cross form this sub area.</w:t>
      </w:r>
    </w:p>
    <w:p w14:paraId="1F74799E" w14:textId="15503EBB" w:rsidR="008F7D71" w:rsidRPr="0067297E" w:rsidRDefault="008F7D71">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A distinguishing feature of the sub area is its student population. Goldsmiths University is located at New Cross and Trinity </w:t>
      </w:r>
      <w:r w:rsidR="00544F56" w:rsidRPr="0067297E">
        <w:rPr>
          <w:rFonts w:asciiTheme="minorHAnsi" w:hAnsiTheme="minorHAnsi" w:cstheme="minorHAnsi"/>
          <w:shd w:val="clear" w:color="auto" w:fill="FFFFFF"/>
          <w:lang w:val="en-GB" w:eastAsia="en-GB"/>
        </w:rPr>
        <w:t xml:space="preserve">Laban </w:t>
      </w:r>
      <w:r w:rsidR="00E95B36" w:rsidRPr="0067297E">
        <w:rPr>
          <w:rFonts w:asciiTheme="minorHAnsi" w:hAnsiTheme="minorHAnsi" w:cstheme="minorHAnsi"/>
          <w:shd w:val="clear" w:color="auto" w:fill="FFFFFF"/>
          <w:lang w:val="en-GB" w:eastAsia="en-GB"/>
        </w:rPr>
        <w:t>also have their main campus located within Lewisham.</w:t>
      </w:r>
      <w:r w:rsidRPr="0067297E">
        <w:rPr>
          <w:rFonts w:asciiTheme="minorHAnsi" w:hAnsiTheme="minorHAnsi" w:cstheme="minorHAnsi"/>
          <w:shd w:val="clear" w:color="auto" w:fill="FFFFFF"/>
          <w:lang w:val="en-GB" w:eastAsia="en-GB"/>
        </w:rPr>
        <w:t xml:space="preserve"> </w:t>
      </w:r>
      <w:r w:rsidR="009D746F" w:rsidRPr="0067297E">
        <w:rPr>
          <w:rFonts w:asciiTheme="minorHAnsi" w:hAnsiTheme="minorHAnsi" w:cstheme="minorHAnsi"/>
          <w:shd w:val="clear" w:color="auto" w:fill="FFFFFF"/>
          <w:lang w:val="en-GB" w:eastAsia="en-GB"/>
        </w:rPr>
        <w:t xml:space="preserve">Greenwich is also located to the east of the borough. </w:t>
      </w:r>
      <w:r w:rsidR="00E95B36" w:rsidRPr="0067297E">
        <w:rPr>
          <w:rFonts w:asciiTheme="minorHAnsi" w:hAnsiTheme="minorHAnsi" w:cstheme="minorHAnsi"/>
          <w:shd w:val="clear" w:color="auto" w:fill="FFFFFF"/>
          <w:lang w:val="en-GB" w:eastAsia="en-GB"/>
        </w:rPr>
        <w:t>S</w:t>
      </w:r>
      <w:r w:rsidRPr="0067297E">
        <w:rPr>
          <w:rFonts w:asciiTheme="minorHAnsi" w:hAnsiTheme="minorHAnsi" w:cstheme="minorHAnsi"/>
          <w:shd w:val="clear" w:color="auto" w:fill="FFFFFF"/>
          <w:lang w:val="en-GB" w:eastAsia="en-GB"/>
        </w:rPr>
        <w:t xml:space="preserve">tudents from these institutions live in purpose built and private rented sector housing in Deptford.  New Cross agents told us that some students studying </w:t>
      </w:r>
      <w:r w:rsidR="00544F56" w:rsidRPr="0067297E">
        <w:rPr>
          <w:rFonts w:asciiTheme="minorHAnsi" w:hAnsiTheme="minorHAnsi" w:cstheme="minorHAnsi"/>
          <w:shd w:val="clear" w:color="auto" w:fill="FFFFFF"/>
          <w:lang w:val="en-GB" w:eastAsia="en-GB"/>
        </w:rPr>
        <w:t xml:space="preserve">outside of the borough </w:t>
      </w:r>
      <w:r w:rsidRPr="0067297E">
        <w:rPr>
          <w:rFonts w:asciiTheme="minorHAnsi" w:hAnsiTheme="minorHAnsi" w:cstheme="minorHAnsi"/>
          <w:shd w:val="clear" w:color="auto" w:fill="FFFFFF"/>
          <w:lang w:val="en-GB" w:eastAsia="en-GB"/>
        </w:rPr>
        <w:t>choose to live in the area and commute to their place of study as private rented sector student lettings tend to be more affordable.</w:t>
      </w:r>
    </w:p>
    <w:p w14:paraId="526A629C" w14:textId="77777777" w:rsidR="008F7D71" w:rsidRPr="0067297E" w:rsidRDefault="008F7D71">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Agents told us that there was little evidence to suggest that demand for private rented sector HMO student housing was weakening due to the increasing supply of purpose-built student housing.  This is because many students could not afford purpose-built accommodation. There was a balance between student HMOs and residential housing, both shared and self-contained as some landlords preferred not to let to students.</w:t>
      </w:r>
    </w:p>
    <w:p w14:paraId="399AAB2A" w14:textId="4329421E" w:rsidR="008F7D71" w:rsidRPr="0067297E" w:rsidRDefault="008F7D71">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Agents told us that they anticipated that forthcoming large</w:t>
      </w:r>
      <w:r w:rsidR="00E95B36" w:rsidRPr="0067297E">
        <w:rPr>
          <w:rFonts w:asciiTheme="minorHAnsi" w:hAnsiTheme="minorHAnsi" w:cstheme="minorHAnsi"/>
          <w:shd w:val="clear" w:color="auto" w:fill="FFFFFF"/>
          <w:lang w:val="en-GB" w:eastAsia="en-GB"/>
        </w:rPr>
        <w:t>-</w:t>
      </w:r>
      <w:r w:rsidRPr="0067297E">
        <w:rPr>
          <w:rFonts w:asciiTheme="minorHAnsi" w:hAnsiTheme="minorHAnsi" w:cstheme="minorHAnsi"/>
          <w:shd w:val="clear" w:color="auto" w:fill="FFFFFF"/>
          <w:lang w:val="en-GB" w:eastAsia="en-GB"/>
        </w:rPr>
        <w:t>scale development of Convoys Wharf will have a considerable impact on the town of Deptford. It is anticipated that around 3,500 new homes will be established</w:t>
      </w:r>
      <w:r w:rsidR="00E95B36" w:rsidRPr="0067297E">
        <w:rPr>
          <w:rFonts w:asciiTheme="minorHAnsi" w:hAnsiTheme="minorHAnsi" w:cstheme="minorHAnsi"/>
          <w:shd w:val="clear" w:color="auto" w:fill="FFFFFF"/>
          <w:lang w:val="en-GB" w:eastAsia="en-GB"/>
        </w:rPr>
        <w:t>.</w:t>
      </w:r>
      <w:r w:rsidRPr="0067297E">
        <w:rPr>
          <w:rFonts w:asciiTheme="minorHAnsi" w:hAnsiTheme="minorHAnsi" w:cstheme="minorHAnsi"/>
          <w:shd w:val="clear" w:color="auto" w:fill="FFFFFF"/>
          <w:lang w:val="en-GB" w:eastAsia="en-GB"/>
        </w:rPr>
        <w:t xml:space="preserve">  Agents anticipate that this will be occupied mostly by young professionals both owning and renting facilitated by</w:t>
      </w:r>
      <w:r w:rsidR="002C5172" w:rsidRPr="0067297E">
        <w:rPr>
          <w:rFonts w:asciiTheme="minorHAnsi" w:hAnsiTheme="minorHAnsi" w:cstheme="minorHAnsi"/>
          <w:shd w:val="clear" w:color="auto" w:fill="FFFFFF"/>
          <w:lang w:val="en-GB" w:eastAsia="en-GB"/>
        </w:rPr>
        <w:t xml:space="preserve"> easy access to</w:t>
      </w:r>
      <w:r w:rsidRPr="0067297E">
        <w:rPr>
          <w:rFonts w:asciiTheme="minorHAnsi" w:hAnsiTheme="minorHAnsi" w:cstheme="minorHAnsi"/>
          <w:shd w:val="clear" w:color="auto" w:fill="FFFFFF"/>
          <w:lang w:val="en-GB" w:eastAsia="en-GB"/>
        </w:rPr>
        <w:t xml:space="preserve"> the </w:t>
      </w:r>
      <w:r w:rsidR="00544F56" w:rsidRPr="0067297E">
        <w:rPr>
          <w:rFonts w:asciiTheme="minorHAnsi" w:hAnsiTheme="minorHAnsi" w:cstheme="minorHAnsi"/>
          <w:shd w:val="clear" w:color="auto" w:fill="FFFFFF"/>
          <w:lang w:val="en-GB" w:eastAsia="en-GB"/>
        </w:rPr>
        <w:t>Docklands L</w:t>
      </w:r>
      <w:r w:rsidRPr="0067297E">
        <w:rPr>
          <w:rFonts w:asciiTheme="minorHAnsi" w:hAnsiTheme="minorHAnsi" w:cstheme="minorHAnsi"/>
          <w:shd w:val="clear" w:color="auto" w:fill="FFFFFF"/>
          <w:lang w:val="en-GB" w:eastAsia="en-GB"/>
        </w:rPr>
        <w:t xml:space="preserve">ight </w:t>
      </w:r>
      <w:r w:rsidR="00544F56" w:rsidRPr="0067297E">
        <w:rPr>
          <w:rFonts w:asciiTheme="minorHAnsi" w:hAnsiTheme="minorHAnsi" w:cstheme="minorHAnsi"/>
          <w:shd w:val="clear" w:color="auto" w:fill="FFFFFF"/>
          <w:lang w:val="en-GB" w:eastAsia="en-GB"/>
        </w:rPr>
        <w:t xml:space="preserve">Railway </w:t>
      </w:r>
      <w:r w:rsidRPr="0067297E">
        <w:rPr>
          <w:rFonts w:asciiTheme="minorHAnsi" w:hAnsiTheme="minorHAnsi" w:cstheme="minorHAnsi"/>
          <w:shd w:val="clear" w:color="auto" w:fill="FFFFFF"/>
          <w:lang w:val="en-GB" w:eastAsia="en-GB"/>
        </w:rPr>
        <w:t xml:space="preserve">(DLR).  They believe that this will stimulate the local economy and lead to the transformation of Deptford town centre in terms of its character, housing and retail offer. The area has a reputation for supporting people working, studying in the performing arts sector which will be displaced by a local economy geared towards professionals. Pubs will be replaced by bars and restaurants and as a consequence some commercial buildings will be converted into residential accommodation.  </w:t>
      </w:r>
    </w:p>
    <w:p w14:paraId="7DA52B71" w14:textId="77777777" w:rsidR="008F7D71" w:rsidRPr="0067297E" w:rsidRDefault="008F7D71" w:rsidP="00FA273F">
      <w:pPr>
        <w:rPr>
          <w:rFonts w:asciiTheme="minorHAnsi" w:hAnsiTheme="minorHAnsi"/>
        </w:rPr>
      </w:pPr>
    </w:p>
    <w:p w14:paraId="44808F4D" w14:textId="45AB3A41" w:rsidR="008F7D71" w:rsidRPr="0067297E" w:rsidRDefault="008F7D71">
      <w:pPr>
        <w:pStyle w:val="Heading4"/>
        <w:rPr>
          <w:rFonts w:asciiTheme="minorHAnsi" w:hAnsiTheme="minorHAnsi"/>
        </w:rPr>
      </w:pPr>
      <w:r w:rsidRPr="0067297E">
        <w:rPr>
          <w:rFonts w:asciiTheme="minorHAnsi" w:hAnsiTheme="minorHAnsi"/>
        </w:rPr>
        <w:t xml:space="preserve">The central </w:t>
      </w:r>
      <w:r w:rsidR="00E95B36" w:rsidRPr="0067297E">
        <w:rPr>
          <w:rFonts w:asciiTheme="minorHAnsi" w:hAnsiTheme="minorHAnsi"/>
          <w:lang w:val="en-GB"/>
        </w:rPr>
        <w:t>sub-area</w:t>
      </w:r>
      <w:r w:rsidRPr="0067297E">
        <w:rPr>
          <w:rFonts w:asciiTheme="minorHAnsi" w:hAnsiTheme="minorHAnsi"/>
        </w:rPr>
        <w:t>: Lewisham and Catford</w:t>
      </w:r>
    </w:p>
    <w:p w14:paraId="1306638D" w14:textId="51F1F01D" w:rsidR="008F7D71" w:rsidRPr="0067297E" w:rsidRDefault="008F7D71">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We note the legacy of housebuilding in the Victorian and Edwardian eras within this corridor.  Large detached semi-detached and terraced homes were established to support London’s expanding middle class during and after the industrial revolution.  Smaller suburban type dwellings found elsewhere in </w:t>
      </w:r>
      <w:r w:rsidR="00544F56" w:rsidRPr="0067297E">
        <w:rPr>
          <w:rFonts w:asciiTheme="minorHAnsi" w:hAnsiTheme="minorHAnsi" w:cstheme="minorHAnsi"/>
          <w:shd w:val="clear" w:color="auto" w:fill="FFFFFF"/>
          <w:lang w:val="en-GB" w:eastAsia="en-GB"/>
        </w:rPr>
        <w:t xml:space="preserve">South </w:t>
      </w:r>
      <w:r w:rsidRPr="0067297E">
        <w:rPr>
          <w:rFonts w:asciiTheme="minorHAnsi" w:hAnsiTheme="minorHAnsi" w:cstheme="minorHAnsi"/>
          <w:shd w:val="clear" w:color="auto" w:fill="FFFFFF"/>
          <w:lang w:val="en-GB" w:eastAsia="en-GB"/>
        </w:rPr>
        <w:t xml:space="preserve">London’s metro land are not apparent until the southern part of the borough along the A21, south of Catford. The </w:t>
      </w:r>
      <w:r w:rsidR="002C5172" w:rsidRPr="0067297E">
        <w:rPr>
          <w:rFonts w:asciiTheme="minorHAnsi" w:hAnsiTheme="minorHAnsi" w:cstheme="minorHAnsi"/>
          <w:shd w:val="clear" w:color="auto" w:fill="FFFFFF"/>
          <w:lang w:val="en-GB" w:eastAsia="en-GB"/>
        </w:rPr>
        <w:t xml:space="preserve">A205 </w:t>
      </w:r>
      <w:r w:rsidRPr="0067297E">
        <w:rPr>
          <w:rFonts w:asciiTheme="minorHAnsi" w:hAnsiTheme="minorHAnsi" w:cstheme="minorHAnsi"/>
          <w:shd w:val="clear" w:color="auto" w:fill="FFFFFF"/>
          <w:lang w:val="en-GB" w:eastAsia="en-GB"/>
        </w:rPr>
        <w:t>South Circular road cuts through Catford and we experienced significant congestion where the two roads meet.</w:t>
      </w:r>
    </w:p>
    <w:p w14:paraId="7725E53F" w14:textId="5D85DD91" w:rsidR="008F7D71" w:rsidRPr="0067297E" w:rsidRDefault="008F7D71">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Agents told us that Lewisham town has seen significant housebuilding and investment with appreciating house prices and rents from the point that the DLR extension was proposed for the town. Since then the town has continued to attract young professionals partly due to the continuing level of new build housing, particularly high-rise apartment blocks</w:t>
      </w:r>
      <w:r w:rsidR="002C5172" w:rsidRPr="0067297E">
        <w:rPr>
          <w:rFonts w:asciiTheme="minorHAnsi" w:hAnsiTheme="minorHAnsi" w:cstheme="minorHAnsi"/>
          <w:shd w:val="clear" w:color="auto" w:fill="FFFFFF"/>
          <w:lang w:val="en-GB" w:eastAsia="en-GB"/>
        </w:rPr>
        <w:t xml:space="preserve"> close to Lewisham station</w:t>
      </w:r>
      <w:r w:rsidRPr="0067297E">
        <w:rPr>
          <w:rFonts w:asciiTheme="minorHAnsi" w:hAnsiTheme="minorHAnsi" w:cstheme="minorHAnsi"/>
          <w:shd w:val="clear" w:color="auto" w:fill="FFFFFF"/>
          <w:lang w:val="en-GB" w:eastAsia="en-GB"/>
        </w:rPr>
        <w:t xml:space="preserve">.  </w:t>
      </w:r>
    </w:p>
    <w:p w14:paraId="03D8979A" w14:textId="0E45F25C" w:rsidR="008F7D71" w:rsidRPr="0067297E" w:rsidRDefault="008F7D71">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Agents told us that Catford town was already seen by individuals and investors as an investment opportunity, and owners were tending to ‘stay put’ due to the potential for capital appreciation of their property. As one agent put it investors were now ‘after the scraps’ being short lease properties or those subject to probate problems. He also commented that the ban on conversions was ‘biting’ resulting in an undersupply of rented housing as growth in the sector was not keeping up with demand. The agent also told us that some potential purchasers seeking a Victorian or Edwardian house in Catford or Lewisham for their families, avoided dwellings with a poor street scene.  This was a consequence of a high proportion of houses being subdivided and insufficient space for car parking and wheelie bins.  </w:t>
      </w:r>
    </w:p>
    <w:p w14:paraId="5E40C31C" w14:textId="77777777" w:rsidR="008F7D71" w:rsidRPr="0067297E" w:rsidRDefault="008F7D71" w:rsidP="00FA273F">
      <w:pPr>
        <w:rPr>
          <w:rFonts w:asciiTheme="minorHAnsi" w:hAnsiTheme="minorHAnsi"/>
        </w:rPr>
      </w:pPr>
    </w:p>
    <w:p w14:paraId="7EB17C93" w14:textId="1786A043" w:rsidR="00E95B36" w:rsidRPr="0067297E" w:rsidRDefault="008F7D71" w:rsidP="00FA273F">
      <w:pPr>
        <w:pStyle w:val="Heading4"/>
        <w:rPr>
          <w:rFonts w:asciiTheme="minorHAnsi" w:hAnsiTheme="minorHAnsi"/>
        </w:rPr>
      </w:pPr>
      <w:r w:rsidRPr="0067297E">
        <w:rPr>
          <w:rFonts w:asciiTheme="minorHAnsi" w:hAnsiTheme="minorHAnsi"/>
        </w:rPr>
        <w:t xml:space="preserve">The </w:t>
      </w:r>
      <w:r w:rsidR="00E95B36" w:rsidRPr="0067297E">
        <w:rPr>
          <w:rFonts w:asciiTheme="minorHAnsi" w:hAnsiTheme="minorHAnsi"/>
        </w:rPr>
        <w:t>e</w:t>
      </w:r>
      <w:r w:rsidRPr="0067297E">
        <w:rPr>
          <w:rFonts w:asciiTheme="minorHAnsi" w:hAnsiTheme="minorHAnsi"/>
        </w:rPr>
        <w:t>ast</w:t>
      </w:r>
      <w:r w:rsidR="00E95B36" w:rsidRPr="0067297E">
        <w:rPr>
          <w:rFonts w:asciiTheme="minorHAnsi" w:hAnsiTheme="minorHAnsi"/>
        </w:rPr>
        <w:t xml:space="preserve"> sub-area</w:t>
      </w:r>
      <w:r w:rsidRPr="0067297E">
        <w:rPr>
          <w:rFonts w:asciiTheme="minorHAnsi" w:hAnsiTheme="minorHAnsi"/>
        </w:rPr>
        <w:t xml:space="preserve"> </w:t>
      </w:r>
    </w:p>
    <w:p w14:paraId="471E6D05" w14:textId="4B915748" w:rsidR="008F7D71" w:rsidRPr="0067297E" w:rsidRDefault="00446B98">
      <w:pPr>
        <w:pStyle w:val="Reporttext"/>
        <w:rPr>
          <w:rFonts w:asciiTheme="minorHAnsi" w:hAnsiTheme="minorHAnsi"/>
          <w:shd w:val="clear" w:color="auto" w:fill="FFFFFF"/>
          <w:lang w:eastAsia="en-GB"/>
        </w:rPr>
      </w:pPr>
      <w:r w:rsidRPr="0067297E">
        <w:rPr>
          <w:rFonts w:asciiTheme="minorHAnsi" w:hAnsiTheme="minorHAnsi"/>
          <w:shd w:val="clear" w:color="auto" w:fill="FFFFFF"/>
          <w:lang w:eastAsia="en-GB"/>
        </w:rPr>
        <w:t>B</w:t>
      </w:r>
      <w:r w:rsidR="008F7D71" w:rsidRPr="0067297E">
        <w:rPr>
          <w:rFonts w:asciiTheme="minorHAnsi" w:hAnsiTheme="minorHAnsi"/>
          <w:shd w:val="clear" w:color="auto" w:fill="FFFFFF"/>
          <w:lang w:eastAsia="en-GB"/>
        </w:rPr>
        <w:t xml:space="preserve">lackheath </w:t>
      </w:r>
      <w:r w:rsidRPr="0067297E">
        <w:rPr>
          <w:rFonts w:asciiTheme="minorHAnsi" w:hAnsiTheme="minorHAnsi"/>
          <w:shd w:val="clear" w:color="auto" w:fill="FFFFFF"/>
          <w:lang w:eastAsia="en-GB"/>
        </w:rPr>
        <w:t xml:space="preserve">village </w:t>
      </w:r>
      <w:r w:rsidR="008F7D71" w:rsidRPr="0067297E">
        <w:rPr>
          <w:rFonts w:asciiTheme="minorHAnsi" w:hAnsiTheme="minorHAnsi"/>
          <w:shd w:val="clear" w:color="auto" w:fill="FFFFFF"/>
          <w:lang w:eastAsia="en-GB"/>
        </w:rPr>
        <w:t xml:space="preserve">is a high-quality environment offering a distinctive retail offer and lifestyle to those who can afford it. There are a number of distinctive dwellings that sit within premium housing that is untypical of the rest of the borough. </w:t>
      </w:r>
    </w:p>
    <w:p w14:paraId="754928C3" w14:textId="02F1502E" w:rsidR="008F7D71" w:rsidRPr="0067297E" w:rsidRDefault="008F7D71">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However, Blackheath is bounded by Lewisham to the west and Hither Green to the south which is part of the East sub-area.  The character of these areas is very similar on the eastern outskirts of Lewisham town and in Hither Green almost to the south circular road (A205).  This area mostly consists of larger detached and semi-detached residences, a very high proportion of which have been subdivided, some into family sized apartments. Approaching the south circular road and south of it the character slowly changes to smaller dwellings buil</w:t>
      </w:r>
      <w:r w:rsidR="00363030" w:rsidRPr="0067297E">
        <w:rPr>
          <w:rFonts w:asciiTheme="minorHAnsi" w:hAnsiTheme="minorHAnsi" w:cstheme="minorHAnsi"/>
          <w:shd w:val="clear" w:color="auto" w:fill="FFFFFF"/>
          <w:lang w:val="en-GB" w:eastAsia="en-GB"/>
        </w:rPr>
        <w:t>t</w:t>
      </w:r>
      <w:r w:rsidRPr="0067297E">
        <w:rPr>
          <w:rFonts w:asciiTheme="minorHAnsi" w:hAnsiTheme="minorHAnsi" w:cstheme="minorHAnsi"/>
          <w:shd w:val="clear" w:color="auto" w:fill="FFFFFF"/>
          <w:lang w:val="en-GB" w:eastAsia="en-GB"/>
        </w:rPr>
        <w:t xml:space="preserve"> in a later era, with fewer subdivided.  More recent purpose-built apartments are apparent around Grove Park. The area also contains clusters of social rented and former social rented houses and apartments.</w:t>
      </w:r>
    </w:p>
    <w:p w14:paraId="12ADB9C7" w14:textId="74BD2E41" w:rsidR="008F7D71" w:rsidRPr="0067297E" w:rsidRDefault="008F7D71">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Agents told us that the area as a whole is less densely built than the Lewisham town centres and attracted slightly higher prices.  However, agents also explained that the</w:t>
      </w:r>
      <w:r w:rsidRPr="0067297E">
        <w:rPr>
          <w:rFonts w:asciiTheme="minorHAnsi" w:hAnsiTheme="minorHAnsi"/>
        </w:rPr>
        <w:t xml:space="preserve"> </w:t>
      </w:r>
      <w:r w:rsidRPr="0067297E">
        <w:rPr>
          <w:rFonts w:asciiTheme="minorHAnsi" w:hAnsiTheme="minorHAnsi" w:cstheme="minorHAnsi"/>
          <w:shd w:val="clear" w:color="auto" w:fill="FFFFFF"/>
          <w:lang w:val="en-GB" w:eastAsia="en-GB"/>
        </w:rPr>
        <w:t xml:space="preserve">market was sluggish, around 10% of homes advertised had not sold after 6 months of being offered on the market. </w:t>
      </w:r>
    </w:p>
    <w:p w14:paraId="3DD6EB7B" w14:textId="010DADD5" w:rsidR="00DE6A36" w:rsidRPr="0067297E" w:rsidRDefault="00DE6A36">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Agents at Catford and Blackheath drew our attention to the large Berkeley Homes development at Kidbrooke, east of Lewisham town and Blackheath on the Royal Borough of Greenwich.  We asked if they were aware of whether this development was having any impact on the </w:t>
      </w:r>
      <w:r w:rsidR="00363030" w:rsidRPr="0067297E">
        <w:rPr>
          <w:rFonts w:asciiTheme="minorHAnsi" w:hAnsiTheme="minorHAnsi" w:cstheme="minorHAnsi"/>
          <w:shd w:val="clear" w:color="auto" w:fill="FFFFFF"/>
          <w:lang w:val="en-GB" w:eastAsia="en-GB"/>
        </w:rPr>
        <w:t>b</w:t>
      </w:r>
      <w:r w:rsidRPr="0067297E">
        <w:rPr>
          <w:rFonts w:asciiTheme="minorHAnsi" w:hAnsiTheme="minorHAnsi" w:cstheme="minorHAnsi"/>
          <w:shd w:val="clear" w:color="auto" w:fill="FFFFFF"/>
          <w:lang w:val="en-GB" w:eastAsia="en-GB"/>
        </w:rPr>
        <w:t>orough’s housing market.  Agents in Blackheath thought there was some interest in the scheme from local households.  Lewisham agents believed that existing and potential households would prefer to live in Lewisham due to its DLR link.  Agents in Catford thought that it, and any new development in Catford would not be affordable to local people.</w:t>
      </w:r>
    </w:p>
    <w:p w14:paraId="2DBCC15D" w14:textId="77777777" w:rsidR="008F7D71" w:rsidRPr="0067297E" w:rsidRDefault="008F7D71" w:rsidP="00FA273F">
      <w:pPr>
        <w:rPr>
          <w:rFonts w:asciiTheme="minorHAnsi" w:hAnsiTheme="minorHAnsi"/>
        </w:rPr>
      </w:pPr>
    </w:p>
    <w:p w14:paraId="3D52DDDC" w14:textId="77777777" w:rsidR="008F7D71" w:rsidRPr="0067297E" w:rsidRDefault="008F7D71">
      <w:pPr>
        <w:pStyle w:val="Heading3"/>
        <w:rPr>
          <w:rFonts w:asciiTheme="minorHAnsi" w:hAnsiTheme="minorHAnsi"/>
        </w:rPr>
      </w:pPr>
      <w:r w:rsidRPr="0067297E">
        <w:rPr>
          <w:rFonts w:asciiTheme="minorHAnsi" w:hAnsiTheme="minorHAnsi"/>
        </w:rPr>
        <w:t>The spare room market</w:t>
      </w:r>
    </w:p>
    <w:p w14:paraId="2F1608EE" w14:textId="3B4B2C80" w:rsidR="008F7D71" w:rsidRPr="0067297E" w:rsidRDefault="008F7D71">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One agent referred to room letting by landlords.  We investigated this via the </w:t>
      </w:r>
      <w:hyperlink r:id="rId33" w:history="1">
        <w:r w:rsidR="009643F5" w:rsidRPr="00346DF1">
          <w:rPr>
            <w:rFonts w:asciiTheme="minorHAnsi" w:hAnsiTheme="minorHAnsi" w:cstheme="minorHAnsi"/>
            <w:shd w:val="clear" w:color="auto" w:fill="FFFFFF"/>
            <w:lang w:val="en-GB" w:eastAsia="en-GB"/>
          </w:rPr>
          <w:t>SpareRoom website</w:t>
        </w:r>
      </w:hyperlink>
      <w:r w:rsidRPr="0067297E">
        <w:rPr>
          <w:rFonts w:asciiTheme="minorHAnsi" w:hAnsiTheme="minorHAnsi" w:cstheme="minorHAnsi"/>
          <w:shd w:val="clear" w:color="auto" w:fill="FFFFFF"/>
          <w:lang w:val="en-GB" w:eastAsia="en-GB"/>
        </w:rPr>
        <w:t xml:space="preserve"> portal.  Other similar portals carried the same vacancies</w:t>
      </w:r>
      <w:r w:rsidR="001254A4" w:rsidRPr="0067297E">
        <w:rPr>
          <w:rFonts w:asciiTheme="minorHAnsi" w:hAnsiTheme="minorHAnsi" w:cstheme="minorHAnsi"/>
          <w:shd w:val="clear" w:color="auto" w:fill="FFFFFF"/>
          <w:lang w:val="en-GB" w:eastAsia="en-GB"/>
        </w:rPr>
        <w:t>,</w:t>
      </w:r>
      <w:r w:rsidRPr="0067297E">
        <w:rPr>
          <w:rFonts w:asciiTheme="minorHAnsi" w:hAnsiTheme="minorHAnsi" w:cstheme="minorHAnsi"/>
          <w:shd w:val="clear" w:color="auto" w:fill="FFFFFF"/>
          <w:lang w:val="en-GB" w:eastAsia="en-GB"/>
        </w:rPr>
        <w:t xml:space="preserve"> so we have based our analysis </w:t>
      </w:r>
      <w:r w:rsidR="00363030" w:rsidRPr="0067297E">
        <w:rPr>
          <w:rFonts w:asciiTheme="minorHAnsi" w:hAnsiTheme="minorHAnsi" w:cstheme="minorHAnsi"/>
          <w:shd w:val="clear" w:color="auto" w:fill="FFFFFF"/>
          <w:lang w:val="en-GB" w:eastAsia="en-GB"/>
        </w:rPr>
        <w:t xml:space="preserve">on </w:t>
      </w:r>
      <w:r w:rsidRPr="0067297E">
        <w:rPr>
          <w:rFonts w:asciiTheme="minorHAnsi" w:hAnsiTheme="minorHAnsi" w:cstheme="minorHAnsi"/>
          <w:shd w:val="clear" w:color="auto" w:fill="FFFFFF"/>
          <w:lang w:val="en-GB" w:eastAsia="en-GB"/>
        </w:rPr>
        <w:t xml:space="preserve">this portal only as it is one of the larger ones.  </w:t>
      </w:r>
    </w:p>
    <w:p w14:paraId="7B615B4A" w14:textId="634DA8D1" w:rsidR="008F7D71" w:rsidRPr="0067297E" w:rsidRDefault="008F7D71">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 xml:space="preserve">We have noticed over several years that the spare room market has changed from mostly individuals letting spare rooms in their home, which attracts a tax break, to landlords offering rooms in rented housing.  Some will be self-contained, others will share facilities. Also in the mix are short and longer term lettings, week day lettings, whole house shares etc.  </w:t>
      </w:r>
    </w:p>
    <w:p w14:paraId="6B6E71A2" w14:textId="22758221" w:rsidR="00DE6A36" w:rsidRPr="0067297E" w:rsidRDefault="008F7D71">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There were 1,100 vacancies advertised as at July 2018 with over half being in New Cross and Deptford.  Whilst these are student housing areas, none were being marketed to attract students</w:t>
      </w:r>
      <w:r w:rsidR="002C5172" w:rsidRPr="0067297E">
        <w:rPr>
          <w:rFonts w:asciiTheme="minorHAnsi" w:hAnsiTheme="minorHAnsi" w:cstheme="minorHAnsi"/>
          <w:shd w:val="clear" w:color="auto" w:fill="FFFFFF"/>
          <w:lang w:val="en-GB" w:eastAsia="en-GB"/>
        </w:rPr>
        <w:t>,</w:t>
      </w:r>
      <w:r w:rsidRPr="0067297E">
        <w:rPr>
          <w:rFonts w:asciiTheme="minorHAnsi" w:hAnsiTheme="minorHAnsi" w:cstheme="minorHAnsi"/>
          <w:shd w:val="clear" w:color="auto" w:fill="FFFFFF"/>
          <w:lang w:val="en-GB" w:eastAsia="en-GB"/>
        </w:rPr>
        <w:t xml:space="preserve"> as is apparent in other university towns and cities we have researched.</w:t>
      </w:r>
    </w:p>
    <w:p w14:paraId="08286CD8" w14:textId="0331D732" w:rsidR="00DE6A36" w:rsidRPr="0067297E" w:rsidRDefault="00DE6A36">
      <w:pPr>
        <w:pStyle w:val="Reporttext"/>
        <w:tabs>
          <w:tab w:val="num" w:pos="1419"/>
        </w:tabs>
        <w:rPr>
          <w:rFonts w:asciiTheme="minorHAnsi" w:hAnsiTheme="minorHAnsi" w:cstheme="minorHAnsi"/>
          <w:shd w:val="clear" w:color="auto" w:fill="FFFFFF"/>
          <w:lang w:val="en-GB" w:eastAsia="en-GB"/>
        </w:rPr>
      </w:pPr>
      <w:r w:rsidRPr="0067297E">
        <w:rPr>
          <w:rFonts w:asciiTheme="minorHAnsi" w:hAnsiTheme="minorHAnsi" w:cstheme="minorHAnsi"/>
          <w:shd w:val="clear" w:color="auto" w:fill="FFFFFF"/>
          <w:lang w:val="en-GB" w:eastAsia="en-GB"/>
        </w:rPr>
        <w:t>There are relatively few room lettings in the south of the borough especially Sydenham and Forest Hill.</w:t>
      </w:r>
    </w:p>
    <w:p w14:paraId="4E7F42F2" w14:textId="7392BA57" w:rsidR="007D452C" w:rsidRPr="0067297E" w:rsidRDefault="007D452C" w:rsidP="00FA273F">
      <w:pPr>
        <w:pStyle w:val="Reporttext"/>
        <w:numPr>
          <w:ilvl w:val="0"/>
          <w:numId w:val="0"/>
        </w:numPr>
        <w:ind w:left="709"/>
        <w:rPr>
          <w:rFonts w:asciiTheme="minorHAnsi" w:hAnsiTheme="minorHAnsi"/>
          <w:highlight w:val="yellow"/>
        </w:rPr>
      </w:pPr>
    </w:p>
    <w:p w14:paraId="033825B2" w14:textId="77777777" w:rsidR="00CC5CC3" w:rsidRPr="0067297E" w:rsidRDefault="00CC5CC3" w:rsidP="00543A76">
      <w:pPr>
        <w:pStyle w:val="Heading2"/>
        <w:rPr>
          <w:rFonts w:asciiTheme="minorHAnsi" w:hAnsiTheme="minorHAnsi" w:cs="Calibri"/>
        </w:rPr>
      </w:pPr>
      <w:bookmarkStart w:id="207" w:name="_Toc399864367"/>
      <w:bookmarkStart w:id="208" w:name="_Toc428528476"/>
      <w:bookmarkStart w:id="209" w:name="_Toc430084569"/>
      <w:bookmarkStart w:id="210" w:name="_Toc430782023"/>
      <w:bookmarkStart w:id="211" w:name="_Toc1385751"/>
      <w:bookmarkStart w:id="212" w:name="_Toc23151066"/>
      <w:r w:rsidRPr="0067297E">
        <w:rPr>
          <w:rFonts w:asciiTheme="minorHAnsi" w:hAnsiTheme="minorHAnsi" w:cs="Calibri"/>
        </w:rPr>
        <w:t>Concluding comments</w:t>
      </w:r>
      <w:bookmarkEnd w:id="207"/>
      <w:bookmarkEnd w:id="208"/>
      <w:bookmarkEnd w:id="209"/>
      <w:bookmarkEnd w:id="210"/>
      <w:bookmarkEnd w:id="211"/>
      <w:bookmarkEnd w:id="212"/>
      <w:r w:rsidRPr="0067297E">
        <w:rPr>
          <w:rFonts w:asciiTheme="minorHAnsi" w:hAnsiTheme="minorHAnsi" w:cs="Calibri"/>
        </w:rPr>
        <w:t xml:space="preserve"> </w:t>
      </w:r>
    </w:p>
    <w:p w14:paraId="1C0AC0BC" w14:textId="77777777" w:rsidR="00CC5CC3" w:rsidRPr="0067297E" w:rsidRDefault="00CC5CC3" w:rsidP="00543A76">
      <w:pPr>
        <w:pStyle w:val="Reporttext"/>
        <w:rPr>
          <w:rFonts w:asciiTheme="minorHAnsi" w:hAnsiTheme="minorHAnsi" w:cs="Calibri"/>
        </w:rPr>
      </w:pPr>
      <w:r w:rsidRPr="0067297E">
        <w:rPr>
          <w:rFonts w:asciiTheme="minorHAnsi" w:hAnsiTheme="minorHAnsi" w:cs="Calibri"/>
        </w:rPr>
        <w:t xml:space="preserve">The purpose of this chapter has been to consider the general housing market context of </w:t>
      </w:r>
      <w:r w:rsidR="00D661D4" w:rsidRPr="0067297E">
        <w:rPr>
          <w:rFonts w:asciiTheme="minorHAnsi" w:hAnsiTheme="minorHAnsi" w:cs="Calibri"/>
        </w:rPr>
        <w:t xml:space="preserve">the </w:t>
      </w:r>
      <w:r w:rsidR="0029575F" w:rsidRPr="0067297E">
        <w:rPr>
          <w:rFonts w:asciiTheme="minorHAnsi" w:hAnsiTheme="minorHAnsi" w:cs="Calibri"/>
          <w:lang w:val="en-GB"/>
        </w:rPr>
        <w:t xml:space="preserve">Borough of </w:t>
      </w:r>
      <w:r w:rsidR="00DF6579" w:rsidRPr="0067297E">
        <w:rPr>
          <w:rFonts w:asciiTheme="minorHAnsi" w:hAnsiTheme="minorHAnsi" w:cs="Calibri"/>
          <w:lang w:val="en-GB"/>
        </w:rPr>
        <w:t>Lewisham</w:t>
      </w:r>
      <w:r w:rsidR="00FC386C" w:rsidRPr="0067297E">
        <w:rPr>
          <w:rFonts w:asciiTheme="minorHAnsi" w:hAnsiTheme="minorHAnsi" w:cs="Calibri"/>
        </w:rPr>
        <w:t xml:space="preserve"> </w:t>
      </w:r>
      <w:r w:rsidRPr="0067297E">
        <w:rPr>
          <w:rFonts w:asciiTheme="minorHAnsi" w:hAnsiTheme="minorHAnsi" w:cs="Calibri"/>
          <w:iCs/>
        </w:rPr>
        <w:t xml:space="preserve">and its </w:t>
      </w:r>
      <w:r w:rsidRPr="0067297E">
        <w:rPr>
          <w:rFonts w:asciiTheme="minorHAnsi" w:hAnsiTheme="minorHAnsi" w:cs="Calibri"/>
        </w:rPr>
        <w:t>inter-</w:t>
      </w:r>
      <w:r w:rsidR="008A6508" w:rsidRPr="0067297E">
        <w:rPr>
          <w:rFonts w:asciiTheme="minorHAnsi" w:hAnsiTheme="minorHAnsi" w:cs="Calibri"/>
        </w:rPr>
        <w:t>relationships with other areas.</w:t>
      </w:r>
      <w:r w:rsidRPr="0067297E">
        <w:rPr>
          <w:rFonts w:asciiTheme="minorHAnsi" w:hAnsiTheme="minorHAnsi" w:cs="Calibri"/>
        </w:rPr>
        <w:t xml:space="preserve"> By reviewing house prices, </w:t>
      </w:r>
      <w:r w:rsidR="00352957" w:rsidRPr="0067297E">
        <w:rPr>
          <w:rFonts w:asciiTheme="minorHAnsi" w:hAnsiTheme="minorHAnsi" w:cs="Calibri"/>
          <w:lang w:val="en-GB"/>
        </w:rPr>
        <w:t xml:space="preserve">relative affordability, </w:t>
      </w:r>
      <w:r w:rsidR="00352957" w:rsidRPr="0067297E">
        <w:rPr>
          <w:rFonts w:asciiTheme="minorHAnsi" w:hAnsiTheme="minorHAnsi" w:cs="Calibri"/>
        </w:rPr>
        <w:t>migration</w:t>
      </w:r>
      <w:r w:rsidR="00352957" w:rsidRPr="0067297E">
        <w:rPr>
          <w:rFonts w:asciiTheme="minorHAnsi" w:hAnsiTheme="minorHAnsi" w:cs="Calibri"/>
          <w:lang w:val="en-GB"/>
        </w:rPr>
        <w:t xml:space="preserve">, </w:t>
      </w:r>
      <w:r w:rsidRPr="0067297E">
        <w:rPr>
          <w:rFonts w:asciiTheme="minorHAnsi" w:hAnsiTheme="minorHAnsi" w:cs="Calibri"/>
        </w:rPr>
        <w:t>travel to work patterns</w:t>
      </w:r>
      <w:r w:rsidR="00352957" w:rsidRPr="0067297E">
        <w:rPr>
          <w:rFonts w:asciiTheme="minorHAnsi" w:hAnsiTheme="minorHAnsi" w:cs="Calibri"/>
          <w:lang w:val="en-GB"/>
        </w:rPr>
        <w:t xml:space="preserve"> and dwelling completions</w:t>
      </w:r>
      <w:r w:rsidRPr="0067297E">
        <w:rPr>
          <w:rFonts w:asciiTheme="minorHAnsi" w:hAnsiTheme="minorHAnsi" w:cs="Calibri"/>
        </w:rPr>
        <w:t xml:space="preserve">, a picture of the market dynamics of </w:t>
      </w:r>
      <w:r w:rsidR="00D661D4" w:rsidRPr="0067297E">
        <w:rPr>
          <w:rFonts w:asciiTheme="minorHAnsi" w:hAnsiTheme="minorHAnsi" w:cs="Calibri"/>
        </w:rPr>
        <w:t xml:space="preserve">the </w:t>
      </w:r>
      <w:r w:rsidR="00FC2076" w:rsidRPr="0067297E">
        <w:rPr>
          <w:rFonts w:asciiTheme="minorHAnsi" w:hAnsiTheme="minorHAnsi" w:cs="Calibri"/>
          <w:lang w:val="en-GB"/>
        </w:rPr>
        <w:t>b</w:t>
      </w:r>
      <w:r w:rsidR="0029575F" w:rsidRPr="0067297E">
        <w:rPr>
          <w:rFonts w:asciiTheme="minorHAnsi" w:hAnsiTheme="minorHAnsi" w:cs="Calibri"/>
          <w:lang w:val="en-GB"/>
        </w:rPr>
        <w:t>orough</w:t>
      </w:r>
      <w:r w:rsidR="00BA1CA5" w:rsidRPr="0067297E">
        <w:rPr>
          <w:rFonts w:asciiTheme="minorHAnsi" w:hAnsiTheme="minorHAnsi" w:cs="Calibri"/>
          <w:iCs/>
        </w:rPr>
        <w:t xml:space="preserve"> </w:t>
      </w:r>
      <w:r w:rsidRPr="0067297E">
        <w:rPr>
          <w:rFonts w:asciiTheme="minorHAnsi" w:hAnsiTheme="minorHAnsi" w:cs="Calibri"/>
          <w:iCs/>
        </w:rPr>
        <w:t>emerges</w:t>
      </w:r>
      <w:r w:rsidR="008A6508" w:rsidRPr="0067297E">
        <w:rPr>
          <w:rFonts w:asciiTheme="minorHAnsi" w:hAnsiTheme="minorHAnsi" w:cs="Calibri"/>
        </w:rPr>
        <w:t>.</w:t>
      </w:r>
    </w:p>
    <w:p w14:paraId="6390A013" w14:textId="4E1ABF2E" w:rsidR="007D452C" w:rsidRPr="0067297E" w:rsidRDefault="002479A9" w:rsidP="00543A76">
      <w:pPr>
        <w:pStyle w:val="Reporttext"/>
        <w:rPr>
          <w:rFonts w:asciiTheme="minorHAnsi" w:hAnsiTheme="minorHAnsi" w:cs="Calibri"/>
        </w:rPr>
      </w:pPr>
      <w:r w:rsidRPr="0067297E">
        <w:rPr>
          <w:rFonts w:asciiTheme="minorHAnsi" w:hAnsiTheme="minorHAnsi" w:cs="Calibri"/>
          <w:lang w:val="en-GB"/>
        </w:rPr>
        <w:t xml:space="preserve">House prices in </w:t>
      </w:r>
      <w:r w:rsidR="00FC2076" w:rsidRPr="0067297E">
        <w:rPr>
          <w:rFonts w:asciiTheme="minorHAnsi" w:hAnsiTheme="minorHAnsi" w:cs="Calibri"/>
          <w:lang w:val="en-GB"/>
        </w:rPr>
        <w:t xml:space="preserve">the borough </w:t>
      </w:r>
      <w:r w:rsidRPr="0067297E">
        <w:rPr>
          <w:rFonts w:asciiTheme="minorHAnsi" w:hAnsiTheme="minorHAnsi" w:cs="Calibri"/>
          <w:lang w:val="en-GB"/>
        </w:rPr>
        <w:t xml:space="preserve">remain lower than those for London as a whole. In </w:t>
      </w:r>
      <w:r w:rsidR="00D12C02" w:rsidRPr="0067297E">
        <w:rPr>
          <w:rFonts w:asciiTheme="minorHAnsi" w:hAnsiTheme="minorHAnsi" w:cs="Calibri"/>
          <w:lang w:val="en-GB"/>
        </w:rPr>
        <w:t>201</w:t>
      </w:r>
      <w:r w:rsidR="00D12C02">
        <w:rPr>
          <w:rFonts w:asciiTheme="minorHAnsi" w:hAnsiTheme="minorHAnsi" w:cs="Calibri"/>
          <w:lang w:val="en-GB"/>
        </w:rPr>
        <w:t>8</w:t>
      </w:r>
      <w:r w:rsidRPr="0067297E">
        <w:rPr>
          <w:rFonts w:asciiTheme="minorHAnsi" w:hAnsiTheme="minorHAnsi" w:cs="Calibri"/>
          <w:lang w:val="en-GB"/>
        </w:rPr>
        <w:t xml:space="preserve">, the median house price in </w:t>
      </w:r>
      <w:r w:rsidR="00FC2076" w:rsidRPr="0067297E">
        <w:rPr>
          <w:rFonts w:asciiTheme="minorHAnsi" w:hAnsiTheme="minorHAnsi" w:cs="Calibri"/>
          <w:lang w:val="en-GB"/>
        </w:rPr>
        <w:t>the borough</w:t>
      </w:r>
      <w:r w:rsidRPr="0067297E">
        <w:rPr>
          <w:rFonts w:asciiTheme="minorHAnsi" w:hAnsiTheme="minorHAnsi" w:cs="Calibri"/>
          <w:lang w:val="en-GB"/>
        </w:rPr>
        <w:t xml:space="preserve"> was </w:t>
      </w:r>
      <w:r w:rsidR="007D452C" w:rsidRPr="0067297E">
        <w:rPr>
          <w:rFonts w:asciiTheme="minorHAnsi" w:hAnsiTheme="minorHAnsi" w:cs="Calibri"/>
          <w:lang w:val="en-GB"/>
        </w:rPr>
        <w:t>£412,</w:t>
      </w:r>
      <w:r w:rsidR="00D12C02">
        <w:rPr>
          <w:rFonts w:asciiTheme="minorHAnsi" w:hAnsiTheme="minorHAnsi" w:cs="Calibri"/>
          <w:lang w:val="en-GB"/>
        </w:rPr>
        <w:t>250</w:t>
      </w:r>
      <w:r w:rsidR="007D452C" w:rsidRPr="0067297E">
        <w:rPr>
          <w:rFonts w:asciiTheme="minorHAnsi" w:hAnsiTheme="minorHAnsi" w:cs="Calibri"/>
          <w:lang w:val="en-GB"/>
        </w:rPr>
        <w:t xml:space="preserve">, which is </w:t>
      </w:r>
      <w:r w:rsidRPr="0067297E">
        <w:rPr>
          <w:rFonts w:asciiTheme="minorHAnsi" w:hAnsiTheme="minorHAnsi" w:cs="Calibri"/>
          <w:lang w:val="en-GB"/>
        </w:rPr>
        <w:t xml:space="preserve">lower than that for </w:t>
      </w:r>
      <w:r w:rsidR="007D452C" w:rsidRPr="0067297E">
        <w:rPr>
          <w:rFonts w:asciiTheme="minorHAnsi" w:hAnsiTheme="minorHAnsi" w:cs="Calibri"/>
          <w:lang w:val="en-GB"/>
        </w:rPr>
        <w:t>London as a whole at £</w:t>
      </w:r>
      <w:r w:rsidR="00D12C02">
        <w:rPr>
          <w:rFonts w:asciiTheme="minorHAnsi" w:hAnsiTheme="minorHAnsi" w:cs="Calibri"/>
          <w:lang w:val="en-GB"/>
        </w:rPr>
        <w:t>460</w:t>
      </w:r>
      <w:r w:rsidR="007D452C" w:rsidRPr="0067297E">
        <w:rPr>
          <w:rFonts w:asciiTheme="minorHAnsi" w:hAnsiTheme="minorHAnsi" w:cs="Calibri"/>
          <w:lang w:val="en-GB"/>
        </w:rPr>
        <w:t>,000 but considerably higher than the national average of £</w:t>
      </w:r>
      <w:r w:rsidR="00D12C02">
        <w:rPr>
          <w:rFonts w:asciiTheme="minorHAnsi" w:hAnsiTheme="minorHAnsi" w:cs="Calibri"/>
          <w:lang w:val="en-GB"/>
        </w:rPr>
        <w:t>235,000</w:t>
      </w:r>
      <w:r w:rsidRPr="0067297E">
        <w:rPr>
          <w:rFonts w:asciiTheme="minorHAnsi" w:hAnsiTheme="minorHAnsi" w:cs="Calibri"/>
          <w:lang w:val="en-GB"/>
        </w:rPr>
        <w:t>.</w:t>
      </w:r>
      <w:r w:rsidR="0017065B">
        <w:rPr>
          <w:rFonts w:asciiTheme="minorHAnsi" w:hAnsiTheme="minorHAnsi" w:cs="Calibri"/>
          <w:lang w:val="en-GB"/>
        </w:rPr>
        <w:t xml:space="preserve">  Housing costs vary considerably across the borough.  Median house prices have also increased by 312.3% during 2000 and 2018, greater than that experienced by London as a whole and all of the neighbouring London Boroughs.</w:t>
      </w:r>
    </w:p>
    <w:p w14:paraId="3E59D716" w14:textId="05362994" w:rsidR="00A92767" w:rsidRPr="0067297E" w:rsidRDefault="00EB05D1" w:rsidP="00543A76">
      <w:pPr>
        <w:pStyle w:val="Reporttext"/>
        <w:rPr>
          <w:rFonts w:asciiTheme="minorHAnsi" w:hAnsiTheme="minorHAnsi" w:cs="Calibri"/>
        </w:rPr>
      </w:pPr>
      <w:r w:rsidRPr="0067297E">
        <w:rPr>
          <w:rFonts w:asciiTheme="minorHAnsi" w:hAnsiTheme="minorHAnsi" w:cs="Calibri"/>
          <w:lang w:val="en-GB"/>
        </w:rPr>
        <w:t xml:space="preserve">Relative affordability, taking account of </w:t>
      </w:r>
      <w:r w:rsidR="000E1DC5" w:rsidRPr="0067297E">
        <w:rPr>
          <w:rFonts w:asciiTheme="minorHAnsi" w:hAnsiTheme="minorHAnsi" w:cs="Calibri"/>
          <w:lang w:val="en-GB"/>
        </w:rPr>
        <w:t xml:space="preserve">average earnings, shows a similar trend. </w:t>
      </w:r>
      <w:r w:rsidR="005E1ED0" w:rsidRPr="0067297E">
        <w:rPr>
          <w:rFonts w:asciiTheme="minorHAnsi" w:hAnsiTheme="minorHAnsi" w:cs="Calibri"/>
          <w:lang w:val="en-GB"/>
        </w:rPr>
        <w:t xml:space="preserve">Based on </w:t>
      </w:r>
      <w:r w:rsidR="00D12C02">
        <w:rPr>
          <w:rFonts w:asciiTheme="minorHAnsi" w:hAnsiTheme="minorHAnsi" w:cs="Calibri"/>
          <w:lang w:val="en-GB"/>
        </w:rPr>
        <w:t xml:space="preserve">a </w:t>
      </w:r>
      <w:r w:rsidR="005E1ED0" w:rsidRPr="0067297E">
        <w:rPr>
          <w:rFonts w:asciiTheme="minorHAnsi" w:hAnsiTheme="minorHAnsi" w:cs="Calibri"/>
          <w:lang w:val="en-GB"/>
        </w:rPr>
        <w:t>median ratio</w:t>
      </w:r>
      <w:r w:rsidR="00D12C02">
        <w:rPr>
          <w:rFonts w:asciiTheme="minorHAnsi" w:hAnsiTheme="minorHAnsi" w:cs="Calibri"/>
          <w:lang w:val="en-GB"/>
        </w:rPr>
        <w:t xml:space="preserve"> of 13.94,  and a lower quartile ratio of 15.16, Lewisham is considerably less affordable than the London wide, South East and England averages.</w:t>
      </w:r>
    </w:p>
    <w:p w14:paraId="179D4D32" w14:textId="77777777" w:rsidR="002479A9" w:rsidRPr="0067297E" w:rsidRDefault="000E1DC5" w:rsidP="00543A76">
      <w:pPr>
        <w:pStyle w:val="Reporttext"/>
        <w:rPr>
          <w:rFonts w:asciiTheme="minorHAnsi" w:hAnsiTheme="minorHAnsi" w:cs="Calibri"/>
        </w:rPr>
      </w:pPr>
      <w:r w:rsidRPr="0067297E">
        <w:rPr>
          <w:rFonts w:asciiTheme="minorHAnsi" w:hAnsiTheme="minorHAnsi" w:cs="Calibri"/>
          <w:lang w:val="en-GB"/>
        </w:rPr>
        <w:t xml:space="preserve">2011 Census migration data </w:t>
      </w:r>
      <w:r w:rsidR="004879D4" w:rsidRPr="0067297E">
        <w:rPr>
          <w:rFonts w:asciiTheme="minorHAnsi" w:hAnsiTheme="minorHAnsi" w:cs="Calibri"/>
          <w:lang w:val="en-GB"/>
        </w:rPr>
        <w:t>indicates that 35,000 living in the borough</w:t>
      </w:r>
      <w:r w:rsidR="009120C3" w:rsidRPr="0067297E">
        <w:rPr>
          <w:rFonts w:asciiTheme="minorHAnsi" w:hAnsiTheme="minorHAnsi" w:cs="Calibri"/>
          <w:lang w:val="en-GB"/>
        </w:rPr>
        <w:t xml:space="preserve"> had moved into their home </w:t>
      </w:r>
      <w:r w:rsidR="004879D4" w:rsidRPr="0067297E">
        <w:rPr>
          <w:rFonts w:asciiTheme="minorHAnsi" w:hAnsiTheme="minorHAnsi" w:cs="Calibri"/>
          <w:lang w:val="en-GB"/>
        </w:rPr>
        <w:t xml:space="preserve">during the year preceding the Census. Of these, </w:t>
      </w:r>
      <w:r w:rsidR="009120C3" w:rsidRPr="0067297E">
        <w:rPr>
          <w:rFonts w:asciiTheme="minorHAnsi" w:hAnsiTheme="minorHAnsi" w:cs="Calibri"/>
          <w:lang w:val="en-GB"/>
        </w:rPr>
        <w:t xml:space="preserve">44.6% moved from within the </w:t>
      </w:r>
      <w:r w:rsidR="00EF04DF" w:rsidRPr="0067297E">
        <w:rPr>
          <w:rFonts w:asciiTheme="minorHAnsi" w:hAnsiTheme="minorHAnsi" w:cs="Calibri"/>
          <w:lang w:val="en-GB"/>
        </w:rPr>
        <w:t>borough and</w:t>
      </w:r>
      <w:r w:rsidR="009120C3" w:rsidRPr="0067297E">
        <w:rPr>
          <w:rFonts w:asciiTheme="minorHAnsi" w:hAnsiTheme="minorHAnsi" w:cs="Calibri"/>
          <w:lang w:val="en-GB"/>
        </w:rPr>
        <w:t xml:space="preserve"> 40.0% </w:t>
      </w:r>
      <w:r w:rsidR="004879D4" w:rsidRPr="0067297E">
        <w:rPr>
          <w:rFonts w:asciiTheme="minorHAnsi" w:hAnsiTheme="minorHAnsi" w:cs="Calibri"/>
          <w:lang w:val="en-GB"/>
        </w:rPr>
        <w:t>had moved from other London b</w:t>
      </w:r>
      <w:r w:rsidR="009120C3" w:rsidRPr="0067297E">
        <w:rPr>
          <w:rFonts w:asciiTheme="minorHAnsi" w:hAnsiTheme="minorHAnsi" w:cs="Calibri"/>
          <w:lang w:val="en-GB"/>
        </w:rPr>
        <w:t>oroughs.</w:t>
      </w:r>
    </w:p>
    <w:p w14:paraId="08A747B7" w14:textId="77777777" w:rsidR="000E1DC5" w:rsidRPr="0067297E" w:rsidRDefault="000E1DC5" w:rsidP="000256AC">
      <w:pPr>
        <w:pStyle w:val="Reporttext"/>
        <w:rPr>
          <w:rFonts w:asciiTheme="minorHAnsi" w:hAnsiTheme="minorHAnsi" w:cs="Calibri"/>
        </w:rPr>
      </w:pPr>
      <w:r w:rsidRPr="0067297E">
        <w:rPr>
          <w:rFonts w:asciiTheme="minorHAnsi" w:hAnsiTheme="minorHAnsi" w:cs="Calibri"/>
          <w:lang w:val="en-GB"/>
        </w:rPr>
        <w:t xml:space="preserve">In terms of travel-to-work patterns, the 2011 Census indicates that </w:t>
      </w:r>
      <w:r w:rsidR="009120C3" w:rsidRPr="0067297E">
        <w:rPr>
          <w:rFonts w:asciiTheme="minorHAnsi" w:hAnsiTheme="minorHAnsi" w:cs="Calibri"/>
          <w:lang w:val="en-GB"/>
        </w:rPr>
        <w:t>26.3</w:t>
      </w:r>
      <w:r w:rsidR="004879D4" w:rsidRPr="0067297E">
        <w:rPr>
          <w:rFonts w:asciiTheme="minorHAnsi" w:hAnsiTheme="minorHAnsi" w:cs="Calibri"/>
          <w:lang w:val="en-GB"/>
        </w:rPr>
        <w:t>% of those residents of the b</w:t>
      </w:r>
      <w:r w:rsidRPr="0067297E">
        <w:rPr>
          <w:rFonts w:asciiTheme="minorHAnsi" w:hAnsiTheme="minorHAnsi" w:cs="Calibri"/>
          <w:lang w:val="en-GB"/>
        </w:rPr>
        <w:t>orough wh</w:t>
      </w:r>
      <w:r w:rsidR="004879D4" w:rsidRPr="0067297E">
        <w:rPr>
          <w:rFonts w:asciiTheme="minorHAnsi" w:hAnsiTheme="minorHAnsi" w:cs="Calibri"/>
          <w:lang w:val="en-GB"/>
        </w:rPr>
        <w:t>o are employed work within the b</w:t>
      </w:r>
      <w:r w:rsidRPr="0067297E">
        <w:rPr>
          <w:rFonts w:asciiTheme="minorHAnsi" w:hAnsiTheme="minorHAnsi" w:cs="Calibri"/>
          <w:lang w:val="en-GB"/>
        </w:rPr>
        <w:t>orough area</w:t>
      </w:r>
      <w:r w:rsidR="009120C3" w:rsidRPr="0067297E">
        <w:rPr>
          <w:rFonts w:asciiTheme="minorHAnsi" w:hAnsiTheme="minorHAnsi" w:cs="Calibri"/>
          <w:lang w:val="en-GB"/>
        </w:rPr>
        <w:t>. This means that almost three-quarters of employ</w:t>
      </w:r>
      <w:r w:rsidR="004879D4" w:rsidRPr="0067297E">
        <w:rPr>
          <w:rFonts w:asciiTheme="minorHAnsi" w:hAnsiTheme="minorHAnsi" w:cs="Calibri"/>
          <w:lang w:val="en-GB"/>
        </w:rPr>
        <w:t>ed residents travel out of the b</w:t>
      </w:r>
      <w:r w:rsidR="009120C3" w:rsidRPr="0067297E">
        <w:rPr>
          <w:rFonts w:asciiTheme="minorHAnsi" w:hAnsiTheme="minorHAnsi" w:cs="Calibri"/>
          <w:lang w:val="en-GB"/>
        </w:rPr>
        <w:t xml:space="preserve">orough to their place of work. </w:t>
      </w:r>
      <w:r w:rsidR="004879D4" w:rsidRPr="0067297E">
        <w:rPr>
          <w:rFonts w:asciiTheme="minorHAnsi" w:hAnsiTheme="minorHAnsi" w:cs="Calibri"/>
          <w:lang w:val="en-GB"/>
        </w:rPr>
        <w:t xml:space="preserve">In </w:t>
      </w:r>
      <w:r w:rsidRPr="0067297E">
        <w:rPr>
          <w:rFonts w:asciiTheme="minorHAnsi" w:hAnsiTheme="minorHAnsi" w:cs="Calibri"/>
          <w:lang w:val="en-GB"/>
        </w:rPr>
        <w:t>contrast, of t</w:t>
      </w:r>
      <w:r w:rsidR="004879D4" w:rsidRPr="0067297E">
        <w:rPr>
          <w:rFonts w:asciiTheme="minorHAnsi" w:hAnsiTheme="minorHAnsi" w:cs="Calibri"/>
          <w:lang w:val="en-GB"/>
        </w:rPr>
        <w:t>he individuals who work in the b</w:t>
      </w:r>
      <w:r w:rsidRPr="0067297E">
        <w:rPr>
          <w:rFonts w:asciiTheme="minorHAnsi" w:hAnsiTheme="minorHAnsi" w:cs="Calibri"/>
          <w:lang w:val="en-GB"/>
        </w:rPr>
        <w:t xml:space="preserve">orough, </w:t>
      </w:r>
      <w:r w:rsidR="009120C3" w:rsidRPr="0067297E">
        <w:rPr>
          <w:rFonts w:asciiTheme="minorHAnsi" w:hAnsiTheme="minorHAnsi" w:cs="Calibri"/>
          <w:lang w:val="en-GB"/>
        </w:rPr>
        <w:t>38.6</w:t>
      </w:r>
      <w:r w:rsidRPr="0067297E">
        <w:rPr>
          <w:rFonts w:asciiTheme="minorHAnsi" w:hAnsiTheme="minorHAnsi" w:cs="Calibri"/>
          <w:lang w:val="en-GB"/>
        </w:rPr>
        <w:t xml:space="preserve">% also live within </w:t>
      </w:r>
      <w:r w:rsidR="004879D4" w:rsidRPr="0067297E">
        <w:rPr>
          <w:rFonts w:asciiTheme="minorHAnsi" w:hAnsiTheme="minorHAnsi" w:cs="Calibri"/>
          <w:lang w:val="en-GB"/>
        </w:rPr>
        <w:t xml:space="preserve">the Borough of </w:t>
      </w:r>
      <w:r w:rsidR="00DF6579" w:rsidRPr="0067297E">
        <w:rPr>
          <w:rFonts w:asciiTheme="minorHAnsi" w:hAnsiTheme="minorHAnsi" w:cs="Calibri"/>
          <w:lang w:val="en-GB"/>
        </w:rPr>
        <w:t>Lewisham</w:t>
      </w:r>
      <w:r w:rsidRPr="0067297E">
        <w:rPr>
          <w:rFonts w:asciiTheme="minorHAnsi" w:hAnsiTheme="minorHAnsi" w:cs="Calibri"/>
          <w:lang w:val="en-GB"/>
        </w:rPr>
        <w:t>. Out-commuting is therefore considerably higher than in-commuting.</w:t>
      </w:r>
    </w:p>
    <w:p w14:paraId="32A49938" w14:textId="5455CEB3" w:rsidR="00CC5CC3" w:rsidRPr="0067297E" w:rsidRDefault="000E1DC5" w:rsidP="00FA273F">
      <w:pPr>
        <w:pStyle w:val="Reporttext"/>
        <w:rPr>
          <w:rFonts w:asciiTheme="minorHAnsi" w:hAnsiTheme="minorHAnsi" w:cs="Calibri"/>
        </w:rPr>
      </w:pPr>
      <w:bookmarkStart w:id="213" w:name="_Toc430782024"/>
      <w:bookmarkEnd w:id="125"/>
      <w:bookmarkEnd w:id="126"/>
      <w:bookmarkEnd w:id="127"/>
      <w:bookmarkEnd w:id="136"/>
      <w:r w:rsidRPr="0067297E">
        <w:rPr>
          <w:rFonts w:asciiTheme="minorHAnsi" w:hAnsiTheme="minorHAnsi" w:cs="Calibri"/>
        </w:rPr>
        <w:t xml:space="preserve">In terms of housing development, there was an average of </w:t>
      </w:r>
      <w:r w:rsidR="0017065B">
        <w:rPr>
          <w:rFonts w:asciiTheme="minorHAnsi" w:hAnsiTheme="minorHAnsi" w:cs="Calibri"/>
          <w:lang w:val="en-GB"/>
        </w:rPr>
        <w:t>1,387</w:t>
      </w:r>
      <w:r w:rsidR="0017065B" w:rsidRPr="0067297E">
        <w:rPr>
          <w:rFonts w:asciiTheme="minorHAnsi" w:hAnsiTheme="minorHAnsi" w:cs="Calibri"/>
        </w:rPr>
        <w:t xml:space="preserve"> </w:t>
      </w:r>
      <w:r w:rsidRPr="0067297E">
        <w:rPr>
          <w:rFonts w:asciiTheme="minorHAnsi" w:hAnsiTheme="minorHAnsi" w:cs="Calibri"/>
        </w:rPr>
        <w:t xml:space="preserve">dwelling completions per year in the </w:t>
      </w:r>
      <w:r w:rsidR="0017065B">
        <w:rPr>
          <w:rFonts w:asciiTheme="minorHAnsi" w:hAnsiTheme="minorHAnsi" w:cs="Calibri"/>
          <w:lang w:val="en-GB"/>
        </w:rPr>
        <w:t>11</w:t>
      </w:r>
      <w:r w:rsidRPr="0067297E">
        <w:rPr>
          <w:rFonts w:asciiTheme="minorHAnsi" w:hAnsiTheme="minorHAnsi" w:cs="Calibri"/>
        </w:rPr>
        <w:t xml:space="preserve">-year period </w:t>
      </w:r>
      <w:r w:rsidR="009120C3" w:rsidRPr="0067297E">
        <w:rPr>
          <w:rFonts w:asciiTheme="minorHAnsi" w:hAnsiTheme="minorHAnsi" w:cs="Calibri"/>
        </w:rPr>
        <w:t>2007/08</w:t>
      </w:r>
      <w:r w:rsidRPr="0067297E">
        <w:rPr>
          <w:rFonts w:asciiTheme="minorHAnsi" w:hAnsiTheme="minorHAnsi" w:cs="Calibri"/>
        </w:rPr>
        <w:t xml:space="preserve"> to </w:t>
      </w:r>
      <w:r w:rsidR="0017065B">
        <w:rPr>
          <w:rFonts w:asciiTheme="minorHAnsi" w:hAnsiTheme="minorHAnsi" w:cs="Calibri"/>
          <w:lang w:val="en-GB"/>
        </w:rPr>
        <w:t>2017/18</w:t>
      </w:r>
      <w:r w:rsidRPr="0067297E">
        <w:rPr>
          <w:rFonts w:asciiTheme="minorHAnsi" w:hAnsiTheme="minorHAnsi" w:cs="Calibri"/>
        </w:rPr>
        <w:t xml:space="preserve">, </w:t>
      </w:r>
      <w:r w:rsidR="009120C3" w:rsidRPr="0067297E">
        <w:rPr>
          <w:rFonts w:asciiTheme="minorHAnsi" w:hAnsiTheme="minorHAnsi" w:cs="Calibri"/>
        </w:rPr>
        <w:t xml:space="preserve">exceeding the annualised target in nine of the </w:t>
      </w:r>
      <w:r w:rsidR="0017065B">
        <w:rPr>
          <w:rFonts w:asciiTheme="minorHAnsi" w:hAnsiTheme="minorHAnsi" w:cs="Calibri"/>
          <w:lang w:val="en-GB"/>
        </w:rPr>
        <w:t>11</w:t>
      </w:r>
      <w:r w:rsidR="0017065B" w:rsidRPr="0067297E">
        <w:rPr>
          <w:rFonts w:asciiTheme="minorHAnsi" w:hAnsiTheme="minorHAnsi" w:cs="Calibri"/>
        </w:rPr>
        <w:t xml:space="preserve"> </w:t>
      </w:r>
      <w:r w:rsidR="009120C3" w:rsidRPr="0067297E">
        <w:rPr>
          <w:rFonts w:asciiTheme="minorHAnsi" w:hAnsiTheme="minorHAnsi" w:cs="Calibri"/>
        </w:rPr>
        <w:t>years</w:t>
      </w:r>
      <w:r w:rsidRPr="0067297E">
        <w:rPr>
          <w:rFonts w:asciiTheme="minorHAnsi" w:hAnsiTheme="minorHAnsi" w:cs="Calibri"/>
        </w:rPr>
        <w:t>.</w:t>
      </w:r>
      <w:r w:rsidR="00EE61E9" w:rsidRPr="0067297E">
        <w:rPr>
          <w:rFonts w:asciiTheme="minorHAnsi" w:hAnsiTheme="minorHAnsi" w:cs="Calibri"/>
        </w:rPr>
        <w:t xml:space="preserve"> The Draft</w:t>
      </w:r>
      <w:r w:rsidR="00DF6579" w:rsidRPr="0067297E">
        <w:rPr>
          <w:rFonts w:asciiTheme="minorHAnsi" w:hAnsiTheme="minorHAnsi" w:cs="Calibri"/>
        </w:rPr>
        <w:t xml:space="preserve"> New</w:t>
      </w:r>
      <w:r w:rsidR="00EE61E9" w:rsidRPr="0067297E">
        <w:rPr>
          <w:rFonts w:asciiTheme="minorHAnsi" w:hAnsiTheme="minorHAnsi" w:cs="Calibri"/>
        </w:rPr>
        <w:t xml:space="preserve"> London Plan (2017) sets a target of </w:t>
      </w:r>
      <w:r w:rsidR="009120C3" w:rsidRPr="0067297E">
        <w:rPr>
          <w:rFonts w:asciiTheme="minorHAnsi" w:hAnsiTheme="minorHAnsi" w:cs="Calibri"/>
        </w:rPr>
        <w:t>2,117 dwelling complet</w:t>
      </w:r>
      <w:r w:rsidR="004879D4" w:rsidRPr="0067297E">
        <w:rPr>
          <w:rFonts w:asciiTheme="minorHAnsi" w:hAnsiTheme="minorHAnsi" w:cs="Calibri"/>
        </w:rPr>
        <w:t xml:space="preserve">ions in the borough </w:t>
      </w:r>
      <w:r w:rsidR="00EE61E9" w:rsidRPr="0067297E">
        <w:rPr>
          <w:rFonts w:asciiTheme="minorHAnsi" w:hAnsiTheme="minorHAnsi" w:cs="Calibri"/>
        </w:rPr>
        <w:t>over th</w:t>
      </w:r>
      <w:r w:rsidR="00DF6579" w:rsidRPr="0067297E">
        <w:rPr>
          <w:rFonts w:asciiTheme="minorHAnsi" w:hAnsiTheme="minorHAnsi" w:cs="Calibri"/>
        </w:rPr>
        <w:t>e per</w:t>
      </w:r>
      <w:r w:rsidR="004879D4" w:rsidRPr="0067297E">
        <w:rPr>
          <w:rFonts w:asciiTheme="minorHAnsi" w:hAnsiTheme="minorHAnsi" w:cs="Calibri"/>
        </w:rPr>
        <w:t>iod 2019/20-2028/29</w:t>
      </w:r>
      <w:r w:rsidR="00DF6579" w:rsidRPr="0067297E">
        <w:rPr>
          <w:rFonts w:asciiTheme="minorHAnsi" w:hAnsiTheme="minorHAnsi" w:cs="Calibri"/>
        </w:rPr>
        <w:t>.</w:t>
      </w:r>
      <w:r w:rsidR="00116319" w:rsidRPr="0067297E">
        <w:rPr>
          <w:rFonts w:asciiTheme="minorHAnsi" w:hAnsiTheme="minorHAnsi" w:cs="Calibri"/>
        </w:rPr>
        <w:t xml:space="preserve"> </w:t>
      </w:r>
      <w:r w:rsidR="00CC5CC3" w:rsidRPr="0067297E">
        <w:rPr>
          <w:rFonts w:asciiTheme="minorHAnsi" w:hAnsiTheme="minorHAnsi" w:cs="Calibri"/>
        </w:rPr>
        <w:br w:type="page"/>
      </w:r>
    </w:p>
    <w:p w14:paraId="6F96BF79" w14:textId="0059E3F9" w:rsidR="00CC5CC3" w:rsidRPr="0067297E" w:rsidRDefault="00F96BAE" w:rsidP="00543A76">
      <w:pPr>
        <w:pStyle w:val="Heading1"/>
        <w:rPr>
          <w:rFonts w:asciiTheme="minorHAnsi" w:hAnsiTheme="minorHAnsi" w:cs="Calibri"/>
        </w:rPr>
      </w:pPr>
      <w:bookmarkStart w:id="214" w:name="_Toc1385752"/>
      <w:bookmarkStart w:id="215" w:name="_Toc23151067"/>
      <w:bookmarkEnd w:id="213"/>
      <w:r w:rsidRPr="0067297E">
        <w:rPr>
          <w:rFonts w:asciiTheme="minorHAnsi" w:hAnsiTheme="minorHAnsi" w:cs="Calibri"/>
          <w:lang w:val="en-GB"/>
        </w:rPr>
        <w:t>Housing stock</w:t>
      </w:r>
      <w:r w:rsidR="000E7670" w:rsidRPr="0067297E">
        <w:rPr>
          <w:rFonts w:asciiTheme="minorHAnsi" w:hAnsiTheme="minorHAnsi" w:cs="Calibri"/>
          <w:lang w:val="en-GB"/>
        </w:rPr>
        <w:t xml:space="preserve"> review</w:t>
      </w:r>
      <w:bookmarkEnd w:id="214"/>
      <w:bookmarkEnd w:id="215"/>
    </w:p>
    <w:p w14:paraId="7DE4469A" w14:textId="77777777" w:rsidR="00C20E54" w:rsidRPr="0067297E" w:rsidRDefault="00C20E54" w:rsidP="00543A76">
      <w:pPr>
        <w:pStyle w:val="Heading2"/>
        <w:ind w:left="709" w:firstLine="0"/>
        <w:rPr>
          <w:rFonts w:asciiTheme="minorHAnsi" w:hAnsiTheme="minorHAnsi" w:cs="Calibri"/>
        </w:rPr>
      </w:pPr>
      <w:bookmarkStart w:id="216" w:name="_Toc1385753"/>
      <w:bookmarkStart w:id="217" w:name="_Toc23151068"/>
      <w:bookmarkStart w:id="218" w:name="_Toc399864379"/>
      <w:r w:rsidRPr="0067297E">
        <w:rPr>
          <w:rFonts w:asciiTheme="minorHAnsi" w:hAnsiTheme="minorHAnsi" w:cs="Calibri"/>
        </w:rPr>
        <w:t>Introduction</w:t>
      </w:r>
      <w:bookmarkEnd w:id="216"/>
      <w:bookmarkEnd w:id="217"/>
    </w:p>
    <w:p w14:paraId="39758E10" w14:textId="4CF93E5C" w:rsidR="00680561" w:rsidRPr="0067297E" w:rsidRDefault="00680561" w:rsidP="00543A76">
      <w:pPr>
        <w:pStyle w:val="Reporttext"/>
        <w:rPr>
          <w:rFonts w:asciiTheme="minorHAnsi" w:hAnsiTheme="minorHAnsi" w:cs="Calibri"/>
        </w:rPr>
      </w:pPr>
      <w:r w:rsidRPr="0067297E">
        <w:rPr>
          <w:rFonts w:asciiTheme="minorHAnsi" w:hAnsiTheme="minorHAnsi" w:cs="Calibri"/>
        </w:rPr>
        <w:t>The purpose of this chapter is to exp</w:t>
      </w:r>
      <w:r w:rsidR="00AF22A9" w:rsidRPr="0067297E">
        <w:rPr>
          <w:rFonts w:asciiTheme="minorHAnsi" w:hAnsiTheme="minorHAnsi" w:cs="Calibri"/>
        </w:rPr>
        <w:t xml:space="preserve">lore the </w:t>
      </w:r>
      <w:r w:rsidR="00A945F5" w:rsidRPr="0067297E">
        <w:rPr>
          <w:rFonts w:asciiTheme="minorHAnsi" w:hAnsiTheme="minorHAnsi" w:cs="Calibri"/>
          <w:lang w:val="en-GB"/>
        </w:rPr>
        <w:t>charac</w:t>
      </w:r>
      <w:r w:rsidR="00AF22A9" w:rsidRPr="0067297E">
        <w:rPr>
          <w:rFonts w:asciiTheme="minorHAnsi" w:hAnsiTheme="minorHAnsi" w:cs="Calibri"/>
          <w:lang w:val="en-GB"/>
        </w:rPr>
        <w:t xml:space="preserve">teristics of </w:t>
      </w:r>
      <w:r w:rsidR="00D661D4" w:rsidRPr="0067297E">
        <w:rPr>
          <w:rFonts w:asciiTheme="minorHAnsi" w:hAnsiTheme="minorHAnsi" w:cs="Calibri"/>
        </w:rPr>
        <w:t xml:space="preserve">the </w:t>
      </w:r>
      <w:r w:rsidR="00544F56" w:rsidRPr="0067297E">
        <w:rPr>
          <w:rFonts w:asciiTheme="minorHAnsi" w:hAnsiTheme="minorHAnsi" w:cs="Calibri"/>
          <w:lang w:val="en-GB"/>
        </w:rPr>
        <w:t xml:space="preserve">London </w:t>
      </w:r>
      <w:r w:rsidR="00A945F5" w:rsidRPr="0067297E">
        <w:rPr>
          <w:rFonts w:asciiTheme="minorHAnsi" w:hAnsiTheme="minorHAnsi" w:cs="Calibri"/>
          <w:lang w:val="en-GB"/>
        </w:rPr>
        <w:t xml:space="preserve">Borough of </w:t>
      </w:r>
      <w:r w:rsidR="00B218A5" w:rsidRPr="0067297E">
        <w:rPr>
          <w:rFonts w:asciiTheme="minorHAnsi" w:hAnsiTheme="minorHAnsi" w:cs="Calibri"/>
          <w:lang w:val="en-GB"/>
        </w:rPr>
        <w:t>Lewisham</w:t>
      </w:r>
      <w:r w:rsidR="003A7F5E" w:rsidRPr="0067297E">
        <w:rPr>
          <w:rFonts w:asciiTheme="minorHAnsi" w:hAnsiTheme="minorHAnsi" w:cs="Calibri"/>
        </w:rPr>
        <w:t xml:space="preserve"> </w:t>
      </w:r>
      <w:r w:rsidR="00AF22A9" w:rsidRPr="0067297E">
        <w:rPr>
          <w:rFonts w:asciiTheme="minorHAnsi" w:hAnsiTheme="minorHAnsi" w:cs="Calibri"/>
          <w:lang w:val="en-GB"/>
        </w:rPr>
        <w:t xml:space="preserve">housing </w:t>
      </w:r>
      <w:r w:rsidR="00F96BAE" w:rsidRPr="0067297E">
        <w:rPr>
          <w:rFonts w:asciiTheme="minorHAnsi" w:hAnsiTheme="minorHAnsi" w:cs="Calibri"/>
          <w:lang w:val="en-GB"/>
        </w:rPr>
        <w:t xml:space="preserve">stock </w:t>
      </w:r>
      <w:r w:rsidR="003A7F5E" w:rsidRPr="0067297E">
        <w:rPr>
          <w:rFonts w:asciiTheme="minorHAnsi" w:hAnsiTheme="minorHAnsi" w:cs="Calibri"/>
        </w:rPr>
        <w:t>focusing on the</w:t>
      </w:r>
      <w:r w:rsidRPr="0067297E">
        <w:rPr>
          <w:rFonts w:asciiTheme="minorHAnsi" w:hAnsiTheme="minorHAnsi" w:cs="Calibri"/>
        </w:rPr>
        <w:t xml:space="preserve"> curr</w:t>
      </w:r>
      <w:r w:rsidR="003A7F5E" w:rsidRPr="0067297E">
        <w:rPr>
          <w:rFonts w:asciiTheme="minorHAnsi" w:hAnsiTheme="minorHAnsi" w:cs="Calibri"/>
        </w:rPr>
        <w:t>ent stock profile</w:t>
      </w:r>
      <w:r w:rsidR="00EC7247" w:rsidRPr="0067297E">
        <w:rPr>
          <w:rFonts w:asciiTheme="minorHAnsi" w:hAnsiTheme="minorHAnsi" w:cs="Calibri"/>
        </w:rPr>
        <w:t>,</w:t>
      </w:r>
      <w:r w:rsidR="003A7F5E" w:rsidRPr="0067297E">
        <w:rPr>
          <w:rFonts w:asciiTheme="minorHAnsi" w:hAnsiTheme="minorHAnsi" w:cs="Calibri"/>
        </w:rPr>
        <w:t xml:space="preserve"> condition and</w:t>
      </w:r>
      <w:r w:rsidRPr="0067297E">
        <w:rPr>
          <w:rFonts w:asciiTheme="minorHAnsi" w:hAnsiTheme="minorHAnsi" w:cs="Calibri"/>
        </w:rPr>
        <w:t xml:space="preserve"> tenure characteristics</w:t>
      </w:r>
      <w:r w:rsidR="003A7F5E" w:rsidRPr="0067297E">
        <w:rPr>
          <w:rFonts w:asciiTheme="minorHAnsi" w:hAnsiTheme="minorHAnsi" w:cs="Calibri"/>
        </w:rPr>
        <w:t xml:space="preserve">. This </w:t>
      </w:r>
      <w:r w:rsidR="00EC7247" w:rsidRPr="0067297E">
        <w:rPr>
          <w:rFonts w:asciiTheme="minorHAnsi" w:hAnsiTheme="minorHAnsi" w:cs="Calibri"/>
        </w:rPr>
        <w:t>includes a</w:t>
      </w:r>
      <w:r w:rsidR="003A7F5E" w:rsidRPr="0067297E">
        <w:rPr>
          <w:rFonts w:asciiTheme="minorHAnsi" w:hAnsiTheme="minorHAnsi" w:cs="Calibri"/>
        </w:rPr>
        <w:t xml:space="preserve"> </w:t>
      </w:r>
      <w:r w:rsidR="00EC7247" w:rsidRPr="0067297E">
        <w:rPr>
          <w:rFonts w:asciiTheme="minorHAnsi" w:hAnsiTheme="minorHAnsi" w:cs="Calibri"/>
        </w:rPr>
        <w:t>detailed analysis</w:t>
      </w:r>
      <w:r w:rsidR="003A7F5E" w:rsidRPr="0067297E">
        <w:rPr>
          <w:rFonts w:asciiTheme="minorHAnsi" w:hAnsiTheme="minorHAnsi" w:cs="Calibri"/>
        </w:rPr>
        <w:t xml:space="preserve"> of the major tenures: owner occupation, the private rented sector and affordable </w:t>
      </w:r>
      <w:r w:rsidR="00EC7247" w:rsidRPr="0067297E">
        <w:rPr>
          <w:rFonts w:asciiTheme="minorHAnsi" w:hAnsiTheme="minorHAnsi" w:cs="Calibri"/>
        </w:rPr>
        <w:t>accommodation.</w:t>
      </w:r>
    </w:p>
    <w:p w14:paraId="10DA2166" w14:textId="77777777" w:rsidR="003C469F" w:rsidRPr="0067297E" w:rsidRDefault="003C469F" w:rsidP="003C469F">
      <w:pPr>
        <w:pStyle w:val="Reporttext"/>
        <w:numPr>
          <w:ilvl w:val="0"/>
          <w:numId w:val="0"/>
        </w:numPr>
        <w:ind w:left="709"/>
        <w:rPr>
          <w:rFonts w:asciiTheme="minorHAnsi" w:hAnsiTheme="minorHAnsi" w:cs="Calibri"/>
        </w:rPr>
      </w:pPr>
    </w:p>
    <w:p w14:paraId="0A494F12" w14:textId="77777777" w:rsidR="00083A44" w:rsidRPr="0067297E" w:rsidRDefault="00680561" w:rsidP="00543A76">
      <w:pPr>
        <w:pStyle w:val="Heading2"/>
        <w:ind w:left="709" w:firstLine="0"/>
        <w:rPr>
          <w:rFonts w:asciiTheme="minorHAnsi" w:hAnsiTheme="minorHAnsi" w:cs="Calibri"/>
        </w:rPr>
      </w:pPr>
      <w:bookmarkStart w:id="219" w:name="_Toc428528494"/>
      <w:bookmarkStart w:id="220" w:name="_Toc430084587"/>
      <w:bookmarkStart w:id="221" w:name="_Toc430782026"/>
      <w:bookmarkStart w:id="222" w:name="_Toc1385754"/>
      <w:bookmarkStart w:id="223" w:name="_Toc23151069"/>
      <w:r w:rsidRPr="0067297E">
        <w:rPr>
          <w:rFonts w:asciiTheme="minorHAnsi" w:hAnsiTheme="minorHAnsi" w:cs="Calibri"/>
        </w:rPr>
        <w:t>Estimates of current dwellings in terms of size, type, condition, tenure</w:t>
      </w:r>
      <w:bookmarkEnd w:id="219"/>
      <w:bookmarkEnd w:id="220"/>
      <w:bookmarkEnd w:id="221"/>
      <w:bookmarkEnd w:id="222"/>
      <w:bookmarkEnd w:id="223"/>
    </w:p>
    <w:p w14:paraId="396B1A84" w14:textId="5EAB892B" w:rsidR="00D9194F" w:rsidRPr="0067297E" w:rsidRDefault="00D9194F" w:rsidP="00543A76">
      <w:pPr>
        <w:pStyle w:val="Reporttext"/>
        <w:rPr>
          <w:rFonts w:asciiTheme="minorHAnsi" w:hAnsiTheme="minorHAnsi" w:cs="Calibri"/>
        </w:rPr>
      </w:pPr>
      <w:r w:rsidRPr="0067297E">
        <w:rPr>
          <w:rFonts w:asciiTheme="minorHAnsi" w:hAnsiTheme="minorHAnsi" w:cs="Calibri"/>
        </w:rPr>
        <w:t xml:space="preserve">This </w:t>
      </w:r>
      <w:r w:rsidR="00992ED6" w:rsidRPr="0067297E">
        <w:rPr>
          <w:rFonts w:asciiTheme="minorHAnsi" w:hAnsiTheme="minorHAnsi" w:cs="Calibri"/>
          <w:lang w:val="en-GB"/>
        </w:rPr>
        <w:t>201</w:t>
      </w:r>
      <w:r w:rsidR="00992ED6">
        <w:rPr>
          <w:rFonts w:asciiTheme="minorHAnsi" w:hAnsiTheme="minorHAnsi" w:cs="Calibri"/>
          <w:lang w:val="en-GB"/>
        </w:rPr>
        <w:t>9</w:t>
      </w:r>
      <w:r w:rsidR="00992ED6" w:rsidRPr="0067297E">
        <w:rPr>
          <w:rFonts w:asciiTheme="minorHAnsi" w:hAnsiTheme="minorHAnsi" w:cs="Calibri"/>
          <w:lang w:val="en-GB"/>
        </w:rPr>
        <w:t xml:space="preserve"> </w:t>
      </w:r>
      <w:r w:rsidRPr="0067297E">
        <w:rPr>
          <w:rFonts w:asciiTheme="minorHAnsi" w:hAnsiTheme="minorHAnsi" w:cs="Calibri"/>
        </w:rPr>
        <w:t xml:space="preserve">study assumes a total of </w:t>
      </w:r>
      <w:r w:rsidR="00801EEB" w:rsidRPr="0067297E">
        <w:rPr>
          <w:rFonts w:asciiTheme="minorHAnsi" w:hAnsiTheme="minorHAnsi" w:cs="Calibri"/>
          <w:lang w:val="en-GB"/>
        </w:rPr>
        <w:t>125,990</w:t>
      </w:r>
      <w:r w:rsidRPr="0067297E">
        <w:rPr>
          <w:rFonts w:asciiTheme="minorHAnsi" w:hAnsiTheme="minorHAnsi" w:cs="Calibri"/>
          <w:lang w:val="en-GB"/>
        </w:rPr>
        <w:t xml:space="preserve"> dwelling</w:t>
      </w:r>
      <w:r w:rsidR="00C96DFF" w:rsidRPr="0067297E">
        <w:rPr>
          <w:rFonts w:asciiTheme="minorHAnsi" w:hAnsiTheme="minorHAnsi" w:cs="Calibri"/>
          <w:lang w:val="en-GB"/>
        </w:rPr>
        <w:t>s</w:t>
      </w:r>
      <w:r w:rsidR="00C96DFF" w:rsidRPr="0067297E">
        <w:rPr>
          <w:rStyle w:val="FootnoteReference"/>
          <w:rFonts w:asciiTheme="minorHAnsi" w:hAnsiTheme="minorHAnsi" w:cs="Calibri"/>
          <w:lang w:val="en-GB"/>
        </w:rPr>
        <w:footnoteReference w:id="17"/>
      </w:r>
      <w:r w:rsidR="00C96DFF" w:rsidRPr="0067297E">
        <w:rPr>
          <w:rFonts w:asciiTheme="minorHAnsi" w:hAnsiTheme="minorHAnsi" w:cs="Calibri"/>
          <w:lang w:val="en-GB"/>
        </w:rPr>
        <w:t xml:space="preserve"> </w:t>
      </w:r>
      <w:r w:rsidRPr="0067297E">
        <w:rPr>
          <w:rFonts w:asciiTheme="minorHAnsi" w:hAnsiTheme="minorHAnsi" w:cs="Calibri"/>
        </w:rPr>
        <w:t xml:space="preserve">in the </w:t>
      </w:r>
      <w:r w:rsidR="00C20E54" w:rsidRPr="0067297E">
        <w:rPr>
          <w:rFonts w:asciiTheme="minorHAnsi" w:hAnsiTheme="minorHAnsi" w:cs="Calibri"/>
          <w:lang w:val="en-GB"/>
        </w:rPr>
        <w:t>borough</w:t>
      </w:r>
      <w:r w:rsidR="009A76DC" w:rsidRPr="0067297E">
        <w:rPr>
          <w:rFonts w:asciiTheme="minorHAnsi" w:hAnsiTheme="minorHAnsi" w:cs="Calibri"/>
          <w:lang w:val="en-GB"/>
        </w:rPr>
        <w:t>. In 201</w:t>
      </w:r>
      <w:r w:rsidR="00801EEB" w:rsidRPr="0067297E">
        <w:rPr>
          <w:rFonts w:asciiTheme="minorHAnsi" w:hAnsiTheme="minorHAnsi" w:cs="Calibri"/>
          <w:lang w:val="en-GB"/>
        </w:rPr>
        <w:t>7</w:t>
      </w:r>
      <w:r w:rsidR="009A76DC" w:rsidRPr="0067297E">
        <w:rPr>
          <w:rFonts w:asciiTheme="minorHAnsi" w:hAnsiTheme="minorHAnsi" w:cs="Calibri"/>
          <w:lang w:val="en-GB"/>
        </w:rPr>
        <w:t xml:space="preserve"> the vacancy rate was </w:t>
      </w:r>
      <w:r w:rsidR="00C20E54" w:rsidRPr="0067297E">
        <w:rPr>
          <w:rFonts w:asciiTheme="minorHAnsi" w:hAnsiTheme="minorHAnsi" w:cs="Calibri"/>
          <w:lang w:val="en-GB"/>
        </w:rPr>
        <w:t>around 1.7</w:t>
      </w:r>
      <w:r w:rsidR="00472DE5" w:rsidRPr="0067297E">
        <w:rPr>
          <w:rFonts w:asciiTheme="minorHAnsi" w:hAnsiTheme="minorHAnsi" w:cs="Calibri"/>
          <w:lang w:val="en-GB"/>
        </w:rPr>
        <w:t>% which</w:t>
      </w:r>
      <w:r w:rsidR="009A76DC" w:rsidRPr="0067297E">
        <w:rPr>
          <w:rFonts w:asciiTheme="minorHAnsi" w:hAnsiTheme="minorHAnsi" w:cs="Calibri"/>
          <w:lang w:val="en-GB"/>
        </w:rPr>
        <w:t xml:space="preserve"> compares </w:t>
      </w:r>
      <w:r w:rsidRPr="0067297E">
        <w:rPr>
          <w:rFonts w:asciiTheme="minorHAnsi" w:hAnsiTheme="minorHAnsi" w:cs="Calibri"/>
          <w:lang w:val="en-GB"/>
        </w:rPr>
        <w:t>with</w:t>
      </w:r>
      <w:r w:rsidRPr="0067297E">
        <w:rPr>
          <w:rFonts w:asciiTheme="minorHAnsi" w:hAnsiTheme="minorHAnsi" w:cs="Calibri"/>
        </w:rPr>
        <w:t xml:space="preserve"> </w:t>
      </w:r>
      <w:r w:rsidRPr="0067297E">
        <w:rPr>
          <w:rFonts w:asciiTheme="minorHAnsi" w:hAnsiTheme="minorHAnsi" w:cs="Calibri"/>
          <w:lang w:val="en-GB"/>
        </w:rPr>
        <w:t xml:space="preserve">a </w:t>
      </w:r>
      <w:r w:rsidRPr="0067297E">
        <w:rPr>
          <w:rFonts w:asciiTheme="minorHAnsi" w:hAnsiTheme="minorHAnsi" w:cs="Calibri"/>
        </w:rPr>
        <w:t>vacancy rate of 2.6% across England</w:t>
      </w:r>
      <w:r w:rsidRPr="0067297E">
        <w:rPr>
          <w:rStyle w:val="FootnoteReference"/>
          <w:rFonts w:asciiTheme="minorHAnsi" w:hAnsiTheme="minorHAnsi" w:cs="Calibri"/>
        </w:rPr>
        <w:footnoteReference w:id="18"/>
      </w:r>
      <w:r w:rsidRPr="0067297E">
        <w:rPr>
          <w:rFonts w:asciiTheme="minorHAnsi" w:hAnsiTheme="minorHAnsi" w:cs="Calibri"/>
        </w:rPr>
        <w:t>.</w:t>
      </w:r>
      <w:r w:rsidRPr="0067297E">
        <w:rPr>
          <w:rFonts w:asciiTheme="minorHAnsi" w:hAnsiTheme="minorHAnsi" w:cs="Calibri"/>
          <w:lang w:val="en-GB"/>
        </w:rPr>
        <w:t xml:space="preserve"> The vacancy rate in the </w:t>
      </w:r>
      <w:r w:rsidR="00C20E54" w:rsidRPr="0067297E">
        <w:rPr>
          <w:rFonts w:asciiTheme="minorHAnsi" w:hAnsiTheme="minorHAnsi" w:cs="Calibri"/>
          <w:lang w:val="en-GB"/>
        </w:rPr>
        <w:t>borough</w:t>
      </w:r>
      <w:r w:rsidRPr="0067297E">
        <w:rPr>
          <w:rFonts w:asciiTheme="minorHAnsi" w:hAnsiTheme="minorHAnsi" w:cs="Calibri"/>
          <w:lang w:val="en-GB"/>
        </w:rPr>
        <w:t xml:space="preserve"> is </w:t>
      </w:r>
      <w:r w:rsidR="00D830CE" w:rsidRPr="0067297E">
        <w:rPr>
          <w:rFonts w:asciiTheme="minorHAnsi" w:hAnsiTheme="minorHAnsi" w:cs="Calibri"/>
          <w:lang w:val="en-GB"/>
        </w:rPr>
        <w:t>below</w:t>
      </w:r>
      <w:r w:rsidRPr="0067297E">
        <w:rPr>
          <w:rFonts w:asciiTheme="minorHAnsi" w:hAnsiTheme="minorHAnsi" w:cs="Calibri"/>
          <w:lang w:val="en-GB"/>
        </w:rPr>
        <w:t xml:space="preserve"> the ‘transactional vacancy level’ of 3%, which represents the proportion of stock which would normally be expected to be vacant to allow movement within the market.</w:t>
      </w:r>
    </w:p>
    <w:p w14:paraId="5CE4FD89" w14:textId="77777777" w:rsidR="00A945F5" w:rsidRPr="0067297E" w:rsidRDefault="0056391D" w:rsidP="000256AC">
      <w:pPr>
        <w:pStyle w:val="Reporttext"/>
        <w:rPr>
          <w:rFonts w:asciiTheme="minorHAnsi" w:hAnsiTheme="minorHAnsi" w:cs="Calibri"/>
        </w:rPr>
      </w:pPr>
      <w:r w:rsidRPr="0067297E">
        <w:rPr>
          <w:rFonts w:asciiTheme="minorHAnsi" w:hAnsiTheme="minorHAnsi" w:cs="Calibri"/>
          <w:lang w:val="en-GB"/>
        </w:rPr>
        <w:t>Base</w:t>
      </w:r>
      <w:r w:rsidR="00067EF2" w:rsidRPr="0067297E">
        <w:rPr>
          <w:rFonts w:asciiTheme="minorHAnsi" w:hAnsiTheme="minorHAnsi" w:cs="Calibri"/>
          <w:lang w:val="en-GB"/>
        </w:rPr>
        <w:t xml:space="preserve">line dwelling statistics for </w:t>
      </w:r>
      <w:r w:rsidR="00C20E54" w:rsidRPr="0067297E">
        <w:rPr>
          <w:rFonts w:asciiTheme="minorHAnsi" w:hAnsiTheme="minorHAnsi" w:cs="Calibri"/>
          <w:lang w:val="en-GB"/>
        </w:rPr>
        <w:t xml:space="preserve">wards is set out in Table 4.1 and sub-areas in Table 4.2. </w:t>
      </w:r>
    </w:p>
    <w:p w14:paraId="0A9F72C8" w14:textId="77777777" w:rsidR="00C20E54" w:rsidRPr="0067297E" w:rsidRDefault="00C20E54" w:rsidP="006C722F">
      <w:pPr>
        <w:rPr>
          <w:rFonts w:asciiTheme="minorHAnsi" w:hAnsiTheme="minorHAnsi"/>
          <w:sz w:val="20"/>
        </w:rPr>
      </w:pPr>
    </w:p>
    <w:tbl>
      <w:tblPr>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476"/>
        <w:gridCol w:w="1732"/>
        <w:gridCol w:w="1701"/>
      </w:tblGrid>
      <w:tr w:rsidR="008F474E" w:rsidRPr="0067297E" w14:paraId="6ABCF04C" w14:textId="77777777" w:rsidTr="00FF4E2D">
        <w:trPr>
          <w:trHeight w:val="460"/>
          <w:tblHeader/>
        </w:trPr>
        <w:tc>
          <w:tcPr>
            <w:tcW w:w="5909" w:type="dxa"/>
            <w:gridSpan w:val="3"/>
            <w:shd w:val="clear" w:color="000000" w:fill="009999"/>
          </w:tcPr>
          <w:p w14:paraId="22031157" w14:textId="77777777" w:rsidR="008F474E" w:rsidRPr="0067297E" w:rsidRDefault="008F474E" w:rsidP="003F4875">
            <w:pPr>
              <w:pStyle w:val="tableheading"/>
              <w:rPr>
                <w:rFonts w:asciiTheme="minorHAnsi" w:hAnsiTheme="minorHAnsi"/>
              </w:rPr>
            </w:pPr>
            <w:bookmarkStart w:id="224" w:name="_Toc23151150"/>
            <w:r w:rsidRPr="0067297E">
              <w:rPr>
                <w:rFonts w:asciiTheme="minorHAnsi" w:hAnsiTheme="minorHAnsi"/>
              </w:rPr>
              <w:t>Table 4.1</w:t>
            </w:r>
            <w:r w:rsidRPr="0067297E">
              <w:rPr>
                <w:rFonts w:asciiTheme="minorHAnsi" w:hAnsiTheme="minorHAnsi"/>
              </w:rPr>
              <w:tab/>
              <w:t xml:space="preserve">Dwelling stock by </w:t>
            </w:r>
            <w:r w:rsidR="003E6F09" w:rsidRPr="0067297E">
              <w:rPr>
                <w:rFonts w:asciiTheme="minorHAnsi" w:hAnsiTheme="minorHAnsi"/>
              </w:rPr>
              <w:t>ward</w:t>
            </w:r>
            <w:bookmarkEnd w:id="224"/>
          </w:p>
        </w:tc>
      </w:tr>
      <w:tr w:rsidR="008F474E" w:rsidRPr="0067297E" w14:paraId="3203B08C" w14:textId="77777777" w:rsidTr="00E12901">
        <w:tc>
          <w:tcPr>
            <w:tcW w:w="0" w:type="auto"/>
            <w:shd w:val="clear" w:color="000000" w:fill="009999"/>
            <w:noWrap/>
            <w:vAlign w:val="bottom"/>
            <w:hideMark/>
          </w:tcPr>
          <w:p w14:paraId="6D5B8E90" w14:textId="77777777" w:rsidR="008F474E" w:rsidRPr="0067297E" w:rsidRDefault="003E6F09" w:rsidP="00152C6F">
            <w:pPr>
              <w:rPr>
                <w:rFonts w:asciiTheme="minorHAnsi" w:hAnsiTheme="minorHAnsi" w:cs="Calibri"/>
                <w:b/>
                <w:bCs/>
                <w:color w:val="FFFFFF"/>
                <w:sz w:val="22"/>
                <w:szCs w:val="22"/>
              </w:rPr>
            </w:pPr>
            <w:r w:rsidRPr="0067297E">
              <w:rPr>
                <w:rFonts w:asciiTheme="minorHAnsi" w:hAnsiTheme="minorHAnsi" w:cs="Calibri"/>
                <w:b/>
                <w:bCs/>
                <w:color w:val="FFFFFF"/>
                <w:sz w:val="22"/>
                <w:szCs w:val="22"/>
              </w:rPr>
              <w:t>Ward</w:t>
            </w:r>
          </w:p>
        </w:tc>
        <w:tc>
          <w:tcPr>
            <w:tcW w:w="1732" w:type="dxa"/>
            <w:shd w:val="clear" w:color="000000" w:fill="009999"/>
            <w:noWrap/>
            <w:tcMar>
              <w:left w:w="0" w:type="dxa"/>
              <w:right w:w="0" w:type="dxa"/>
            </w:tcMar>
            <w:vAlign w:val="bottom"/>
            <w:hideMark/>
          </w:tcPr>
          <w:p w14:paraId="6C792D49" w14:textId="77777777" w:rsidR="008F474E" w:rsidRPr="0067297E" w:rsidRDefault="008F474E" w:rsidP="00152C6F">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Total Dwellings</w:t>
            </w:r>
          </w:p>
        </w:tc>
        <w:tc>
          <w:tcPr>
            <w:tcW w:w="1701" w:type="dxa"/>
            <w:shd w:val="clear" w:color="000000" w:fill="009999"/>
            <w:noWrap/>
            <w:tcMar>
              <w:left w:w="0" w:type="dxa"/>
              <w:right w:w="0" w:type="dxa"/>
            </w:tcMar>
            <w:vAlign w:val="bottom"/>
            <w:hideMark/>
          </w:tcPr>
          <w:p w14:paraId="7FCB36D6" w14:textId="77777777" w:rsidR="008F474E" w:rsidRPr="0067297E" w:rsidRDefault="00801EEB" w:rsidP="00152C6F">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w:t>
            </w:r>
          </w:p>
        </w:tc>
      </w:tr>
      <w:tr w:rsidR="00801EEB" w:rsidRPr="0067297E" w14:paraId="50B45C6C" w14:textId="77777777" w:rsidTr="00E12901">
        <w:tc>
          <w:tcPr>
            <w:tcW w:w="0" w:type="auto"/>
            <w:shd w:val="clear" w:color="auto" w:fill="auto"/>
            <w:noWrap/>
            <w:vAlign w:val="bottom"/>
          </w:tcPr>
          <w:p w14:paraId="5298A7A0" w14:textId="77777777" w:rsidR="00801EEB" w:rsidRPr="0067297E" w:rsidRDefault="00801EEB" w:rsidP="00152C6F">
            <w:pPr>
              <w:rPr>
                <w:rFonts w:asciiTheme="minorHAnsi" w:hAnsiTheme="minorHAnsi" w:cs="Calibri"/>
                <w:color w:val="000000"/>
                <w:sz w:val="22"/>
                <w:szCs w:val="22"/>
              </w:rPr>
            </w:pPr>
            <w:r w:rsidRPr="0067297E">
              <w:rPr>
                <w:rFonts w:asciiTheme="minorHAnsi" w:hAnsiTheme="minorHAnsi" w:cs="Calibri"/>
                <w:color w:val="000000"/>
                <w:sz w:val="22"/>
                <w:szCs w:val="22"/>
              </w:rPr>
              <w:t>Bellingham</w:t>
            </w:r>
          </w:p>
        </w:tc>
        <w:tc>
          <w:tcPr>
            <w:tcW w:w="1732" w:type="dxa"/>
            <w:shd w:val="clear" w:color="000000" w:fill="FFFFFF"/>
            <w:noWrap/>
            <w:vAlign w:val="bottom"/>
          </w:tcPr>
          <w:p w14:paraId="45638AE1"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6,700</w:t>
            </w:r>
          </w:p>
        </w:tc>
        <w:tc>
          <w:tcPr>
            <w:tcW w:w="1701" w:type="dxa"/>
            <w:shd w:val="clear" w:color="000000" w:fill="FFFFFF"/>
            <w:noWrap/>
            <w:vAlign w:val="bottom"/>
          </w:tcPr>
          <w:p w14:paraId="16D3A6D8"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5.3</w:t>
            </w:r>
          </w:p>
        </w:tc>
      </w:tr>
      <w:tr w:rsidR="00801EEB" w:rsidRPr="0067297E" w14:paraId="05E97701" w14:textId="77777777" w:rsidTr="00E12901">
        <w:tc>
          <w:tcPr>
            <w:tcW w:w="0" w:type="auto"/>
            <w:shd w:val="clear" w:color="auto" w:fill="auto"/>
            <w:noWrap/>
            <w:vAlign w:val="bottom"/>
          </w:tcPr>
          <w:p w14:paraId="324A7EAA" w14:textId="77777777" w:rsidR="00801EEB" w:rsidRPr="0067297E" w:rsidRDefault="00801EEB" w:rsidP="00152C6F">
            <w:pPr>
              <w:rPr>
                <w:rFonts w:asciiTheme="minorHAnsi" w:hAnsiTheme="minorHAnsi" w:cs="Calibri"/>
                <w:color w:val="000000"/>
                <w:sz w:val="22"/>
                <w:szCs w:val="22"/>
              </w:rPr>
            </w:pPr>
            <w:r w:rsidRPr="0067297E">
              <w:rPr>
                <w:rFonts w:asciiTheme="minorHAnsi" w:hAnsiTheme="minorHAnsi" w:cs="Calibri"/>
                <w:color w:val="000000"/>
                <w:sz w:val="22"/>
                <w:szCs w:val="22"/>
              </w:rPr>
              <w:t>Blackheath</w:t>
            </w:r>
          </w:p>
        </w:tc>
        <w:tc>
          <w:tcPr>
            <w:tcW w:w="1732" w:type="dxa"/>
            <w:shd w:val="clear" w:color="000000" w:fill="FFFFFF"/>
            <w:noWrap/>
            <w:vAlign w:val="bottom"/>
          </w:tcPr>
          <w:p w14:paraId="6EEA1B05"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6,860</w:t>
            </w:r>
          </w:p>
        </w:tc>
        <w:tc>
          <w:tcPr>
            <w:tcW w:w="1701" w:type="dxa"/>
            <w:shd w:val="clear" w:color="000000" w:fill="FFFFFF"/>
            <w:noWrap/>
            <w:vAlign w:val="bottom"/>
          </w:tcPr>
          <w:p w14:paraId="261B71CC"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5.4</w:t>
            </w:r>
          </w:p>
        </w:tc>
      </w:tr>
      <w:tr w:rsidR="00801EEB" w:rsidRPr="0067297E" w14:paraId="1723F27E" w14:textId="77777777" w:rsidTr="00E12901">
        <w:tc>
          <w:tcPr>
            <w:tcW w:w="0" w:type="auto"/>
            <w:shd w:val="clear" w:color="auto" w:fill="auto"/>
            <w:noWrap/>
            <w:vAlign w:val="bottom"/>
          </w:tcPr>
          <w:p w14:paraId="6887174F" w14:textId="77777777" w:rsidR="00801EEB" w:rsidRPr="0067297E" w:rsidRDefault="00801EEB" w:rsidP="00152C6F">
            <w:pPr>
              <w:rPr>
                <w:rFonts w:asciiTheme="minorHAnsi" w:hAnsiTheme="minorHAnsi" w:cs="Calibri"/>
                <w:color w:val="000000"/>
                <w:sz w:val="22"/>
                <w:szCs w:val="22"/>
              </w:rPr>
            </w:pPr>
            <w:r w:rsidRPr="0067297E">
              <w:rPr>
                <w:rFonts w:asciiTheme="minorHAnsi" w:hAnsiTheme="minorHAnsi" w:cs="Calibri"/>
                <w:color w:val="000000"/>
                <w:sz w:val="22"/>
                <w:szCs w:val="22"/>
              </w:rPr>
              <w:t>Brockley</w:t>
            </w:r>
          </w:p>
        </w:tc>
        <w:tc>
          <w:tcPr>
            <w:tcW w:w="1732" w:type="dxa"/>
            <w:shd w:val="clear" w:color="000000" w:fill="FFFFFF"/>
            <w:noWrap/>
            <w:vAlign w:val="bottom"/>
          </w:tcPr>
          <w:p w14:paraId="21962983"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8,970</w:t>
            </w:r>
          </w:p>
        </w:tc>
        <w:tc>
          <w:tcPr>
            <w:tcW w:w="1701" w:type="dxa"/>
            <w:shd w:val="clear" w:color="000000" w:fill="FFFFFF"/>
            <w:noWrap/>
            <w:vAlign w:val="bottom"/>
          </w:tcPr>
          <w:p w14:paraId="18C34B14"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7.1</w:t>
            </w:r>
          </w:p>
        </w:tc>
      </w:tr>
      <w:tr w:rsidR="00801EEB" w:rsidRPr="0067297E" w14:paraId="23F886A8" w14:textId="77777777" w:rsidTr="00E12901">
        <w:tc>
          <w:tcPr>
            <w:tcW w:w="0" w:type="auto"/>
            <w:shd w:val="clear" w:color="auto" w:fill="auto"/>
            <w:noWrap/>
            <w:vAlign w:val="bottom"/>
          </w:tcPr>
          <w:p w14:paraId="591A9667" w14:textId="77777777" w:rsidR="00801EEB" w:rsidRPr="0067297E" w:rsidRDefault="00801EEB" w:rsidP="00152C6F">
            <w:pPr>
              <w:rPr>
                <w:rFonts w:asciiTheme="minorHAnsi" w:hAnsiTheme="minorHAnsi" w:cs="Calibri"/>
                <w:color w:val="000000"/>
                <w:sz w:val="22"/>
                <w:szCs w:val="22"/>
              </w:rPr>
            </w:pPr>
            <w:r w:rsidRPr="0067297E">
              <w:rPr>
                <w:rFonts w:asciiTheme="minorHAnsi" w:hAnsiTheme="minorHAnsi" w:cs="Calibri"/>
                <w:color w:val="000000"/>
                <w:sz w:val="22"/>
                <w:szCs w:val="22"/>
              </w:rPr>
              <w:t>Catford South</w:t>
            </w:r>
          </w:p>
        </w:tc>
        <w:tc>
          <w:tcPr>
            <w:tcW w:w="1732" w:type="dxa"/>
            <w:shd w:val="clear" w:color="000000" w:fill="FFFFFF"/>
            <w:noWrap/>
            <w:vAlign w:val="bottom"/>
          </w:tcPr>
          <w:p w14:paraId="6C08C3F5"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5,930</w:t>
            </w:r>
          </w:p>
        </w:tc>
        <w:tc>
          <w:tcPr>
            <w:tcW w:w="1701" w:type="dxa"/>
            <w:shd w:val="clear" w:color="000000" w:fill="FFFFFF"/>
            <w:noWrap/>
            <w:vAlign w:val="bottom"/>
          </w:tcPr>
          <w:p w14:paraId="27528657"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4.7</w:t>
            </w:r>
          </w:p>
        </w:tc>
      </w:tr>
      <w:tr w:rsidR="00801EEB" w:rsidRPr="0067297E" w14:paraId="5D8EC5A2" w14:textId="77777777" w:rsidTr="00E12901">
        <w:tc>
          <w:tcPr>
            <w:tcW w:w="0" w:type="auto"/>
            <w:shd w:val="clear" w:color="auto" w:fill="auto"/>
            <w:noWrap/>
            <w:vAlign w:val="bottom"/>
          </w:tcPr>
          <w:p w14:paraId="1052A6B6" w14:textId="77777777" w:rsidR="00801EEB" w:rsidRPr="0067297E" w:rsidRDefault="00801EEB" w:rsidP="00152C6F">
            <w:pPr>
              <w:rPr>
                <w:rFonts w:asciiTheme="minorHAnsi" w:hAnsiTheme="minorHAnsi" w:cs="Calibri"/>
                <w:color w:val="000000"/>
                <w:sz w:val="22"/>
                <w:szCs w:val="22"/>
              </w:rPr>
            </w:pPr>
            <w:r w:rsidRPr="0067297E">
              <w:rPr>
                <w:rFonts w:asciiTheme="minorHAnsi" w:hAnsiTheme="minorHAnsi" w:cs="Calibri"/>
                <w:color w:val="000000"/>
                <w:sz w:val="22"/>
                <w:szCs w:val="22"/>
              </w:rPr>
              <w:t>Crofton Park</w:t>
            </w:r>
          </w:p>
        </w:tc>
        <w:tc>
          <w:tcPr>
            <w:tcW w:w="1732" w:type="dxa"/>
            <w:shd w:val="clear" w:color="000000" w:fill="FFFFFF"/>
            <w:noWrap/>
            <w:vAlign w:val="bottom"/>
          </w:tcPr>
          <w:p w14:paraId="4DD25920"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6,390</w:t>
            </w:r>
          </w:p>
        </w:tc>
        <w:tc>
          <w:tcPr>
            <w:tcW w:w="1701" w:type="dxa"/>
            <w:shd w:val="clear" w:color="000000" w:fill="FFFFFF"/>
            <w:noWrap/>
            <w:vAlign w:val="bottom"/>
          </w:tcPr>
          <w:p w14:paraId="19B205A2"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5.1</w:t>
            </w:r>
          </w:p>
        </w:tc>
      </w:tr>
      <w:tr w:rsidR="00801EEB" w:rsidRPr="0067297E" w14:paraId="72772A3B" w14:textId="77777777" w:rsidTr="00E12901">
        <w:tc>
          <w:tcPr>
            <w:tcW w:w="0" w:type="auto"/>
            <w:shd w:val="clear" w:color="auto" w:fill="auto"/>
            <w:noWrap/>
            <w:vAlign w:val="bottom"/>
          </w:tcPr>
          <w:p w14:paraId="4940B104" w14:textId="77777777" w:rsidR="00801EEB" w:rsidRPr="0067297E" w:rsidRDefault="00801EEB" w:rsidP="00152C6F">
            <w:pPr>
              <w:rPr>
                <w:rFonts w:asciiTheme="minorHAnsi" w:hAnsiTheme="minorHAnsi" w:cs="Calibri"/>
                <w:color w:val="000000"/>
                <w:sz w:val="22"/>
                <w:szCs w:val="22"/>
              </w:rPr>
            </w:pPr>
            <w:r w:rsidRPr="0067297E">
              <w:rPr>
                <w:rFonts w:asciiTheme="minorHAnsi" w:hAnsiTheme="minorHAnsi" w:cs="Calibri"/>
                <w:color w:val="000000"/>
                <w:sz w:val="22"/>
                <w:szCs w:val="22"/>
              </w:rPr>
              <w:t>Downham</w:t>
            </w:r>
          </w:p>
        </w:tc>
        <w:tc>
          <w:tcPr>
            <w:tcW w:w="1732" w:type="dxa"/>
            <w:shd w:val="clear" w:color="000000" w:fill="FFFFFF"/>
            <w:noWrap/>
            <w:vAlign w:val="bottom"/>
          </w:tcPr>
          <w:p w14:paraId="51D3C623"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6,320</w:t>
            </w:r>
          </w:p>
        </w:tc>
        <w:tc>
          <w:tcPr>
            <w:tcW w:w="1701" w:type="dxa"/>
            <w:shd w:val="clear" w:color="000000" w:fill="FFFFFF"/>
            <w:noWrap/>
            <w:vAlign w:val="bottom"/>
          </w:tcPr>
          <w:p w14:paraId="446504D5"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5.0</w:t>
            </w:r>
          </w:p>
        </w:tc>
      </w:tr>
      <w:tr w:rsidR="00801EEB" w:rsidRPr="0067297E" w14:paraId="3D941F66" w14:textId="77777777" w:rsidTr="00E12901">
        <w:tc>
          <w:tcPr>
            <w:tcW w:w="0" w:type="auto"/>
            <w:shd w:val="clear" w:color="auto" w:fill="auto"/>
            <w:noWrap/>
            <w:vAlign w:val="bottom"/>
          </w:tcPr>
          <w:p w14:paraId="609C04E1" w14:textId="77777777" w:rsidR="00801EEB" w:rsidRPr="0067297E" w:rsidRDefault="00801EEB" w:rsidP="00152C6F">
            <w:pPr>
              <w:rPr>
                <w:rFonts w:asciiTheme="minorHAnsi" w:hAnsiTheme="minorHAnsi" w:cs="Calibri"/>
                <w:sz w:val="22"/>
                <w:szCs w:val="22"/>
              </w:rPr>
            </w:pPr>
            <w:r w:rsidRPr="0067297E">
              <w:rPr>
                <w:rFonts w:asciiTheme="minorHAnsi" w:hAnsiTheme="minorHAnsi" w:cs="Calibri"/>
                <w:sz w:val="22"/>
                <w:szCs w:val="22"/>
              </w:rPr>
              <w:t>Evelyn</w:t>
            </w:r>
          </w:p>
        </w:tc>
        <w:tc>
          <w:tcPr>
            <w:tcW w:w="1732" w:type="dxa"/>
            <w:shd w:val="clear" w:color="000000" w:fill="FFFFFF"/>
            <w:noWrap/>
            <w:vAlign w:val="bottom"/>
          </w:tcPr>
          <w:p w14:paraId="5C7417DC"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8,340</w:t>
            </w:r>
          </w:p>
        </w:tc>
        <w:tc>
          <w:tcPr>
            <w:tcW w:w="1701" w:type="dxa"/>
            <w:shd w:val="clear" w:color="000000" w:fill="FFFFFF"/>
            <w:noWrap/>
            <w:vAlign w:val="bottom"/>
          </w:tcPr>
          <w:p w14:paraId="6CC430E1"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6.6</w:t>
            </w:r>
          </w:p>
        </w:tc>
      </w:tr>
      <w:tr w:rsidR="00801EEB" w:rsidRPr="0067297E" w14:paraId="20A749AB" w14:textId="77777777" w:rsidTr="00E12901">
        <w:tc>
          <w:tcPr>
            <w:tcW w:w="0" w:type="auto"/>
            <w:shd w:val="clear" w:color="auto" w:fill="auto"/>
            <w:noWrap/>
            <w:vAlign w:val="bottom"/>
          </w:tcPr>
          <w:p w14:paraId="7685690A" w14:textId="77777777" w:rsidR="00801EEB" w:rsidRPr="0067297E" w:rsidRDefault="00801EEB" w:rsidP="00152C6F">
            <w:pPr>
              <w:rPr>
                <w:rFonts w:asciiTheme="minorHAnsi" w:hAnsiTheme="minorHAnsi" w:cs="Calibri"/>
                <w:sz w:val="22"/>
                <w:szCs w:val="22"/>
              </w:rPr>
            </w:pPr>
            <w:r w:rsidRPr="0067297E">
              <w:rPr>
                <w:rFonts w:asciiTheme="minorHAnsi" w:hAnsiTheme="minorHAnsi" w:cs="Calibri"/>
                <w:sz w:val="22"/>
                <w:szCs w:val="22"/>
              </w:rPr>
              <w:t>Forest Hill</w:t>
            </w:r>
          </w:p>
        </w:tc>
        <w:tc>
          <w:tcPr>
            <w:tcW w:w="1732" w:type="dxa"/>
            <w:shd w:val="clear" w:color="000000" w:fill="FFFFFF"/>
            <w:noWrap/>
            <w:vAlign w:val="bottom"/>
          </w:tcPr>
          <w:p w14:paraId="771B8E6E"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6,740</w:t>
            </w:r>
          </w:p>
        </w:tc>
        <w:tc>
          <w:tcPr>
            <w:tcW w:w="1701" w:type="dxa"/>
            <w:shd w:val="clear" w:color="000000" w:fill="FFFFFF"/>
            <w:noWrap/>
            <w:vAlign w:val="bottom"/>
          </w:tcPr>
          <w:p w14:paraId="7733FE14"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5.3</w:t>
            </w:r>
          </w:p>
        </w:tc>
      </w:tr>
      <w:tr w:rsidR="00801EEB" w:rsidRPr="0067297E" w14:paraId="3752BA89" w14:textId="77777777" w:rsidTr="00E12901">
        <w:tc>
          <w:tcPr>
            <w:tcW w:w="0" w:type="auto"/>
            <w:shd w:val="clear" w:color="auto" w:fill="auto"/>
            <w:noWrap/>
            <w:vAlign w:val="bottom"/>
          </w:tcPr>
          <w:p w14:paraId="4CC1D719" w14:textId="77777777" w:rsidR="00801EEB" w:rsidRPr="0067297E" w:rsidRDefault="00801EEB" w:rsidP="00152C6F">
            <w:pPr>
              <w:rPr>
                <w:rFonts w:asciiTheme="minorHAnsi" w:hAnsiTheme="minorHAnsi" w:cs="Calibri"/>
                <w:sz w:val="22"/>
                <w:szCs w:val="22"/>
              </w:rPr>
            </w:pPr>
            <w:r w:rsidRPr="0067297E">
              <w:rPr>
                <w:rFonts w:asciiTheme="minorHAnsi" w:hAnsiTheme="minorHAnsi" w:cs="Calibri"/>
                <w:sz w:val="22"/>
                <w:szCs w:val="22"/>
              </w:rPr>
              <w:t>Grove Park</w:t>
            </w:r>
          </w:p>
        </w:tc>
        <w:tc>
          <w:tcPr>
            <w:tcW w:w="1732" w:type="dxa"/>
            <w:shd w:val="clear" w:color="000000" w:fill="FFFFFF"/>
            <w:noWrap/>
            <w:vAlign w:val="bottom"/>
          </w:tcPr>
          <w:p w14:paraId="4365B9D7"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6,420</w:t>
            </w:r>
          </w:p>
        </w:tc>
        <w:tc>
          <w:tcPr>
            <w:tcW w:w="1701" w:type="dxa"/>
            <w:shd w:val="clear" w:color="000000" w:fill="FFFFFF"/>
            <w:noWrap/>
            <w:vAlign w:val="bottom"/>
          </w:tcPr>
          <w:p w14:paraId="30974C31"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5.1</w:t>
            </w:r>
          </w:p>
        </w:tc>
      </w:tr>
      <w:tr w:rsidR="00801EEB" w:rsidRPr="0067297E" w14:paraId="67FA663C" w14:textId="77777777" w:rsidTr="00E12901">
        <w:tc>
          <w:tcPr>
            <w:tcW w:w="0" w:type="auto"/>
            <w:shd w:val="clear" w:color="auto" w:fill="auto"/>
            <w:noWrap/>
            <w:vAlign w:val="bottom"/>
          </w:tcPr>
          <w:p w14:paraId="7BCADF3A" w14:textId="77777777" w:rsidR="00801EEB" w:rsidRPr="0067297E" w:rsidRDefault="00801EEB" w:rsidP="00152C6F">
            <w:pPr>
              <w:rPr>
                <w:rFonts w:asciiTheme="minorHAnsi" w:hAnsiTheme="minorHAnsi" w:cs="Calibri"/>
                <w:bCs/>
                <w:color w:val="000000"/>
                <w:sz w:val="22"/>
                <w:szCs w:val="22"/>
              </w:rPr>
            </w:pPr>
            <w:r w:rsidRPr="0067297E">
              <w:rPr>
                <w:rFonts w:asciiTheme="minorHAnsi" w:hAnsiTheme="minorHAnsi" w:cs="Calibri"/>
                <w:bCs/>
                <w:color w:val="000000"/>
                <w:sz w:val="22"/>
                <w:szCs w:val="22"/>
              </w:rPr>
              <w:t>Ladywell</w:t>
            </w:r>
          </w:p>
        </w:tc>
        <w:tc>
          <w:tcPr>
            <w:tcW w:w="1732" w:type="dxa"/>
            <w:shd w:val="clear" w:color="auto" w:fill="auto"/>
            <w:noWrap/>
            <w:vAlign w:val="bottom"/>
          </w:tcPr>
          <w:p w14:paraId="30E29C86"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4,990</w:t>
            </w:r>
          </w:p>
        </w:tc>
        <w:tc>
          <w:tcPr>
            <w:tcW w:w="1701" w:type="dxa"/>
            <w:shd w:val="clear" w:color="auto" w:fill="auto"/>
            <w:noWrap/>
            <w:vAlign w:val="bottom"/>
          </w:tcPr>
          <w:p w14:paraId="009B7C40" w14:textId="77777777" w:rsidR="00801EEB" w:rsidRPr="0067297E" w:rsidRDefault="00801EEB" w:rsidP="006E7AE7">
            <w:pPr>
              <w:jc w:val="right"/>
              <w:rPr>
                <w:rFonts w:asciiTheme="minorHAnsi" w:hAnsiTheme="minorHAnsi" w:cs="Calibri"/>
                <w:bCs/>
                <w:color w:val="000000"/>
                <w:sz w:val="22"/>
                <w:szCs w:val="22"/>
              </w:rPr>
            </w:pPr>
            <w:r w:rsidRPr="0067297E">
              <w:rPr>
                <w:rFonts w:asciiTheme="minorHAnsi" w:hAnsiTheme="minorHAnsi" w:cs="Calibri"/>
                <w:color w:val="000000"/>
                <w:sz w:val="22"/>
                <w:szCs w:val="22"/>
              </w:rPr>
              <w:t>4.0</w:t>
            </w:r>
          </w:p>
        </w:tc>
      </w:tr>
      <w:tr w:rsidR="00801EEB" w:rsidRPr="0067297E" w14:paraId="24FD6134" w14:textId="77777777" w:rsidTr="00E12901">
        <w:tc>
          <w:tcPr>
            <w:tcW w:w="0" w:type="auto"/>
            <w:shd w:val="clear" w:color="auto" w:fill="auto"/>
            <w:noWrap/>
            <w:vAlign w:val="bottom"/>
          </w:tcPr>
          <w:p w14:paraId="0C30F47A" w14:textId="77777777" w:rsidR="00801EEB" w:rsidRPr="0067297E" w:rsidRDefault="00801EEB" w:rsidP="00152C6F">
            <w:pPr>
              <w:rPr>
                <w:rFonts w:asciiTheme="minorHAnsi" w:hAnsiTheme="minorHAnsi" w:cs="Calibri"/>
                <w:bCs/>
                <w:color w:val="000000"/>
                <w:sz w:val="22"/>
                <w:szCs w:val="22"/>
              </w:rPr>
            </w:pPr>
            <w:r w:rsidRPr="0067297E">
              <w:rPr>
                <w:rFonts w:asciiTheme="minorHAnsi" w:hAnsiTheme="minorHAnsi" w:cs="Calibri"/>
                <w:bCs/>
                <w:color w:val="000000"/>
                <w:sz w:val="22"/>
                <w:szCs w:val="22"/>
              </w:rPr>
              <w:t>Lee Green</w:t>
            </w:r>
          </w:p>
        </w:tc>
        <w:tc>
          <w:tcPr>
            <w:tcW w:w="1732" w:type="dxa"/>
            <w:shd w:val="clear" w:color="auto" w:fill="auto"/>
            <w:noWrap/>
            <w:vAlign w:val="bottom"/>
          </w:tcPr>
          <w:p w14:paraId="4D1FA1BE"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6,350</w:t>
            </w:r>
          </w:p>
        </w:tc>
        <w:tc>
          <w:tcPr>
            <w:tcW w:w="1701" w:type="dxa"/>
            <w:shd w:val="clear" w:color="auto" w:fill="auto"/>
            <w:noWrap/>
            <w:vAlign w:val="bottom"/>
          </w:tcPr>
          <w:p w14:paraId="518CE36B" w14:textId="77777777" w:rsidR="00801EEB" w:rsidRPr="0067297E" w:rsidRDefault="00801EEB" w:rsidP="006E7AE7">
            <w:pPr>
              <w:jc w:val="right"/>
              <w:rPr>
                <w:rFonts w:asciiTheme="minorHAnsi" w:hAnsiTheme="minorHAnsi" w:cs="Calibri"/>
                <w:bCs/>
                <w:color w:val="000000"/>
                <w:sz w:val="22"/>
                <w:szCs w:val="22"/>
              </w:rPr>
            </w:pPr>
            <w:r w:rsidRPr="0067297E">
              <w:rPr>
                <w:rFonts w:asciiTheme="minorHAnsi" w:hAnsiTheme="minorHAnsi" w:cs="Calibri"/>
                <w:color w:val="000000"/>
                <w:sz w:val="22"/>
                <w:szCs w:val="22"/>
              </w:rPr>
              <w:t>5.0</w:t>
            </w:r>
          </w:p>
        </w:tc>
      </w:tr>
      <w:tr w:rsidR="00801EEB" w:rsidRPr="0067297E" w14:paraId="7AD6E72E" w14:textId="77777777" w:rsidTr="00E12901">
        <w:tc>
          <w:tcPr>
            <w:tcW w:w="0" w:type="auto"/>
            <w:shd w:val="clear" w:color="auto" w:fill="auto"/>
            <w:noWrap/>
            <w:vAlign w:val="bottom"/>
          </w:tcPr>
          <w:p w14:paraId="2786DFDC" w14:textId="77777777" w:rsidR="00801EEB" w:rsidRPr="0067297E" w:rsidRDefault="00801EEB" w:rsidP="00152C6F">
            <w:pPr>
              <w:rPr>
                <w:rFonts w:asciiTheme="minorHAnsi" w:hAnsiTheme="minorHAnsi" w:cs="Calibri"/>
                <w:bCs/>
                <w:color w:val="000000"/>
                <w:sz w:val="22"/>
                <w:szCs w:val="22"/>
              </w:rPr>
            </w:pPr>
            <w:r w:rsidRPr="0067297E">
              <w:rPr>
                <w:rFonts w:asciiTheme="minorHAnsi" w:hAnsiTheme="minorHAnsi" w:cs="Calibri"/>
                <w:bCs/>
                <w:color w:val="000000"/>
                <w:sz w:val="22"/>
                <w:szCs w:val="22"/>
              </w:rPr>
              <w:t>Lewisham Central</w:t>
            </w:r>
          </w:p>
        </w:tc>
        <w:tc>
          <w:tcPr>
            <w:tcW w:w="1732" w:type="dxa"/>
            <w:shd w:val="clear" w:color="auto" w:fill="auto"/>
            <w:noWrap/>
            <w:vAlign w:val="bottom"/>
          </w:tcPr>
          <w:p w14:paraId="7C46B7D6"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10,160</w:t>
            </w:r>
          </w:p>
        </w:tc>
        <w:tc>
          <w:tcPr>
            <w:tcW w:w="1701" w:type="dxa"/>
            <w:shd w:val="clear" w:color="auto" w:fill="auto"/>
            <w:noWrap/>
            <w:vAlign w:val="bottom"/>
          </w:tcPr>
          <w:p w14:paraId="4007806F" w14:textId="77777777" w:rsidR="00801EEB" w:rsidRPr="0067297E" w:rsidRDefault="00801EEB" w:rsidP="006E7AE7">
            <w:pPr>
              <w:jc w:val="right"/>
              <w:rPr>
                <w:rFonts w:asciiTheme="minorHAnsi" w:hAnsiTheme="minorHAnsi" w:cs="Calibri"/>
                <w:bCs/>
                <w:color w:val="000000"/>
                <w:sz w:val="22"/>
                <w:szCs w:val="22"/>
              </w:rPr>
            </w:pPr>
            <w:r w:rsidRPr="0067297E">
              <w:rPr>
                <w:rFonts w:asciiTheme="minorHAnsi" w:hAnsiTheme="minorHAnsi" w:cs="Calibri"/>
                <w:color w:val="000000"/>
                <w:sz w:val="22"/>
                <w:szCs w:val="22"/>
              </w:rPr>
              <w:t>8.1</w:t>
            </w:r>
          </w:p>
        </w:tc>
      </w:tr>
      <w:tr w:rsidR="00801EEB" w:rsidRPr="0067297E" w14:paraId="102E5774" w14:textId="77777777" w:rsidTr="00E12901">
        <w:tc>
          <w:tcPr>
            <w:tcW w:w="0" w:type="auto"/>
            <w:shd w:val="clear" w:color="auto" w:fill="auto"/>
            <w:noWrap/>
            <w:vAlign w:val="bottom"/>
          </w:tcPr>
          <w:p w14:paraId="216FCD25" w14:textId="77777777" w:rsidR="00801EEB" w:rsidRPr="0067297E" w:rsidRDefault="00801EEB" w:rsidP="00152C6F">
            <w:pPr>
              <w:rPr>
                <w:rFonts w:asciiTheme="minorHAnsi" w:hAnsiTheme="minorHAnsi" w:cs="Calibri"/>
                <w:bCs/>
                <w:color w:val="000000"/>
                <w:sz w:val="22"/>
                <w:szCs w:val="22"/>
              </w:rPr>
            </w:pPr>
            <w:r w:rsidRPr="0067297E">
              <w:rPr>
                <w:rFonts w:asciiTheme="minorHAnsi" w:hAnsiTheme="minorHAnsi" w:cs="Calibri"/>
                <w:bCs/>
                <w:color w:val="000000"/>
                <w:sz w:val="22"/>
                <w:szCs w:val="22"/>
              </w:rPr>
              <w:t>New Cross</w:t>
            </w:r>
          </w:p>
        </w:tc>
        <w:tc>
          <w:tcPr>
            <w:tcW w:w="1732" w:type="dxa"/>
            <w:shd w:val="clear" w:color="auto" w:fill="auto"/>
            <w:noWrap/>
            <w:vAlign w:val="bottom"/>
          </w:tcPr>
          <w:p w14:paraId="591DBA9D"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7,780</w:t>
            </w:r>
          </w:p>
        </w:tc>
        <w:tc>
          <w:tcPr>
            <w:tcW w:w="1701" w:type="dxa"/>
            <w:shd w:val="clear" w:color="auto" w:fill="auto"/>
            <w:noWrap/>
            <w:vAlign w:val="bottom"/>
          </w:tcPr>
          <w:p w14:paraId="648CFF63" w14:textId="77777777" w:rsidR="00801EEB" w:rsidRPr="0067297E" w:rsidRDefault="00801EEB" w:rsidP="006E7AE7">
            <w:pPr>
              <w:jc w:val="right"/>
              <w:rPr>
                <w:rFonts w:asciiTheme="minorHAnsi" w:hAnsiTheme="minorHAnsi" w:cs="Calibri"/>
                <w:bCs/>
                <w:color w:val="000000"/>
                <w:sz w:val="22"/>
                <w:szCs w:val="22"/>
              </w:rPr>
            </w:pPr>
            <w:r w:rsidRPr="0067297E">
              <w:rPr>
                <w:rFonts w:asciiTheme="minorHAnsi" w:hAnsiTheme="minorHAnsi" w:cs="Calibri"/>
                <w:color w:val="000000"/>
                <w:sz w:val="22"/>
                <w:szCs w:val="22"/>
              </w:rPr>
              <w:t>6.2</w:t>
            </w:r>
          </w:p>
        </w:tc>
      </w:tr>
      <w:tr w:rsidR="00801EEB" w:rsidRPr="0067297E" w14:paraId="252AF3C2" w14:textId="77777777" w:rsidTr="00E12901">
        <w:tc>
          <w:tcPr>
            <w:tcW w:w="0" w:type="auto"/>
            <w:shd w:val="clear" w:color="auto" w:fill="auto"/>
            <w:noWrap/>
            <w:vAlign w:val="bottom"/>
          </w:tcPr>
          <w:p w14:paraId="5CDDB27D" w14:textId="77777777" w:rsidR="00801EEB" w:rsidRPr="0067297E" w:rsidRDefault="00801EEB" w:rsidP="00152C6F">
            <w:pPr>
              <w:rPr>
                <w:rFonts w:asciiTheme="minorHAnsi" w:hAnsiTheme="minorHAnsi" w:cs="Calibri"/>
                <w:bCs/>
                <w:color w:val="000000"/>
                <w:sz w:val="22"/>
                <w:szCs w:val="22"/>
              </w:rPr>
            </w:pPr>
            <w:r w:rsidRPr="0067297E">
              <w:rPr>
                <w:rFonts w:asciiTheme="minorHAnsi" w:hAnsiTheme="minorHAnsi" w:cs="Calibri"/>
                <w:bCs/>
                <w:color w:val="000000"/>
                <w:sz w:val="22"/>
                <w:szCs w:val="22"/>
              </w:rPr>
              <w:t xml:space="preserve">Perry Vale </w:t>
            </w:r>
          </w:p>
        </w:tc>
        <w:tc>
          <w:tcPr>
            <w:tcW w:w="1732" w:type="dxa"/>
            <w:shd w:val="clear" w:color="auto" w:fill="auto"/>
            <w:noWrap/>
            <w:vAlign w:val="bottom"/>
          </w:tcPr>
          <w:p w14:paraId="40154BD6"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6,890</w:t>
            </w:r>
          </w:p>
        </w:tc>
        <w:tc>
          <w:tcPr>
            <w:tcW w:w="1701" w:type="dxa"/>
            <w:shd w:val="clear" w:color="auto" w:fill="auto"/>
            <w:noWrap/>
            <w:vAlign w:val="bottom"/>
          </w:tcPr>
          <w:p w14:paraId="0C0B3633" w14:textId="77777777" w:rsidR="00801EEB" w:rsidRPr="0067297E" w:rsidRDefault="00801EEB" w:rsidP="006E7AE7">
            <w:pPr>
              <w:jc w:val="right"/>
              <w:rPr>
                <w:rFonts w:asciiTheme="minorHAnsi" w:hAnsiTheme="minorHAnsi" w:cs="Calibri"/>
                <w:bCs/>
                <w:color w:val="000000"/>
                <w:sz w:val="22"/>
                <w:szCs w:val="22"/>
              </w:rPr>
            </w:pPr>
            <w:r w:rsidRPr="0067297E">
              <w:rPr>
                <w:rFonts w:asciiTheme="minorHAnsi" w:hAnsiTheme="minorHAnsi" w:cs="Calibri"/>
                <w:color w:val="000000"/>
                <w:sz w:val="22"/>
                <w:szCs w:val="22"/>
              </w:rPr>
              <w:t>5.5</w:t>
            </w:r>
          </w:p>
        </w:tc>
      </w:tr>
      <w:tr w:rsidR="00801EEB" w:rsidRPr="0067297E" w14:paraId="532B2F50" w14:textId="77777777" w:rsidTr="00E12901">
        <w:tc>
          <w:tcPr>
            <w:tcW w:w="0" w:type="auto"/>
            <w:shd w:val="clear" w:color="auto" w:fill="auto"/>
            <w:noWrap/>
            <w:vAlign w:val="bottom"/>
          </w:tcPr>
          <w:p w14:paraId="7BD619E9" w14:textId="77777777" w:rsidR="00801EEB" w:rsidRPr="0067297E" w:rsidRDefault="00801EEB" w:rsidP="00152C6F">
            <w:pPr>
              <w:rPr>
                <w:rFonts w:asciiTheme="minorHAnsi" w:hAnsiTheme="minorHAnsi" w:cs="Calibri"/>
                <w:bCs/>
                <w:color w:val="000000"/>
                <w:sz w:val="22"/>
                <w:szCs w:val="22"/>
              </w:rPr>
            </w:pPr>
            <w:r w:rsidRPr="0067297E">
              <w:rPr>
                <w:rFonts w:asciiTheme="minorHAnsi" w:hAnsiTheme="minorHAnsi" w:cs="Calibri"/>
                <w:bCs/>
                <w:color w:val="000000"/>
                <w:sz w:val="22"/>
                <w:szCs w:val="22"/>
              </w:rPr>
              <w:t>Rushey Green</w:t>
            </w:r>
          </w:p>
        </w:tc>
        <w:tc>
          <w:tcPr>
            <w:tcW w:w="1732" w:type="dxa"/>
            <w:shd w:val="clear" w:color="auto" w:fill="auto"/>
            <w:noWrap/>
            <w:vAlign w:val="bottom"/>
          </w:tcPr>
          <w:p w14:paraId="5FAD07F0"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7,070</w:t>
            </w:r>
          </w:p>
        </w:tc>
        <w:tc>
          <w:tcPr>
            <w:tcW w:w="1701" w:type="dxa"/>
            <w:shd w:val="clear" w:color="auto" w:fill="auto"/>
            <w:noWrap/>
            <w:vAlign w:val="bottom"/>
          </w:tcPr>
          <w:p w14:paraId="0C166B9D" w14:textId="77777777" w:rsidR="00801EEB" w:rsidRPr="0067297E" w:rsidRDefault="00801EEB" w:rsidP="006E7AE7">
            <w:pPr>
              <w:jc w:val="right"/>
              <w:rPr>
                <w:rFonts w:asciiTheme="minorHAnsi" w:hAnsiTheme="minorHAnsi" w:cs="Calibri"/>
                <w:bCs/>
                <w:color w:val="000000"/>
                <w:sz w:val="22"/>
                <w:szCs w:val="22"/>
              </w:rPr>
            </w:pPr>
            <w:r w:rsidRPr="0067297E">
              <w:rPr>
                <w:rFonts w:asciiTheme="minorHAnsi" w:hAnsiTheme="minorHAnsi" w:cs="Calibri"/>
                <w:color w:val="000000"/>
                <w:sz w:val="22"/>
                <w:szCs w:val="22"/>
              </w:rPr>
              <w:t>5.6</w:t>
            </w:r>
          </w:p>
        </w:tc>
      </w:tr>
      <w:tr w:rsidR="00801EEB" w:rsidRPr="0067297E" w14:paraId="207CA807" w14:textId="77777777" w:rsidTr="00E12901">
        <w:tc>
          <w:tcPr>
            <w:tcW w:w="0" w:type="auto"/>
            <w:shd w:val="clear" w:color="auto" w:fill="auto"/>
            <w:noWrap/>
            <w:vAlign w:val="bottom"/>
          </w:tcPr>
          <w:p w14:paraId="3AC302A1" w14:textId="77777777" w:rsidR="00801EEB" w:rsidRPr="0067297E" w:rsidRDefault="00801EEB" w:rsidP="00152C6F">
            <w:pPr>
              <w:rPr>
                <w:rFonts w:asciiTheme="minorHAnsi" w:hAnsiTheme="minorHAnsi" w:cs="Calibri"/>
                <w:bCs/>
                <w:color w:val="000000"/>
                <w:sz w:val="22"/>
                <w:szCs w:val="22"/>
              </w:rPr>
            </w:pPr>
            <w:r w:rsidRPr="0067297E">
              <w:rPr>
                <w:rFonts w:asciiTheme="minorHAnsi" w:hAnsiTheme="minorHAnsi" w:cs="Calibri"/>
                <w:bCs/>
                <w:color w:val="000000"/>
                <w:sz w:val="22"/>
                <w:szCs w:val="22"/>
              </w:rPr>
              <w:t>Sydenham</w:t>
            </w:r>
          </w:p>
        </w:tc>
        <w:tc>
          <w:tcPr>
            <w:tcW w:w="1732" w:type="dxa"/>
            <w:shd w:val="clear" w:color="auto" w:fill="auto"/>
            <w:noWrap/>
            <w:vAlign w:val="bottom"/>
          </w:tcPr>
          <w:p w14:paraId="6648A9E9"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7,160</w:t>
            </w:r>
          </w:p>
        </w:tc>
        <w:tc>
          <w:tcPr>
            <w:tcW w:w="1701" w:type="dxa"/>
            <w:shd w:val="clear" w:color="auto" w:fill="auto"/>
            <w:noWrap/>
            <w:vAlign w:val="bottom"/>
          </w:tcPr>
          <w:p w14:paraId="0CAB3E2B" w14:textId="77777777" w:rsidR="00801EEB" w:rsidRPr="0067297E" w:rsidRDefault="00801EEB" w:rsidP="006E7AE7">
            <w:pPr>
              <w:jc w:val="right"/>
              <w:rPr>
                <w:rFonts w:asciiTheme="minorHAnsi" w:hAnsiTheme="minorHAnsi" w:cs="Calibri"/>
                <w:bCs/>
                <w:color w:val="000000"/>
                <w:sz w:val="22"/>
                <w:szCs w:val="22"/>
              </w:rPr>
            </w:pPr>
            <w:r w:rsidRPr="0067297E">
              <w:rPr>
                <w:rFonts w:asciiTheme="minorHAnsi" w:hAnsiTheme="minorHAnsi" w:cs="Calibri"/>
                <w:color w:val="000000"/>
                <w:sz w:val="22"/>
                <w:szCs w:val="22"/>
              </w:rPr>
              <w:t>5.7</w:t>
            </w:r>
          </w:p>
        </w:tc>
      </w:tr>
      <w:tr w:rsidR="00801EEB" w:rsidRPr="0067297E" w14:paraId="06D08EFC" w14:textId="77777777" w:rsidTr="00E12901">
        <w:tc>
          <w:tcPr>
            <w:tcW w:w="0" w:type="auto"/>
            <w:shd w:val="clear" w:color="auto" w:fill="auto"/>
            <w:noWrap/>
            <w:vAlign w:val="bottom"/>
          </w:tcPr>
          <w:p w14:paraId="6946D50E" w14:textId="77777777" w:rsidR="00801EEB" w:rsidRPr="0067297E" w:rsidRDefault="00801EEB" w:rsidP="00152C6F">
            <w:pPr>
              <w:rPr>
                <w:rFonts w:asciiTheme="minorHAnsi" w:hAnsiTheme="minorHAnsi" w:cs="Calibri"/>
                <w:bCs/>
                <w:color w:val="000000"/>
                <w:sz w:val="22"/>
                <w:szCs w:val="22"/>
              </w:rPr>
            </w:pPr>
            <w:r w:rsidRPr="0067297E">
              <w:rPr>
                <w:rFonts w:asciiTheme="minorHAnsi" w:hAnsiTheme="minorHAnsi" w:cs="Calibri"/>
                <w:bCs/>
                <w:color w:val="000000"/>
                <w:sz w:val="22"/>
                <w:szCs w:val="22"/>
              </w:rPr>
              <w:t>Telegraph Hill</w:t>
            </w:r>
          </w:p>
        </w:tc>
        <w:tc>
          <w:tcPr>
            <w:tcW w:w="1732" w:type="dxa"/>
            <w:shd w:val="clear" w:color="auto" w:fill="auto"/>
            <w:noWrap/>
            <w:vAlign w:val="bottom"/>
          </w:tcPr>
          <w:p w14:paraId="5D6862FC"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6,910</w:t>
            </w:r>
          </w:p>
        </w:tc>
        <w:tc>
          <w:tcPr>
            <w:tcW w:w="1701" w:type="dxa"/>
            <w:shd w:val="clear" w:color="auto" w:fill="auto"/>
            <w:noWrap/>
            <w:vAlign w:val="bottom"/>
          </w:tcPr>
          <w:p w14:paraId="08AA42C7" w14:textId="77777777" w:rsidR="00801EEB" w:rsidRPr="0067297E" w:rsidRDefault="00801EEB" w:rsidP="006E7AE7">
            <w:pPr>
              <w:jc w:val="right"/>
              <w:rPr>
                <w:rFonts w:asciiTheme="minorHAnsi" w:hAnsiTheme="minorHAnsi" w:cs="Calibri"/>
                <w:bCs/>
                <w:color w:val="000000"/>
                <w:sz w:val="22"/>
                <w:szCs w:val="22"/>
              </w:rPr>
            </w:pPr>
            <w:r w:rsidRPr="0067297E">
              <w:rPr>
                <w:rFonts w:asciiTheme="minorHAnsi" w:hAnsiTheme="minorHAnsi" w:cs="Calibri"/>
                <w:color w:val="000000"/>
                <w:sz w:val="22"/>
                <w:szCs w:val="22"/>
              </w:rPr>
              <w:t>5.5</w:t>
            </w:r>
          </w:p>
        </w:tc>
      </w:tr>
      <w:tr w:rsidR="00801EEB" w:rsidRPr="0067297E" w14:paraId="289FA970" w14:textId="77777777" w:rsidTr="00E12901">
        <w:tc>
          <w:tcPr>
            <w:tcW w:w="0" w:type="auto"/>
            <w:shd w:val="clear" w:color="auto" w:fill="auto"/>
            <w:noWrap/>
            <w:vAlign w:val="bottom"/>
          </w:tcPr>
          <w:p w14:paraId="0A09FFFD" w14:textId="77777777" w:rsidR="00801EEB" w:rsidRPr="0067297E" w:rsidRDefault="00801EEB" w:rsidP="00152C6F">
            <w:pPr>
              <w:rPr>
                <w:rFonts w:asciiTheme="minorHAnsi" w:hAnsiTheme="minorHAnsi" w:cs="Calibri"/>
                <w:bCs/>
                <w:color w:val="000000"/>
                <w:sz w:val="22"/>
                <w:szCs w:val="22"/>
              </w:rPr>
            </w:pPr>
            <w:r w:rsidRPr="0067297E">
              <w:rPr>
                <w:rFonts w:asciiTheme="minorHAnsi" w:hAnsiTheme="minorHAnsi" w:cs="Calibri"/>
                <w:bCs/>
                <w:color w:val="000000"/>
                <w:sz w:val="22"/>
                <w:szCs w:val="22"/>
              </w:rPr>
              <w:t>Whitefoot</w:t>
            </w:r>
          </w:p>
        </w:tc>
        <w:tc>
          <w:tcPr>
            <w:tcW w:w="1732" w:type="dxa"/>
            <w:shd w:val="clear" w:color="auto" w:fill="auto"/>
            <w:noWrap/>
            <w:vAlign w:val="bottom"/>
          </w:tcPr>
          <w:p w14:paraId="3CAE475B" w14:textId="77777777" w:rsidR="00801EEB" w:rsidRPr="0067297E" w:rsidRDefault="00801EEB" w:rsidP="006E7AE7">
            <w:pPr>
              <w:jc w:val="right"/>
              <w:rPr>
                <w:rFonts w:asciiTheme="minorHAnsi" w:hAnsiTheme="minorHAnsi" w:cs="Calibri"/>
                <w:color w:val="000000"/>
                <w:sz w:val="22"/>
                <w:szCs w:val="22"/>
              </w:rPr>
            </w:pPr>
            <w:r w:rsidRPr="0067297E">
              <w:rPr>
                <w:rFonts w:asciiTheme="minorHAnsi" w:hAnsiTheme="minorHAnsi" w:cs="Calibri"/>
                <w:color w:val="000000"/>
                <w:sz w:val="22"/>
                <w:szCs w:val="22"/>
              </w:rPr>
              <w:t>6,010</w:t>
            </w:r>
          </w:p>
        </w:tc>
        <w:tc>
          <w:tcPr>
            <w:tcW w:w="1701" w:type="dxa"/>
            <w:shd w:val="clear" w:color="auto" w:fill="auto"/>
            <w:noWrap/>
            <w:vAlign w:val="bottom"/>
          </w:tcPr>
          <w:p w14:paraId="04F43B9D" w14:textId="77777777" w:rsidR="00801EEB" w:rsidRPr="0067297E" w:rsidRDefault="00801EEB" w:rsidP="006E7AE7">
            <w:pPr>
              <w:jc w:val="right"/>
              <w:rPr>
                <w:rFonts w:asciiTheme="minorHAnsi" w:hAnsiTheme="minorHAnsi" w:cs="Calibri"/>
                <w:bCs/>
                <w:color w:val="000000"/>
                <w:sz w:val="22"/>
                <w:szCs w:val="22"/>
              </w:rPr>
            </w:pPr>
            <w:r w:rsidRPr="0067297E">
              <w:rPr>
                <w:rFonts w:asciiTheme="minorHAnsi" w:hAnsiTheme="minorHAnsi" w:cs="Calibri"/>
                <w:color w:val="000000"/>
                <w:sz w:val="22"/>
                <w:szCs w:val="22"/>
              </w:rPr>
              <w:t>4.8</w:t>
            </w:r>
          </w:p>
        </w:tc>
      </w:tr>
      <w:tr w:rsidR="00801EEB" w:rsidRPr="0067297E" w14:paraId="3B209047" w14:textId="77777777" w:rsidTr="00E12901">
        <w:tc>
          <w:tcPr>
            <w:tcW w:w="0" w:type="auto"/>
            <w:shd w:val="clear" w:color="auto" w:fill="auto"/>
            <w:noWrap/>
            <w:vAlign w:val="bottom"/>
          </w:tcPr>
          <w:p w14:paraId="1033F865" w14:textId="77777777" w:rsidR="00801EEB" w:rsidRPr="0067297E" w:rsidRDefault="00801EEB" w:rsidP="00152C6F">
            <w:pPr>
              <w:rPr>
                <w:rFonts w:asciiTheme="minorHAnsi" w:hAnsiTheme="minorHAnsi" w:cs="Calibri"/>
                <w:b/>
                <w:bCs/>
                <w:color w:val="000000"/>
                <w:sz w:val="22"/>
                <w:szCs w:val="22"/>
                <w:highlight w:val="red"/>
              </w:rPr>
            </w:pPr>
            <w:r w:rsidRPr="0067297E">
              <w:rPr>
                <w:rFonts w:asciiTheme="minorHAnsi" w:hAnsiTheme="minorHAnsi" w:cs="Calibri"/>
                <w:b/>
                <w:bCs/>
                <w:color w:val="000000"/>
                <w:sz w:val="22"/>
                <w:szCs w:val="22"/>
              </w:rPr>
              <w:t>Lewisham Borough Total</w:t>
            </w:r>
          </w:p>
        </w:tc>
        <w:tc>
          <w:tcPr>
            <w:tcW w:w="1732" w:type="dxa"/>
            <w:shd w:val="clear" w:color="auto" w:fill="auto"/>
            <w:noWrap/>
            <w:vAlign w:val="bottom"/>
          </w:tcPr>
          <w:p w14:paraId="34CCF1D7" w14:textId="77777777" w:rsidR="00801EEB" w:rsidRPr="0067297E" w:rsidRDefault="00801EEB" w:rsidP="006E7AE7">
            <w:pPr>
              <w:jc w:val="right"/>
              <w:rPr>
                <w:rFonts w:asciiTheme="minorHAnsi" w:hAnsiTheme="minorHAnsi" w:cs="Calibri"/>
                <w:b/>
                <w:color w:val="000000"/>
                <w:sz w:val="22"/>
                <w:szCs w:val="22"/>
              </w:rPr>
            </w:pPr>
            <w:r w:rsidRPr="0067297E">
              <w:rPr>
                <w:rFonts w:asciiTheme="minorHAnsi" w:hAnsiTheme="minorHAnsi" w:cs="Calibri"/>
                <w:b/>
                <w:color w:val="000000"/>
                <w:sz w:val="22"/>
                <w:szCs w:val="22"/>
              </w:rPr>
              <w:t>125,990</w:t>
            </w:r>
          </w:p>
        </w:tc>
        <w:tc>
          <w:tcPr>
            <w:tcW w:w="1701" w:type="dxa"/>
            <w:shd w:val="clear" w:color="auto" w:fill="auto"/>
            <w:noWrap/>
            <w:vAlign w:val="bottom"/>
          </w:tcPr>
          <w:p w14:paraId="356692F5" w14:textId="77777777" w:rsidR="00801EEB" w:rsidRPr="0067297E" w:rsidRDefault="00801EEB" w:rsidP="006E7AE7">
            <w:pPr>
              <w:jc w:val="right"/>
              <w:rPr>
                <w:rFonts w:asciiTheme="minorHAnsi" w:hAnsiTheme="minorHAnsi" w:cs="Calibri"/>
                <w:b/>
                <w:bCs/>
                <w:color w:val="000000"/>
                <w:sz w:val="22"/>
                <w:szCs w:val="22"/>
                <w:highlight w:val="red"/>
              </w:rPr>
            </w:pPr>
            <w:r w:rsidRPr="0067297E">
              <w:rPr>
                <w:rFonts w:asciiTheme="minorHAnsi" w:hAnsiTheme="minorHAnsi" w:cs="Calibri"/>
                <w:b/>
                <w:color w:val="000000"/>
                <w:sz w:val="22"/>
                <w:szCs w:val="22"/>
              </w:rPr>
              <w:t>100.0</w:t>
            </w:r>
          </w:p>
        </w:tc>
      </w:tr>
    </w:tbl>
    <w:p w14:paraId="6B4BD460" w14:textId="551FC40E" w:rsidR="008F474E" w:rsidRDefault="003F6454" w:rsidP="006E7AE7">
      <w:pPr>
        <w:ind w:left="720" w:hanging="11"/>
        <w:rPr>
          <w:rFonts w:asciiTheme="minorHAnsi" w:hAnsiTheme="minorHAnsi" w:cs="Calibri"/>
          <w:sz w:val="20"/>
        </w:rPr>
      </w:pPr>
      <w:r w:rsidRPr="0067297E">
        <w:rPr>
          <w:rFonts w:asciiTheme="minorHAnsi" w:hAnsiTheme="minorHAnsi" w:cs="Calibri"/>
          <w:sz w:val="20"/>
        </w:rPr>
        <w:t xml:space="preserve">Source: </w:t>
      </w:r>
      <w:r w:rsidR="003B05BC" w:rsidRPr="0067297E">
        <w:rPr>
          <w:rFonts w:asciiTheme="minorHAnsi" w:hAnsiTheme="minorHAnsi" w:cs="Calibri"/>
          <w:sz w:val="20"/>
        </w:rPr>
        <w:t xml:space="preserve">Valuation Office Agency </w:t>
      </w:r>
      <w:r w:rsidR="002F71C1" w:rsidRPr="0067297E">
        <w:rPr>
          <w:rFonts w:asciiTheme="minorHAnsi" w:hAnsiTheme="minorHAnsi" w:cs="Calibri"/>
          <w:sz w:val="20"/>
        </w:rPr>
        <w:t>2017</w:t>
      </w:r>
    </w:p>
    <w:p w14:paraId="5D05CDC6" w14:textId="77777777" w:rsidR="001E4840" w:rsidRPr="0067297E" w:rsidRDefault="001E4840" w:rsidP="00E12901">
      <w:pPr>
        <w:ind w:left="720" w:firstLine="142"/>
        <w:rPr>
          <w:rFonts w:asciiTheme="minorHAnsi" w:hAnsiTheme="minorHAnsi" w:cs="Calibri"/>
          <w:sz w:val="20"/>
        </w:rPr>
      </w:pPr>
    </w:p>
    <w:tbl>
      <w:tblPr>
        <w:tblW w:w="6476" w:type="dxa"/>
        <w:tblInd w:w="602" w:type="dxa"/>
        <w:tblLook w:val="04A0" w:firstRow="1" w:lastRow="0" w:firstColumn="1" w:lastColumn="0" w:noHBand="0" w:noVBand="1"/>
      </w:tblPr>
      <w:tblGrid>
        <w:gridCol w:w="3062"/>
        <w:gridCol w:w="1713"/>
        <w:gridCol w:w="1701"/>
      </w:tblGrid>
      <w:tr w:rsidR="00C20E54" w:rsidRPr="0067297E" w14:paraId="64A90203" w14:textId="77777777" w:rsidTr="00FF4E2D">
        <w:trPr>
          <w:trHeight w:val="300"/>
          <w:tblHeader/>
        </w:trPr>
        <w:tc>
          <w:tcPr>
            <w:tcW w:w="6476" w:type="dxa"/>
            <w:gridSpan w:val="3"/>
            <w:tcBorders>
              <w:top w:val="single" w:sz="8" w:space="0" w:color="006666"/>
              <w:left w:val="single" w:sz="8" w:space="0" w:color="006666"/>
              <w:bottom w:val="single" w:sz="8" w:space="0" w:color="006666"/>
              <w:right w:val="single" w:sz="8" w:space="0" w:color="006666"/>
            </w:tcBorders>
            <w:shd w:val="clear" w:color="000000" w:fill="009999"/>
            <w:noWrap/>
          </w:tcPr>
          <w:p w14:paraId="65C8D53A" w14:textId="77777777" w:rsidR="00C20E54" w:rsidRPr="0067297E" w:rsidRDefault="00C20E54" w:rsidP="003F4875">
            <w:pPr>
              <w:pStyle w:val="tableheading"/>
              <w:rPr>
                <w:rFonts w:asciiTheme="minorHAnsi" w:hAnsiTheme="minorHAnsi"/>
                <w:color w:val="FFFFFF"/>
              </w:rPr>
            </w:pPr>
            <w:bookmarkStart w:id="225" w:name="_Toc23151151"/>
            <w:r w:rsidRPr="0067297E">
              <w:rPr>
                <w:rFonts w:asciiTheme="minorHAnsi" w:hAnsiTheme="minorHAnsi"/>
              </w:rPr>
              <w:t>Table 4.2</w:t>
            </w:r>
            <w:r w:rsidRPr="0067297E">
              <w:rPr>
                <w:rFonts w:asciiTheme="minorHAnsi" w:hAnsiTheme="minorHAnsi"/>
              </w:rPr>
              <w:tab/>
              <w:t>Dwelling stock by sub-area</w:t>
            </w:r>
            <w:bookmarkEnd w:id="225"/>
          </w:p>
        </w:tc>
      </w:tr>
      <w:tr w:rsidR="00C20E54" w:rsidRPr="0067297E" w14:paraId="321FD4C6" w14:textId="77777777" w:rsidTr="003F4875">
        <w:tc>
          <w:tcPr>
            <w:tcW w:w="3062" w:type="dxa"/>
            <w:tcBorders>
              <w:top w:val="single" w:sz="8" w:space="0" w:color="006666"/>
              <w:left w:val="single" w:sz="8" w:space="0" w:color="006666"/>
              <w:bottom w:val="single" w:sz="8" w:space="0" w:color="006666"/>
              <w:right w:val="single" w:sz="8" w:space="0" w:color="006666"/>
            </w:tcBorders>
            <w:shd w:val="clear" w:color="000000" w:fill="009999"/>
            <w:noWrap/>
            <w:vAlign w:val="center"/>
            <w:hideMark/>
          </w:tcPr>
          <w:p w14:paraId="42BF152A" w14:textId="77777777" w:rsidR="00C20E54" w:rsidRPr="0067297E" w:rsidRDefault="00C20E54" w:rsidP="003F4875">
            <w:pPr>
              <w:spacing w:before="20" w:after="20"/>
              <w:rPr>
                <w:rFonts w:asciiTheme="minorHAnsi" w:hAnsiTheme="minorHAnsi" w:cs="Calibri"/>
                <w:b/>
                <w:bCs/>
                <w:color w:val="FFFFFF"/>
                <w:sz w:val="22"/>
                <w:szCs w:val="22"/>
              </w:rPr>
            </w:pPr>
            <w:r w:rsidRPr="0067297E">
              <w:rPr>
                <w:rFonts w:asciiTheme="minorHAnsi" w:hAnsiTheme="minorHAnsi" w:cs="Calibri"/>
                <w:b/>
                <w:bCs/>
                <w:color w:val="FFFFFF"/>
                <w:sz w:val="22"/>
                <w:szCs w:val="22"/>
              </w:rPr>
              <w:t>Sub-area</w:t>
            </w:r>
          </w:p>
        </w:tc>
        <w:tc>
          <w:tcPr>
            <w:tcW w:w="1713" w:type="dxa"/>
            <w:tcBorders>
              <w:top w:val="single" w:sz="8" w:space="0" w:color="006666"/>
              <w:left w:val="nil"/>
              <w:bottom w:val="single" w:sz="8" w:space="0" w:color="006666"/>
              <w:right w:val="single" w:sz="8" w:space="0" w:color="006666"/>
            </w:tcBorders>
            <w:shd w:val="clear" w:color="000000" w:fill="009999"/>
            <w:noWrap/>
            <w:vAlign w:val="center"/>
            <w:hideMark/>
          </w:tcPr>
          <w:p w14:paraId="379BD190" w14:textId="77777777" w:rsidR="00C20E54" w:rsidRPr="0067297E" w:rsidRDefault="00C20E54" w:rsidP="003F4875">
            <w:pPr>
              <w:spacing w:before="20" w:after="20"/>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Total Dwellings</w:t>
            </w:r>
          </w:p>
        </w:tc>
        <w:tc>
          <w:tcPr>
            <w:tcW w:w="1701" w:type="dxa"/>
            <w:tcBorders>
              <w:top w:val="single" w:sz="8" w:space="0" w:color="006666"/>
              <w:left w:val="nil"/>
              <w:bottom w:val="single" w:sz="8" w:space="0" w:color="006666"/>
              <w:right w:val="single" w:sz="8" w:space="0" w:color="006666"/>
            </w:tcBorders>
            <w:shd w:val="clear" w:color="000000" w:fill="009999"/>
            <w:noWrap/>
            <w:vAlign w:val="center"/>
            <w:hideMark/>
          </w:tcPr>
          <w:p w14:paraId="6FC34AF7" w14:textId="77777777" w:rsidR="00C20E54" w:rsidRPr="0067297E" w:rsidRDefault="00C20E54" w:rsidP="003F4875">
            <w:pPr>
              <w:spacing w:before="20" w:after="20"/>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w:t>
            </w:r>
          </w:p>
        </w:tc>
      </w:tr>
      <w:tr w:rsidR="00C20E54" w:rsidRPr="0067297E" w14:paraId="17FA28BA" w14:textId="77777777" w:rsidTr="003F4875">
        <w:tc>
          <w:tcPr>
            <w:tcW w:w="3062" w:type="dxa"/>
            <w:tcBorders>
              <w:top w:val="nil"/>
              <w:left w:val="single" w:sz="8" w:space="0" w:color="006666"/>
              <w:bottom w:val="single" w:sz="8" w:space="0" w:color="006666"/>
              <w:right w:val="single" w:sz="8" w:space="0" w:color="006666"/>
            </w:tcBorders>
            <w:shd w:val="clear" w:color="auto" w:fill="auto"/>
            <w:noWrap/>
            <w:vAlign w:val="center"/>
            <w:hideMark/>
          </w:tcPr>
          <w:p w14:paraId="0A329144" w14:textId="77777777" w:rsidR="00C20E54" w:rsidRPr="0067297E" w:rsidRDefault="00C20E54" w:rsidP="003F4875">
            <w:pPr>
              <w:spacing w:before="20" w:after="20"/>
              <w:rPr>
                <w:rFonts w:asciiTheme="minorHAnsi" w:hAnsiTheme="minorHAnsi" w:cs="Calibri"/>
                <w:color w:val="000000"/>
                <w:sz w:val="22"/>
                <w:szCs w:val="22"/>
              </w:rPr>
            </w:pPr>
            <w:r w:rsidRPr="0067297E">
              <w:rPr>
                <w:rFonts w:asciiTheme="minorHAnsi" w:hAnsiTheme="minorHAnsi" w:cs="Calibri"/>
                <w:color w:val="000000"/>
                <w:sz w:val="22"/>
                <w:szCs w:val="22"/>
              </w:rPr>
              <w:t>Central</w:t>
            </w:r>
          </w:p>
        </w:tc>
        <w:tc>
          <w:tcPr>
            <w:tcW w:w="1713" w:type="dxa"/>
            <w:tcBorders>
              <w:top w:val="nil"/>
              <w:left w:val="nil"/>
              <w:bottom w:val="single" w:sz="8" w:space="0" w:color="006666"/>
              <w:right w:val="single" w:sz="8" w:space="0" w:color="006666"/>
            </w:tcBorders>
            <w:shd w:val="clear" w:color="000000" w:fill="FFFFFF"/>
            <w:noWrap/>
            <w:vAlign w:val="center"/>
            <w:hideMark/>
          </w:tcPr>
          <w:p w14:paraId="50FB8F4E" w14:textId="77777777" w:rsidR="00C20E54" w:rsidRPr="0067297E" w:rsidRDefault="00C20E54" w:rsidP="003822F1">
            <w:pPr>
              <w:spacing w:before="20" w:after="20"/>
              <w:jc w:val="right"/>
              <w:rPr>
                <w:rFonts w:asciiTheme="minorHAnsi" w:hAnsiTheme="minorHAnsi" w:cs="Calibri"/>
                <w:color w:val="000000"/>
                <w:sz w:val="22"/>
                <w:szCs w:val="22"/>
              </w:rPr>
            </w:pPr>
            <w:r w:rsidRPr="0067297E">
              <w:rPr>
                <w:rFonts w:asciiTheme="minorHAnsi" w:hAnsiTheme="minorHAnsi" w:cs="Calibri"/>
                <w:color w:val="000000"/>
                <w:sz w:val="22"/>
                <w:szCs w:val="22"/>
              </w:rPr>
              <w:t>23,160</w:t>
            </w:r>
          </w:p>
        </w:tc>
        <w:tc>
          <w:tcPr>
            <w:tcW w:w="1701" w:type="dxa"/>
            <w:tcBorders>
              <w:top w:val="nil"/>
              <w:left w:val="nil"/>
              <w:bottom w:val="single" w:sz="8" w:space="0" w:color="006666"/>
              <w:right w:val="single" w:sz="8" w:space="0" w:color="006666"/>
            </w:tcBorders>
            <w:shd w:val="clear" w:color="000000" w:fill="FFFFFF"/>
            <w:noWrap/>
            <w:vAlign w:val="center"/>
            <w:hideMark/>
          </w:tcPr>
          <w:p w14:paraId="5DB5869D" w14:textId="77777777" w:rsidR="00C20E54" w:rsidRPr="0067297E" w:rsidRDefault="00C20E54" w:rsidP="003822F1">
            <w:pPr>
              <w:spacing w:before="20" w:after="20"/>
              <w:jc w:val="right"/>
              <w:rPr>
                <w:rFonts w:asciiTheme="minorHAnsi" w:hAnsiTheme="minorHAnsi" w:cs="Calibri"/>
                <w:color w:val="000000"/>
                <w:sz w:val="22"/>
                <w:szCs w:val="22"/>
              </w:rPr>
            </w:pPr>
            <w:r w:rsidRPr="0067297E">
              <w:rPr>
                <w:rFonts w:asciiTheme="minorHAnsi" w:hAnsiTheme="minorHAnsi" w:cs="Calibri"/>
                <w:color w:val="000000"/>
                <w:sz w:val="22"/>
                <w:szCs w:val="22"/>
              </w:rPr>
              <w:t>18.4</w:t>
            </w:r>
          </w:p>
        </w:tc>
      </w:tr>
      <w:tr w:rsidR="00C20E54" w:rsidRPr="0067297E" w14:paraId="0A3E919F" w14:textId="77777777" w:rsidTr="003F4875">
        <w:tc>
          <w:tcPr>
            <w:tcW w:w="3062" w:type="dxa"/>
            <w:tcBorders>
              <w:top w:val="nil"/>
              <w:left w:val="single" w:sz="8" w:space="0" w:color="006666"/>
              <w:bottom w:val="single" w:sz="8" w:space="0" w:color="006666"/>
              <w:right w:val="single" w:sz="8" w:space="0" w:color="006666"/>
            </w:tcBorders>
            <w:shd w:val="clear" w:color="auto" w:fill="auto"/>
            <w:noWrap/>
            <w:vAlign w:val="center"/>
            <w:hideMark/>
          </w:tcPr>
          <w:p w14:paraId="72F92C6D" w14:textId="77777777" w:rsidR="00C20E54" w:rsidRPr="0067297E" w:rsidRDefault="00C20E54" w:rsidP="003F4875">
            <w:pPr>
              <w:spacing w:before="20" w:after="20"/>
              <w:rPr>
                <w:rFonts w:asciiTheme="minorHAnsi" w:hAnsiTheme="minorHAnsi" w:cs="Calibri"/>
                <w:color w:val="000000"/>
                <w:sz w:val="22"/>
                <w:szCs w:val="22"/>
              </w:rPr>
            </w:pPr>
            <w:r w:rsidRPr="0067297E">
              <w:rPr>
                <w:rFonts w:asciiTheme="minorHAnsi" w:hAnsiTheme="minorHAnsi" w:cs="Calibri"/>
                <w:color w:val="000000"/>
                <w:sz w:val="22"/>
                <w:szCs w:val="22"/>
              </w:rPr>
              <w:t>East</w:t>
            </w:r>
          </w:p>
        </w:tc>
        <w:tc>
          <w:tcPr>
            <w:tcW w:w="1713" w:type="dxa"/>
            <w:tcBorders>
              <w:top w:val="nil"/>
              <w:left w:val="nil"/>
              <w:bottom w:val="single" w:sz="8" w:space="0" w:color="006666"/>
              <w:right w:val="single" w:sz="8" w:space="0" w:color="006666"/>
            </w:tcBorders>
            <w:shd w:val="clear" w:color="auto" w:fill="auto"/>
            <w:noWrap/>
            <w:vAlign w:val="center"/>
            <w:hideMark/>
          </w:tcPr>
          <w:p w14:paraId="5C2A4F07" w14:textId="77777777" w:rsidR="00C20E54" w:rsidRPr="0067297E" w:rsidRDefault="00C20E54" w:rsidP="003822F1">
            <w:pPr>
              <w:spacing w:before="20" w:after="20"/>
              <w:jc w:val="right"/>
              <w:rPr>
                <w:rFonts w:asciiTheme="minorHAnsi" w:hAnsiTheme="minorHAnsi" w:cs="Calibri"/>
                <w:color w:val="000000"/>
                <w:sz w:val="22"/>
                <w:szCs w:val="22"/>
              </w:rPr>
            </w:pPr>
            <w:r w:rsidRPr="0067297E">
              <w:rPr>
                <w:rFonts w:asciiTheme="minorHAnsi" w:hAnsiTheme="minorHAnsi" w:cs="Calibri"/>
                <w:color w:val="000000"/>
                <w:sz w:val="22"/>
                <w:szCs w:val="22"/>
              </w:rPr>
              <w:t>19,630</w:t>
            </w:r>
          </w:p>
        </w:tc>
        <w:tc>
          <w:tcPr>
            <w:tcW w:w="1701" w:type="dxa"/>
            <w:tcBorders>
              <w:top w:val="nil"/>
              <w:left w:val="nil"/>
              <w:bottom w:val="single" w:sz="8" w:space="0" w:color="006666"/>
              <w:right w:val="single" w:sz="8" w:space="0" w:color="006666"/>
            </w:tcBorders>
            <w:shd w:val="clear" w:color="000000" w:fill="FFFFFF"/>
            <w:noWrap/>
            <w:vAlign w:val="center"/>
            <w:hideMark/>
          </w:tcPr>
          <w:p w14:paraId="5E269C14" w14:textId="77777777" w:rsidR="00C20E54" w:rsidRPr="0067297E" w:rsidRDefault="00C20E54" w:rsidP="003822F1">
            <w:pPr>
              <w:spacing w:before="20" w:after="20"/>
              <w:jc w:val="right"/>
              <w:rPr>
                <w:rFonts w:asciiTheme="minorHAnsi" w:hAnsiTheme="minorHAnsi" w:cs="Calibri"/>
                <w:color w:val="000000"/>
                <w:sz w:val="22"/>
                <w:szCs w:val="22"/>
              </w:rPr>
            </w:pPr>
            <w:r w:rsidRPr="0067297E">
              <w:rPr>
                <w:rFonts w:asciiTheme="minorHAnsi" w:hAnsiTheme="minorHAnsi" w:cs="Calibri"/>
                <w:color w:val="000000"/>
                <w:sz w:val="22"/>
                <w:szCs w:val="22"/>
              </w:rPr>
              <w:t>15.6</w:t>
            </w:r>
          </w:p>
        </w:tc>
      </w:tr>
      <w:tr w:rsidR="00C20E54" w:rsidRPr="0067297E" w14:paraId="30B9555D" w14:textId="77777777" w:rsidTr="003F4875">
        <w:tc>
          <w:tcPr>
            <w:tcW w:w="3062" w:type="dxa"/>
            <w:tcBorders>
              <w:top w:val="nil"/>
              <w:left w:val="single" w:sz="8" w:space="0" w:color="006666"/>
              <w:bottom w:val="single" w:sz="8" w:space="0" w:color="006666"/>
              <w:right w:val="single" w:sz="8" w:space="0" w:color="006666"/>
            </w:tcBorders>
            <w:shd w:val="clear" w:color="auto" w:fill="auto"/>
            <w:noWrap/>
            <w:vAlign w:val="center"/>
            <w:hideMark/>
          </w:tcPr>
          <w:p w14:paraId="1D6538E3" w14:textId="77777777" w:rsidR="00C20E54" w:rsidRPr="0067297E" w:rsidRDefault="00C20E54" w:rsidP="003F4875">
            <w:pPr>
              <w:spacing w:before="20" w:after="20"/>
              <w:rPr>
                <w:rFonts w:asciiTheme="minorHAnsi" w:hAnsiTheme="minorHAnsi" w:cs="Calibri"/>
                <w:color w:val="000000"/>
                <w:sz w:val="22"/>
                <w:szCs w:val="22"/>
              </w:rPr>
            </w:pPr>
            <w:r w:rsidRPr="0067297E">
              <w:rPr>
                <w:rFonts w:asciiTheme="minorHAnsi" w:hAnsiTheme="minorHAnsi" w:cs="Calibri"/>
                <w:color w:val="000000"/>
                <w:sz w:val="22"/>
                <w:szCs w:val="22"/>
              </w:rPr>
              <w:t>North</w:t>
            </w:r>
          </w:p>
        </w:tc>
        <w:tc>
          <w:tcPr>
            <w:tcW w:w="1713" w:type="dxa"/>
            <w:tcBorders>
              <w:top w:val="nil"/>
              <w:left w:val="nil"/>
              <w:bottom w:val="single" w:sz="8" w:space="0" w:color="006666"/>
              <w:right w:val="single" w:sz="8" w:space="0" w:color="006666"/>
            </w:tcBorders>
            <w:shd w:val="clear" w:color="auto" w:fill="auto"/>
            <w:noWrap/>
            <w:vAlign w:val="center"/>
            <w:hideMark/>
          </w:tcPr>
          <w:p w14:paraId="4F4411D0" w14:textId="77777777" w:rsidR="00C20E54" w:rsidRPr="0067297E" w:rsidRDefault="00C20E54" w:rsidP="003822F1">
            <w:pPr>
              <w:spacing w:before="20" w:after="20"/>
              <w:jc w:val="right"/>
              <w:rPr>
                <w:rFonts w:asciiTheme="minorHAnsi" w:hAnsiTheme="minorHAnsi" w:cs="Calibri"/>
                <w:color w:val="000000"/>
                <w:sz w:val="22"/>
                <w:szCs w:val="22"/>
              </w:rPr>
            </w:pPr>
            <w:r w:rsidRPr="0067297E">
              <w:rPr>
                <w:rFonts w:asciiTheme="minorHAnsi" w:hAnsiTheme="minorHAnsi" w:cs="Calibri"/>
                <w:color w:val="000000"/>
                <w:sz w:val="22"/>
                <w:szCs w:val="22"/>
              </w:rPr>
              <w:t>16,120</w:t>
            </w:r>
          </w:p>
        </w:tc>
        <w:tc>
          <w:tcPr>
            <w:tcW w:w="1701" w:type="dxa"/>
            <w:tcBorders>
              <w:top w:val="nil"/>
              <w:left w:val="nil"/>
              <w:bottom w:val="single" w:sz="8" w:space="0" w:color="006666"/>
              <w:right w:val="single" w:sz="8" w:space="0" w:color="006666"/>
            </w:tcBorders>
            <w:shd w:val="clear" w:color="000000" w:fill="FFFFFF"/>
            <w:noWrap/>
            <w:vAlign w:val="center"/>
            <w:hideMark/>
          </w:tcPr>
          <w:p w14:paraId="016C3EFE" w14:textId="77777777" w:rsidR="00C20E54" w:rsidRPr="0067297E" w:rsidRDefault="00C20E54" w:rsidP="003822F1">
            <w:pPr>
              <w:spacing w:before="20" w:after="20"/>
              <w:jc w:val="right"/>
              <w:rPr>
                <w:rFonts w:asciiTheme="minorHAnsi" w:hAnsiTheme="minorHAnsi" w:cs="Calibri"/>
                <w:color w:val="000000"/>
                <w:sz w:val="22"/>
                <w:szCs w:val="22"/>
              </w:rPr>
            </w:pPr>
            <w:r w:rsidRPr="0067297E">
              <w:rPr>
                <w:rFonts w:asciiTheme="minorHAnsi" w:hAnsiTheme="minorHAnsi" w:cs="Calibri"/>
                <w:color w:val="000000"/>
                <w:sz w:val="22"/>
                <w:szCs w:val="22"/>
              </w:rPr>
              <w:t>12.8</w:t>
            </w:r>
          </w:p>
        </w:tc>
      </w:tr>
      <w:tr w:rsidR="00C20E54" w:rsidRPr="0067297E" w14:paraId="2EDF3913" w14:textId="77777777" w:rsidTr="003F4875">
        <w:tc>
          <w:tcPr>
            <w:tcW w:w="3062" w:type="dxa"/>
            <w:tcBorders>
              <w:top w:val="nil"/>
              <w:left w:val="single" w:sz="8" w:space="0" w:color="006666"/>
              <w:bottom w:val="single" w:sz="8" w:space="0" w:color="006666"/>
              <w:right w:val="single" w:sz="8" w:space="0" w:color="006666"/>
            </w:tcBorders>
            <w:shd w:val="clear" w:color="auto" w:fill="auto"/>
            <w:noWrap/>
            <w:vAlign w:val="center"/>
            <w:hideMark/>
          </w:tcPr>
          <w:p w14:paraId="510CA860" w14:textId="77777777" w:rsidR="00C20E54" w:rsidRPr="0067297E" w:rsidRDefault="00C20E54" w:rsidP="003F4875">
            <w:pPr>
              <w:spacing w:before="20" w:after="20"/>
              <w:rPr>
                <w:rFonts w:asciiTheme="minorHAnsi" w:hAnsiTheme="minorHAnsi" w:cs="Calibri"/>
                <w:color w:val="000000"/>
                <w:sz w:val="22"/>
                <w:szCs w:val="22"/>
              </w:rPr>
            </w:pPr>
            <w:r w:rsidRPr="0067297E">
              <w:rPr>
                <w:rFonts w:asciiTheme="minorHAnsi" w:hAnsiTheme="minorHAnsi" w:cs="Calibri"/>
                <w:color w:val="000000"/>
                <w:sz w:val="22"/>
                <w:szCs w:val="22"/>
              </w:rPr>
              <w:t xml:space="preserve">South </w:t>
            </w:r>
          </w:p>
        </w:tc>
        <w:tc>
          <w:tcPr>
            <w:tcW w:w="1713" w:type="dxa"/>
            <w:tcBorders>
              <w:top w:val="nil"/>
              <w:left w:val="nil"/>
              <w:bottom w:val="single" w:sz="8" w:space="0" w:color="006666"/>
              <w:right w:val="single" w:sz="8" w:space="0" w:color="006666"/>
            </w:tcBorders>
            <w:shd w:val="clear" w:color="000000" w:fill="FFFFFF"/>
            <w:noWrap/>
            <w:vAlign w:val="center"/>
            <w:hideMark/>
          </w:tcPr>
          <w:p w14:paraId="6DA45D2D" w14:textId="77777777" w:rsidR="00C20E54" w:rsidRPr="0067297E" w:rsidRDefault="00C20E54" w:rsidP="003822F1">
            <w:pPr>
              <w:spacing w:before="20" w:after="20"/>
              <w:jc w:val="right"/>
              <w:rPr>
                <w:rFonts w:asciiTheme="minorHAnsi" w:hAnsiTheme="minorHAnsi" w:cs="Calibri"/>
                <w:color w:val="000000"/>
                <w:sz w:val="22"/>
                <w:szCs w:val="22"/>
              </w:rPr>
            </w:pPr>
            <w:r w:rsidRPr="0067297E">
              <w:rPr>
                <w:rFonts w:asciiTheme="minorHAnsi" w:hAnsiTheme="minorHAnsi" w:cs="Calibri"/>
                <w:color w:val="000000"/>
                <w:sz w:val="22"/>
                <w:szCs w:val="22"/>
              </w:rPr>
              <w:t>19,030</w:t>
            </w:r>
          </w:p>
        </w:tc>
        <w:tc>
          <w:tcPr>
            <w:tcW w:w="1701" w:type="dxa"/>
            <w:tcBorders>
              <w:top w:val="nil"/>
              <w:left w:val="nil"/>
              <w:bottom w:val="single" w:sz="8" w:space="0" w:color="006666"/>
              <w:right w:val="single" w:sz="8" w:space="0" w:color="006666"/>
            </w:tcBorders>
            <w:shd w:val="clear" w:color="000000" w:fill="FFFFFF"/>
            <w:noWrap/>
            <w:vAlign w:val="center"/>
            <w:hideMark/>
          </w:tcPr>
          <w:p w14:paraId="559777E4" w14:textId="77777777" w:rsidR="00C20E54" w:rsidRPr="0067297E" w:rsidRDefault="00C20E54" w:rsidP="003822F1">
            <w:pPr>
              <w:spacing w:before="20" w:after="20"/>
              <w:jc w:val="right"/>
              <w:rPr>
                <w:rFonts w:asciiTheme="minorHAnsi" w:hAnsiTheme="minorHAnsi" w:cs="Calibri"/>
                <w:color w:val="000000"/>
                <w:sz w:val="22"/>
                <w:szCs w:val="22"/>
              </w:rPr>
            </w:pPr>
            <w:r w:rsidRPr="0067297E">
              <w:rPr>
                <w:rFonts w:asciiTheme="minorHAnsi" w:hAnsiTheme="minorHAnsi" w:cs="Calibri"/>
                <w:color w:val="000000"/>
                <w:sz w:val="22"/>
                <w:szCs w:val="22"/>
              </w:rPr>
              <w:t>15.1</w:t>
            </w:r>
          </w:p>
        </w:tc>
      </w:tr>
      <w:tr w:rsidR="00C20E54" w:rsidRPr="0067297E" w14:paraId="42CB0DD5" w14:textId="77777777" w:rsidTr="003F4875">
        <w:tc>
          <w:tcPr>
            <w:tcW w:w="3062" w:type="dxa"/>
            <w:tcBorders>
              <w:top w:val="nil"/>
              <w:left w:val="single" w:sz="8" w:space="0" w:color="006666"/>
              <w:bottom w:val="single" w:sz="8" w:space="0" w:color="006666"/>
              <w:right w:val="single" w:sz="8" w:space="0" w:color="006666"/>
            </w:tcBorders>
            <w:shd w:val="clear" w:color="auto" w:fill="auto"/>
            <w:noWrap/>
            <w:vAlign w:val="center"/>
            <w:hideMark/>
          </w:tcPr>
          <w:p w14:paraId="449D602C" w14:textId="77777777" w:rsidR="00C20E54" w:rsidRPr="0067297E" w:rsidRDefault="00C20E54" w:rsidP="003F4875">
            <w:pPr>
              <w:spacing w:before="20" w:after="20"/>
              <w:rPr>
                <w:rFonts w:asciiTheme="minorHAnsi" w:hAnsiTheme="minorHAnsi" w:cs="Calibri"/>
                <w:sz w:val="22"/>
                <w:szCs w:val="22"/>
              </w:rPr>
            </w:pPr>
            <w:r w:rsidRPr="0067297E">
              <w:rPr>
                <w:rFonts w:asciiTheme="minorHAnsi" w:hAnsiTheme="minorHAnsi" w:cs="Calibri"/>
                <w:sz w:val="22"/>
                <w:szCs w:val="22"/>
              </w:rPr>
              <w:t>West</w:t>
            </w:r>
          </w:p>
        </w:tc>
        <w:tc>
          <w:tcPr>
            <w:tcW w:w="1713" w:type="dxa"/>
            <w:tcBorders>
              <w:top w:val="nil"/>
              <w:left w:val="nil"/>
              <w:bottom w:val="single" w:sz="8" w:space="0" w:color="006666"/>
              <w:right w:val="single" w:sz="8" w:space="0" w:color="006666"/>
            </w:tcBorders>
            <w:shd w:val="clear" w:color="000000" w:fill="FFFFFF"/>
            <w:noWrap/>
            <w:vAlign w:val="center"/>
            <w:hideMark/>
          </w:tcPr>
          <w:p w14:paraId="647F62C1" w14:textId="77777777" w:rsidR="00C20E54" w:rsidRPr="0067297E" w:rsidRDefault="00C20E54" w:rsidP="003822F1">
            <w:pPr>
              <w:spacing w:before="20" w:after="20"/>
              <w:jc w:val="right"/>
              <w:rPr>
                <w:rFonts w:asciiTheme="minorHAnsi" w:hAnsiTheme="minorHAnsi" w:cs="Calibri"/>
                <w:color w:val="000000"/>
                <w:sz w:val="22"/>
                <w:szCs w:val="22"/>
              </w:rPr>
            </w:pPr>
            <w:r w:rsidRPr="0067297E">
              <w:rPr>
                <w:rFonts w:asciiTheme="minorHAnsi" w:hAnsiTheme="minorHAnsi" w:cs="Calibri"/>
                <w:color w:val="000000"/>
                <w:sz w:val="22"/>
                <w:szCs w:val="22"/>
              </w:rPr>
              <w:t>48,050</w:t>
            </w:r>
          </w:p>
        </w:tc>
        <w:tc>
          <w:tcPr>
            <w:tcW w:w="1701" w:type="dxa"/>
            <w:tcBorders>
              <w:top w:val="nil"/>
              <w:left w:val="nil"/>
              <w:bottom w:val="single" w:sz="8" w:space="0" w:color="006666"/>
              <w:right w:val="single" w:sz="8" w:space="0" w:color="006666"/>
            </w:tcBorders>
            <w:shd w:val="clear" w:color="000000" w:fill="FFFFFF"/>
            <w:noWrap/>
            <w:vAlign w:val="center"/>
            <w:hideMark/>
          </w:tcPr>
          <w:p w14:paraId="05FC801A" w14:textId="77777777" w:rsidR="00C20E54" w:rsidRPr="0067297E" w:rsidRDefault="00C20E54" w:rsidP="003822F1">
            <w:pPr>
              <w:spacing w:before="20" w:after="20"/>
              <w:jc w:val="right"/>
              <w:rPr>
                <w:rFonts w:asciiTheme="minorHAnsi" w:hAnsiTheme="minorHAnsi" w:cs="Calibri"/>
                <w:color w:val="000000"/>
                <w:sz w:val="22"/>
                <w:szCs w:val="22"/>
              </w:rPr>
            </w:pPr>
            <w:r w:rsidRPr="0067297E">
              <w:rPr>
                <w:rFonts w:asciiTheme="minorHAnsi" w:hAnsiTheme="minorHAnsi" w:cs="Calibri"/>
                <w:color w:val="000000"/>
                <w:sz w:val="22"/>
                <w:szCs w:val="22"/>
              </w:rPr>
              <w:t>38.1</w:t>
            </w:r>
          </w:p>
        </w:tc>
      </w:tr>
      <w:tr w:rsidR="00C20E54" w:rsidRPr="0067297E" w14:paraId="3DAE2FC3" w14:textId="77777777" w:rsidTr="003F4875">
        <w:tc>
          <w:tcPr>
            <w:tcW w:w="3062" w:type="dxa"/>
            <w:tcBorders>
              <w:top w:val="nil"/>
              <w:left w:val="single" w:sz="8" w:space="0" w:color="006666"/>
              <w:bottom w:val="single" w:sz="8" w:space="0" w:color="006666"/>
              <w:right w:val="single" w:sz="8" w:space="0" w:color="006666"/>
            </w:tcBorders>
            <w:shd w:val="clear" w:color="auto" w:fill="auto"/>
            <w:noWrap/>
            <w:vAlign w:val="center"/>
            <w:hideMark/>
          </w:tcPr>
          <w:p w14:paraId="02DE7A8D" w14:textId="77777777" w:rsidR="00C20E54" w:rsidRPr="0067297E" w:rsidRDefault="00C20E54" w:rsidP="003F4875">
            <w:pPr>
              <w:spacing w:before="20" w:after="20"/>
              <w:rPr>
                <w:rFonts w:asciiTheme="minorHAnsi" w:hAnsiTheme="minorHAnsi" w:cs="Calibri"/>
                <w:b/>
                <w:bCs/>
                <w:color w:val="000000"/>
                <w:sz w:val="22"/>
                <w:szCs w:val="22"/>
              </w:rPr>
            </w:pPr>
            <w:r w:rsidRPr="0067297E">
              <w:rPr>
                <w:rFonts w:asciiTheme="minorHAnsi" w:hAnsiTheme="minorHAnsi" w:cs="Calibri"/>
                <w:b/>
                <w:bCs/>
                <w:color w:val="000000"/>
                <w:sz w:val="22"/>
                <w:szCs w:val="22"/>
              </w:rPr>
              <w:t>Borough of Lewisham Total</w:t>
            </w:r>
          </w:p>
        </w:tc>
        <w:tc>
          <w:tcPr>
            <w:tcW w:w="1713" w:type="dxa"/>
            <w:tcBorders>
              <w:top w:val="nil"/>
              <w:left w:val="nil"/>
              <w:bottom w:val="single" w:sz="8" w:space="0" w:color="006666"/>
              <w:right w:val="single" w:sz="8" w:space="0" w:color="006666"/>
            </w:tcBorders>
            <w:shd w:val="clear" w:color="auto" w:fill="auto"/>
            <w:noWrap/>
            <w:vAlign w:val="center"/>
            <w:hideMark/>
          </w:tcPr>
          <w:p w14:paraId="2C10225B" w14:textId="77777777" w:rsidR="00C20E54" w:rsidRPr="0067297E" w:rsidRDefault="00C20E54" w:rsidP="003822F1">
            <w:pPr>
              <w:spacing w:before="20" w:after="20"/>
              <w:jc w:val="right"/>
              <w:rPr>
                <w:rFonts w:asciiTheme="minorHAnsi" w:hAnsiTheme="minorHAnsi" w:cs="Calibri"/>
                <w:color w:val="000000"/>
                <w:sz w:val="22"/>
                <w:szCs w:val="22"/>
              </w:rPr>
            </w:pPr>
            <w:r w:rsidRPr="0067297E">
              <w:rPr>
                <w:rFonts w:asciiTheme="minorHAnsi" w:hAnsiTheme="minorHAnsi" w:cs="Calibri"/>
                <w:color w:val="000000"/>
                <w:sz w:val="22"/>
                <w:szCs w:val="22"/>
              </w:rPr>
              <w:t>125,990</w:t>
            </w:r>
          </w:p>
        </w:tc>
        <w:tc>
          <w:tcPr>
            <w:tcW w:w="1701" w:type="dxa"/>
            <w:tcBorders>
              <w:top w:val="nil"/>
              <w:left w:val="nil"/>
              <w:bottom w:val="single" w:sz="8" w:space="0" w:color="006666"/>
              <w:right w:val="single" w:sz="8" w:space="0" w:color="006666"/>
            </w:tcBorders>
            <w:shd w:val="clear" w:color="000000" w:fill="FFFFFF"/>
            <w:noWrap/>
            <w:vAlign w:val="center"/>
            <w:hideMark/>
          </w:tcPr>
          <w:p w14:paraId="0202BA35" w14:textId="77777777" w:rsidR="00C20E54" w:rsidRPr="0067297E" w:rsidRDefault="00C20E54" w:rsidP="003822F1">
            <w:pPr>
              <w:spacing w:before="20" w:after="20"/>
              <w:jc w:val="right"/>
              <w:rPr>
                <w:rFonts w:asciiTheme="minorHAnsi" w:hAnsiTheme="minorHAnsi" w:cs="Calibri"/>
                <w:color w:val="000000"/>
                <w:sz w:val="22"/>
                <w:szCs w:val="22"/>
              </w:rPr>
            </w:pPr>
            <w:r w:rsidRPr="0067297E">
              <w:rPr>
                <w:rFonts w:asciiTheme="minorHAnsi" w:hAnsiTheme="minorHAnsi" w:cs="Calibri"/>
                <w:color w:val="000000"/>
                <w:sz w:val="22"/>
                <w:szCs w:val="22"/>
              </w:rPr>
              <w:t>100.0</w:t>
            </w:r>
          </w:p>
        </w:tc>
      </w:tr>
    </w:tbl>
    <w:p w14:paraId="3DCF9D15" w14:textId="4C890EE0" w:rsidR="003B05BC" w:rsidRPr="0067297E" w:rsidRDefault="003B05BC" w:rsidP="00E12901">
      <w:pPr>
        <w:ind w:left="709"/>
        <w:rPr>
          <w:rFonts w:asciiTheme="minorHAnsi" w:hAnsiTheme="minorHAnsi" w:cs="Calibri"/>
          <w:sz w:val="20"/>
        </w:rPr>
      </w:pPr>
      <w:r w:rsidRPr="0067297E">
        <w:rPr>
          <w:rFonts w:asciiTheme="minorHAnsi" w:hAnsiTheme="minorHAnsi" w:cs="Calibri"/>
          <w:sz w:val="20"/>
        </w:rPr>
        <w:t>Source: Valuation Office Agency 2017</w:t>
      </w:r>
    </w:p>
    <w:p w14:paraId="4EF633DE" w14:textId="77777777" w:rsidR="00034EA9" w:rsidRPr="0067297E" w:rsidRDefault="00034EA9" w:rsidP="00543A76">
      <w:pPr>
        <w:rPr>
          <w:rFonts w:asciiTheme="minorHAnsi" w:hAnsiTheme="minorHAnsi" w:cs="Calibri"/>
        </w:rPr>
      </w:pPr>
    </w:p>
    <w:p w14:paraId="5630BAB1" w14:textId="77777777" w:rsidR="00034EA9" w:rsidRPr="0067297E" w:rsidRDefault="00034EA9" w:rsidP="00543A76">
      <w:pPr>
        <w:pStyle w:val="Heading3"/>
        <w:rPr>
          <w:rFonts w:asciiTheme="minorHAnsi" w:hAnsiTheme="minorHAnsi" w:cs="Calibri"/>
        </w:rPr>
      </w:pPr>
      <w:r w:rsidRPr="0067297E">
        <w:rPr>
          <w:rFonts w:asciiTheme="minorHAnsi" w:hAnsiTheme="minorHAnsi" w:cs="Calibri"/>
        </w:rPr>
        <w:t>Property size and type</w:t>
      </w:r>
    </w:p>
    <w:p w14:paraId="2676F97C" w14:textId="2B0054BF" w:rsidR="00034EA9" w:rsidRPr="0067297E" w:rsidRDefault="003E6F09" w:rsidP="00543A76">
      <w:pPr>
        <w:pStyle w:val="Reporttext"/>
        <w:rPr>
          <w:rFonts w:asciiTheme="minorHAnsi" w:hAnsiTheme="minorHAnsi" w:cs="Calibri"/>
        </w:rPr>
      </w:pPr>
      <w:r w:rsidRPr="0067297E">
        <w:rPr>
          <w:rFonts w:asciiTheme="minorHAnsi" w:hAnsiTheme="minorHAnsi" w:cs="Calibri"/>
          <w:lang w:val="en-GB"/>
        </w:rPr>
        <w:t xml:space="preserve">Based on </w:t>
      </w:r>
      <w:r w:rsidR="00415F54" w:rsidRPr="0067297E">
        <w:rPr>
          <w:rFonts w:asciiTheme="minorHAnsi" w:hAnsiTheme="minorHAnsi" w:cs="Calibri"/>
          <w:lang w:val="en-GB"/>
        </w:rPr>
        <w:t>2017</w:t>
      </w:r>
      <w:r w:rsidR="007936A8" w:rsidRPr="0067297E">
        <w:rPr>
          <w:rFonts w:asciiTheme="minorHAnsi" w:hAnsiTheme="minorHAnsi" w:cs="Calibri"/>
          <w:lang w:val="en-GB"/>
        </w:rPr>
        <w:t xml:space="preserve"> Valuation Office Agency</w:t>
      </w:r>
      <w:r w:rsidR="00415F54" w:rsidRPr="0067297E">
        <w:rPr>
          <w:rFonts w:asciiTheme="minorHAnsi" w:hAnsiTheme="minorHAnsi" w:cs="Calibri"/>
          <w:lang w:val="en-GB"/>
        </w:rPr>
        <w:t xml:space="preserve"> data</w:t>
      </w:r>
      <w:r w:rsidR="00034EA9" w:rsidRPr="0067297E">
        <w:rPr>
          <w:rFonts w:asciiTheme="minorHAnsi" w:hAnsiTheme="minorHAnsi" w:cs="Calibri"/>
        </w:rPr>
        <w:t xml:space="preserve">, </w:t>
      </w:r>
      <w:r w:rsidR="00415F54" w:rsidRPr="0067297E">
        <w:rPr>
          <w:rFonts w:asciiTheme="minorHAnsi" w:hAnsiTheme="minorHAnsi" w:cs="Calibri"/>
          <w:lang w:val="en-GB"/>
        </w:rPr>
        <w:t>over one half</w:t>
      </w:r>
      <w:r w:rsidR="00034EA9" w:rsidRPr="0067297E">
        <w:rPr>
          <w:rFonts w:asciiTheme="minorHAnsi" w:hAnsiTheme="minorHAnsi" w:cs="Calibri"/>
        </w:rPr>
        <w:t xml:space="preserve"> of </w:t>
      </w:r>
      <w:r w:rsidR="00512F82">
        <w:rPr>
          <w:rFonts w:asciiTheme="minorHAnsi" w:hAnsiTheme="minorHAnsi" w:cs="Calibri"/>
          <w:lang w:val="en-GB"/>
        </w:rPr>
        <w:t>residential</w:t>
      </w:r>
      <w:r w:rsidR="0017065B">
        <w:rPr>
          <w:rFonts w:asciiTheme="minorHAnsi" w:hAnsiTheme="minorHAnsi" w:cs="Calibri"/>
          <w:lang w:val="en-GB"/>
        </w:rPr>
        <w:t xml:space="preserve"> </w:t>
      </w:r>
      <w:r w:rsidR="00034EA9" w:rsidRPr="0067297E">
        <w:rPr>
          <w:rFonts w:asciiTheme="minorHAnsi" w:hAnsiTheme="minorHAnsi" w:cs="Calibri"/>
        </w:rPr>
        <w:t xml:space="preserve">properties </w:t>
      </w:r>
      <w:r w:rsidR="00415F54" w:rsidRPr="0067297E">
        <w:rPr>
          <w:rFonts w:asciiTheme="minorHAnsi" w:hAnsiTheme="minorHAnsi" w:cs="Calibri"/>
          <w:lang w:val="en-GB"/>
        </w:rPr>
        <w:t>(</w:t>
      </w:r>
      <w:r w:rsidR="00244DB1" w:rsidRPr="0067297E">
        <w:rPr>
          <w:rFonts w:asciiTheme="minorHAnsi" w:hAnsiTheme="minorHAnsi" w:cs="Calibri"/>
          <w:lang w:val="en-GB"/>
        </w:rPr>
        <w:t>58.1</w:t>
      </w:r>
      <w:r w:rsidR="00415F54" w:rsidRPr="0067297E">
        <w:rPr>
          <w:rFonts w:asciiTheme="minorHAnsi" w:hAnsiTheme="minorHAnsi" w:cs="Calibri"/>
          <w:lang w:val="en-GB"/>
        </w:rPr>
        <w:t xml:space="preserve">%) in </w:t>
      </w:r>
      <w:r w:rsidR="00C20E54" w:rsidRPr="0067297E">
        <w:rPr>
          <w:rFonts w:asciiTheme="minorHAnsi" w:hAnsiTheme="minorHAnsi" w:cs="Calibri"/>
          <w:lang w:val="en-GB"/>
        </w:rPr>
        <w:t>the borough</w:t>
      </w:r>
      <w:r w:rsidR="00415F54" w:rsidRPr="0067297E">
        <w:rPr>
          <w:rFonts w:asciiTheme="minorHAnsi" w:hAnsiTheme="minorHAnsi" w:cs="Calibri"/>
          <w:lang w:val="en-GB"/>
        </w:rPr>
        <w:t xml:space="preserve"> </w:t>
      </w:r>
      <w:r w:rsidR="00034EA9" w:rsidRPr="0067297E">
        <w:rPr>
          <w:rFonts w:asciiTheme="minorHAnsi" w:hAnsiTheme="minorHAnsi" w:cs="Calibri"/>
        </w:rPr>
        <w:t xml:space="preserve">are </w:t>
      </w:r>
      <w:r w:rsidR="00415F54" w:rsidRPr="0067297E">
        <w:rPr>
          <w:rFonts w:asciiTheme="minorHAnsi" w:hAnsiTheme="minorHAnsi" w:cs="Calibri"/>
          <w:lang w:val="en-GB"/>
        </w:rPr>
        <w:t xml:space="preserve">flats, apartments or maisonettes. </w:t>
      </w:r>
      <w:r w:rsidR="00716A3D" w:rsidRPr="0067297E">
        <w:rPr>
          <w:rFonts w:asciiTheme="minorHAnsi" w:hAnsiTheme="minorHAnsi" w:cs="Calibri"/>
          <w:lang w:val="en-GB"/>
        </w:rPr>
        <w:t>41.</w:t>
      </w:r>
      <w:r w:rsidR="00244DB1" w:rsidRPr="0067297E">
        <w:rPr>
          <w:rFonts w:asciiTheme="minorHAnsi" w:hAnsiTheme="minorHAnsi" w:cs="Calibri"/>
          <w:lang w:val="en-GB"/>
        </w:rPr>
        <w:t>5</w:t>
      </w:r>
      <w:r w:rsidR="00415F54" w:rsidRPr="0067297E">
        <w:rPr>
          <w:rFonts w:asciiTheme="minorHAnsi" w:hAnsiTheme="minorHAnsi" w:cs="Calibri"/>
          <w:lang w:val="en-GB"/>
        </w:rPr>
        <w:t xml:space="preserve">% of properties are </w:t>
      </w:r>
      <w:r w:rsidR="00034EA9" w:rsidRPr="0067297E">
        <w:rPr>
          <w:rFonts w:asciiTheme="minorHAnsi" w:hAnsiTheme="minorHAnsi" w:cs="Calibri"/>
        </w:rPr>
        <w:t>houses</w:t>
      </w:r>
      <w:r w:rsidR="00034EA9" w:rsidRPr="0067297E">
        <w:rPr>
          <w:rFonts w:asciiTheme="minorHAnsi" w:hAnsiTheme="minorHAnsi" w:cs="Calibri"/>
          <w:lang w:val="en-GB"/>
        </w:rPr>
        <w:t xml:space="preserve"> (of which </w:t>
      </w:r>
      <w:r w:rsidR="00716A3D" w:rsidRPr="0067297E">
        <w:rPr>
          <w:rFonts w:asciiTheme="minorHAnsi" w:hAnsiTheme="minorHAnsi" w:cs="Calibri"/>
          <w:lang w:val="en-GB"/>
        </w:rPr>
        <w:t>32.</w:t>
      </w:r>
      <w:r w:rsidR="00244DB1" w:rsidRPr="0067297E">
        <w:rPr>
          <w:rFonts w:asciiTheme="minorHAnsi" w:hAnsiTheme="minorHAnsi" w:cs="Calibri"/>
          <w:lang w:val="en-GB"/>
        </w:rPr>
        <w:t>5</w:t>
      </w:r>
      <w:r w:rsidR="00034EA9" w:rsidRPr="0067297E">
        <w:rPr>
          <w:rFonts w:asciiTheme="minorHAnsi" w:hAnsiTheme="minorHAnsi" w:cs="Calibri"/>
          <w:lang w:val="en-GB"/>
        </w:rPr>
        <w:t xml:space="preserve">% are </w:t>
      </w:r>
      <w:r w:rsidR="00415F54" w:rsidRPr="0067297E">
        <w:rPr>
          <w:rFonts w:asciiTheme="minorHAnsi" w:hAnsiTheme="minorHAnsi" w:cs="Calibri"/>
          <w:lang w:val="en-GB"/>
        </w:rPr>
        <w:t>terraced</w:t>
      </w:r>
      <w:r w:rsidR="00034EA9" w:rsidRPr="0067297E">
        <w:rPr>
          <w:rFonts w:asciiTheme="minorHAnsi" w:hAnsiTheme="minorHAnsi" w:cs="Calibri"/>
          <w:lang w:val="en-GB"/>
        </w:rPr>
        <w:t xml:space="preserve">, </w:t>
      </w:r>
      <w:r w:rsidR="009359AB" w:rsidRPr="0067297E">
        <w:rPr>
          <w:rFonts w:asciiTheme="minorHAnsi" w:hAnsiTheme="minorHAnsi" w:cs="Calibri"/>
          <w:lang w:val="en-GB"/>
        </w:rPr>
        <w:t>7.</w:t>
      </w:r>
      <w:r w:rsidR="00244DB1" w:rsidRPr="0067297E">
        <w:rPr>
          <w:rFonts w:asciiTheme="minorHAnsi" w:hAnsiTheme="minorHAnsi" w:cs="Calibri"/>
          <w:lang w:val="en-GB"/>
        </w:rPr>
        <w:t>7</w:t>
      </w:r>
      <w:r w:rsidR="00034EA9" w:rsidRPr="0067297E">
        <w:rPr>
          <w:rFonts w:asciiTheme="minorHAnsi" w:hAnsiTheme="minorHAnsi" w:cs="Calibri"/>
          <w:lang w:val="en-GB"/>
        </w:rPr>
        <w:t xml:space="preserve">% are semi-detached and </w:t>
      </w:r>
      <w:r w:rsidR="00415F54" w:rsidRPr="0067297E">
        <w:rPr>
          <w:rFonts w:asciiTheme="minorHAnsi" w:hAnsiTheme="minorHAnsi" w:cs="Calibri"/>
          <w:lang w:val="en-GB"/>
        </w:rPr>
        <w:t>1.</w:t>
      </w:r>
      <w:r w:rsidR="00716A3D" w:rsidRPr="0067297E">
        <w:rPr>
          <w:rFonts w:asciiTheme="minorHAnsi" w:hAnsiTheme="minorHAnsi" w:cs="Calibri"/>
          <w:lang w:val="en-GB"/>
        </w:rPr>
        <w:t>3</w:t>
      </w:r>
      <w:r w:rsidR="00034EA9" w:rsidRPr="0067297E">
        <w:rPr>
          <w:rFonts w:asciiTheme="minorHAnsi" w:hAnsiTheme="minorHAnsi" w:cs="Calibri"/>
          <w:lang w:val="en-GB"/>
        </w:rPr>
        <w:t xml:space="preserve">% are </w:t>
      </w:r>
      <w:r w:rsidR="00415F54" w:rsidRPr="0067297E">
        <w:rPr>
          <w:rFonts w:asciiTheme="minorHAnsi" w:hAnsiTheme="minorHAnsi" w:cs="Calibri"/>
          <w:lang w:val="en-GB"/>
        </w:rPr>
        <w:t>detached houses</w:t>
      </w:r>
      <w:r w:rsidR="00034EA9" w:rsidRPr="0067297E">
        <w:rPr>
          <w:rFonts w:asciiTheme="minorHAnsi" w:hAnsiTheme="minorHAnsi" w:cs="Calibri"/>
          <w:lang w:val="en-GB"/>
        </w:rPr>
        <w:t>)</w:t>
      </w:r>
      <w:r w:rsidR="00415F54" w:rsidRPr="0067297E">
        <w:rPr>
          <w:rFonts w:asciiTheme="minorHAnsi" w:hAnsiTheme="minorHAnsi" w:cs="Calibri"/>
        </w:rPr>
        <w:t xml:space="preserve"> and 0.4</w:t>
      </w:r>
      <w:r w:rsidR="00034EA9" w:rsidRPr="0067297E">
        <w:rPr>
          <w:rFonts w:asciiTheme="minorHAnsi" w:hAnsiTheme="minorHAnsi" w:cs="Calibri"/>
        </w:rPr>
        <w:t>% are bungalows</w:t>
      </w:r>
      <w:r w:rsidR="00716A3D" w:rsidRPr="0067297E">
        <w:rPr>
          <w:rFonts w:asciiTheme="minorHAnsi" w:hAnsiTheme="minorHAnsi" w:cs="Calibri"/>
          <w:lang w:val="en-GB"/>
        </w:rPr>
        <w:t>.</w:t>
      </w:r>
      <w:r w:rsidR="00DF121C" w:rsidRPr="0067297E">
        <w:rPr>
          <w:rFonts w:asciiTheme="minorHAnsi" w:hAnsiTheme="minorHAnsi" w:cs="Calibri"/>
          <w:lang w:val="en-GB"/>
        </w:rPr>
        <w:t xml:space="preserve"> </w:t>
      </w:r>
    </w:p>
    <w:p w14:paraId="3D4DD414" w14:textId="71CB6FA5" w:rsidR="00034EA9" w:rsidRPr="0067297E" w:rsidRDefault="00034EA9" w:rsidP="000256AC">
      <w:pPr>
        <w:pStyle w:val="Reporttext"/>
        <w:rPr>
          <w:rFonts w:asciiTheme="minorHAnsi" w:hAnsiTheme="minorHAnsi" w:cs="Calibri"/>
        </w:rPr>
      </w:pPr>
      <w:r w:rsidRPr="0067297E">
        <w:rPr>
          <w:rFonts w:asciiTheme="minorHAnsi" w:hAnsiTheme="minorHAnsi" w:cs="Calibri"/>
        </w:rPr>
        <w:t xml:space="preserve">Of all occupied properties, </w:t>
      </w:r>
      <w:r w:rsidR="00716A3D" w:rsidRPr="0067297E">
        <w:rPr>
          <w:rFonts w:asciiTheme="minorHAnsi" w:hAnsiTheme="minorHAnsi" w:cs="Calibri"/>
          <w:lang w:val="en-GB"/>
        </w:rPr>
        <w:t>26.4</w:t>
      </w:r>
      <w:r w:rsidRPr="0067297E">
        <w:rPr>
          <w:rFonts w:asciiTheme="minorHAnsi" w:hAnsiTheme="minorHAnsi" w:cs="Calibri"/>
        </w:rPr>
        <w:t xml:space="preserve">% have one bedroom, </w:t>
      </w:r>
      <w:r w:rsidR="00716A3D" w:rsidRPr="0067297E">
        <w:rPr>
          <w:rFonts w:asciiTheme="minorHAnsi" w:hAnsiTheme="minorHAnsi" w:cs="Calibri"/>
          <w:lang w:val="en-GB"/>
        </w:rPr>
        <w:t>33.0</w:t>
      </w:r>
      <w:r w:rsidRPr="0067297E">
        <w:rPr>
          <w:rFonts w:asciiTheme="minorHAnsi" w:hAnsiTheme="minorHAnsi" w:cs="Calibri"/>
        </w:rPr>
        <w:t>% have two bedrooms</w:t>
      </w:r>
      <w:r w:rsidR="00403F47" w:rsidRPr="0067297E">
        <w:rPr>
          <w:rFonts w:asciiTheme="minorHAnsi" w:hAnsiTheme="minorHAnsi" w:cs="Calibri"/>
          <w:lang w:val="en-GB"/>
        </w:rPr>
        <w:t xml:space="preserve">, </w:t>
      </w:r>
      <w:r w:rsidR="00716A3D" w:rsidRPr="0067297E">
        <w:rPr>
          <w:rFonts w:asciiTheme="minorHAnsi" w:hAnsiTheme="minorHAnsi" w:cs="Calibri"/>
          <w:lang w:val="en-GB"/>
        </w:rPr>
        <w:t>30.4</w:t>
      </w:r>
      <w:r w:rsidRPr="0067297E">
        <w:rPr>
          <w:rFonts w:asciiTheme="minorHAnsi" w:hAnsiTheme="minorHAnsi" w:cs="Calibri"/>
        </w:rPr>
        <w:t>% have three bedrooms</w:t>
      </w:r>
      <w:r w:rsidR="009359AB" w:rsidRPr="0067297E">
        <w:rPr>
          <w:rFonts w:asciiTheme="minorHAnsi" w:hAnsiTheme="minorHAnsi" w:cs="Calibri"/>
          <w:lang w:val="en-GB"/>
        </w:rPr>
        <w:t xml:space="preserve"> and </w:t>
      </w:r>
      <w:r w:rsidR="00716A3D" w:rsidRPr="0067297E">
        <w:rPr>
          <w:rFonts w:asciiTheme="minorHAnsi" w:hAnsiTheme="minorHAnsi" w:cs="Calibri"/>
          <w:lang w:val="en-GB"/>
        </w:rPr>
        <w:t>10.1</w:t>
      </w:r>
      <w:r w:rsidRPr="0067297E">
        <w:rPr>
          <w:rFonts w:asciiTheme="minorHAnsi" w:hAnsiTheme="minorHAnsi" w:cs="Calibri"/>
          <w:lang w:val="en-GB"/>
        </w:rPr>
        <w:t xml:space="preserve">% have </w:t>
      </w:r>
      <w:r w:rsidRPr="0067297E">
        <w:rPr>
          <w:rFonts w:asciiTheme="minorHAnsi" w:hAnsiTheme="minorHAnsi" w:cs="Calibri"/>
        </w:rPr>
        <w:t xml:space="preserve">four </w:t>
      </w:r>
      <w:r w:rsidRPr="0067297E">
        <w:rPr>
          <w:rFonts w:asciiTheme="minorHAnsi" w:hAnsiTheme="minorHAnsi" w:cs="Calibri"/>
          <w:lang w:val="en-GB"/>
        </w:rPr>
        <w:t>bedrooms</w:t>
      </w:r>
      <w:r w:rsidR="00716A3D" w:rsidRPr="0067297E">
        <w:rPr>
          <w:rFonts w:asciiTheme="minorHAnsi" w:hAnsiTheme="minorHAnsi" w:cs="Calibri"/>
          <w:lang w:val="en-GB"/>
        </w:rPr>
        <w:t>.</w:t>
      </w:r>
      <w:r w:rsidR="003B05BC" w:rsidRPr="0067297E">
        <w:rPr>
          <w:rFonts w:asciiTheme="minorHAnsi" w:hAnsiTheme="minorHAnsi" w:cs="Calibri"/>
          <w:lang w:val="en-GB"/>
        </w:rPr>
        <w:t xml:space="preserve"> Table 4.3 compares the stock profile of the borough with Inner London, London and England. Despite being an Inner Borough, the stock profile of Lewisham is broadly similar to that of London as a whole, although the proportion of detached and semi-detached houses is lower, with the proportion of terraced houses slightly higher. </w:t>
      </w:r>
    </w:p>
    <w:p w14:paraId="1003E276" w14:textId="641959C9" w:rsidR="003B05BC" w:rsidRPr="0067297E" w:rsidRDefault="003B05BC" w:rsidP="006C722F">
      <w:pPr>
        <w:pStyle w:val="Reporttext"/>
        <w:numPr>
          <w:ilvl w:val="0"/>
          <w:numId w:val="0"/>
        </w:numPr>
        <w:rPr>
          <w:rFonts w:asciiTheme="minorHAnsi" w:hAnsiTheme="minorHAnsi" w:cs="Calibri"/>
          <w:lang w:val="en-GB"/>
        </w:rPr>
      </w:pPr>
    </w:p>
    <w:tbl>
      <w:tblPr>
        <w:tblW w:w="7720" w:type="dxa"/>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520"/>
        <w:gridCol w:w="1300"/>
        <w:gridCol w:w="1300"/>
        <w:gridCol w:w="1300"/>
        <w:gridCol w:w="1300"/>
      </w:tblGrid>
      <w:tr w:rsidR="003B05BC" w:rsidRPr="0067297E" w14:paraId="68869917" w14:textId="77777777" w:rsidTr="00FF4E2D">
        <w:trPr>
          <w:trHeight w:val="260"/>
          <w:tblHeader/>
        </w:trPr>
        <w:tc>
          <w:tcPr>
            <w:tcW w:w="7720" w:type="dxa"/>
            <w:gridSpan w:val="5"/>
            <w:shd w:val="clear" w:color="auto" w:fill="009999"/>
            <w:noWrap/>
          </w:tcPr>
          <w:p w14:paraId="1C1B9096" w14:textId="4A634C61" w:rsidR="003B05BC" w:rsidRPr="0067297E" w:rsidRDefault="003B05BC" w:rsidP="003F4875">
            <w:pPr>
              <w:pStyle w:val="tableheading"/>
              <w:rPr>
                <w:rFonts w:asciiTheme="minorHAnsi" w:hAnsiTheme="minorHAnsi"/>
              </w:rPr>
            </w:pPr>
            <w:bookmarkStart w:id="226" w:name="_Toc23151152"/>
            <w:r w:rsidRPr="0067297E">
              <w:rPr>
                <w:rFonts w:asciiTheme="minorHAnsi" w:hAnsiTheme="minorHAnsi"/>
              </w:rPr>
              <w:t>Table 4.3</w:t>
            </w:r>
            <w:r w:rsidRPr="0067297E">
              <w:rPr>
                <w:rFonts w:asciiTheme="minorHAnsi" w:hAnsiTheme="minorHAnsi"/>
              </w:rPr>
              <w:tab/>
              <w:t>Dwelling stock comparison with other areas</w:t>
            </w:r>
            <w:bookmarkEnd w:id="226"/>
          </w:p>
        </w:tc>
      </w:tr>
      <w:tr w:rsidR="00E12901" w:rsidRPr="0067297E" w14:paraId="08E704B4" w14:textId="77777777" w:rsidTr="00E12901">
        <w:trPr>
          <w:trHeight w:val="260"/>
        </w:trPr>
        <w:tc>
          <w:tcPr>
            <w:tcW w:w="2520" w:type="dxa"/>
            <w:shd w:val="clear" w:color="auto" w:fill="009999"/>
            <w:noWrap/>
            <w:vAlign w:val="bottom"/>
            <w:hideMark/>
          </w:tcPr>
          <w:p w14:paraId="2C41B0E2" w14:textId="77777777" w:rsidR="003B05BC" w:rsidRPr="0067297E" w:rsidRDefault="003B05BC" w:rsidP="00E12901">
            <w:pP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 </w:t>
            </w:r>
          </w:p>
        </w:tc>
        <w:tc>
          <w:tcPr>
            <w:tcW w:w="1300" w:type="dxa"/>
            <w:shd w:val="clear" w:color="auto" w:fill="009999"/>
            <w:noWrap/>
            <w:vAlign w:val="bottom"/>
            <w:hideMark/>
          </w:tcPr>
          <w:p w14:paraId="6F2BA9A9" w14:textId="77777777" w:rsidR="003B05BC" w:rsidRPr="0067297E" w:rsidRDefault="003B05BC" w:rsidP="00E12901">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Lewisham</w:t>
            </w:r>
          </w:p>
        </w:tc>
        <w:tc>
          <w:tcPr>
            <w:tcW w:w="1300" w:type="dxa"/>
            <w:shd w:val="clear" w:color="auto" w:fill="009999"/>
            <w:noWrap/>
            <w:vAlign w:val="bottom"/>
            <w:hideMark/>
          </w:tcPr>
          <w:p w14:paraId="7918B73F" w14:textId="77777777" w:rsidR="003B05BC" w:rsidRPr="0067297E" w:rsidRDefault="003B05BC" w:rsidP="00E12901">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Inner London</w:t>
            </w:r>
          </w:p>
        </w:tc>
        <w:tc>
          <w:tcPr>
            <w:tcW w:w="1300" w:type="dxa"/>
            <w:shd w:val="clear" w:color="auto" w:fill="009999"/>
            <w:noWrap/>
            <w:vAlign w:val="bottom"/>
            <w:hideMark/>
          </w:tcPr>
          <w:p w14:paraId="443AD9A8" w14:textId="77777777" w:rsidR="003B05BC" w:rsidRPr="0067297E" w:rsidRDefault="003B05BC" w:rsidP="00E12901">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London</w:t>
            </w:r>
          </w:p>
        </w:tc>
        <w:tc>
          <w:tcPr>
            <w:tcW w:w="1300" w:type="dxa"/>
            <w:shd w:val="clear" w:color="auto" w:fill="009999"/>
            <w:noWrap/>
            <w:vAlign w:val="bottom"/>
            <w:hideMark/>
          </w:tcPr>
          <w:p w14:paraId="20BCDFEB" w14:textId="77777777" w:rsidR="003B05BC" w:rsidRPr="0067297E" w:rsidRDefault="003B05BC" w:rsidP="00E12901">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England</w:t>
            </w:r>
          </w:p>
        </w:tc>
      </w:tr>
      <w:tr w:rsidR="00E12901" w:rsidRPr="0067297E" w14:paraId="4D16818C" w14:textId="77777777" w:rsidTr="00DB7892">
        <w:trPr>
          <w:trHeight w:val="260"/>
        </w:trPr>
        <w:tc>
          <w:tcPr>
            <w:tcW w:w="7720" w:type="dxa"/>
            <w:gridSpan w:val="5"/>
            <w:shd w:val="clear" w:color="auto" w:fill="auto"/>
            <w:noWrap/>
            <w:vAlign w:val="bottom"/>
            <w:hideMark/>
          </w:tcPr>
          <w:p w14:paraId="3625395D" w14:textId="0E6A2146" w:rsidR="00E12901" w:rsidRPr="0067297E" w:rsidRDefault="00E12901" w:rsidP="00E12901">
            <w:pPr>
              <w:rPr>
                <w:rFonts w:asciiTheme="minorHAnsi" w:hAnsiTheme="minorHAnsi" w:cs="Calibri"/>
                <w:sz w:val="22"/>
                <w:szCs w:val="22"/>
              </w:rPr>
            </w:pPr>
            <w:r w:rsidRPr="0067297E">
              <w:rPr>
                <w:rFonts w:asciiTheme="minorHAnsi" w:hAnsiTheme="minorHAnsi" w:cs="Calibri"/>
                <w:b/>
                <w:bCs/>
                <w:sz w:val="22"/>
                <w:szCs w:val="22"/>
              </w:rPr>
              <w:t>Dwelling type</w:t>
            </w:r>
          </w:p>
        </w:tc>
      </w:tr>
      <w:tr w:rsidR="003B05BC" w:rsidRPr="0067297E" w14:paraId="0330ABE6" w14:textId="77777777" w:rsidTr="00E12901">
        <w:trPr>
          <w:trHeight w:val="260"/>
        </w:trPr>
        <w:tc>
          <w:tcPr>
            <w:tcW w:w="2520" w:type="dxa"/>
            <w:shd w:val="clear" w:color="auto" w:fill="auto"/>
            <w:noWrap/>
            <w:vAlign w:val="bottom"/>
            <w:hideMark/>
          </w:tcPr>
          <w:p w14:paraId="7374ACC0" w14:textId="77777777" w:rsidR="003B05BC" w:rsidRPr="0067297E" w:rsidRDefault="003B05BC" w:rsidP="00E12901">
            <w:pPr>
              <w:rPr>
                <w:rFonts w:asciiTheme="minorHAnsi" w:hAnsiTheme="minorHAnsi" w:cs="Calibri"/>
                <w:sz w:val="22"/>
                <w:szCs w:val="22"/>
              </w:rPr>
            </w:pPr>
            <w:r w:rsidRPr="0067297E">
              <w:rPr>
                <w:rFonts w:asciiTheme="minorHAnsi" w:hAnsiTheme="minorHAnsi" w:cs="Calibri"/>
                <w:sz w:val="22"/>
                <w:szCs w:val="22"/>
              </w:rPr>
              <w:t>House - Detached</w:t>
            </w:r>
          </w:p>
        </w:tc>
        <w:tc>
          <w:tcPr>
            <w:tcW w:w="1300" w:type="dxa"/>
            <w:shd w:val="clear" w:color="auto" w:fill="auto"/>
            <w:noWrap/>
            <w:vAlign w:val="bottom"/>
            <w:hideMark/>
          </w:tcPr>
          <w:p w14:paraId="5E143A3C"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1.3</w:t>
            </w:r>
          </w:p>
        </w:tc>
        <w:tc>
          <w:tcPr>
            <w:tcW w:w="1300" w:type="dxa"/>
            <w:shd w:val="clear" w:color="auto" w:fill="auto"/>
            <w:noWrap/>
            <w:vAlign w:val="bottom"/>
            <w:hideMark/>
          </w:tcPr>
          <w:p w14:paraId="490AECA2"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0.7</w:t>
            </w:r>
          </w:p>
        </w:tc>
        <w:tc>
          <w:tcPr>
            <w:tcW w:w="1300" w:type="dxa"/>
            <w:shd w:val="clear" w:color="auto" w:fill="auto"/>
            <w:noWrap/>
            <w:vAlign w:val="bottom"/>
            <w:hideMark/>
          </w:tcPr>
          <w:p w14:paraId="4324DEB7"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3.7</w:t>
            </w:r>
          </w:p>
        </w:tc>
        <w:tc>
          <w:tcPr>
            <w:tcW w:w="1300" w:type="dxa"/>
            <w:shd w:val="clear" w:color="auto" w:fill="auto"/>
            <w:noWrap/>
            <w:vAlign w:val="bottom"/>
            <w:hideMark/>
          </w:tcPr>
          <w:p w14:paraId="7880E07A"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15.8</w:t>
            </w:r>
          </w:p>
        </w:tc>
      </w:tr>
      <w:tr w:rsidR="003B05BC" w:rsidRPr="0067297E" w14:paraId="62DB0C9F" w14:textId="77777777" w:rsidTr="00E12901">
        <w:trPr>
          <w:trHeight w:val="260"/>
        </w:trPr>
        <w:tc>
          <w:tcPr>
            <w:tcW w:w="2520" w:type="dxa"/>
            <w:shd w:val="clear" w:color="auto" w:fill="auto"/>
            <w:noWrap/>
            <w:vAlign w:val="bottom"/>
            <w:hideMark/>
          </w:tcPr>
          <w:p w14:paraId="7D3F4887" w14:textId="77777777" w:rsidR="003B05BC" w:rsidRPr="0067297E" w:rsidRDefault="003B05BC" w:rsidP="00E12901">
            <w:pPr>
              <w:rPr>
                <w:rFonts w:asciiTheme="minorHAnsi" w:hAnsiTheme="minorHAnsi" w:cs="Calibri"/>
                <w:sz w:val="22"/>
                <w:szCs w:val="22"/>
              </w:rPr>
            </w:pPr>
            <w:r w:rsidRPr="0067297E">
              <w:rPr>
                <w:rFonts w:asciiTheme="minorHAnsi" w:hAnsiTheme="minorHAnsi" w:cs="Calibri"/>
                <w:sz w:val="22"/>
                <w:szCs w:val="22"/>
              </w:rPr>
              <w:t>House - Semi-detached</w:t>
            </w:r>
          </w:p>
        </w:tc>
        <w:tc>
          <w:tcPr>
            <w:tcW w:w="1300" w:type="dxa"/>
            <w:shd w:val="clear" w:color="auto" w:fill="auto"/>
            <w:noWrap/>
            <w:vAlign w:val="bottom"/>
            <w:hideMark/>
          </w:tcPr>
          <w:p w14:paraId="7FCE692A"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7.7</w:t>
            </w:r>
          </w:p>
        </w:tc>
        <w:tc>
          <w:tcPr>
            <w:tcW w:w="1300" w:type="dxa"/>
            <w:shd w:val="clear" w:color="auto" w:fill="auto"/>
            <w:noWrap/>
            <w:vAlign w:val="bottom"/>
            <w:hideMark/>
          </w:tcPr>
          <w:p w14:paraId="2CA5666C"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2.7</w:t>
            </w:r>
          </w:p>
        </w:tc>
        <w:tc>
          <w:tcPr>
            <w:tcW w:w="1300" w:type="dxa"/>
            <w:shd w:val="clear" w:color="auto" w:fill="auto"/>
            <w:noWrap/>
            <w:vAlign w:val="bottom"/>
            <w:hideMark/>
          </w:tcPr>
          <w:p w14:paraId="605701F1"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13.2</w:t>
            </w:r>
          </w:p>
        </w:tc>
        <w:tc>
          <w:tcPr>
            <w:tcW w:w="1300" w:type="dxa"/>
            <w:shd w:val="clear" w:color="auto" w:fill="auto"/>
            <w:noWrap/>
            <w:vAlign w:val="bottom"/>
            <w:hideMark/>
          </w:tcPr>
          <w:p w14:paraId="04F26A0C"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24.3</w:t>
            </w:r>
          </w:p>
        </w:tc>
      </w:tr>
      <w:tr w:rsidR="003B05BC" w:rsidRPr="0067297E" w14:paraId="7C8E2C62" w14:textId="77777777" w:rsidTr="00E12901">
        <w:trPr>
          <w:trHeight w:val="260"/>
        </w:trPr>
        <w:tc>
          <w:tcPr>
            <w:tcW w:w="2520" w:type="dxa"/>
            <w:shd w:val="clear" w:color="auto" w:fill="auto"/>
            <w:noWrap/>
            <w:vAlign w:val="bottom"/>
            <w:hideMark/>
          </w:tcPr>
          <w:p w14:paraId="08802DCB" w14:textId="2287F046" w:rsidR="003B05BC" w:rsidRPr="0067297E" w:rsidRDefault="003B05BC" w:rsidP="00E12901">
            <w:pPr>
              <w:rPr>
                <w:rFonts w:asciiTheme="minorHAnsi" w:hAnsiTheme="minorHAnsi" w:cs="Calibri"/>
                <w:sz w:val="22"/>
                <w:szCs w:val="22"/>
              </w:rPr>
            </w:pPr>
            <w:r w:rsidRPr="0067297E">
              <w:rPr>
                <w:rFonts w:asciiTheme="minorHAnsi" w:hAnsiTheme="minorHAnsi" w:cs="Calibri"/>
                <w:sz w:val="22"/>
                <w:szCs w:val="22"/>
              </w:rPr>
              <w:t>House -Terra</w:t>
            </w:r>
            <w:r w:rsidR="00E12901" w:rsidRPr="0067297E">
              <w:rPr>
                <w:rFonts w:asciiTheme="minorHAnsi" w:hAnsiTheme="minorHAnsi" w:cs="Calibri"/>
                <w:sz w:val="22"/>
                <w:szCs w:val="22"/>
              </w:rPr>
              <w:t>c</w:t>
            </w:r>
            <w:r w:rsidRPr="0067297E">
              <w:rPr>
                <w:rFonts w:asciiTheme="minorHAnsi" w:hAnsiTheme="minorHAnsi" w:cs="Calibri"/>
                <w:sz w:val="22"/>
                <w:szCs w:val="22"/>
              </w:rPr>
              <w:t>ed</w:t>
            </w:r>
          </w:p>
        </w:tc>
        <w:tc>
          <w:tcPr>
            <w:tcW w:w="1300" w:type="dxa"/>
            <w:shd w:val="clear" w:color="auto" w:fill="auto"/>
            <w:noWrap/>
            <w:vAlign w:val="bottom"/>
            <w:hideMark/>
          </w:tcPr>
          <w:p w14:paraId="38698C27"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32.5</w:t>
            </w:r>
          </w:p>
        </w:tc>
        <w:tc>
          <w:tcPr>
            <w:tcW w:w="1300" w:type="dxa"/>
            <w:shd w:val="clear" w:color="auto" w:fill="auto"/>
            <w:noWrap/>
            <w:vAlign w:val="bottom"/>
            <w:hideMark/>
          </w:tcPr>
          <w:p w14:paraId="443291FA"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20.4</w:t>
            </w:r>
          </w:p>
        </w:tc>
        <w:tc>
          <w:tcPr>
            <w:tcW w:w="1300" w:type="dxa"/>
            <w:shd w:val="clear" w:color="auto" w:fill="auto"/>
            <w:noWrap/>
            <w:vAlign w:val="bottom"/>
            <w:hideMark/>
          </w:tcPr>
          <w:p w14:paraId="63170D8B"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26.5</w:t>
            </w:r>
          </w:p>
        </w:tc>
        <w:tc>
          <w:tcPr>
            <w:tcW w:w="1300" w:type="dxa"/>
            <w:shd w:val="clear" w:color="auto" w:fill="auto"/>
            <w:noWrap/>
            <w:vAlign w:val="bottom"/>
            <w:hideMark/>
          </w:tcPr>
          <w:p w14:paraId="066F72A7"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27.0</w:t>
            </w:r>
          </w:p>
        </w:tc>
      </w:tr>
      <w:tr w:rsidR="003B05BC" w:rsidRPr="0067297E" w14:paraId="7C82810C" w14:textId="77777777" w:rsidTr="00E12901">
        <w:trPr>
          <w:trHeight w:val="260"/>
        </w:trPr>
        <w:tc>
          <w:tcPr>
            <w:tcW w:w="2520" w:type="dxa"/>
            <w:shd w:val="clear" w:color="auto" w:fill="auto"/>
            <w:noWrap/>
            <w:vAlign w:val="bottom"/>
            <w:hideMark/>
          </w:tcPr>
          <w:p w14:paraId="7549A2E2" w14:textId="77777777" w:rsidR="003B05BC" w:rsidRPr="0067297E" w:rsidRDefault="003B05BC" w:rsidP="00E12901">
            <w:pPr>
              <w:rPr>
                <w:rFonts w:asciiTheme="minorHAnsi" w:hAnsiTheme="minorHAnsi" w:cs="Calibri"/>
                <w:sz w:val="22"/>
                <w:szCs w:val="22"/>
              </w:rPr>
            </w:pPr>
            <w:r w:rsidRPr="0067297E">
              <w:rPr>
                <w:rFonts w:asciiTheme="minorHAnsi" w:hAnsiTheme="minorHAnsi" w:cs="Calibri"/>
                <w:sz w:val="22"/>
                <w:szCs w:val="22"/>
              </w:rPr>
              <w:t>Flat</w:t>
            </w:r>
          </w:p>
        </w:tc>
        <w:tc>
          <w:tcPr>
            <w:tcW w:w="1300" w:type="dxa"/>
            <w:shd w:val="clear" w:color="auto" w:fill="auto"/>
            <w:noWrap/>
            <w:vAlign w:val="bottom"/>
            <w:hideMark/>
          </w:tcPr>
          <w:p w14:paraId="24FABEE6"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58.1</w:t>
            </w:r>
          </w:p>
        </w:tc>
        <w:tc>
          <w:tcPr>
            <w:tcW w:w="1300" w:type="dxa"/>
            <w:shd w:val="clear" w:color="auto" w:fill="auto"/>
            <w:noWrap/>
            <w:vAlign w:val="bottom"/>
            <w:hideMark/>
          </w:tcPr>
          <w:p w14:paraId="427A4EB4"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76.0</w:t>
            </w:r>
          </w:p>
        </w:tc>
        <w:tc>
          <w:tcPr>
            <w:tcW w:w="1300" w:type="dxa"/>
            <w:shd w:val="clear" w:color="auto" w:fill="auto"/>
            <w:noWrap/>
            <w:vAlign w:val="bottom"/>
            <w:hideMark/>
          </w:tcPr>
          <w:p w14:paraId="692A1E5D"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55.0</w:t>
            </w:r>
          </w:p>
        </w:tc>
        <w:tc>
          <w:tcPr>
            <w:tcW w:w="1300" w:type="dxa"/>
            <w:shd w:val="clear" w:color="auto" w:fill="auto"/>
            <w:noWrap/>
            <w:vAlign w:val="bottom"/>
            <w:hideMark/>
          </w:tcPr>
          <w:p w14:paraId="0FDBC0DC"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23.2</w:t>
            </w:r>
          </w:p>
        </w:tc>
      </w:tr>
      <w:tr w:rsidR="003B05BC" w:rsidRPr="0067297E" w14:paraId="356AFCFF" w14:textId="77777777" w:rsidTr="00E12901">
        <w:trPr>
          <w:trHeight w:val="260"/>
        </w:trPr>
        <w:tc>
          <w:tcPr>
            <w:tcW w:w="2520" w:type="dxa"/>
            <w:shd w:val="clear" w:color="auto" w:fill="auto"/>
            <w:noWrap/>
            <w:vAlign w:val="bottom"/>
            <w:hideMark/>
          </w:tcPr>
          <w:p w14:paraId="359DB45A" w14:textId="77777777" w:rsidR="003B05BC" w:rsidRPr="0067297E" w:rsidRDefault="003B05BC" w:rsidP="00E12901">
            <w:pPr>
              <w:rPr>
                <w:rFonts w:asciiTheme="minorHAnsi" w:hAnsiTheme="minorHAnsi" w:cs="Calibri"/>
                <w:sz w:val="22"/>
                <w:szCs w:val="22"/>
              </w:rPr>
            </w:pPr>
            <w:r w:rsidRPr="0067297E">
              <w:rPr>
                <w:rFonts w:asciiTheme="minorHAnsi" w:hAnsiTheme="minorHAnsi" w:cs="Calibri"/>
                <w:sz w:val="22"/>
                <w:szCs w:val="22"/>
              </w:rPr>
              <w:t>Bungalow</w:t>
            </w:r>
          </w:p>
        </w:tc>
        <w:tc>
          <w:tcPr>
            <w:tcW w:w="1300" w:type="dxa"/>
            <w:shd w:val="clear" w:color="auto" w:fill="auto"/>
            <w:noWrap/>
            <w:vAlign w:val="bottom"/>
            <w:hideMark/>
          </w:tcPr>
          <w:p w14:paraId="7E1CB86F"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0.4</w:t>
            </w:r>
          </w:p>
        </w:tc>
        <w:tc>
          <w:tcPr>
            <w:tcW w:w="1300" w:type="dxa"/>
            <w:shd w:val="clear" w:color="auto" w:fill="auto"/>
            <w:noWrap/>
            <w:vAlign w:val="bottom"/>
            <w:hideMark/>
          </w:tcPr>
          <w:p w14:paraId="2EDC6F10"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0.2</w:t>
            </w:r>
          </w:p>
        </w:tc>
        <w:tc>
          <w:tcPr>
            <w:tcW w:w="1300" w:type="dxa"/>
            <w:shd w:val="clear" w:color="auto" w:fill="auto"/>
            <w:noWrap/>
            <w:vAlign w:val="bottom"/>
            <w:hideMark/>
          </w:tcPr>
          <w:p w14:paraId="599D92A6"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1.6</w:t>
            </w:r>
          </w:p>
        </w:tc>
        <w:tc>
          <w:tcPr>
            <w:tcW w:w="1300" w:type="dxa"/>
            <w:shd w:val="clear" w:color="auto" w:fill="auto"/>
            <w:noWrap/>
            <w:vAlign w:val="bottom"/>
            <w:hideMark/>
          </w:tcPr>
          <w:p w14:paraId="0D0FE258"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9.6</w:t>
            </w:r>
          </w:p>
        </w:tc>
      </w:tr>
      <w:tr w:rsidR="003B05BC" w:rsidRPr="0067297E" w14:paraId="7517CE9E" w14:textId="77777777" w:rsidTr="00E12901">
        <w:trPr>
          <w:trHeight w:val="260"/>
        </w:trPr>
        <w:tc>
          <w:tcPr>
            <w:tcW w:w="2520" w:type="dxa"/>
            <w:shd w:val="clear" w:color="auto" w:fill="auto"/>
            <w:noWrap/>
            <w:vAlign w:val="bottom"/>
            <w:hideMark/>
          </w:tcPr>
          <w:p w14:paraId="647890DC" w14:textId="77777777" w:rsidR="003B05BC" w:rsidRPr="0067297E" w:rsidRDefault="003B05BC" w:rsidP="00E12901">
            <w:pPr>
              <w:rPr>
                <w:rFonts w:asciiTheme="minorHAnsi" w:hAnsiTheme="minorHAnsi" w:cs="Calibri"/>
                <w:sz w:val="22"/>
                <w:szCs w:val="22"/>
              </w:rPr>
            </w:pPr>
            <w:r w:rsidRPr="0067297E">
              <w:rPr>
                <w:rFonts w:asciiTheme="minorHAnsi" w:hAnsiTheme="minorHAnsi" w:cs="Calibri"/>
                <w:sz w:val="22"/>
                <w:szCs w:val="22"/>
              </w:rPr>
              <w:t xml:space="preserve">Total  </w:t>
            </w:r>
          </w:p>
        </w:tc>
        <w:tc>
          <w:tcPr>
            <w:tcW w:w="1300" w:type="dxa"/>
            <w:shd w:val="clear" w:color="auto" w:fill="auto"/>
            <w:noWrap/>
            <w:vAlign w:val="bottom"/>
            <w:hideMark/>
          </w:tcPr>
          <w:p w14:paraId="005A3A0B"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100.0</w:t>
            </w:r>
          </w:p>
        </w:tc>
        <w:tc>
          <w:tcPr>
            <w:tcW w:w="1300" w:type="dxa"/>
            <w:shd w:val="clear" w:color="auto" w:fill="auto"/>
            <w:noWrap/>
            <w:vAlign w:val="bottom"/>
            <w:hideMark/>
          </w:tcPr>
          <w:p w14:paraId="20715D9D"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100.0</w:t>
            </w:r>
          </w:p>
        </w:tc>
        <w:tc>
          <w:tcPr>
            <w:tcW w:w="1300" w:type="dxa"/>
            <w:shd w:val="clear" w:color="auto" w:fill="auto"/>
            <w:noWrap/>
            <w:vAlign w:val="bottom"/>
            <w:hideMark/>
          </w:tcPr>
          <w:p w14:paraId="38210A8E"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100.0</w:t>
            </w:r>
          </w:p>
        </w:tc>
        <w:tc>
          <w:tcPr>
            <w:tcW w:w="1300" w:type="dxa"/>
            <w:shd w:val="clear" w:color="auto" w:fill="auto"/>
            <w:noWrap/>
            <w:vAlign w:val="bottom"/>
            <w:hideMark/>
          </w:tcPr>
          <w:p w14:paraId="669ECC7D"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100.0</w:t>
            </w:r>
          </w:p>
        </w:tc>
      </w:tr>
      <w:tr w:rsidR="00E12901" w:rsidRPr="0067297E" w14:paraId="766F42C7" w14:textId="77777777" w:rsidTr="00DB7892">
        <w:trPr>
          <w:trHeight w:val="260"/>
        </w:trPr>
        <w:tc>
          <w:tcPr>
            <w:tcW w:w="7720" w:type="dxa"/>
            <w:gridSpan w:val="5"/>
            <w:shd w:val="clear" w:color="auto" w:fill="auto"/>
            <w:noWrap/>
            <w:vAlign w:val="bottom"/>
            <w:hideMark/>
          </w:tcPr>
          <w:p w14:paraId="472520FC" w14:textId="7CECC67F" w:rsidR="00E12901" w:rsidRPr="0067297E" w:rsidRDefault="00E12901" w:rsidP="00E12901">
            <w:pPr>
              <w:rPr>
                <w:rFonts w:asciiTheme="minorHAnsi" w:hAnsiTheme="minorHAnsi" w:cs="Calibri"/>
                <w:sz w:val="22"/>
                <w:szCs w:val="22"/>
              </w:rPr>
            </w:pPr>
            <w:r w:rsidRPr="0067297E">
              <w:rPr>
                <w:rFonts w:asciiTheme="minorHAnsi" w:hAnsiTheme="minorHAnsi" w:cs="Calibri"/>
                <w:b/>
                <w:bCs/>
                <w:sz w:val="22"/>
                <w:szCs w:val="22"/>
              </w:rPr>
              <w:t>Dwelling size</w:t>
            </w:r>
          </w:p>
        </w:tc>
      </w:tr>
      <w:tr w:rsidR="003B05BC" w:rsidRPr="0067297E" w14:paraId="121730C7" w14:textId="77777777" w:rsidTr="00E12901">
        <w:trPr>
          <w:trHeight w:val="260"/>
        </w:trPr>
        <w:tc>
          <w:tcPr>
            <w:tcW w:w="2520" w:type="dxa"/>
            <w:shd w:val="clear" w:color="auto" w:fill="auto"/>
            <w:noWrap/>
            <w:vAlign w:val="bottom"/>
            <w:hideMark/>
          </w:tcPr>
          <w:p w14:paraId="2561C754" w14:textId="77777777" w:rsidR="003B05BC" w:rsidRPr="0067297E" w:rsidRDefault="003B05BC" w:rsidP="00E12901">
            <w:pPr>
              <w:jc w:val="center"/>
              <w:rPr>
                <w:rFonts w:asciiTheme="minorHAnsi" w:hAnsiTheme="minorHAnsi" w:cs="Calibri"/>
                <w:sz w:val="22"/>
                <w:szCs w:val="22"/>
              </w:rPr>
            </w:pPr>
            <w:r w:rsidRPr="0067297E">
              <w:rPr>
                <w:rFonts w:asciiTheme="minorHAnsi" w:hAnsiTheme="minorHAnsi" w:cs="Calibri"/>
                <w:sz w:val="22"/>
                <w:szCs w:val="22"/>
              </w:rPr>
              <w:t>1</w:t>
            </w:r>
          </w:p>
        </w:tc>
        <w:tc>
          <w:tcPr>
            <w:tcW w:w="1300" w:type="dxa"/>
            <w:shd w:val="clear" w:color="auto" w:fill="auto"/>
            <w:noWrap/>
            <w:vAlign w:val="bottom"/>
            <w:hideMark/>
          </w:tcPr>
          <w:p w14:paraId="33289EE2"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26.4</w:t>
            </w:r>
          </w:p>
        </w:tc>
        <w:tc>
          <w:tcPr>
            <w:tcW w:w="1300" w:type="dxa"/>
            <w:shd w:val="clear" w:color="auto" w:fill="auto"/>
            <w:noWrap/>
            <w:vAlign w:val="bottom"/>
            <w:hideMark/>
          </w:tcPr>
          <w:p w14:paraId="386414E0"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32.3</w:t>
            </w:r>
          </w:p>
        </w:tc>
        <w:tc>
          <w:tcPr>
            <w:tcW w:w="1300" w:type="dxa"/>
            <w:shd w:val="clear" w:color="auto" w:fill="auto"/>
            <w:noWrap/>
            <w:vAlign w:val="bottom"/>
            <w:hideMark/>
          </w:tcPr>
          <w:p w14:paraId="7281A7DE"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23.4</w:t>
            </w:r>
          </w:p>
        </w:tc>
        <w:tc>
          <w:tcPr>
            <w:tcW w:w="1300" w:type="dxa"/>
            <w:shd w:val="clear" w:color="auto" w:fill="auto"/>
            <w:noWrap/>
            <w:vAlign w:val="bottom"/>
            <w:hideMark/>
          </w:tcPr>
          <w:p w14:paraId="7311EF53"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12.2</w:t>
            </w:r>
          </w:p>
        </w:tc>
      </w:tr>
      <w:tr w:rsidR="003B05BC" w:rsidRPr="0067297E" w14:paraId="6565A8CE" w14:textId="77777777" w:rsidTr="00E12901">
        <w:trPr>
          <w:trHeight w:val="260"/>
        </w:trPr>
        <w:tc>
          <w:tcPr>
            <w:tcW w:w="2520" w:type="dxa"/>
            <w:shd w:val="clear" w:color="auto" w:fill="auto"/>
            <w:noWrap/>
            <w:vAlign w:val="bottom"/>
            <w:hideMark/>
          </w:tcPr>
          <w:p w14:paraId="1EB6EBE1" w14:textId="77777777" w:rsidR="003B05BC" w:rsidRPr="0067297E" w:rsidRDefault="003B05BC" w:rsidP="00E12901">
            <w:pPr>
              <w:jc w:val="center"/>
              <w:rPr>
                <w:rFonts w:asciiTheme="minorHAnsi" w:hAnsiTheme="minorHAnsi" w:cs="Calibri"/>
                <w:sz w:val="22"/>
                <w:szCs w:val="22"/>
              </w:rPr>
            </w:pPr>
            <w:r w:rsidRPr="0067297E">
              <w:rPr>
                <w:rFonts w:asciiTheme="minorHAnsi" w:hAnsiTheme="minorHAnsi" w:cs="Calibri"/>
                <w:sz w:val="22"/>
                <w:szCs w:val="22"/>
              </w:rPr>
              <w:t>2</w:t>
            </w:r>
          </w:p>
        </w:tc>
        <w:tc>
          <w:tcPr>
            <w:tcW w:w="1300" w:type="dxa"/>
            <w:shd w:val="clear" w:color="auto" w:fill="auto"/>
            <w:noWrap/>
            <w:vAlign w:val="bottom"/>
            <w:hideMark/>
          </w:tcPr>
          <w:p w14:paraId="6A83E94F"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33.0</w:t>
            </w:r>
          </w:p>
        </w:tc>
        <w:tc>
          <w:tcPr>
            <w:tcW w:w="1300" w:type="dxa"/>
            <w:shd w:val="clear" w:color="auto" w:fill="auto"/>
            <w:noWrap/>
            <w:vAlign w:val="bottom"/>
            <w:hideMark/>
          </w:tcPr>
          <w:p w14:paraId="619A5BFB"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34.4</w:t>
            </w:r>
          </w:p>
        </w:tc>
        <w:tc>
          <w:tcPr>
            <w:tcW w:w="1300" w:type="dxa"/>
            <w:shd w:val="clear" w:color="auto" w:fill="auto"/>
            <w:noWrap/>
            <w:vAlign w:val="bottom"/>
            <w:hideMark/>
          </w:tcPr>
          <w:p w14:paraId="79C795AE"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31.3</w:t>
            </w:r>
          </w:p>
        </w:tc>
        <w:tc>
          <w:tcPr>
            <w:tcW w:w="1300" w:type="dxa"/>
            <w:shd w:val="clear" w:color="auto" w:fill="auto"/>
            <w:noWrap/>
            <w:vAlign w:val="bottom"/>
            <w:hideMark/>
          </w:tcPr>
          <w:p w14:paraId="78C62AD2"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28.6</w:t>
            </w:r>
          </w:p>
        </w:tc>
      </w:tr>
      <w:tr w:rsidR="003B05BC" w:rsidRPr="0067297E" w14:paraId="454A26E5" w14:textId="77777777" w:rsidTr="00E12901">
        <w:trPr>
          <w:trHeight w:val="260"/>
        </w:trPr>
        <w:tc>
          <w:tcPr>
            <w:tcW w:w="2520" w:type="dxa"/>
            <w:shd w:val="clear" w:color="auto" w:fill="auto"/>
            <w:noWrap/>
            <w:vAlign w:val="bottom"/>
            <w:hideMark/>
          </w:tcPr>
          <w:p w14:paraId="0809E40B" w14:textId="77777777" w:rsidR="003B05BC" w:rsidRPr="0067297E" w:rsidRDefault="003B05BC" w:rsidP="00E12901">
            <w:pPr>
              <w:jc w:val="center"/>
              <w:rPr>
                <w:rFonts w:asciiTheme="minorHAnsi" w:hAnsiTheme="minorHAnsi" w:cs="Calibri"/>
                <w:sz w:val="22"/>
                <w:szCs w:val="22"/>
              </w:rPr>
            </w:pPr>
            <w:r w:rsidRPr="0067297E">
              <w:rPr>
                <w:rFonts w:asciiTheme="minorHAnsi" w:hAnsiTheme="minorHAnsi" w:cs="Calibri"/>
                <w:sz w:val="22"/>
                <w:szCs w:val="22"/>
              </w:rPr>
              <w:t>3</w:t>
            </w:r>
          </w:p>
        </w:tc>
        <w:tc>
          <w:tcPr>
            <w:tcW w:w="1300" w:type="dxa"/>
            <w:shd w:val="clear" w:color="auto" w:fill="auto"/>
            <w:noWrap/>
            <w:vAlign w:val="bottom"/>
            <w:hideMark/>
          </w:tcPr>
          <w:p w14:paraId="7E7E4179"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30.4</w:t>
            </w:r>
          </w:p>
        </w:tc>
        <w:tc>
          <w:tcPr>
            <w:tcW w:w="1300" w:type="dxa"/>
            <w:shd w:val="clear" w:color="auto" w:fill="auto"/>
            <w:noWrap/>
            <w:vAlign w:val="bottom"/>
            <w:hideMark/>
          </w:tcPr>
          <w:p w14:paraId="4CA2CA19"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23.1</w:t>
            </w:r>
          </w:p>
        </w:tc>
        <w:tc>
          <w:tcPr>
            <w:tcW w:w="1300" w:type="dxa"/>
            <w:shd w:val="clear" w:color="auto" w:fill="auto"/>
            <w:noWrap/>
            <w:vAlign w:val="bottom"/>
            <w:hideMark/>
          </w:tcPr>
          <w:p w14:paraId="1C3006C3"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34.5</w:t>
            </w:r>
          </w:p>
        </w:tc>
        <w:tc>
          <w:tcPr>
            <w:tcW w:w="1300" w:type="dxa"/>
            <w:shd w:val="clear" w:color="auto" w:fill="auto"/>
            <w:noWrap/>
            <w:vAlign w:val="bottom"/>
            <w:hideMark/>
          </w:tcPr>
          <w:p w14:paraId="79802CF8"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44.1</w:t>
            </w:r>
          </w:p>
        </w:tc>
      </w:tr>
      <w:tr w:rsidR="003B05BC" w:rsidRPr="0067297E" w14:paraId="33FD33B4" w14:textId="77777777" w:rsidTr="00E12901">
        <w:trPr>
          <w:trHeight w:val="260"/>
        </w:trPr>
        <w:tc>
          <w:tcPr>
            <w:tcW w:w="2520" w:type="dxa"/>
            <w:shd w:val="clear" w:color="auto" w:fill="auto"/>
            <w:noWrap/>
            <w:vAlign w:val="bottom"/>
            <w:hideMark/>
          </w:tcPr>
          <w:p w14:paraId="48C30252" w14:textId="77777777" w:rsidR="003B05BC" w:rsidRPr="0067297E" w:rsidRDefault="003B05BC" w:rsidP="00E12901">
            <w:pPr>
              <w:jc w:val="center"/>
              <w:rPr>
                <w:rFonts w:asciiTheme="minorHAnsi" w:hAnsiTheme="minorHAnsi" w:cs="Calibri"/>
                <w:sz w:val="22"/>
                <w:szCs w:val="22"/>
              </w:rPr>
            </w:pPr>
            <w:r w:rsidRPr="0067297E">
              <w:rPr>
                <w:rFonts w:asciiTheme="minorHAnsi" w:hAnsiTheme="minorHAnsi" w:cs="Calibri"/>
                <w:sz w:val="22"/>
                <w:szCs w:val="22"/>
              </w:rPr>
              <w:t>4</w:t>
            </w:r>
          </w:p>
        </w:tc>
        <w:tc>
          <w:tcPr>
            <w:tcW w:w="1300" w:type="dxa"/>
            <w:shd w:val="clear" w:color="auto" w:fill="auto"/>
            <w:noWrap/>
            <w:vAlign w:val="bottom"/>
            <w:hideMark/>
          </w:tcPr>
          <w:p w14:paraId="7C3CE98A"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10.1</w:t>
            </w:r>
          </w:p>
        </w:tc>
        <w:tc>
          <w:tcPr>
            <w:tcW w:w="1300" w:type="dxa"/>
            <w:shd w:val="clear" w:color="auto" w:fill="auto"/>
            <w:noWrap/>
            <w:vAlign w:val="bottom"/>
            <w:hideMark/>
          </w:tcPr>
          <w:p w14:paraId="47D84699"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10.2</w:t>
            </w:r>
          </w:p>
        </w:tc>
        <w:tc>
          <w:tcPr>
            <w:tcW w:w="1300" w:type="dxa"/>
            <w:shd w:val="clear" w:color="auto" w:fill="auto"/>
            <w:noWrap/>
            <w:vAlign w:val="bottom"/>
            <w:hideMark/>
          </w:tcPr>
          <w:p w14:paraId="4F1931F9"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10.8</w:t>
            </w:r>
          </w:p>
        </w:tc>
        <w:tc>
          <w:tcPr>
            <w:tcW w:w="1300" w:type="dxa"/>
            <w:shd w:val="clear" w:color="auto" w:fill="auto"/>
            <w:noWrap/>
            <w:vAlign w:val="bottom"/>
            <w:hideMark/>
          </w:tcPr>
          <w:p w14:paraId="149F07DC"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15.2</w:t>
            </w:r>
          </w:p>
        </w:tc>
      </w:tr>
      <w:tr w:rsidR="003B05BC" w:rsidRPr="0067297E" w14:paraId="37D332A6" w14:textId="77777777" w:rsidTr="00E12901">
        <w:trPr>
          <w:trHeight w:val="280"/>
        </w:trPr>
        <w:tc>
          <w:tcPr>
            <w:tcW w:w="2520" w:type="dxa"/>
            <w:shd w:val="clear" w:color="auto" w:fill="auto"/>
            <w:noWrap/>
            <w:vAlign w:val="bottom"/>
            <w:hideMark/>
          </w:tcPr>
          <w:p w14:paraId="13B53D63" w14:textId="77777777" w:rsidR="003B05BC" w:rsidRPr="0067297E" w:rsidRDefault="003B05BC" w:rsidP="00E12901">
            <w:pPr>
              <w:rPr>
                <w:rFonts w:asciiTheme="minorHAnsi" w:hAnsiTheme="minorHAnsi" w:cs="Calibri"/>
                <w:sz w:val="22"/>
                <w:szCs w:val="22"/>
              </w:rPr>
            </w:pPr>
            <w:r w:rsidRPr="0067297E">
              <w:rPr>
                <w:rFonts w:asciiTheme="minorHAnsi" w:hAnsiTheme="minorHAnsi" w:cs="Calibri"/>
                <w:sz w:val="22"/>
                <w:szCs w:val="22"/>
              </w:rPr>
              <w:t>Total valid</w:t>
            </w:r>
          </w:p>
        </w:tc>
        <w:tc>
          <w:tcPr>
            <w:tcW w:w="1300" w:type="dxa"/>
            <w:shd w:val="clear" w:color="auto" w:fill="auto"/>
            <w:noWrap/>
            <w:vAlign w:val="bottom"/>
            <w:hideMark/>
          </w:tcPr>
          <w:p w14:paraId="2B00ACE6"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100.0</w:t>
            </w:r>
          </w:p>
        </w:tc>
        <w:tc>
          <w:tcPr>
            <w:tcW w:w="1300" w:type="dxa"/>
            <w:shd w:val="clear" w:color="auto" w:fill="auto"/>
            <w:noWrap/>
            <w:vAlign w:val="bottom"/>
            <w:hideMark/>
          </w:tcPr>
          <w:p w14:paraId="53F5B44B"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100.0</w:t>
            </w:r>
          </w:p>
        </w:tc>
        <w:tc>
          <w:tcPr>
            <w:tcW w:w="1300" w:type="dxa"/>
            <w:shd w:val="clear" w:color="auto" w:fill="auto"/>
            <w:noWrap/>
            <w:vAlign w:val="bottom"/>
            <w:hideMark/>
          </w:tcPr>
          <w:p w14:paraId="141278B1"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100.0</w:t>
            </w:r>
          </w:p>
        </w:tc>
        <w:tc>
          <w:tcPr>
            <w:tcW w:w="1300" w:type="dxa"/>
            <w:shd w:val="clear" w:color="auto" w:fill="auto"/>
            <w:noWrap/>
            <w:vAlign w:val="bottom"/>
            <w:hideMark/>
          </w:tcPr>
          <w:p w14:paraId="23ACD0CE"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100.0</w:t>
            </w:r>
          </w:p>
        </w:tc>
      </w:tr>
      <w:tr w:rsidR="003B05BC" w:rsidRPr="0067297E" w14:paraId="0E8E03BC" w14:textId="77777777" w:rsidTr="00E12901">
        <w:trPr>
          <w:trHeight w:val="320"/>
        </w:trPr>
        <w:tc>
          <w:tcPr>
            <w:tcW w:w="2520" w:type="dxa"/>
            <w:shd w:val="clear" w:color="auto" w:fill="auto"/>
            <w:noWrap/>
            <w:vAlign w:val="bottom"/>
            <w:hideMark/>
          </w:tcPr>
          <w:p w14:paraId="3C4ACC8B" w14:textId="77777777" w:rsidR="003B05BC" w:rsidRPr="0067297E" w:rsidRDefault="003B05BC" w:rsidP="00E12901">
            <w:pPr>
              <w:rPr>
                <w:rFonts w:asciiTheme="minorHAnsi" w:hAnsiTheme="minorHAnsi" w:cs="Calibri"/>
                <w:sz w:val="22"/>
                <w:szCs w:val="22"/>
              </w:rPr>
            </w:pPr>
            <w:r w:rsidRPr="0067297E">
              <w:rPr>
                <w:rFonts w:asciiTheme="minorHAnsi" w:hAnsiTheme="minorHAnsi" w:cs="Calibri"/>
                <w:sz w:val="22"/>
                <w:szCs w:val="22"/>
              </w:rPr>
              <w:t>Base (all Stock)</w:t>
            </w:r>
          </w:p>
        </w:tc>
        <w:tc>
          <w:tcPr>
            <w:tcW w:w="1300" w:type="dxa"/>
            <w:shd w:val="clear" w:color="auto" w:fill="auto"/>
            <w:noWrap/>
            <w:vAlign w:val="bottom"/>
            <w:hideMark/>
          </w:tcPr>
          <w:p w14:paraId="1C95B9DA"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125,830</w:t>
            </w:r>
          </w:p>
        </w:tc>
        <w:tc>
          <w:tcPr>
            <w:tcW w:w="1300" w:type="dxa"/>
            <w:shd w:val="clear" w:color="auto" w:fill="auto"/>
            <w:noWrap/>
            <w:vAlign w:val="bottom"/>
            <w:hideMark/>
          </w:tcPr>
          <w:p w14:paraId="3707B35E"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1,527,730</w:t>
            </w:r>
          </w:p>
        </w:tc>
        <w:tc>
          <w:tcPr>
            <w:tcW w:w="1300" w:type="dxa"/>
            <w:shd w:val="clear" w:color="auto" w:fill="auto"/>
            <w:noWrap/>
            <w:vAlign w:val="bottom"/>
            <w:hideMark/>
          </w:tcPr>
          <w:p w14:paraId="3D78E874"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3,564,520</w:t>
            </w:r>
          </w:p>
        </w:tc>
        <w:tc>
          <w:tcPr>
            <w:tcW w:w="1300" w:type="dxa"/>
            <w:shd w:val="clear" w:color="auto" w:fill="auto"/>
            <w:noWrap/>
            <w:vAlign w:val="bottom"/>
            <w:hideMark/>
          </w:tcPr>
          <w:p w14:paraId="627A72AB" w14:textId="77777777" w:rsidR="003B05BC" w:rsidRPr="0067297E" w:rsidRDefault="003B05BC" w:rsidP="003822F1">
            <w:pPr>
              <w:jc w:val="right"/>
              <w:rPr>
                <w:rFonts w:asciiTheme="minorHAnsi" w:hAnsiTheme="minorHAnsi" w:cs="Calibri"/>
                <w:sz w:val="22"/>
                <w:szCs w:val="22"/>
              </w:rPr>
            </w:pPr>
            <w:r w:rsidRPr="0067297E">
              <w:rPr>
                <w:rFonts w:asciiTheme="minorHAnsi" w:hAnsiTheme="minorHAnsi" w:cs="Calibri"/>
                <w:sz w:val="22"/>
                <w:szCs w:val="22"/>
              </w:rPr>
              <w:t>23,977,480</w:t>
            </w:r>
          </w:p>
        </w:tc>
      </w:tr>
    </w:tbl>
    <w:p w14:paraId="18A7ED8A" w14:textId="160FC2B2" w:rsidR="003B05BC" w:rsidRPr="0067297E" w:rsidRDefault="003B05BC" w:rsidP="00E12901">
      <w:pPr>
        <w:ind w:left="709" w:firstLine="142"/>
        <w:rPr>
          <w:rFonts w:asciiTheme="minorHAnsi" w:hAnsiTheme="minorHAnsi" w:cs="Calibri"/>
          <w:sz w:val="20"/>
        </w:rPr>
      </w:pPr>
      <w:r w:rsidRPr="0067297E">
        <w:rPr>
          <w:rFonts w:asciiTheme="minorHAnsi" w:hAnsiTheme="minorHAnsi" w:cs="Calibri"/>
          <w:sz w:val="20"/>
        </w:rPr>
        <w:t>Source: Valuation Office Agency 2017</w:t>
      </w:r>
    </w:p>
    <w:p w14:paraId="038605FA" w14:textId="77777777" w:rsidR="003B05BC" w:rsidRPr="0067297E" w:rsidRDefault="003B05BC" w:rsidP="00FA273F">
      <w:pPr>
        <w:pStyle w:val="Reporttext"/>
        <w:numPr>
          <w:ilvl w:val="0"/>
          <w:numId w:val="0"/>
        </w:numPr>
        <w:ind w:left="709"/>
        <w:rPr>
          <w:rFonts w:asciiTheme="minorHAnsi" w:hAnsiTheme="minorHAnsi" w:cs="Calibri"/>
        </w:rPr>
      </w:pPr>
    </w:p>
    <w:p w14:paraId="6DCDC86C" w14:textId="41947744" w:rsidR="00B84EB2" w:rsidRPr="0067297E" w:rsidRDefault="008845C2" w:rsidP="00543A76">
      <w:pPr>
        <w:pStyle w:val="Reporttext"/>
        <w:rPr>
          <w:rFonts w:asciiTheme="minorHAnsi" w:hAnsiTheme="minorHAnsi" w:cs="Calibri"/>
        </w:rPr>
      </w:pPr>
      <w:r w:rsidRPr="0067297E">
        <w:rPr>
          <w:rFonts w:asciiTheme="minorHAnsi" w:hAnsiTheme="minorHAnsi" w:cs="Calibri"/>
          <w:lang w:val="en-GB"/>
        </w:rPr>
        <w:t>Table 4.</w:t>
      </w:r>
      <w:r w:rsidR="003B05BC" w:rsidRPr="0067297E">
        <w:rPr>
          <w:rFonts w:asciiTheme="minorHAnsi" w:hAnsiTheme="minorHAnsi" w:cs="Calibri"/>
          <w:lang w:val="en-GB"/>
        </w:rPr>
        <w:t>4</w:t>
      </w:r>
      <w:r w:rsidR="00034EA9" w:rsidRPr="0067297E">
        <w:rPr>
          <w:rFonts w:asciiTheme="minorHAnsi" w:hAnsiTheme="minorHAnsi" w:cs="Calibri"/>
          <w:lang w:val="en-GB"/>
        </w:rPr>
        <w:t xml:space="preserve"> shows </w:t>
      </w:r>
      <w:r w:rsidR="00B84EB2" w:rsidRPr="0067297E">
        <w:rPr>
          <w:rFonts w:asciiTheme="minorHAnsi" w:hAnsiTheme="minorHAnsi" w:cs="Calibri"/>
          <w:lang w:val="en-GB"/>
        </w:rPr>
        <w:t>property typ</w:t>
      </w:r>
      <w:r w:rsidR="00E93769" w:rsidRPr="0067297E">
        <w:rPr>
          <w:rFonts w:asciiTheme="minorHAnsi" w:hAnsiTheme="minorHAnsi" w:cs="Calibri"/>
          <w:lang w:val="en-GB"/>
        </w:rPr>
        <w:t>e and size information for the b</w:t>
      </w:r>
      <w:r w:rsidR="00B84EB2" w:rsidRPr="0067297E">
        <w:rPr>
          <w:rFonts w:asciiTheme="minorHAnsi" w:hAnsiTheme="minorHAnsi" w:cs="Calibri"/>
          <w:lang w:val="en-GB"/>
        </w:rPr>
        <w:t xml:space="preserve">orough as a whole, based on </w:t>
      </w:r>
      <w:r w:rsidR="003B05BC" w:rsidRPr="0067297E">
        <w:rPr>
          <w:rFonts w:asciiTheme="minorHAnsi" w:hAnsiTheme="minorHAnsi" w:cs="Calibri"/>
          <w:lang w:val="en-GB"/>
        </w:rPr>
        <w:t xml:space="preserve">Valuation Office </w:t>
      </w:r>
      <w:r w:rsidR="009359AB" w:rsidRPr="0067297E">
        <w:rPr>
          <w:rFonts w:asciiTheme="minorHAnsi" w:hAnsiTheme="minorHAnsi" w:cs="Calibri"/>
          <w:lang w:val="en-GB"/>
        </w:rPr>
        <w:t>2017 data</w:t>
      </w:r>
      <w:r w:rsidR="00B84EB2" w:rsidRPr="0067297E">
        <w:rPr>
          <w:rFonts w:asciiTheme="minorHAnsi" w:hAnsiTheme="minorHAnsi" w:cs="Calibri"/>
          <w:lang w:val="en-GB"/>
        </w:rPr>
        <w:t>.</w:t>
      </w:r>
    </w:p>
    <w:p w14:paraId="0A8ECA2E" w14:textId="77777777" w:rsidR="00B84EB2" w:rsidRPr="0067297E" w:rsidRDefault="00B84EB2" w:rsidP="00543A76">
      <w:pPr>
        <w:pStyle w:val="Reporttext"/>
        <w:numPr>
          <w:ilvl w:val="0"/>
          <w:numId w:val="0"/>
        </w:numPr>
        <w:rPr>
          <w:rFonts w:asciiTheme="minorHAnsi" w:hAnsiTheme="minorHAnsi" w:cs="Calibri"/>
          <w:color w:val="FF0000"/>
          <w:lang w:val="en-GB"/>
        </w:rPr>
      </w:pPr>
    </w:p>
    <w:tbl>
      <w:tblPr>
        <w:tblW w:w="5016"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2442"/>
        <w:gridCol w:w="1070"/>
        <w:gridCol w:w="1070"/>
        <w:gridCol w:w="1072"/>
        <w:gridCol w:w="1090"/>
        <w:gridCol w:w="1054"/>
        <w:gridCol w:w="1411"/>
      </w:tblGrid>
      <w:tr w:rsidR="00B84EB2" w:rsidRPr="0067297E" w14:paraId="42EFECE8" w14:textId="77777777" w:rsidTr="00FF4E2D">
        <w:trPr>
          <w:trHeight w:val="300"/>
          <w:tblHeader/>
        </w:trPr>
        <w:tc>
          <w:tcPr>
            <w:tcW w:w="5000" w:type="pct"/>
            <w:gridSpan w:val="7"/>
            <w:shd w:val="clear" w:color="auto" w:fill="009999"/>
            <w:noWrap/>
            <w:vAlign w:val="bottom"/>
          </w:tcPr>
          <w:p w14:paraId="22EEEC67" w14:textId="2C886B46" w:rsidR="00B84EB2" w:rsidRPr="0067297E" w:rsidRDefault="00B84EB2" w:rsidP="003F4875">
            <w:pPr>
              <w:pStyle w:val="tableheading"/>
              <w:rPr>
                <w:rFonts w:asciiTheme="minorHAnsi" w:hAnsiTheme="minorHAnsi"/>
              </w:rPr>
            </w:pPr>
            <w:bookmarkStart w:id="227" w:name="_Toc428528292"/>
            <w:bookmarkStart w:id="228" w:name="_Toc430084643"/>
            <w:bookmarkStart w:id="229" w:name="_Toc430782738"/>
            <w:bookmarkStart w:id="230" w:name="_Toc23151153"/>
            <w:r w:rsidRPr="0067297E">
              <w:rPr>
                <w:rFonts w:asciiTheme="minorHAnsi" w:hAnsiTheme="minorHAnsi"/>
              </w:rPr>
              <w:t>Table 4.</w:t>
            </w:r>
            <w:r w:rsidR="003B05BC" w:rsidRPr="0067297E">
              <w:rPr>
                <w:rFonts w:asciiTheme="minorHAnsi" w:hAnsiTheme="minorHAnsi"/>
              </w:rPr>
              <w:t>4</w:t>
            </w:r>
            <w:r w:rsidRPr="0067297E">
              <w:rPr>
                <w:rFonts w:asciiTheme="minorHAnsi" w:hAnsiTheme="minorHAnsi"/>
              </w:rPr>
              <w:tab/>
              <w:t xml:space="preserve">Property type and size of occupied dwellings across the Borough of </w:t>
            </w:r>
            <w:bookmarkEnd w:id="227"/>
            <w:bookmarkEnd w:id="228"/>
            <w:bookmarkEnd w:id="229"/>
            <w:r w:rsidR="00B90C60" w:rsidRPr="0067297E">
              <w:rPr>
                <w:rFonts w:asciiTheme="minorHAnsi" w:hAnsiTheme="minorHAnsi"/>
              </w:rPr>
              <w:t>Lewisham</w:t>
            </w:r>
            <w:bookmarkEnd w:id="230"/>
          </w:p>
        </w:tc>
      </w:tr>
      <w:tr w:rsidR="002F71C1" w:rsidRPr="0067297E" w14:paraId="04765A84" w14:textId="77777777" w:rsidTr="002F71C1">
        <w:trPr>
          <w:trHeight w:val="300"/>
        </w:trPr>
        <w:tc>
          <w:tcPr>
            <w:tcW w:w="1326" w:type="pct"/>
            <w:vMerge w:val="restart"/>
            <w:shd w:val="clear" w:color="auto" w:fill="009999"/>
            <w:noWrap/>
            <w:vAlign w:val="bottom"/>
            <w:hideMark/>
          </w:tcPr>
          <w:p w14:paraId="096050AF" w14:textId="77777777" w:rsidR="002F71C1" w:rsidRPr="0067297E" w:rsidRDefault="002F71C1" w:rsidP="00E12901">
            <w:pPr>
              <w:rPr>
                <w:rFonts w:asciiTheme="minorHAnsi" w:hAnsiTheme="minorHAnsi" w:cs="Calibri"/>
                <w:b/>
                <w:bCs/>
                <w:color w:val="FFFFFF"/>
                <w:sz w:val="22"/>
                <w:szCs w:val="22"/>
                <w:highlight w:val="yellow"/>
                <w:lang w:eastAsia="en-GB"/>
              </w:rPr>
            </w:pPr>
            <w:r w:rsidRPr="0067297E">
              <w:rPr>
                <w:rFonts w:asciiTheme="minorHAnsi" w:hAnsiTheme="minorHAnsi" w:cs="Calibri"/>
                <w:b/>
                <w:bCs/>
                <w:color w:val="FFFFFF"/>
                <w:sz w:val="22"/>
                <w:szCs w:val="22"/>
                <w:lang w:eastAsia="en-GB"/>
              </w:rPr>
              <w:t>Property Type</w:t>
            </w:r>
          </w:p>
        </w:tc>
        <w:tc>
          <w:tcPr>
            <w:tcW w:w="2336" w:type="pct"/>
            <w:gridSpan w:val="4"/>
            <w:shd w:val="clear" w:color="auto" w:fill="009999"/>
            <w:noWrap/>
            <w:vAlign w:val="bottom"/>
            <w:hideMark/>
          </w:tcPr>
          <w:p w14:paraId="4F03F93A" w14:textId="77777777" w:rsidR="002F71C1" w:rsidRPr="0067297E" w:rsidRDefault="002F71C1" w:rsidP="00E12901">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No. Bedrooms (Table %)</w:t>
            </w:r>
          </w:p>
        </w:tc>
        <w:tc>
          <w:tcPr>
            <w:tcW w:w="572" w:type="pct"/>
            <w:vMerge w:val="restart"/>
            <w:shd w:val="clear" w:color="auto" w:fill="009999"/>
            <w:vAlign w:val="bottom"/>
          </w:tcPr>
          <w:p w14:paraId="667D13FD" w14:textId="77777777" w:rsidR="002F71C1" w:rsidRPr="0067297E" w:rsidRDefault="002F71C1" w:rsidP="00E12901">
            <w:pPr>
              <w:jc w:val="center"/>
              <w:rPr>
                <w:rFonts w:asciiTheme="minorHAnsi" w:hAnsiTheme="minorHAnsi" w:cs="Calibri"/>
                <w:bCs/>
                <w:color w:val="FFFFFF"/>
                <w:sz w:val="22"/>
                <w:szCs w:val="22"/>
                <w:lang w:eastAsia="en-GB"/>
              </w:rPr>
            </w:pPr>
            <w:r w:rsidRPr="0067297E">
              <w:rPr>
                <w:rFonts w:asciiTheme="minorHAnsi" w:hAnsiTheme="minorHAnsi" w:cs="Calibri"/>
                <w:color w:val="FFFFFF"/>
                <w:sz w:val="22"/>
                <w:szCs w:val="22"/>
                <w:lang w:eastAsia="en-GB"/>
              </w:rPr>
              <w:t>Total</w:t>
            </w:r>
          </w:p>
        </w:tc>
        <w:tc>
          <w:tcPr>
            <w:tcW w:w="766" w:type="pct"/>
            <w:vMerge w:val="restart"/>
            <w:shd w:val="clear" w:color="auto" w:fill="009999"/>
            <w:noWrap/>
            <w:vAlign w:val="bottom"/>
            <w:hideMark/>
          </w:tcPr>
          <w:p w14:paraId="6774BCA8" w14:textId="77777777" w:rsidR="002F71C1" w:rsidRPr="0067297E" w:rsidRDefault="002F71C1" w:rsidP="00E12901">
            <w:pPr>
              <w:jc w:val="center"/>
              <w:rPr>
                <w:rFonts w:asciiTheme="minorHAnsi" w:hAnsiTheme="minorHAnsi" w:cs="Calibri"/>
                <w:bCs/>
                <w:i/>
                <w:color w:val="FFFFFF"/>
                <w:sz w:val="22"/>
                <w:szCs w:val="22"/>
                <w:lang w:eastAsia="en-GB"/>
              </w:rPr>
            </w:pPr>
            <w:r w:rsidRPr="0067297E">
              <w:rPr>
                <w:rFonts w:asciiTheme="minorHAnsi" w:hAnsiTheme="minorHAnsi" w:cs="Calibri"/>
                <w:i/>
                <w:color w:val="FFFFFF"/>
                <w:sz w:val="22"/>
                <w:szCs w:val="22"/>
                <w:lang w:eastAsia="en-GB"/>
              </w:rPr>
              <w:t>Base</w:t>
            </w:r>
          </w:p>
        </w:tc>
      </w:tr>
      <w:tr w:rsidR="002F71C1" w:rsidRPr="0067297E" w14:paraId="1B37EA41" w14:textId="77777777" w:rsidTr="002F71C1">
        <w:trPr>
          <w:trHeight w:val="285"/>
        </w:trPr>
        <w:tc>
          <w:tcPr>
            <w:tcW w:w="1326" w:type="pct"/>
            <w:vMerge/>
            <w:shd w:val="clear" w:color="auto" w:fill="009999"/>
            <w:vAlign w:val="bottom"/>
            <w:hideMark/>
          </w:tcPr>
          <w:p w14:paraId="4B7B397E" w14:textId="77777777" w:rsidR="002F71C1" w:rsidRPr="0067297E" w:rsidRDefault="002F71C1" w:rsidP="00FA273F">
            <w:pPr>
              <w:rPr>
                <w:rFonts w:asciiTheme="minorHAnsi" w:hAnsiTheme="minorHAnsi" w:cs="Calibri"/>
                <w:b/>
                <w:bCs/>
                <w:color w:val="FFFFFF"/>
                <w:sz w:val="22"/>
                <w:szCs w:val="22"/>
                <w:highlight w:val="yellow"/>
                <w:lang w:eastAsia="en-GB"/>
              </w:rPr>
            </w:pPr>
          </w:p>
        </w:tc>
        <w:tc>
          <w:tcPr>
            <w:tcW w:w="581" w:type="pct"/>
            <w:shd w:val="clear" w:color="auto" w:fill="009999"/>
            <w:vAlign w:val="bottom"/>
            <w:hideMark/>
          </w:tcPr>
          <w:p w14:paraId="515971D0" w14:textId="77777777" w:rsidR="002F71C1" w:rsidRPr="0067297E" w:rsidRDefault="002F71C1" w:rsidP="00FA273F">
            <w:pPr>
              <w:jc w:val="center"/>
              <w:rPr>
                <w:rFonts w:asciiTheme="minorHAnsi" w:hAnsiTheme="minorHAnsi" w:cs="Calibri"/>
                <w:color w:val="FFFFFF"/>
                <w:sz w:val="22"/>
                <w:szCs w:val="22"/>
                <w:lang w:eastAsia="en-GB"/>
              </w:rPr>
            </w:pPr>
            <w:r w:rsidRPr="0067297E">
              <w:rPr>
                <w:rFonts w:asciiTheme="minorHAnsi" w:hAnsiTheme="minorHAnsi" w:cs="Calibri"/>
                <w:color w:val="FFFFFF"/>
                <w:sz w:val="22"/>
                <w:szCs w:val="22"/>
                <w:lang w:eastAsia="en-GB"/>
              </w:rPr>
              <w:t>One</w:t>
            </w:r>
          </w:p>
        </w:tc>
        <w:tc>
          <w:tcPr>
            <w:tcW w:w="581" w:type="pct"/>
            <w:shd w:val="clear" w:color="auto" w:fill="009999"/>
            <w:vAlign w:val="bottom"/>
            <w:hideMark/>
          </w:tcPr>
          <w:p w14:paraId="6F7006A3" w14:textId="77777777" w:rsidR="002F71C1" w:rsidRPr="0067297E" w:rsidRDefault="002F71C1" w:rsidP="00FA273F">
            <w:pPr>
              <w:jc w:val="center"/>
              <w:rPr>
                <w:rFonts w:asciiTheme="minorHAnsi" w:hAnsiTheme="minorHAnsi" w:cs="Calibri"/>
                <w:color w:val="FFFFFF"/>
                <w:sz w:val="22"/>
                <w:szCs w:val="22"/>
                <w:lang w:eastAsia="en-GB"/>
              </w:rPr>
            </w:pPr>
            <w:r w:rsidRPr="0067297E">
              <w:rPr>
                <w:rFonts w:asciiTheme="minorHAnsi" w:hAnsiTheme="minorHAnsi" w:cs="Calibri"/>
                <w:color w:val="FFFFFF"/>
                <w:sz w:val="22"/>
                <w:szCs w:val="22"/>
                <w:lang w:eastAsia="en-GB"/>
              </w:rPr>
              <w:t>Two</w:t>
            </w:r>
          </w:p>
        </w:tc>
        <w:tc>
          <w:tcPr>
            <w:tcW w:w="582" w:type="pct"/>
            <w:shd w:val="clear" w:color="auto" w:fill="009999"/>
            <w:vAlign w:val="bottom"/>
            <w:hideMark/>
          </w:tcPr>
          <w:p w14:paraId="37BB7F65" w14:textId="77777777" w:rsidR="002F71C1" w:rsidRPr="0067297E" w:rsidRDefault="002F71C1" w:rsidP="00FA273F">
            <w:pPr>
              <w:jc w:val="center"/>
              <w:rPr>
                <w:rFonts w:asciiTheme="minorHAnsi" w:hAnsiTheme="minorHAnsi" w:cs="Calibri"/>
                <w:color w:val="FFFFFF"/>
                <w:sz w:val="22"/>
                <w:szCs w:val="22"/>
                <w:lang w:eastAsia="en-GB"/>
              </w:rPr>
            </w:pPr>
            <w:r w:rsidRPr="0067297E">
              <w:rPr>
                <w:rFonts w:asciiTheme="minorHAnsi" w:hAnsiTheme="minorHAnsi" w:cs="Calibri"/>
                <w:color w:val="FFFFFF"/>
                <w:sz w:val="22"/>
                <w:szCs w:val="22"/>
                <w:lang w:eastAsia="en-GB"/>
              </w:rPr>
              <w:t>Three</w:t>
            </w:r>
          </w:p>
        </w:tc>
        <w:tc>
          <w:tcPr>
            <w:tcW w:w="592" w:type="pct"/>
            <w:shd w:val="clear" w:color="auto" w:fill="009999"/>
            <w:vAlign w:val="bottom"/>
            <w:hideMark/>
          </w:tcPr>
          <w:p w14:paraId="2F1319FD" w14:textId="77777777" w:rsidR="002F71C1" w:rsidRPr="0067297E" w:rsidRDefault="002F71C1" w:rsidP="00FA273F">
            <w:pPr>
              <w:jc w:val="center"/>
              <w:rPr>
                <w:rFonts w:asciiTheme="minorHAnsi" w:hAnsiTheme="minorHAnsi" w:cs="Calibri"/>
                <w:color w:val="FFFFFF"/>
                <w:sz w:val="22"/>
                <w:szCs w:val="22"/>
                <w:lang w:eastAsia="en-GB"/>
              </w:rPr>
            </w:pPr>
            <w:r w:rsidRPr="0067297E">
              <w:rPr>
                <w:rFonts w:asciiTheme="minorHAnsi" w:hAnsiTheme="minorHAnsi" w:cs="Calibri"/>
                <w:color w:val="FFFFFF"/>
                <w:sz w:val="22"/>
                <w:szCs w:val="22"/>
                <w:lang w:eastAsia="en-GB"/>
              </w:rPr>
              <w:t>Four</w:t>
            </w:r>
          </w:p>
        </w:tc>
        <w:tc>
          <w:tcPr>
            <w:tcW w:w="572" w:type="pct"/>
            <w:vMerge/>
            <w:shd w:val="clear" w:color="auto" w:fill="009999"/>
            <w:vAlign w:val="bottom"/>
            <w:hideMark/>
          </w:tcPr>
          <w:p w14:paraId="0AD8BFA7" w14:textId="77777777" w:rsidR="002F71C1" w:rsidRPr="0067297E" w:rsidRDefault="002F71C1" w:rsidP="00FA273F">
            <w:pPr>
              <w:jc w:val="center"/>
              <w:rPr>
                <w:rFonts w:asciiTheme="minorHAnsi" w:hAnsiTheme="minorHAnsi" w:cs="Calibri"/>
                <w:color w:val="FFFFFF"/>
                <w:sz w:val="22"/>
                <w:szCs w:val="22"/>
                <w:lang w:eastAsia="en-GB"/>
              </w:rPr>
            </w:pPr>
          </w:p>
        </w:tc>
        <w:tc>
          <w:tcPr>
            <w:tcW w:w="766" w:type="pct"/>
            <w:vMerge/>
            <w:shd w:val="clear" w:color="auto" w:fill="009999"/>
            <w:vAlign w:val="bottom"/>
            <w:hideMark/>
          </w:tcPr>
          <w:p w14:paraId="383D1ABF" w14:textId="77777777" w:rsidR="002F71C1" w:rsidRPr="0067297E" w:rsidRDefault="002F71C1" w:rsidP="00FA273F">
            <w:pPr>
              <w:jc w:val="center"/>
              <w:rPr>
                <w:rFonts w:asciiTheme="minorHAnsi" w:hAnsiTheme="minorHAnsi" w:cs="Calibri"/>
                <w:i/>
                <w:color w:val="FFFFFF"/>
                <w:sz w:val="22"/>
                <w:szCs w:val="22"/>
                <w:lang w:eastAsia="en-GB"/>
              </w:rPr>
            </w:pPr>
          </w:p>
        </w:tc>
      </w:tr>
      <w:tr w:rsidR="002F71C1" w:rsidRPr="0067297E" w14:paraId="400002FA" w14:textId="77777777" w:rsidTr="009D369A">
        <w:trPr>
          <w:trHeight w:val="285"/>
        </w:trPr>
        <w:tc>
          <w:tcPr>
            <w:tcW w:w="1326" w:type="pct"/>
            <w:shd w:val="clear" w:color="auto" w:fill="auto"/>
            <w:noWrap/>
            <w:vAlign w:val="bottom"/>
          </w:tcPr>
          <w:p w14:paraId="4B22836C" w14:textId="77777777" w:rsidR="002F71C1" w:rsidRPr="0067297E" w:rsidRDefault="002F71C1" w:rsidP="00E12901">
            <w:pPr>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Flats/maisonettes</w:t>
            </w:r>
          </w:p>
        </w:tc>
        <w:tc>
          <w:tcPr>
            <w:tcW w:w="581" w:type="pct"/>
            <w:shd w:val="clear" w:color="auto" w:fill="auto"/>
            <w:noWrap/>
          </w:tcPr>
          <w:p w14:paraId="0618AED7"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25.8%</w:t>
            </w:r>
          </w:p>
        </w:tc>
        <w:tc>
          <w:tcPr>
            <w:tcW w:w="581" w:type="pct"/>
            <w:shd w:val="clear" w:color="auto" w:fill="auto"/>
            <w:noWrap/>
          </w:tcPr>
          <w:p w14:paraId="7BF81118"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24.9%</w:t>
            </w:r>
          </w:p>
        </w:tc>
        <w:tc>
          <w:tcPr>
            <w:tcW w:w="582" w:type="pct"/>
            <w:shd w:val="clear" w:color="auto" w:fill="auto"/>
            <w:noWrap/>
          </w:tcPr>
          <w:p w14:paraId="76B4BF40"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6.2%</w:t>
            </w:r>
          </w:p>
        </w:tc>
        <w:tc>
          <w:tcPr>
            <w:tcW w:w="592" w:type="pct"/>
            <w:shd w:val="clear" w:color="auto" w:fill="auto"/>
            <w:noWrap/>
          </w:tcPr>
          <w:p w14:paraId="0F19EC12"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0.7%</w:t>
            </w:r>
          </w:p>
        </w:tc>
        <w:tc>
          <w:tcPr>
            <w:tcW w:w="572" w:type="pct"/>
            <w:shd w:val="clear" w:color="auto" w:fill="auto"/>
            <w:noWrap/>
          </w:tcPr>
          <w:p w14:paraId="70821EB7" w14:textId="77777777" w:rsidR="002F71C1" w:rsidRPr="0067297E" w:rsidRDefault="002F71C1" w:rsidP="003822F1">
            <w:pPr>
              <w:jc w:val="right"/>
              <w:rPr>
                <w:rFonts w:asciiTheme="minorHAnsi" w:hAnsiTheme="minorHAnsi" w:cs="Calibri"/>
                <w:b/>
                <w:color w:val="000000"/>
                <w:sz w:val="22"/>
                <w:szCs w:val="22"/>
              </w:rPr>
            </w:pPr>
            <w:r w:rsidRPr="0067297E">
              <w:rPr>
                <w:rFonts w:asciiTheme="minorHAnsi" w:hAnsiTheme="minorHAnsi" w:cs="Calibri"/>
                <w:b/>
                <w:sz w:val="22"/>
                <w:szCs w:val="22"/>
              </w:rPr>
              <w:t>57.7%</w:t>
            </w:r>
          </w:p>
        </w:tc>
        <w:tc>
          <w:tcPr>
            <w:tcW w:w="766" w:type="pct"/>
            <w:shd w:val="clear" w:color="auto" w:fill="auto"/>
            <w:noWrap/>
            <w:vAlign w:val="bottom"/>
          </w:tcPr>
          <w:p w14:paraId="4AE14AD1" w14:textId="77777777" w:rsidR="002F71C1" w:rsidRPr="0067297E" w:rsidRDefault="002F71C1" w:rsidP="003822F1">
            <w:pPr>
              <w:jc w:val="right"/>
              <w:rPr>
                <w:rFonts w:asciiTheme="minorHAnsi" w:hAnsiTheme="minorHAnsi" w:cs="Calibri"/>
                <w:i/>
                <w:color w:val="000000"/>
                <w:sz w:val="22"/>
                <w:szCs w:val="22"/>
              </w:rPr>
            </w:pPr>
            <w:r w:rsidRPr="0067297E">
              <w:rPr>
                <w:rFonts w:asciiTheme="minorHAnsi" w:hAnsiTheme="minorHAnsi" w:cs="Calibri"/>
                <w:i/>
                <w:color w:val="000000"/>
                <w:sz w:val="22"/>
                <w:szCs w:val="22"/>
              </w:rPr>
              <w:t>68,580</w:t>
            </w:r>
          </w:p>
        </w:tc>
      </w:tr>
      <w:tr w:rsidR="002F71C1" w:rsidRPr="0067297E" w14:paraId="0A9389CE" w14:textId="77777777" w:rsidTr="002F71C1">
        <w:trPr>
          <w:trHeight w:val="285"/>
        </w:trPr>
        <w:tc>
          <w:tcPr>
            <w:tcW w:w="1326" w:type="pct"/>
            <w:shd w:val="clear" w:color="auto" w:fill="auto"/>
            <w:noWrap/>
            <w:vAlign w:val="bottom"/>
          </w:tcPr>
          <w:p w14:paraId="5B7EFC7F" w14:textId="77777777" w:rsidR="002F71C1" w:rsidRPr="0067297E" w:rsidRDefault="002F71C1" w:rsidP="00E12901">
            <w:pPr>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Detached house</w:t>
            </w:r>
          </w:p>
        </w:tc>
        <w:tc>
          <w:tcPr>
            <w:tcW w:w="581" w:type="pct"/>
            <w:shd w:val="clear" w:color="auto" w:fill="auto"/>
            <w:noWrap/>
            <w:vAlign w:val="bottom"/>
          </w:tcPr>
          <w:p w14:paraId="31A97F83"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0.0%</w:t>
            </w:r>
          </w:p>
        </w:tc>
        <w:tc>
          <w:tcPr>
            <w:tcW w:w="581" w:type="pct"/>
            <w:shd w:val="clear" w:color="auto" w:fill="auto"/>
            <w:noWrap/>
            <w:vAlign w:val="bottom"/>
          </w:tcPr>
          <w:p w14:paraId="4E8D833B"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0.1%</w:t>
            </w:r>
          </w:p>
        </w:tc>
        <w:tc>
          <w:tcPr>
            <w:tcW w:w="582" w:type="pct"/>
            <w:shd w:val="clear" w:color="auto" w:fill="auto"/>
            <w:noWrap/>
            <w:vAlign w:val="bottom"/>
          </w:tcPr>
          <w:p w14:paraId="25F04294"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0.5%</w:t>
            </w:r>
          </w:p>
        </w:tc>
        <w:tc>
          <w:tcPr>
            <w:tcW w:w="592" w:type="pct"/>
            <w:shd w:val="clear" w:color="auto" w:fill="auto"/>
            <w:noWrap/>
            <w:vAlign w:val="bottom"/>
          </w:tcPr>
          <w:p w14:paraId="0D3700EF"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0.6%</w:t>
            </w:r>
          </w:p>
        </w:tc>
        <w:tc>
          <w:tcPr>
            <w:tcW w:w="572" w:type="pct"/>
            <w:shd w:val="clear" w:color="auto" w:fill="auto"/>
            <w:noWrap/>
            <w:vAlign w:val="bottom"/>
          </w:tcPr>
          <w:p w14:paraId="122B8A26" w14:textId="77777777" w:rsidR="002F71C1" w:rsidRPr="0067297E" w:rsidRDefault="002F71C1" w:rsidP="003822F1">
            <w:pPr>
              <w:jc w:val="right"/>
              <w:rPr>
                <w:rFonts w:asciiTheme="minorHAnsi" w:hAnsiTheme="minorHAnsi" w:cs="Calibri"/>
                <w:b/>
                <w:color w:val="000000"/>
                <w:sz w:val="22"/>
                <w:szCs w:val="22"/>
              </w:rPr>
            </w:pPr>
            <w:r w:rsidRPr="0067297E">
              <w:rPr>
                <w:rFonts w:asciiTheme="minorHAnsi" w:hAnsiTheme="minorHAnsi" w:cs="Calibri"/>
                <w:b/>
                <w:sz w:val="22"/>
                <w:szCs w:val="22"/>
              </w:rPr>
              <w:t>1.3%</w:t>
            </w:r>
          </w:p>
        </w:tc>
        <w:tc>
          <w:tcPr>
            <w:tcW w:w="766" w:type="pct"/>
            <w:shd w:val="clear" w:color="auto" w:fill="auto"/>
            <w:noWrap/>
            <w:vAlign w:val="bottom"/>
          </w:tcPr>
          <w:p w14:paraId="2B5F858F" w14:textId="77777777" w:rsidR="002F71C1" w:rsidRPr="0067297E" w:rsidRDefault="002F71C1" w:rsidP="003822F1">
            <w:pPr>
              <w:jc w:val="right"/>
              <w:rPr>
                <w:rFonts w:asciiTheme="minorHAnsi" w:hAnsiTheme="minorHAnsi" w:cs="Calibri"/>
                <w:i/>
                <w:color w:val="000000"/>
                <w:sz w:val="22"/>
                <w:szCs w:val="22"/>
              </w:rPr>
            </w:pPr>
            <w:r w:rsidRPr="0067297E">
              <w:rPr>
                <w:rFonts w:asciiTheme="minorHAnsi" w:hAnsiTheme="minorHAnsi" w:cs="Calibri"/>
                <w:i/>
                <w:color w:val="000000"/>
                <w:sz w:val="22"/>
                <w:szCs w:val="22"/>
              </w:rPr>
              <w:t>1,500</w:t>
            </w:r>
          </w:p>
        </w:tc>
      </w:tr>
      <w:tr w:rsidR="002F71C1" w:rsidRPr="0067297E" w14:paraId="296EC3E6" w14:textId="77777777" w:rsidTr="002F71C1">
        <w:trPr>
          <w:trHeight w:val="285"/>
        </w:trPr>
        <w:tc>
          <w:tcPr>
            <w:tcW w:w="1326" w:type="pct"/>
            <w:shd w:val="clear" w:color="auto" w:fill="auto"/>
            <w:noWrap/>
            <w:vAlign w:val="bottom"/>
          </w:tcPr>
          <w:p w14:paraId="591A68EB" w14:textId="77777777" w:rsidR="002F71C1" w:rsidRPr="0067297E" w:rsidRDefault="002F71C1" w:rsidP="00E12901">
            <w:pPr>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Semi-detached house</w:t>
            </w:r>
          </w:p>
        </w:tc>
        <w:tc>
          <w:tcPr>
            <w:tcW w:w="581" w:type="pct"/>
            <w:shd w:val="clear" w:color="auto" w:fill="auto"/>
            <w:noWrap/>
            <w:vAlign w:val="bottom"/>
          </w:tcPr>
          <w:p w14:paraId="6537EB57"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0.0%</w:t>
            </w:r>
          </w:p>
        </w:tc>
        <w:tc>
          <w:tcPr>
            <w:tcW w:w="581" w:type="pct"/>
            <w:shd w:val="clear" w:color="auto" w:fill="auto"/>
            <w:noWrap/>
            <w:vAlign w:val="bottom"/>
          </w:tcPr>
          <w:p w14:paraId="2D4C5EFE"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0.5%</w:t>
            </w:r>
          </w:p>
        </w:tc>
        <w:tc>
          <w:tcPr>
            <w:tcW w:w="582" w:type="pct"/>
            <w:shd w:val="clear" w:color="auto" w:fill="auto"/>
            <w:noWrap/>
            <w:vAlign w:val="bottom"/>
          </w:tcPr>
          <w:p w14:paraId="65E50FD0"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4.8%</w:t>
            </w:r>
          </w:p>
        </w:tc>
        <w:tc>
          <w:tcPr>
            <w:tcW w:w="592" w:type="pct"/>
            <w:shd w:val="clear" w:color="auto" w:fill="auto"/>
            <w:noWrap/>
            <w:vAlign w:val="bottom"/>
          </w:tcPr>
          <w:p w14:paraId="1F9C7ABA"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2.6%</w:t>
            </w:r>
          </w:p>
        </w:tc>
        <w:tc>
          <w:tcPr>
            <w:tcW w:w="572" w:type="pct"/>
            <w:shd w:val="clear" w:color="auto" w:fill="auto"/>
            <w:noWrap/>
            <w:vAlign w:val="bottom"/>
          </w:tcPr>
          <w:p w14:paraId="511CF514" w14:textId="77777777" w:rsidR="002F71C1" w:rsidRPr="0067297E" w:rsidRDefault="002F71C1" w:rsidP="003822F1">
            <w:pPr>
              <w:jc w:val="right"/>
              <w:rPr>
                <w:rFonts w:asciiTheme="minorHAnsi" w:hAnsiTheme="minorHAnsi" w:cs="Calibri"/>
                <w:b/>
                <w:color w:val="000000"/>
                <w:sz w:val="22"/>
                <w:szCs w:val="22"/>
              </w:rPr>
            </w:pPr>
            <w:r w:rsidRPr="0067297E">
              <w:rPr>
                <w:rFonts w:asciiTheme="minorHAnsi" w:hAnsiTheme="minorHAnsi" w:cs="Calibri"/>
                <w:b/>
                <w:sz w:val="22"/>
                <w:szCs w:val="22"/>
              </w:rPr>
              <w:t>7.8%</w:t>
            </w:r>
          </w:p>
        </w:tc>
        <w:tc>
          <w:tcPr>
            <w:tcW w:w="766" w:type="pct"/>
            <w:shd w:val="clear" w:color="auto" w:fill="auto"/>
            <w:noWrap/>
            <w:vAlign w:val="bottom"/>
          </w:tcPr>
          <w:p w14:paraId="5EF2F35B" w14:textId="77777777" w:rsidR="002F71C1" w:rsidRPr="0067297E" w:rsidRDefault="002F71C1" w:rsidP="003822F1">
            <w:pPr>
              <w:jc w:val="right"/>
              <w:rPr>
                <w:rFonts w:asciiTheme="minorHAnsi" w:hAnsiTheme="minorHAnsi" w:cs="Calibri"/>
                <w:i/>
                <w:color w:val="000000"/>
                <w:sz w:val="22"/>
                <w:szCs w:val="22"/>
              </w:rPr>
            </w:pPr>
            <w:r w:rsidRPr="0067297E">
              <w:rPr>
                <w:rFonts w:asciiTheme="minorHAnsi" w:hAnsiTheme="minorHAnsi" w:cs="Calibri"/>
                <w:i/>
                <w:color w:val="000000"/>
                <w:sz w:val="22"/>
                <w:szCs w:val="22"/>
              </w:rPr>
              <w:t>9,320</w:t>
            </w:r>
          </w:p>
        </w:tc>
      </w:tr>
      <w:tr w:rsidR="002F71C1" w:rsidRPr="0067297E" w14:paraId="6A405846" w14:textId="77777777" w:rsidTr="002F71C1">
        <w:trPr>
          <w:trHeight w:val="285"/>
        </w:trPr>
        <w:tc>
          <w:tcPr>
            <w:tcW w:w="1326" w:type="pct"/>
            <w:shd w:val="clear" w:color="auto" w:fill="auto"/>
            <w:noWrap/>
            <w:vAlign w:val="bottom"/>
          </w:tcPr>
          <w:p w14:paraId="195E203B" w14:textId="77777777" w:rsidR="002F71C1" w:rsidRPr="0067297E" w:rsidRDefault="002F71C1" w:rsidP="00E12901">
            <w:pPr>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Terraced house</w:t>
            </w:r>
          </w:p>
        </w:tc>
        <w:tc>
          <w:tcPr>
            <w:tcW w:w="581" w:type="pct"/>
            <w:shd w:val="clear" w:color="auto" w:fill="auto"/>
            <w:noWrap/>
            <w:vAlign w:val="bottom"/>
          </w:tcPr>
          <w:p w14:paraId="4B072A76"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0.4%</w:t>
            </w:r>
          </w:p>
        </w:tc>
        <w:tc>
          <w:tcPr>
            <w:tcW w:w="581" w:type="pct"/>
            <w:shd w:val="clear" w:color="auto" w:fill="auto"/>
            <w:noWrap/>
            <w:vAlign w:val="bottom"/>
          </w:tcPr>
          <w:p w14:paraId="6CF4BF17"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7.3%</w:t>
            </w:r>
          </w:p>
        </w:tc>
        <w:tc>
          <w:tcPr>
            <w:tcW w:w="582" w:type="pct"/>
            <w:shd w:val="clear" w:color="auto" w:fill="auto"/>
            <w:noWrap/>
            <w:vAlign w:val="bottom"/>
          </w:tcPr>
          <w:p w14:paraId="0453C77A"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19.0%</w:t>
            </w:r>
          </w:p>
        </w:tc>
        <w:tc>
          <w:tcPr>
            <w:tcW w:w="592" w:type="pct"/>
            <w:shd w:val="clear" w:color="auto" w:fill="auto"/>
            <w:noWrap/>
            <w:vAlign w:val="bottom"/>
          </w:tcPr>
          <w:p w14:paraId="1D183903"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6.2%</w:t>
            </w:r>
          </w:p>
        </w:tc>
        <w:tc>
          <w:tcPr>
            <w:tcW w:w="572" w:type="pct"/>
            <w:shd w:val="clear" w:color="auto" w:fill="auto"/>
            <w:noWrap/>
            <w:vAlign w:val="bottom"/>
          </w:tcPr>
          <w:p w14:paraId="454FE994" w14:textId="77777777" w:rsidR="002F71C1" w:rsidRPr="0067297E" w:rsidRDefault="002F71C1" w:rsidP="003822F1">
            <w:pPr>
              <w:jc w:val="right"/>
              <w:rPr>
                <w:rFonts w:asciiTheme="minorHAnsi" w:hAnsiTheme="minorHAnsi" w:cs="Calibri"/>
                <w:b/>
                <w:color w:val="000000"/>
                <w:sz w:val="22"/>
                <w:szCs w:val="22"/>
              </w:rPr>
            </w:pPr>
            <w:r w:rsidRPr="0067297E">
              <w:rPr>
                <w:rFonts w:asciiTheme="minorHAnsi" w:hAnsiTheme="minorHAnsi" w:cs="Calibri"/>
                <w:b/>
                <w:sz w:val="22"/>
                <w:szCs w:val="22"/>
              </w:rPr>
              <w:t>32.8%</w:t>
            </w:r>
          </w:p>
        </w:tc>
        <w:tc>
          <w:tcPr>
            <w:tcW w:w="766" w:type="pct"/>
            <w:shd w:val="clear" w:color="auto" w:fill="auto"/>
            <w:noWrap/>
            <w:vAlign w:val="bottom"/>
          </w:tcPr>
          <w:p w14:paraId="25C0A32A" w14:textId="77777777" w:rsidR="002F71C1" w:rsidRPr="0067297E" w:rsidRDefault="002F71C1" w:rsidP="003822F1">
            <w:pPr>
              <w:jc w:val="right"/>
              <w:rPr>
                <w:rFonts w:asciiTheme="minorHAnsi" w:hAnsiTheme="minorHAnsi" w:cs="Calibri"/>
                <w:i/>
                <w:color w:val="000000"/>
                <w:sz w:val="22"/>
                <w:szCs w:val="22"/>
              </w:rPr>
            </w:pPr>
            <w:r w:rsidRPr="0067297E">
              <w:rPr>
                <w:rFonts w:asciiTheme="minorHAnsi" w:hAnsiTheme="minorHAnsi" w:cs="Calibri"/>
                <w:i/>
                <w:color w:val="000000"/>
                <w:sz w:val="22"/>
                <w:szCs w:val="22"/>
              </w:rPr>
              <w:t>39,020</w:t>
            </w:r>
          </w:p>
        </w:tc>
      </w:tr>
      <w:tr w:rsidR="002F71C1" w:rsidRPr="0067297E" w14:paraId="33ED2EB5" w14:textId="77777777" w:rsidTr="002F71C1">
        <w:trPr>
          <w:trHeight w:val="285"/>
        </w:trPr>
        <w:tc>
          <w:tcPr>
            <w:tcW w:w="1326" w:type="pct"/>
            <w:shd w:val="clear" w:color="auto" w:fill="auto"/>
            <w:noWrap/>
            <w:vAlign w:val="bottom"/>
          </w:tcPr>
          <w:p w14:paraId="4187635A" w14:textId="77777777" w:rsidR="002F71C1" w:rsidRPr="0067297E" w:rsidRDefault="002F71C1" w:rsidP="00E12901">
            <w:pPr>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Bungalow</w:t>
            </w:r>
          </w:p>
        </w:tc>
        <w:tc>
          <w:tcPr>
            <w:tcW w:w="581" w:type="pct"/>
            <w:shd w:val="clear" w:color="auto" w:fill="auto"/>
            <w:noWrap/>
            <w:vAlign w:val="bottom"/>
          </w:tcPr>
          <w:p w14:paraId="01FB3915"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0.1%</w:t>
            </w:r>
          </w:p>
        </w:tc>
        <w:tc>
          <w:tcPr>
            <w:tcW w:w="581" w:type="pct"/>
            <w:shd w:val="clear" w:color="auto" w:fill="auto"/>
            <w:noWrap/>
            <w:vAlign w:val="bottom"/>
          </w:tcPr>
          <w:p w14:paraId="1DC995C0"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0.2%</w:t>
            </w:r>
          </w:p>
        </w:tc>
        <w:tc>
          <w:tcPr>
            <w:tcW w:w="582" w:type="pct"/>
            <w:shd w:val="clear" w:color="auto" w:fill="auto"/>
            <w:noWrap/>
            <w:vAlign w:val="bottom"/>
          </w:tcPr>
          <w:p w14:paraId="5982A64A"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0.0%</w:t>
            </w:r>
          </w:p>
        </w:tc>
        <w:tc>
          <w:tcPr>
            <w:tcW w:w="592" w:type="pct"/>
            <w:shd w:val="clear" w:color="auto" w:fill="auto"/>
            <w:noWrap/>
            <w:vAlign w:val="bottom"/>
          </w:tcPr>
          <w:p w14:paraId="043256ED" w14:textId="77777777" w:rsidR="002F71C1" w:rsidRPr="0067297E" w:rsidRDefault="002F71C1" w:rsidP="003822F1">
            <w:pPr>
              <w:jc w:val="right"/>
              <w:rPr>
                <w:rFonts w:asciiTheme="minorHAnsi" w:hAnsiTheme="minorHAnsi" w:cs="Calibri"/>
                <w:color w:val="000000"/>
                <w:sz w:val="22"/>
                <w:szCs w:val="22"/>
              </w:rPr>
            </w:pPr>
            <w:r w:rsidRPr="0067297E">
              <w:rPr>
                <w:rFonts w:asciiTheme="minorHAnsi" w:hAnsiTheme="minorHAnsi" w:cs="Calibri"/>
                <w:sz w:val="22"/>
                <w:szCs w:val="22"/>
              </w:rPr>
              <w:t>0.0%</w:t>
            </w:r>
          </w:p>
        </w:tc>
        <w:tc>
          <w:tcPr>
            <w:tcW w:w="572" w:type="pct"/>
            <w:shd w:val="clear" w:color="auto" w:fill="auto"/>
            <w:noWrap/>
            <w:vAlign w:val="bottom"/>
          </w:tcPr>
          <w:p w14:paraId="1A3D871C" w14:textId="77777777" w:rsidR="002F71C1" w:rsidRPr="0067297E" w:rsidRDefault="00716A3D" w:rsidP="003822F1">
            <w:pPr>
              <w:jc w:val="right"/>
              <w:rPr>
                <w:rFonts w:asciiTheme="minorHAnsi" w:hAnsiTheme="minorHAnsi" w:cs="Calibri"/>
                <w:b/>
                <w:color w:val="000000"/>
                <w:sz w:val="22"/>
                <w:szCs w:val="22"/>
              </w:rPr>
            </w:pPr>
            <w:r w:rsidRPr="0067297E">
              <w:rPr>
                <w:rFonts w:asciiTheme="minorHAnsi" w:hAnsiTheme="minorHAnsi" w:cs="Calibri"/>
                <w:b/>
                <w:sz w:val="22"/>
                <w:szCs w:val="22"/>
              </w:rPr>
              <w:t>0.4</w:t>
            </w:r>
            <w:r w:rsidR="002F71C1" w:rsidRPr="0067297E">
              <w:rPr>
                <w:rFonts w:asciiTheme="minorHAnsi" w:hAnsiTheme="minorHAnsi" w:cs="Calibri"/>
                <w:b/>
                <w:sz w:val="22"/>
                <w:szCs w:val="22"/>
              </w:rPr>
              <w:t>%</w:t>
            </w:r>
          </w:p>
        </w:tc>
        <w:tc>
          <w:tcPr>
            <w:tcW w:w="766" w:type="pct"/>
            <w:shd w:val="clear" w:color="auto" w:fill="auto"/>
            <w:noWrap/>
            <w:vAlign w:val="bottom"/>
          </w:tcPr>
          <w:p w14:paraId="4574FBD0" w14:textId="77777777" w:rsidR="002F71C1" w:rsidRPr="0067297E" w:rsidRDefault="002F71C1" w:rsidP="003822F1">
            <w:pPr>
              <w:jc w:val="right"/>
              <w:rPr>
                <w:rFonts w:asciiTheme="minorHAnsi" w:hAnsiTheme="minorHAnsi" w:cs="Calibri"/>
                <w:i/>
                <w:color w:val="000000"/>
                <w:sz w:val="22"/>
                <w:szCs w:val="22"/>
              </w:rPr>
            </w:pPr>
            <w:r w:rsidRPr="0067297E">
              <w:rPr>
                <w:rFonts w:asciiTheme="minorHAnsi" w:hAnsiTheme="minorHAnsi" w:cs="Calibri"/>
                <w:i/>
                <w:color w:val="000000"/>
                <w:sz w:val="22"/>
                <w:szCs w:val="22"/>
              </w:rPr>
              <w:t>450</w:t>
            </w:r>
          </w:p>
        </w:tc>
      </w:tr>
      <w:tr w:rsidR="002F71C1" w:rsidRPr="0067297E" w14:paraId="2FAA6891" w14:textId="77777777" w:rsidTr="009D369A">
        <w:trPr>
          <w:trHeight w:val="285"/>
        </w:trPr>
        <w:tc>
          <w:tcPr>
            <w:tcW w:w="1326" w:type="pct"/>
            <w:shd w:val="clear" w:color="auto" w:fill="auto"/>
            <w:noWrap/>
            <w:vAlign w:val="bottom"/>
          </w:tcPr>
          <w:p w14:paraId="2D25AEEC" w14:textId="77777777" w:rsidR="002F71C1" w:rsidRPr="0067297E" w:rsidRDefault="002F71C1" w:rsidP="00E12901">
            <w:pPr>
              <w:rPr>
                <w:rFonts w:asciiTheme="minorHAnsi" w:hAnsiTheme="minorHAnsi" w:cs="Calibri"/>
                <w:b/>
                <w:color w:val="000000"/>
                <w:sz w:val="22"/>
                <w:szCs w:val="22"/>
                <w:lang w:eastAsia="en-GB"/>
              </w:rPr>
            </w:pPr>
            <w:r w:rsidRPr="0067297E">
              <w:rPr>
                <w:rFonts w:asciiTheme="minorHAnsi" w:hAnsiTheme="minorHAnsi" w:cs="Calibri"/>
                <w:b/>
                <w:color w:val="000000"/>
                <w:sz w:val="22"/>
                <w:szCs w:val="22"/>
                <w:lang w:eastAsia="en-GB"/>
              </w:rPr>
              <w:t>Total</w:t>
            </w:r>
          </w:p>
        </w:tc>
        <w:tc>
          <w:tcPr>
            <w:tcW w:w="581" w:type="pct"/>
            <w:shd w:val="clear" w:color="auto" w:fill="auto"/>
            <w:noWrap/>
          </w:tcPr>
          <w:p w14:paraId="19B44D0F" w14:textId="77777777" w:rsidR="002F71C1" w:rsidRPr="0067297E" w:rsidRDefault="002F71C1" w:rsidP="003822F1">
            <w:pPr>
              <w:jc w:val="right"/>
              <w:rPr>
                <w:rFonts w:asciiTheme="minorHAnsi" w:hAnsiTheme="minorHAnsi" w:cs="Calibri"/>
                <w:b/>
                <w:color w:val="000000"/>
                <w:sz w:val="22"/>
                <w:szCs w:val="22"/>
              </w:rPr>
            </w:pPr>
            <w:r w:rsidRPr="0067297E">
              <w:rPr>
                <w:rFonts w:asciiTheme="minorHAnsi" w:hAnsiTheme="minorHAnsi" w:cs="Calibri"/>
                <w:b/>
                <w:sz w:val="22"/>
                <w:szCs w:val="22"/>
              </w:rPr>
              <w:t>26.4%</w:t>
            </w:r>
          </w:p>
        </w:tc>
        <w:tc>
          <w:tcPr>
            <w:tcW w:w="581" w:type="pct"/>
            <w:shd w:val="clear" w:color="auto" w:fill="auto"/>
            <w:noWrap/>
          </w:tcPr>
          <w:p w14:paraId="34FCEA34" w14:textId="77777777" w:rsidR="002F71C1" w:rsidRPr="0067297E" w:rsidRDefault="002F71C1" w:rsidP="003822F1">
            <w:pPr>
              <w:jc w:val="right"/>
              <w:rPr>
                <w:rFonts w:asciiTheme="minorHAnsi" w:hAnsiTheme="minorHAnsi" w:cs="Calibri"/>
                <w:b/>
                <w:color w:val="000000"/>
                <w:sz w:val="22"/>
                <w:szCs w:val="22"/>
              </w:rPr>
            </w:pPr>
            <w:r w:rsidRPr="0067297E">
              <w:rPr>
                <w:rFonts w:asciiTheme="minorHAnsi" w:hAnsiTheme="minorHAnsi" w:cs="Calibri"/>
                <w:b/>
                <w:sz w:val="22"/>
                <w:szCs w:val="22"/>
              </w:rPr>
              <w:t>33.0%</w:t>
            </w:r>
          </w:p>
        </w:tc>
        <w:tc>
          <w:tcPr>
            <w:tcW w:w="582" w:type="pct"/>
            <w:shd w:val="clear" w:color="auto" w:fill="auto"/>
            <w:noWrap/>
          </w:tcPr>
          <w:p w14:paraId="65B197BE" w14:textId="77777777" w:rsidR="002F71C1" w:rsidRPr="0067297E" w:rsidRDefault="002F71C1" w:rsidP="003822F1">
            <w:pPr>
              <w:jc w:val="right"/>
              <w:rPr>
                <w:rFonts w:asciiTheme="minorHAnsi" w:hAnsiTheme="minorHAnsi" w:cs="Calibri"/>
                <w:b/>
                <w:color w:val="000000"/>
                <w:sz w:val="22"/>
                <w:szCs w:val="22"/>
              </w:rPr>
            </w:pPr>
            <w:r w:rsidRPr="0067297E">
              <w:rPr>
                <w:rFonts w:asciiTheme="minorHAnsi" w:hAnsiTheme="minorHAnsi" w:cs="Calibri"/>
                <w:b/>
                <w:sz w:val="22"/>
                <w:szCs w:val="22"/>
              </w:rPr>
              <w:t>30.4%</w:t>
            </w:r>
          </w:p>
        </w:tc>
        <w:tc>
          <w:tcPr>
            <w:tcW w:w="592" w:type="pct"/>
            <w:shd w:val="clear" w:color="auto" w:fill="auto"/>
            <w:noWrap/>
          </w:tcPr>
          <w:p w14:paraId="69173F78" w14:textId="77777777" w:rsidR="002F71C1" w:rsidRPr="0067297E" w:rsidRDefault="002F71C1" w:rsidP="003822F1">
            <w:pPr>
              <w:jc w:val="right"/>
              <w:rPr>
                <w:rFonts w:asciiTheme="minorHAnsi" w:hAnsiTheme="minorHAnsi" w:cs="Calibri"/>
                <w:b/>
                <w:color w:val="000000"/>
                <w:sz w:val="22"/>
                <w:szCs w:val="22"/>
              </w:rPr>
            </w:pPr>
            <w:r w:rsidRPr="0067297E">
              <w:rPr>
                <w:rFonts w:asciiTheme="minorHAnsi" w:hAnsiTheme="minorHAnsi" w:cs="Calibri"/>
                <w:b/>
                <w:sz w:val="22"/>
                <w:szCs w:val="22"/>
              </w:rPr>
              <w:t>10.1%</w:t>
            </w:r>
          </w:p>
        </w:tc>
        <w:tc>
          <w:tcPr>
            <w:tcW w:w="572" w:type="pct"/>
            <w:shd w:val="clear" w:color="auto" w:fill="auto"/>
            <w:noWrap/>
          </w:tcPr>
          <w:p w14:paraId="3BEACA91" w14:textId="77777777" w:rsidR="002F71C1" w:rsidRPr="0067297E" w:rsidRDefault="002F71C1" w:rsidP="003822F1">
            <w:pPr>
              <w:jc w:val="right"/>
              <w:rPr>
                <w:rFonts w:asciiTheme="minorHAnsi" w:hAnsiTheme="minorHAnsi" w:cs="Calibri"/>
                <w:b/>
                <w:color w:val="000000"/>
                <w:sz w:val="22"/>
                <w:szCs w:val="22"/>
              </w:rPr>
            </w:pPr>
            <w:r w:rsidRPr="0067297E">
              <w:rPr>
                <w:rFonts w:asciiTheme="minorHAnsi" w:hAnsiTheme="minorHAnsi" w:cs="Calibri"/>
                <w:b/>
                <w:sz w:val="22"/>
                <w:szCs w:val="22"/>
              </w:rPr>
              <w:t>100.0%</w:t>
            </w:r>
          </w:p>
        </w:tc>
        <w:tc>
          <w:tcPr>
            <w:tcW w:w="766" w:type="pct"/>
            <w:shd w:val="clear" w:color="auto" w:fill="auto"/>
            <w:noWrap/>
            <w:vAlign w:val="bottom"/>
          </w:tcPr>
          <w:p w14:paraId="3969ECB3" w14:textId="77777777" w:rsidR="002F71C1" w:rsidRPr="0067297E" w:rsidRDefault="002F71C1" w:rsidP="003822F1">
            <w:pPr>
              <w:jc w:val="right"/>
              <w:rPr>
                <w:rFonts w:asciiTheme="minorHAnsi" w:hAnsiTheme="minorHAnsi" w:cs="Calibri"/>
                <w:i/>
                <w:color w:val="000000"/>
                <w:sz w:val="22"/>
                <w:szCs w:val="22"/>
              </w:rPr>
            </w:pPr>
            <w:r w:rsidRPr="0067297E">
              <w:rPr>
                <w:rFonts w:asciiTheme="minorHAnsi" w:hAnsiTheme="minorHAnsi" w:cs="Calibri"/>
                <w:i/>
                <w:color w:val="000000"/>
                <w:sz w:val="22"/>
                <w:szCs w:val="22"/>
              </w:rPr>
              <w:t>118,870</w:t>
            </w:r>
          </w:p>
        </w:tc>
      </w:tr>
      <w:tr w:rsidR="002F71C1" w:rsidRPr="0067297E" w14:paraId="266C70DA" w14:textId="77777777" w:rsidTr="009D369A">
        <w:trPr>
          <w:trHeight w:val="300"/>
        </w:trPr>
        <w:tc>
          <w:tcPr>
            <w:tcW w:w="1326" w:type="pct"/>
            <w:shd w:val="clear" w:color="000000" w:fill="FFFFFF"/>
            <w:vAlign w:val="bottom"/>
            <w:hideMark/>
          </w:tcPr>
          <w:p w14:paraId="377A5ED7" w14:textId="6DE6208E" w:rsidR="002F71C1" w:rsidRPr="0067297E" w:rsidRDefault="002F71C1" w:rsidP="00E12901">
            <w:pPr>
              <w:rPr>
                <w:rFonts w:asciiTheme="minorHAnsi" w:hAnsiTheme="minorHAnsi" w:cs="Calibri"/>
                <w:i/>
                <w:color w:val="000000"/>
                <w:sz w:val="22"/>
                <w:szCs w:val="22"/>
                <w:lang w:eastAsia="en-GB"/>
              </w:rPr>
            </w:pPr>
            <w:r w:rsidRPr="0067297E">
              <w:rPr>
                <w:rFonts w:asciiTheme="minorHAnsi" w:hAnsiTheme="minorHAnsi" w:cs="Calibri"/>
                <w:i/>
                <w:color w:val="000000"/>
                <w:sz w:val="22"/>
                <w:szCs w:val="22"/>
                <w:lang w:eastAsia="en-GB"/>
              </w:rPr>
              <w:t>Base</w:t>
            </w:r>
          </w:p>
        </w:tc>
        <w:tc>
          <w:tcPr>
            <w:tcW w:w="581" w:type="pct"/>
            <w:shd w:val="clear" w:color="auto" w:fill="auto"/>
            <w:noWrap/>
            <w:vAlign w:val="bottom"/>
          </w:tcPr>
          <w:p w14:paraId="6C95219D" w14:textId="77777777" w:rsidR="002F71C1" w:rsidRPr="0067297E" w:rsidRDefault="002F71C1" w:rsidP="003822F1">
            <w:pPr>
              <w:jc w:val="right"/>
              <w:rPr>
                <w:rFonts w:asciiTheme="minorHAnsi" w:hAnsiTheme="minorHAnsi" w:cs="Calibri"/>
                <w:i/>
                <w:color w:val="000000"/>
                <w:sz w:val="22"/>
                <w:szCs w:val="22"/>
                <w:lang w:eastAsia="en-GB"/>
              </w:rPr>
            </w:pPr>
            <w:r w:rsidRPr="0067297E">
              <w:rPr>
                <w:rFonts w:asciiTheme="minorHAnsi" w:hAnsiTheme="minorHAnsi" w:cs="Calibri"/>
                <w:i/>
                <w:sz w:val="22"/>
                <w:szCs w:val="22"/>
              </w:rPr>
              <w:t>31,400</w:t>
            </w:r>
          </w:p>
        </w:tc>
        <w:tc>
          <w:tcPr>
            <w:tcW w:w="581" w:type="pct"/>
            <w:shd w:val="clear" w:color="auto" w:fill="auto"/>
            <w:noWrap/>
            <w:vAlign w:val="bottom"/>
          </w:tcPr>
          <w:p w14:paraId="30377720" w14:textId="77777777" w:rsidR="002F71C1" w:rsidRPr="0067297E" w:rsidRDefault="002F71C1" w:rsidP="003822F1">
            <w:pPr>
              <w:jc w:val="right"/>
              <w:rPr>
                <w:rFonts w:asciiTheme="minorHAnsi" w:hAnsiTheme="minorHAnsi" w:cs="Calibri"/>
                <w:i/>
                <w:color w:val="000000"/>
                <w:sz w:val="22"/>
                <w:szCs w:val="22"/>
                <w:lang w:eastAsia="en-GB"/>
              </w:rPr>
            </w:pPr>
            <w:r w:rsidRPr="0067297E">
              <w:rPr>
                <w:rFonts w:asciiTheme="minorHAnsi" w:hAnsiTheme="minorHAnsi" w:cs="Calibri"/>
                <w:i/>
                <w:sz w:val="22"/>
                <w:szCs w:val="22"/>
              </w:rPr>
              <w:t>39,270</w:t>
            </w:r>
          </w:p>
        </w:tc>
        <w:tc>
          <w:tcPr>
            <w:tcW w:w="582" w:type="pct"/>
            <w:shd w:val="clear" w:color="auto" w:fill="auto"/>
            <w:noWrap/>
            <w:vAlign w:val="bottom"/>
          </w:tcPr>
          <w:p w14:paraId="5AE1E076" w14:textId="77777777" w:rsidR="002F71C1" w:rsidRPr="0067297E" w:rsidRDefault="002F71C1" w:rsidP="003822F1">
            <w:pPr>
              <w:jc w:val="right"/>
              <w:rPr>
                <w:rFonts w:asciiTheme="minorHAnsi" w:hAnsiTheme="minorHAnsi" w:cs="Calibri"/>
                <w:i/>
                <w:color w:val="000000"/>
                <w:sz w:val="22"/>
                <w:szCs w:val="22"/>
                <w:lang w:eastAsia="en-GB"/>
              </w:rPr>
            </w:pPr>
            <w:r w:rsidRPr="0067297E">
              <w:rPr>
                <w:rFonts w:asciiTheme="minorHAnsi" w:hAnsiTheme="minorHAnsi" w:cs="Calibri"/>
                <w:i/>
                <w:sz w:val="22"/>
                <w:szCs w:val="22"/>
              </w:rPr>
              <w:t>36,160</w:t>
            </w:r>
          </w:p>
        </w:tc>
        <w:tc>
          <w:tcPr>
            <w:tcW w:w="592" w:type="pct"/>
            <w:shd w:val="clear" w:color="auto" w:fill="auto"/>
            <w:noWrap/>
            <w:vAlign w:val="bottom"/>
          </w:tcPr>
          <w:p w14:paraId="266D06E7" w14:textId="77777777" w:rsidR="002F71C1" w:rsidRPr="0067297E" w:rsidRDefault="002F71C1" w:rsidP="003822F1">
            <w:pPr>
              <w:jc w:val="right"/>
              <w:rPr>
                <w:rFonts w:asciiTheme="minorHAnsi" w:hAnsiTheme="minorHAnsi" w:cs="Calibri"/>
                <w:i/>
                <w:color w:val="000000"/>
                <w:sz w:val="22"/>
                <w:szCs w:val="22"/>
                <w:lang w:eastAsia="en-GB"/>
              </w:rPr>
            </w:pPr>
            <w:r w:rsidRPr="0067297E">
              <w:rPr>
                <w:rFonts w:asciiTheme="minorHAnsi" w:hAnsiTheme="minorHAnsi" w:cs="Calibri"/>
                <w:i/>
                <w:sz w:val="22"/>
                <w:szCs w:val="22"/>
              </w:rPr>
              <w:t>12,040</w:t>
            </w:r>
          </w:p>
        </w:tc>
        <w:tc>
          <w:tcPr>
            <w:tcW w:w="572" w:type="pct"/>
            <w:shd w:val="clear" w:color="auto" w:fill="auto"/>
            <w:noWrap/>
            <w:vAlign w:val="bottom"/>
          </w:tcPr>
          <w:p w14:paraId="3FAEA54F" w14:textId="77777777" w:rsidR="002F71C1" w:rsidRPr="0067297E" w:rsidRDefault="002F71C1" w:rsidP="003822F1">
            <w:pPr>
              <w:jc w:val="right"/>
              <w:rPr>
                <w:rFonts w:asciiTheme="minorHAnsi" w:hAnsiTheme="minorHAnsi" w:cs="Calibri"/>
                <w:i/>
                <w:color w:val="000000"/>
                <w:sz w:val="22"/>
                <w:szCs w:val="22"/>
                <w:lang w:eastAsia="en-GB"/>
              </w:rPr>
            </w:pPr>
            <w:r w:rsidRPr="0067297E">
              <w:rPr>
                <w:rFonts w:asciiTheme="minorHAnsi" w:hAnsiTheme="minorHAnsi" w:cs="Calibri"/>
                <w:i/>
                <w:sz w:val="22"/>
                <w:szCs w:val="22"/>
              </w:rPr>
              <w:t>118,870</w:t>
            </w:r>
          </w:p>
        </w:tc>
        <w:tc>
          <w:tcPr>
            <w:tcW w:w="766" w:type="pct"/>
            <w:shd w:val="clear" w:color="auto" w:fill="auto"/>
            <w:noWrap/>
            <w:tcMar>
              <w:left w:w="0" w:type="dxa"/>
              <w:right w:w="0" w:type="dxa"/>
            </w:tcMar>
            <w:vAlign w:val="center"/>
          </w:tcPr>
          <w:p w14:paraId="2A0895ED" w14:textId="77777777" w:rsidR="002F71C1" w:rsidRPr="0067297E" w:rsidRDefault="002F71C1" w:rsidP="003822F1">
            <w:pPr>
              <w:jc w:val="right"/>
              <w:rPr>
                <w:rFonts w:asciiTheme="minorHAnsi" w:hAnsiTheme="minorHAnsi" w:cs="Calibri"/>
                <w:i/>
                <w:color w:val="000000"/>
                <w:sz w:val="22"/>
                <w:szCs w:val="22"/>
                <w:lang w:eastAsia="en-GB"/>
              </w:rPr>
            </w:pPr>
            <w:r w:rsidRPr="0067297E">
              <w:rPr>
                <w:rFonts w:asciiTheme="minorHAnsi" w:hAnsiTheme="minorHAnsi" w:cs="Calibri"/>
                <w:i/>
                <w:color w:val="000000"/>
                <w:sz w:val="22"/>
                <w:szCs w:val="22"/>
                <w:lang w:eastAsia="en-GB"/>
              </w:rPr>
              <w:t>-</w:t>
            </w:r>
          </w:p>
        </w:tc>
      </w:tr>
    </w:tbl>
    <w:p w14:paraId="2932272D" w14:textId="0888184D" w:rsidR="00870AD0" w:rsidRPr="0067297E" w:rsidRDefault="00B84EB2" w:rsidP="00543A76">
      <w:pPr>
        <w:rPr>
          <w:rFonts w:asciiTheme="minorHAnsi" w:hAnsiTheme="minorHAnsi" w:cs="Calibri"/>
          <w:sz w:val="20"/>
          <w:szCs w:val="20"/>
        </w:rPr>
      </w:pPr>
      <w:r w:rsidRPr="0067297E">
        <w:rPr>
          <w:rFonts w:asciiTheme="minorHAnsi" w:hAnsiTheme="minorHAnsi" w:cs="Calibri"/>
          <w:sz w:val="20"/>
          <w:szCs w:val="20"/>
        </w:rPr>
        <w:t xml:space="preserve">Source: </w:t>
      </w:r>
      <w:r w:rsidR="003B05BC" w:rsidRPr="0067297E">
        <w:rPr>
          <w:rFonts w:asciiTheme="minorHAnsi" w:hAnsiTheme="minorHAnsi" w:cs="Calibri"/>
          <w:sz w:val="20"/>
          <w:szCs w:val="20"/>
        </w:rPr>
        <w:t>Valuation Office Agency</w:t>
      </w:r>
      <w:r w:rsidR="002F71C1" w:rsidRPr="0067297E">
        <w:rPr>
          <w:rFonts w:asciiTheme="minorHAnsi" w:hAnsiTheme="minorHAnsi" w:cs="Calibri"/>
          <w:sz w:val="20"/>
          <w:szCs w:val="20"/>
        </w:rPr>
        <w:t xml:space="preserve"> 2017</w:t>
      </w:r>
    </w:p>
    <w:p w14:paraId="0415A3DF" w14:textId="77777777" w:rsidR="008F474E" w:rsidRPr="0067297E" w:rsidRDefault="00870AD0" w:rsidP="00543A76">
      <w:pPr>
        <w:rPr>
          <w:rFonts w:asciiTheme="minorHAnsi" w:hAnsiTheme="minorHAnsi" w:cs="Calibri"/>
          <w:i/>
          <w:sz w:val="18"/>
          <w:szCs w:val="18"/>
        </w:rPr>
      </w:pPr>
      <w:r w:rsidRPr="0067297E">
        <w:rPr>
          <w:rFonts w:asciiTheme="minorHAnsi" w:hAnsiTheme="minorHAnsi" w:cs="Calibri"/>
          <w:i/>
          <w:sz w:val="18"/>
          <w:szCs w:val="18"/>
        </w:rPr>
        <w:t>Note: data on type and size does not include the ‘unknown’ and ‘other’ counts which is why this total differs from the total in table 4.1 above.</w:t>
      </w:r>
    </w:p>
    <w:p w14:paraId="4D3C502B" w14:textId="77777777" w:rsidR="00870AD0" w:rsidRPr="0067297E" w:rsidRDefault="00870AD0" w:rsidP="00543A76">
      <w:pPr>
        <w:rPr>
          <w:rFonts w:asciiTheme="minorHAnsi" w:hAnsiTheme="minorHAnsi" w:cs="Calibri"/>
          <w:i/>
          <w:sz w:val="18"/>
          <w:szCs w:val="18"/>
        </w:rPr>
      </w:pPr>
    </w:p>
    <w:p w14:paraId="1DDC5744" w14:textId="5274FFF9" w:rsidR="00716A3D" w:rsidRPr="0067297E" w:rsidRDefault="00275A48" w:rsidP="00543A76">
      <w:pPr>
        <w:pStyle w:val="Reporttext"/>
        <w:rPr>
          <w:rFonts w:asciiTheme="minorHAnsi" w:hAnsiTheme="minorHAnsi"/>
          <w:lang w:val="en-GB"/>
        </w:rPr>
      </w:pPr>
      <w:r w:rsidRPr="0067297E">
        <w:rPr>
          <w:rFonts w:asciiTheme="minorHAnsi" w:hAnsiTheme="minorHAnsi" w:cs="Calibri"/>
        </w:rPr>
        <w:t>How property type varies by</w:t>
      </w:r>
      <w:r w:rsidR="00C20E54" w:rsidRPr="0067297E">
        <w:rPr>
          <w:rFonts w:asciiTheme="minorHAnsi" w:hAnsiTheme="minorHAnsi" w:cs="Calibri"/>
          <w:lang w:val="en-GB"/>
        </w:rPr>
        <w:t xml:space="preserve"> </w:t>
      </w:r>
      <w:r w:rsidR="00E40EE3" w:rsidRPr="0067297E">
        <w:rPr>
          <w:rFonts w:asciiTheme="minorHAnsi" w:hAnsiTheme="minorHAnsi" w:cs="Calibri"/>
          <w:lang w:val="en-GB"/>
        </w:rPr>
        <w:t>ward</w:t>
      </w:r>
      <w:r w:rsidR="008C5990" w:rsidRPr="0067297E">
        <w:rPr>
          <w:rFonts w:asciiTheme="minorHAnsi" w:hAnsiTheme="minorHAnsi" w:cs="Calibri"/>
          <w:lang w:val="en-GB"/>
        </w:rPr>
        <w:t xml:space="preserve"> is set out </w:t>
      </w:r>
      <w:r w:rsidR="008C5990" w:rsidRPr="0067297E">
        <w:rPr>
          <w:rFonts w:asciiTheme="minorHAnsi" w:hAnsiTheme="minorHAnsi" w:cs="Calibri"/>
          <w:color w:val="000000" w:themeColor="text1"/>
          <w:lang w:val="en-GB"/>
        </w:rPr>
        <w:t xml:space="preserve">in </w:t>
      </w:r>
      <w:r w:rsidR="00716A3D" w:rsidRPr="0067297E">
        <w:rPr>
          <w:rFonts w:asciiTheme="minorHAnsi" w:hAnsiTheme="minorHAnsi" w:cs="Calibri"/>
          <w:color w:val="000000" w:themeColor="text1"/>
          <w:lang w:val="en-GB"/>
        </w:rPr>
        <w:t>Figure 4.</w:t>
      </w:r>
      <w:r w:rsidR="00204D21" w:rsidRPr="0067297E">
        <w:rPr>
          <w:rFonts w:asciiTheme="minorHAnsi" w:hAnsiTheme="minorHAnsi" w:cs="Calibri"/>
          <w:color w:val="000000" w:themeColor="text1"/>
          <w:lang w:val="en-GB"/>
        </w:rPr>
        <w:t>1</w:t>
      </w:r>
      <w:r w:rsidR="00716A3D" w:rsidRPr="0067297E">
        <w:rPr>
          <w:rFonts w:asciiTheme="minorHAnsi" w:hAnsiTheme="minorHAnsi" w:cs="Calibri"/>
          <w:color w:val="000000" w:themeColor="text1"/>
          <w:lang w:val="en-GB"/>
        </w:rPr>
        <w:t xml:space="preserve">. </w:t>
      </w:r>
      <w:r w:rsidR="0084015D" w:rsidRPr="0067297E">
        <w:rPr>
          <w:rFonts w:asciiTheme="minorHAnsi" w:hAnsiTheme="minorHAnsi" w:cs="Calibri"/>
          <w:color w:val="000000" w:themeColor="text1"/>
          <w:lang w:val="en-GB"/>
        </w:rPr>
        <w:t xml:space="preserve">Across the </w:t>
      </w:r>
      <w:r w:rsidR="00C20E54" w:rsidRPr="0067297E">
        <w:rPr>
          <w:rFonts w:asciiTheme="minorHAnsi" w:hAnsiTheme="minorHAnsi" w:cs="Calibri"/>
          <w:color w:val="000000" w:themeColor="text1"/>
          <w:lang w:val="en-GB"/>
        </w:rPr>
        <w:t>borough</w:t>
      </w:r>
      <w:r w:rsidR="0084015D" w:rsidRPr="0067297E">
        <w:rPr>
          <w:rFonts w:asciiTheme="minorHAnsi" w:hAnsiTheme="minorHAnsi" w:cs="Calibri"/>
          <w:color w:val="000000" w:themeColor="text1"/>
          <w:lang w:val="en-GB"/>
        </w:rPr>
        <w:t xml:space="preserve">, </w:t>
      </w:r>
      <w:r w:rsidR="008764C2" w:rsidRPr="0067297E">
        <w:rPr>
          <w:rFonts w:asciiTheme="minorHAnsi" w:hAnsiTheme="minorHAnsi" w:cs="Calibri"/>
          <w:color w:val="000000" w:themeColor="text1"/>
          <w:lang w:val="en-GB"/>
        </w:rPr>
        <w:t>57.7</w:t>
      </w:r>
      <w:r w:rsidR="0084015D" w:rsidRPr="0067297E">
        <w:rPr>
          <w:rFonts w:asciiTheme="minorHAnsi" w:hAnsiTheme="minorHAnsi" w:cs="Calibri"/>
          <w:color w:val="000000" w:themeColor="text1"/>
          <w:lang w:val="en-GB"/>
        </w:rPr>
        <w:t xml:space="preserve">% of dwelling stock is </w:t>
      </w:r>
      <w:r w:rsidR="008764C2" w:rsidRPr="0067297E">
        <w:rPr>
          <w:rFonts w:asciiTheme="minorHAnsi" w:hAnsiTheme="minorHAnsi" w:cs="Calibri"/>
          <w:color w:val="000000" w:themeColor="text1"/>
          <w:lang w:val="en-GB"/>
        </w:rPr>
        <w:t>flats/maisonettes</w:t>
      </w:r>
      <w:r w:rsidR="008206E6" w:rsidRPr="0067297E">
        <w:rPr>
          <w:rFonts w:asciiTheme="minorHAnsi" w:hAnsiTheme="minorHAnsi" w:cs="Calibri"/>
          <w:color w:val="000000" w:themeColor="text1"/>
          <w:lang w:val="en-GB"/>
        </w:rPr>
        <w:t>;</w:t>
      </w:r>
      <w:r w:rsidR="008764C2" w:rsidRPr="0067297E">
        <w:rPr>
          <w:rFonts w:asciiTheme="minorHAnsi" w:hAnsiTheme="minorHAnsi" w:cs="Calibri"/>
          <w:color w:val="000000" w:themeColor="text1"/>
          <w:lang w:val="en-GB"/>
        </w:rPr>
        <w:t xml:space="preserve"> </w:t>
      </w:r>
      <w:r w:rsidR="006958BD" w:rsidRPr="0067297E">
        <w:rPr>
          <w:rFonts w:asciiTheme="minorHAnsi" w:hAnsiTheme="minorHAnsi" w:cs="Calibri"/>
          <w:color w:val="000000" w:themeColor="text1"/>
          <w:lang w:val="en-GB"/>
        </w:rPr>
        <w:t>the highest proportion of flats/maisonettes amongst all the wards is found in Evelyn (84.9%), followed by Lewisham Central (76.4</w:t>
      </w:r>
      <w:r w:rsidR="008764C2" w:rsidRPr="0067297E">
        <w:rPr>
          <w:rFonts w:asciiTheme="minorHAnsi" w:hAnsiTheme="minorHAnsi" w:cs="Calibri"/>
          <w:color w:val="000000" w:themeColor="text1"/>
          <w:lang w:val="en-GB"/>
        </w:rPr>
        <w:t>%</w:t>
      </w:r>
      <w:r w:rsidR="006958BD" w:rsidRPr="0067297E">
        <w:rPr>
          <w:rFonts w:asciiTheme="minorHAnsi" w:hAnsiTheme="minorHAnsi" w:cs="Calibri"/>
          <w:color w:val="000000" w:themeColor="text1"/>
          <w:lang w:val="en-GB"/>
        </w:rPr>
        <w:t>)</w:t>
      </w:r>
      <w:r w:rsidR="00BC2029" w:rsidRPr="0067297E">
        <w:rPr>
          <w:rFonts w:asciiTheme="minorHAnsi" w:hAnsiTheme="minorHAnsi" w:cs="Calibri"/>
          <w:color w:val="000000" w:themeColor="text1"/>
          <w:lang w:val="en-GB"/>
        </w:rPr>
        <w:t xml:space="preserve"> and then New Cross (</w:t>
      </w:r>
      <w:r w:rsidR="00446B98" w:rsidRPr="0067297E">
        <w:rPr>
          <w:rFonts w:asciiTheme="minorHAnsi" w:hAnsiTheme="minorHAnsi" w:cs="Calibri"/>
          <w:color w:val="000000" w:themeColor="text1"/>
          <w:lang w:val="en-GB"/>
        </w:rPr>
        <w:t>75.5</w:t>
      </w:r>
      <w:r w:rsidR="00BC2029" w:rsidRPr="0067297E">
        <w:rPr>
          <w:rFonts w:asciiTheme="minorHAnsi" w:hAnsiTheme="minorHAnsi" w:cs="Calibri"/>
          <w:color w:val="000000" w:themeColor="text1"/>
          <w:lang w:val="en-GB"/>
        </w:rPr>
        <w:t>%)</w:t>
      </w:r>
      <w:r w:rsidR="0084015D" w:rsidRPr="0067297E">
        <w:rPr>
          <w:rFonts w:asciiTheme="minorHAnsi" w:hAnsiTheme="minorHAnsi" w:cs="Calibri"/>
          <w:color w:val="000000" w:themeColor="text1"/>
          <w:lang w:val="en-GB"/>
        </w:rPr>
        <w:t xml:space="preserve">. A further </w:t>
      </w:r>
      <w:r w:rsidR="006958BD" w:rsidRPr="0067297E">
        <w:rPr>
          <w:rFonts w:asciiTheme="minorHAnsi" w:hAnsiTheme="minorHAnsi" w:cs="Calibri"/>
          <w:color w:val="000000" w:themeColor="text1"/>
          <w:lang w:val="en-GB"/>
        </w:rPr>
        <w:t>32.8</w:t>
      </w:r>
      <w:r w:rsidR="0084015D" w:rsidRPr="0067297E">
        <w:rPr>
          <w:rFonts w:asciiTheme="minorHAnsi" w:hAnsiTheme="minorHAnsi" w:cs="Calibri"/>
          <w:color w:val="000000" w:themeColor="text1"/>
          <w:lang w:val="en-GB"/>
        </w:rPr>
        <w:t xml:space="preserve">% of the housing in </w:t>
      </w:r>
      <w:r w:rsidR="00C20E54" w:rsidRPr="0067297E">
        <w:rPr>
          <w:rFonts w:asciiTheme="minorHAnsi" w:hAnsiTheme="minorHAnsi" w:cs="Calibri"/>
          <w:color w:val="000000" w:themeColor="text1"/>
          <w:lang w:val="en-GB"/>
        </w:rPr>
        <w:t>the borough</w:t>
      </w:r>
      <w:r w:rsidR="0084015D" w:rsidRPr="0067297E">
        <w:rPr>
          <w:rFonts w:asciiTheme="minorHAnsi" w:hAnsiTheme="minorHAnsi" w:cs="Calibri"/>
          <w:color w:val="000000" w:themeColor="text1"/>
          <w:lang w:val="en-GB"/>
        </w:rPr>
        <w:t xml:space="preserve"> is ter</w:t>
      </w:r>
      <w:r w:rsidR="006958BD" w:rsidRPr="0067297E">
        <w:rPr>
          <w:rFonts w:asciiTheme="minorHAnsi" w:hAnsiTheme="minorHAnsi" w:cs="Calibri"/>
          <w:color w:val="000000" w:themeColor="text1"/>
          <w:lang w:val="en-GB"/>
        </w:rPr>
        <w:t xml:space="preserve">raced or town houses, with the highest </w:t>
      </w:r>
      <w:r w:rsidR="00C20E54" w:rsidRPr="0067297E">
        <w:rPr>
          <w:rFonts w:asciiTheme="minorHAnsi" w:hAnsiTheme="minorHAnsi" w:cs="Calibri"/>
          <w:color w:val="000000" w:themeColor="text1"/>
          <w:lang w:val="en-GB"/>
        </w:rPr>
        <w:t>proportio</w:t>
      </w:r>
      <w:r w:rsidR="00C718BC" w:rsidRPr="0067297E">
        <w:rPr>
          <w:rFonts w:asciiTheme="minorHAnsi" w:hAnsiTheme="minorHAnsi" w:cs="Calibri"/>
          <w:color w:val="000000" w:themeColor="text1"/>
          <w:lang w:val="en-GB"/>
        </w:rPr>
        <w:t>n</w:t>
      </w:r>
      <w:r w:rsidR="006958BD" w:rsidRPr="0067297E">
        <w:rPr>
          <w:rFonts w:asciiTheme="minorHAnsi" w:hAnsiTheme="minorHAnsi" w:cs="Calibri"/>
          <w:color w:val="000000" w:themeColor="text1"/>
          <w:lang w:val="en-GB"/>
        </w:rPr>
        <w:t xml:space="preserve"> found in Downham (70.3%)</w:t>
      </w:r>
      <w:r w:rsidR="00B90C60" w:rsidRPr="0067297E">
        <w:rPr>
          <w:rFonts w:asciiTheme="minorHAnsi" w:hAnsiTheme="minorHAnsi" w:cs="Calibri"/>
          <w:color w:val="000000" w:themeColor="text1"/>
          <w:lang w:val="en-GB"/>
        </w:rPr>
        <w:t>.</w:t>
      </w:r>
      <w:r w:rsidR="00087421" w:rsidRPr="0067297E">
        <w:rPr>
          <w:rFonts w:asciiTheme="minorHAnsi" w:hAnsiTheme="minorHAnsi" w:cs="Calibri"/>
          <w:color w:val="000000" w:themeColor="text1"/>
          <w:lang w:val="en-GB"/>
        </w:rPr>
        <w:t xml:space="preserve"> </w:t>
      </w:r>
      <w:r w:rsidR="0084015D" w:rsidRPr="0067297E">
        <w:rPr>
          <w:rFonts w:asciiTheme="minorHAnsi" w:hAnsiTheme="minorHAnsi" w:cs="Calibri"/>
          <w:color w:val="000000" w:themeColor="text1"/>
          <w:lang w:val="en-GB"/>
        </w:rPr>
        <w:t xml:space="preserve">While only </w:t>
      </w:r>
      <w:r w:rsidR="00870AD0" w:rsidRPr="0067297E">
        <w:rPr>
          <w:rFonts w:asciiTheme="minorHAnsi" w:hAnsiTheme="minorHAnsi" w:cs="Calibri"/>
          <w:color w:val="000000" w:themeColor="text1"/>
          <w:lang w:val="en-GB"/>
        </w:rPr>
        <w:t>1.3</w:t>
      </w:r>
      <w:r w:rsidR="00C20E54" w:rsidRPr="0067297E">
        <w:rPr>
          <w:rFonts w:asciiTheme="minorHAnsi" w:hAnsiTheme="minorHAnsi" w:cs="Calibri"/>
          <w:color w:val="000000" w:themeColor="text1"/>
          <w:lang w:val="en-GB"/>
        </w:rPr>
        <w:t>% of the borough stock is detached housing</w:t>
      </w:r>
      <w:r w:rsidR="0084015D" w:rsidRPr="0067297E">
        <w:rPr>
          <w:rFonts w:asciiTheme="minorHAnsi" w:hAnsiTheme="minorHAnsi" w:cs="Calibri"/>
          <w:color w:val="000000" w:themeColor="text1"/>
          <w:lang w:val="en-GB"/>
        </w:rPr>
        <w:t xml:space="preserve">, </w:t>
      </w:r>
      <w:r w:rsidR="00870AD0" w:rsidRPr="0067297E">
        <w:rPr>
          <w:rFonts w:asciiTheme="minorHAnsi" w:hAnsiTheme="minorHAnsi" w:cs="Calibri"/>
          <w:color w:val="000000" w:themeColor="text1"/>
          <w:lang w:val="en-GB"/>
        </w:rPr>
        <w:t>the highest proportion is found in Forest Hill (4.8%)</w:t>
      </w:r>
      <w:r w:rsidR="0084015D" w:rsidRPr="0067297E">
        <w:rPr>
          <w:rFonts w:asciiTheme="minorHAnsi" w:hAnsiTheme="minorHAnsi" w:cs="Calibri"/>
          <w:color w:val="000000" w:themeColor="text1"/>
          <w:lang w:val="en-GB"/>
        </w:rPr>
        <w:t xml:space="preserve">. </w:t>
      </w:r>
      <w:r w:rsidR="00870AD0" w:rsidRPr="0067297E">
        <w:rPr>
          <w:rFonts w:asciiTheme="minorHAnsi" w:hAnsiTheme="minorHAnsi" w:cs="Calibri"/>
          <w:color w:val="000000" w:themeColor="text1"/>
          <w:lang w:val="en-GB"/>
        </w:rPr>
        <w:t>The highest proportion of semi-detached properties is found in Grove Park (20.7%) with an o</w:t>
      </w:r>
      <w:r w:rsidR="00C20E54" w:rsidRPr="0067297E">
        <w:rPr>
          <w:rFonts w:asciiTheme="minorHAnsi" w:hAnsiTheme="minorHAnsi" w:cs="Calibri"/>
          <w:color w:val="000000" w:themeColor="text1"/>
          <w:lang w:val="en-GB"/>
        </w:rPr>
        <w:t>verall b</w:t>
      </w:r>
      <w:r w:rsidR="00870AD0" w:rsidRPr="0067297E">
        <w:rPr>
          <w:rFonts w:asciiTheme="minorHAnsi" w:hAnsiTheme="minorHAnsi" w:cs="Calibri"/>
          <w:color w:val="000000" w:themeColor="text1"/>
          <w:lang w:val="en-GB"/>
        </w:rPr>
        <w:t>orough level of 7.8%</w:t>
      </w:r>
      <w:r w:rsidR="0084015D" w:rsidRPr="0067297E">
        <w:rPr>
          <w:rFonts w:asciiTheme="minorHAnsi" w:hAnsiTheme="minorHAnsi" w:cs="Calibri"/>
          <w:color w:val="000000" w:themeColor="text1"/>
          <w:lang w:val="en-GB"/>
        </w:rPr>
        <w:t xml:space="preserve">. </w:t>
      </w:r>
    </w:p>
    <w:p w14:paraId="290C96C8" w14:textId="0DCE4690" w:rsidR="00716A3D" w:rsidRPr="0067297E" w:rsidRDefault="00716A3D" w:rsidP="00543A76">
      <w:pPr>
        <w:pStyle w:val="Reporttext"/>
        <w:rPr>
          <w:rFonts w:asciiTheme="minorHAnsi" w:hAnsiTheme="minorHAnsi"/>
          <w:lang w:val="en-GB"/>
        </w:rPr>
      </w:pPr>
      <w:r w:rsidRPr="0067297E">
        <w:rPr>
          <w:rFonts w:asciiTheme="minorHAnsi" w:hAnsiTheme="minorHAnsi"/>
          <w:lang w:val="en-GB"/>
        </w:rPr>
        <w:t>Figure 4.</w:t>
      </w:r>
      <w:r w:rsidR="00E12901" w:rsidRPr="0067297E">
        <w:rPr>
          <w:rFonts w:asciiTheme="minorHAnsi" w:hAnsiTheme="minorHAnsi"/>
          <w:lang w:val="en-GB"/>
        </w:rPr>
        <w:t>2</w:t>
      </w:r>
      <w:r w:rsidRPr="0067297E">
        <w:rPr>
          <w:rFonts w:asciiTheme="minorHAnsi" w:hAnsiTheme="minorHAnsi"/>
          <w:lang w:val="en-GB"/>
        </w:rPr>
        <w:t xml:space="preserve"> shows </w:t>
      </w:r>
      <w:r w:rsidRPr="0067297E">
        <w:rPr>
          <w:rFonts w:asciiTheme="minorHAnsi" w:hAnsiTheme="minorHAnsi"/>
        </w:rPr>
        <w:t>variations in number of bedrooms</w:t>
      </w:r>
      <w:r w:rsidRPr="0067297E">
        <w:rPr>
          <w:rFonts w:asciiTheme="minorHAnsi" w:hAnsiTheme="minorHAnsi"/>
          <w:lang w:val="en-GB"/>
        </w:rPr>
        <w:t xml:space="preserve"> across</w:t>
      </w:r>
      <w:r w:rsidR="00C20E54" w:rsidRPr="0067297E">
        <w:rPr>
          <w:rFonts w:asciiTheme="minorHAnsi" w:hAnsiTheme="minorHAnsi"/>
          <w:lang w:val="en-GB"/>
        </w:rPr>
        <w:t xml:space="preserve"> </w:t>
      </w:r>
      <w:r w:rsidR="008C3788" w:rsidRPr="0067297E">
        <w:rPr>
          <w:rFonts w:asciiTheme="minorHAnsi" w:hAnsiTheme="minorHAnsi"/>
          <w:lang w:val="en-GB"/>
        </w:rPr>
        <w:t xml:space="preserve">the </w:t>
      </w:r>
      <w:r w:rsidR="00C20E54" w:rsidRPr="0067297E">
        <w:rPr>
          <w:rFonts w:asciiTheme="minorHAnsi" w:hAnsiTheme="minorHAnsi"/>
          <w:lang w:val="en-GB"/>
        </w:rPr>
        <w:t>wards</w:t>
      </w:r>
      <w:r w:rsidRPr="0067297E">
        <w:rPr>
          <w:rFonts w:asciiTheme="minorHAnsi" w:hAnsiTheme="minorHAnsi"/>
          <w:lang w:val="en-GB"/>
        </w:rPr>
        <w:t xml:space="preserve"> and </w:t>
      </w:r>
      <w:r w:rsidR="00C20E54" w:rsidRPr="0067297E">
        <w:rPr>
          <w:rFonts w:asciiTheme="minorHAnsi" w:hAnsiTheme="minorHAnsi"/>
          <w:lang w:val="en-GB"/>
        </w:rPr>
        <w:t>the borough</w:t>
      </w:r>
      <w:r w:rsidRPr="0067297E">
        <w:rPr>
          <w:rFonts w:asciiTheme="minorHAnsi" w:hAnsiTheme="minorHAnsi"/>
          <w:lang w:val="en-GB"/>
        </w:rPr>
        <w:t xml:space="preserve"> as a whole</w:t>
      </w:r>
      <w:r w:rsidR="00BC2029" w:rsidRPr="0067297E">
        <w:rPr>
          <w:rFonts w:asciiTheme="minorHAnsi" w:hAnsiTheme="minorHAnsi"/>
          <w:lang w:val="en-GB"/>
        </w:rPr>
        <w:t>.</w:t>
      </w:r>
      <w:r w:rsidR="00446B98" w:rsidRPr="0067297E">
        <w:rPr>
          <w:rFonts w:asciiTheme="minorHAnsi" w:hAnsiTheme="minorHAnsi"/>
          <w:lang w:val="en-GB"/>
        </w:rPr>
        <w:t xml:space="preserve"> </w:t>
      </w:r>
      <w:r w:rsidRPr="0067297E">
        <w:rPr>
          <w:rFonts w:asciiTheme="minorHAnsi" w:hAnsiTheme="minorHAnsi"/>
          <w:lang w:val="en-GB"/>
        </w:rPr>
        <w:t>This shows a high proportion</w:t>
      </w:r>
      <w:r w:rsidRPr="0067297E">
        <w:rPr>
          <w:rFonts w:asciiTheme="minorHAnsi" w:hAnsiTheme="minorHAnsi"/>
        </w:rPr>
        <w:t xml:space="preserve"> of larger properties with </w:t>
      </w:r>
      <w:r w:rsidRPr="0067297E">
        <w:rPr>
          <w:rFonts w:asciiTheme="minorHAnsi" w:hAnsiTheme="minorHAnsi"/>
          <w:lang w:val="en-GB"/>
        </w:rPr>
        <w:t>four</w:t>
      </w:r>
      <w:r w:rsidRPr="0067297E">
        <w:rPr>
          <w:rFonts w:asciiTheme="minorHAnsi" w:hAnsiTheme="minorHAnsi"/>
        </w:rPr>
        <w:t xml:space="preserve"> or more bedrooms in </w:t>
      </w:r>
      <w:r w:rsidR="00870AD0" w:rsidRPr="0067297E">
        <w:rPr>
          <w:rFonts w:asciiTheme="minorHAnsi" w:hAnsiTheme="minorHAnsi"/>
          <w:lang w:val="en-GB"/>
        </w:rPr>
        <w:t>Ladywell (20.1</w:t>
      </w:r>
      <w:r w:rsidRPr="0067297E">
        <w:rPr>
          <w:rFonts w:asciiTheme="minorHAnsi" w:hAnsiTheme="minorHAnsi"/>
          <w:lang w:val="en-GB"/>
        </w:rPr>
        <w:t xml:space="preserve">%) and </w:t>
      </w:r>
      <w:r w:rsidR="00870AD0" w:rsidRPr="0067297E">
        <w:rPr>
          <w:rFonts w:asciiTheme="minorHAnsi" w:hAnsiTheme="minorHAnsi"/>
          <w:lang w:val="en-GB"/>
        </w:rPr>
        <w:t>Telegraph Hill (17.2</w:t>
      </w:r>
      <w:r w:rsidRPr="0067297E">
        <w:rPr>
          <w:rFonts w:asciiTheme="minorHAnsi" w:hAnsiTheme="minorHAnsi"/>
          <w:lang w:val="en-GB"/>
        </w:rPr>
        <w:t xml:space="preserve">%) wards. A high proportion of smaller (one and two bedroom) properties are seen in </w:t>
      </w:r>
      <w:r w:rsidR="00870AD0" w:rsidRPr="0067297E">
        <w:rPr>
          <w:rFonts w:asciiTheme="minorHAnsi" w:hAnsiTheme="minorHAnsi"/>
          <w:lang w:val="en-GB"/>
        </w:rPr>
        <w:t>Evelyn (76.3%) and Lewisham Central (75.3%)</w:t>
      </w:r>
      <w:r w:rsidRPr="0067297E">
        <w:rPr>
          <w:rFonts w:asciiTheme="minorHAnsi" w:hAnsiTheme="minorHAnsi"/>
          <w:lang w:val="en-GB"/>
        </w:rPr>
        <w:t xml:space="preserve">. The highest proportions of three-bedroom dwellings are found in </w:t>
      </w:r>
      <w:r w:rsidR="00870AD0" w:rsidRPr="0067297E">
        <w:rPr>
          <w:rFonts w:asciiTheme="minorHAnsi" w:hAnsiTheme="minorHAnsi"/>
          <w:lang w:val="en-GB"/>
        </w:rPr>
        <w:t>Whitefoot (55.3%)</w:t>
      </w:r>
      <w:r w:rsidRPr="0067297E">
        <w:rPr>
          <w:rFonts w:asciiTheme="minorHAnsi" w:hAnsiTheme="minorHAnsi"/>
          <w:lang w:val="en-GB"/>
        </w:rPr>
        <w:t>.</w:t>
      </w:r>
    </w:p>
    <w:p w14:paraId="3D75C2AD" w14:textId="5AC91FE2" w:rsidR="00BB73FB" w:rsidRPr="0067297E" w:rsidRDefault="00BB73FB" w:rsidP="00543A76">
      <w:pPr>
        <w:pStyle w:val="Reporttext"/>
        <w:rPr>
          <w:rFonts w:asciiTheme="minorHAnsi" w:hAnsiTheme="minorHAnsi"/>
          <w:lang w:val="en-GB"/>
        </w:rPr>
      </w:pPr>
      <w:r w:rsidRPr="0067297E">
        <w:rPr>
          <w:rFonts w:asciiTheme="minorHAnsi" w:hAnsiTheme="minorHAnsi"/>
          <w:lang w:val="en-GB"/>
        </w:rPr>
        <w:t>Map 4.1 illustrates the predominant dwelling type across the Borough by Lower Super Output Area. This shows the predominance of flats and terraced houses across most LSOAs, notable exceptions being bungalows within Brock</w:t>
      </w:r>
      <w:r w:rsidR="008206E6" w:rsidRPr="0067297E">
        <w:rPr>
          <w:rFonts w:asciiTheme="minorHAnsi" w:hAnsiTheme="minorHAnsi"/>
          <w:lang w:val="en-GB"/>
        </w:rPr>
        <w:t>l</w:t>
      </w:r>
      <w:r w:rsidRPr="0067297E">
        <w:rPr>
          <w:rFonts w:asciiTheme="minorHAnsi" w:hAnsiTheme="minorHAnsi"/>
          <w:lang w:val="en-GB"/>
        </w:rPr>
        <w:t xml:space="preserve">ey ward and semi-detached houses in Catford South, Whitefoot and Downham. </w:t>
      </w:r>
    </w:p>
    <w:p w14:paraId="630150A5" w14:textId="77777777" w:rsidR="0015565B" w:rsidRPr="0067297E" w:rsidRDefault="0015565B">
      <w:pPr>
        <w:pStyle w:val="Reporttext"/>
        <w:numPr>
          <w:ilvl w:val="0"/>
          <w:numId w:val="0"/>
        </w:numPr>
        <w:rPr>
          <w:rFonts w:asciiTheme="minorHAnsi" w:hAnsiTheme="minorHAnsi" w:cs="Calibri"/>
          <w:color w:val="000000" w:themeColor="text1"/>
          <w:lang w:val="en-GB"/>
        </w:rPr>
        <w:sectPr w:rsidR="0015565B" w:rsidRPr="0067297E" w:rsidSect="007F6E31">
          <w:headerReference w:type="default" r:id="rId34"/>
          <w:footerReference w:type="default" r:id="rId35"/>
          <w:pgSz w:w="11906" w:h="16838"/>
          <w:pgMar w:top="1440" w:right="1276" w:bottom="1134" w:left="1440" w:header="708" w:footer="708" w:gutter="0"/>
          <w:cols w:space="708"/>
          <w:docGrid w:linePitch="360"/>
        </w:sectPr>
      </w:pPr>
    </w:p>
    <w:p w14:paraId="447FA98D" w14:textId="22A9BCC6" w:rsidR="0015565B" w:rsidRPr="0067297E" w:rsidRDefault="0015565B">
      <w:pPr>
        <w:pStyle w:val="figureheading"/>
        <w:rPr>
          <w:rFonts w:asciiTheme="minorHAnsi" w:hAnsiTheme="minorHAnsi" w:cs="Calibri"/>
        </w:rPr>
      </w:pPr>
      <w:bookmarkStart w:id="231" w:name="_Toc23151223"/>
      <w:bookmarkStart w:id="232" w:name="OLE_LINK2"/>
      <w:bookmarkStart w:id="233" w:name="OLE_LINK3"/>
      <w:r w:rsidRPr="0067297E">
        <w:rPr>
          <w:rFonts w:asciiTheme="minorHAnsi" w:hAnsiTheme="minorHAnsi" w:cs="Calibri"/>
          <w:lang w:val="en-GB"/>
        </w:rPr>
        <w:t>Figure 4.</w:t>
      </w:r>
      <w:r w:rsidR="00CE124A" w:rsidRPr="0067297E">
        <w:rPr>
          <w:rFonts w:asciiTheme="minorHAnsi" w:hAnsiTheme="minorHAnsi" w:cs="Calibri"/>
          <w:lang w:val="en-GB"/>
        </w:rPr>
        <w:t>1</w:t>
      </w:r>
      <w:r w:rsidRPr="0067297E">
        <w:rPr>
          <w:rFonts w:asciiTheme="minorHAnsi" w:hAnsiTheme="minorHAnsi" w:cs="Calibri"/>
          <w:lang w:val="en-GB"/>
        </w:rPr>
        <w:tab/>
        <w:t>Property type by ward</w:t>
      </w:r>
      <w:bookmarkEnd w:id="231"/>
    </w:p>
    <w:p w14:paraId="7098575E" w14:textId="77777777" w:rsidR="0015565B" w:rsidRPr="0067297E" w:rsidRDefault="00EA3974">
      <w:pPr>
        <w:rPr>
          <w:rFonts w:asciiTheme="minorHAnsi" w:hAnsiTheme="minorHAnsi"/>
        </w:rPr>
      </w:pPr>
      <w:r w:rsidRPr="0067297E">
        <w:rPr>
          <w:rFonts w:asciiTheme="minorHAnsi" w:hAnsiTheme="minorHAnsi"/>
          <w:noProof/>
          <w:lang w:eastAsia="en-GB"/>
        </w:rPr>
        <w:drawing>
          <wp:inline distT="0" distB="0" distL="0" distR="0" wp14:anchorId="0746B2A4" wp14:editId="6488A9BA">
            <wp:extent cx="9050020" cy="4586400"/>
            <wp:effectExtent l="0" t="0" r="17780" b="5080"/>
            <wp:docPr id="4" name="Chart 4" descr="Chart showing percentage of property types (colour coded) by Wards in Lewisham. " title="Figure 4.1 Property type by war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688F5D-573B-4B46-B9EA-FC068D5EDB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5CA67D" w14:textId="77777777" w:rsidR="00CC5432" w:rsidRPr="0067297E" w:rsidRDefault="0014392A">
      <w:pPr>
        <w:rPr>
          <w:rFonts w:asciiTheme="minorHAnsi" w:hAnsiTheme="minorHAnsi" w:cs="Calibri"/>
          <w:sz w:val="20"/>
          <w:szCs w:val="20"/>
        </w:rPr>
      </w:pPr>
      <w:r w:rsidRPr="0067297E">
        <w:rPr>
          <w:rFonts w:asciiTheme="minorHAnsi" w:hAnsiTheme="minorHAnsi" w:cs="Calibri"/>
          <w:sz w:val="20"/>
          <w:szCs w:val="20"/>
        </w:rPr>
        <w:t xml:space="preserve">Source: </w:t>
      </w:r>
      <w:r w:rsidR="0015514D" w:rsidRPr="0067297E">
        <w:rPr>
          <w:rFonts w:asciiTheme="minorHAnsi" w:hAnsiTheme="minorHAnsi" w:cs="Calibri"/>
          <w:sz w:val="20"/>
          <w:szCs w:val="20"/>
        </w:rPr>
        <w:t>Council Tax 2017</w:t>
      </w:r>
    </w:p>
    <w:bookmarkEnd w:id="232"/>
    <w:bookmarkEnd w:id="233"/>
    <w:p w14:paraId="406BCE45" w14:textId="0F551ED3" w:rsidR="00CC5432" w:rsidRPr="0067297E" w:rsidRDefault="00CC5432">
      <w:pPr>
        <w:pStyle w:val="figureheading"/>
        <w:rPr>
          <w:rFonts w:asciiTheme="minorHAnsi" w:hAnsiTheme="minorHAnsi" w:cs="Calibri"/>
        </w:rPr>
      </w:pPr>
      <w:r w:rsidRPr="0067297E">
        <w:rPr>
          <w:rFonts w:asciiTheme="minorHAnsi" w:hAnsiTheme="minorHAnsi" w:cs="Calibri"/>
          <w:sz w:val="20"/>
          <w:szCs w:val="20"/>
        </w:rPr>
        <w:br w:type="page"/>
      </w:r>
      <w:bookmarkStart w:id="234" w:name="_Toc23151224"/>
      <w:r w:rsidR="00716A3D" w:rsidRPr="0067297E">
        <w:rPr>
          <w:rFonts w:asciiTheme="minorHAnsi" w:hAnsiTheme="minorHAnsi" w:cs="Calibri"/>
          <w:lang w:val="en-GB"/>
        </w:rPr>
        <w:t>Figure 4.</w:t>
      </w:r>
      <w:r w:rsidR="00CE124A" w:rsidRPr="0067297E">
        <w:rPr>
          <w:rFonts w:asciiTheme="minorHAnsi" w:hAnsiTheme="minorHAnsi" w:cs="Calibri"/>
          <w:lang w:val="en-GB"/>
        </w:rPr>
        <w:t>2</w:t>
      </w:r>
      <w:r w:rsidRPr="0067297E">
        <w:rPr>
          <w:rFonts w:asciiTheme="minorHAnsi" w:hAnsiTheme="minorHAnsi" w:cs="Calibri"/>
          <w:lang w:val="en-GB"/>
        </w:rPr>
        <w:tab/>
      </w:r>
      <w:r w:rsidR="001A2135" w:rsidRPr="0067297E">
        <w:rPr>
          <w:rFonts w:asciiTheme="minorHAnsi" w:hAnsiTheme="minorHAnsi" w:cs="Calibri"/>
          <w:lang w:val="en-GB"/>
        </w:rPr>
        <w:t>Number of bedrooms</w:t>
      </w:r>
      <w:r w:rsidRPr="0067297E">
        <w:rPr>
          <w:rFonts w:asciiTheme="minorHAnsi" w:hAnsiTheme="minorHAnsi" w:cs="Calibri"/>
          <w:lang w:val="en-GB"/>
        </w:rPr>
        <w:t xml:space="preserve"> by ward</w:t>
      </w:r>
      <w:bookmarkEnd w:id="234"/>
    </w:p>
    <w:p w14:paraId="02D50423" w14:textId="77777777" w:rsidR="00CC5432" w:rsidRPr="0067297E" w:rsidRDefault="00721ABE">
      <w:pPr>
        <w:rPr>
          <w:rFonts w:asciiTheme="minorHAnsi" w:hAnsiTheme="minorHAnsi"/>
        </w:rPr>
      </w:pPr>
      <w:r w:rsidRPr="0067297E">
        <w:rPr>
          <w:rFonts w:asciiTheme="minorHAnsi" w:hAnsiTheme="minorHAnsi"/>
          <w:noProof/>
          <w:lang w:eastAsia="en-GB"/>
        </w:rPr>
        <w:drawing>
          <wp:inline distT="0" distB="0" distL="0" distR="0" wp14:anchorId="365194C9" wp14:editId="06CBCAEC">
            <wp:extent cx="9043200" cy="4292600"/>
            <wp:effectExtent l="0" t="0" r="5715" b="12700"/>
            <wp:docPr id="10" name="Chart 10" descr="Chart showing number of bedrooms (Colour coded) as a percentage within each Ward in Lewisham. " title="Figure 4.2 Number of bedrooms by war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85E051-17AC-5C43-B2F6-FCE8163D9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10C68BD" w14:textId="77777777" w:rsidR="0015565B" w:rsidRPr="0067297E" w:rsidRDefault="00CC5432">
      <w:pPr>
        <w:rPr>
          <w:rFonts w:asciiTheme="minorHAnsi" w:hAnsiTheme="minorHAnsi" w:cs="Calibri"/>
          <w:sz w:val="20"/>
          <w:szCs w:val="20"/>
        </w:rPr>
        <w:sectPr w:rsidR="0015565B" w:rsidRPr="0067297E" w:rsidSect="0015565B">
          <w:headerReference w:type="default" r:id="rId38"/>
          <w:footerReference w:type="default" r:id="rId39"/>
          <w:pgSz w:w="16838" w:h="11906" w:orient="landscape"/>
          <w:pgMar w:top="1276" w:right="1134" w:bottom="1440" w:left="1440" w:header="708" w:footer="708" w:gutter="0"/>
          <w:cols w:space="708"/>
          <w:docGrid w:linePitch="360"/>
        </w:sectPr>
      </w:pPr>
      <w:r w:rsidRPr="0067297E">
        <w:rPr>
          <w:rFonts w:asciiTheme="minorHAnsi" w:hAnsiTheme="minorHAnsi" w:cs="Calibri"/>
          <w:sz w:val="20"/>
          <w:szCs w:val="20"/>
        </w:rPr>
        <w:t>Source</w:t>
      </w:r>
      <w:r w:rsidR="00B90C60" w:rsidRPr="0067297E">
        <w:rPr>
          <w:rFonts w:asciiTheme="minorHAnsi" w:hAnsiTheme="minorHAnsi" w:cs="Calibri"/>
          <w:sz w:val="20"/>
          <w:szCs w:val="20"/>
        </w:rPr>
        <w:t xml:space="preserve">: </w:t>
      </w:r>
      <w:r w:rsidR="00721ABE" w:rsidRPr="0067297E">
        <w:rPr>
          <w:rFonts w:asciiTheme="minorHAnsi" w:hAnsiTheme="minorHAnsi" w:cs="Calibri"/>
          <w:sz w:val="20"/>
          <w:szCs w:val="20"/>
        </w:rPr>
        <w:t>Council Tax 2017</w:t>
      </w:r>
    </w:p>
    <w:p w14:paraId="4736866D" w14:textId="50CB5750" w:rsidR="00BB73FB" w:rsidRPr="00DD5741" w:rsidRDefault="00BB73FB" w:rsidP="00DD5741">
      <w:pPr>
        <w:pStyle w:val="mapheading"/>
        <w:rPr>
          <w:rFonts w:asciiTheme="minorHAnsi" w:hAnsiTheme="minorHAnsi" w:cs="Calibri"/>
          <w:lang w:val="en-US"/>
        </w:rPr>
      </w:pPr>
      <w:bookmarkStart w:id="235" w:name="_Toc23151244"/>
      <w:r w:rsidRPr="0067297E">
        <w:rPr>
          <w:rFonts w:asciiTheme="minorHAnsi" w:hAnsiTheme="minorHAnsi" w:cs="Calibri"/>
        </w:rPr>
        <w:t xml:space="preserve">Map </w:t>
      </w:r>
      <w:r w:rsidRPr="0067297E">
        <w:rPr>
          <w:rFonts w:asciiTheme="minorHAnsi" w:hAnsiTheme="minorHAnsi" w:cs="Calibri"/>
          <w:lang w:val="en-US"/>
        </w:rPr>
        <w:t>4</w:t>
      </w:r>
      <w:r w:rsidRPr="0067297E">
        <w:rPr>
          <w:rFonts w:asciiTheme="minorHAnsi" w:hAnsiTheme="minorHAnsi" w:cs="Calibri"/>
        </w:rPr>
        <w:t>.</w:t>
      </w:r>
      <w:r w:rsidRPr="0067297E">
        <w:rPr>
          <w:rFonts w:asciiTheme="minorHAnsi" w:hAnsiTheme="minorHAnsi" w:cs="Calibri"/>
          <w:lang w:val="en-GB"/>
        </w:rPr>
        <w:t>1</w:t>
      </w:r>
      <w:r w:rsidRPr="0067297E">
        <w:rPr>
          <w:rFonts w:asciiTheme="minorHAnsi" w:hAnsiTheme="minorHAnsi" w:cs="Calibri"/>
        </w:rPr>
        <w:tab/>
      </w:r>
      <w:r w:rsidRPr="0067297E">
        <w:rPr>
          <w:rFonts w:asciiTheme="minorHAnsi" w:hAnsiTheme="minorHAnsi" w:cs="Calibri"/>
          <w:lang w:val="en-GB"/>
        </w:rPr>
        <w:t>Predominant dwelling type and size</w:t>
      </w:r>
      <w:bookmarkEnd w:id="235"/>
    </w:p>
    <w:p w14:paraId="6CEDB4B0" w14:textId="3AF24BA3" w:rsidR="00BB73FB" w:rsidRPr="0067297E" w:rsidRDefault="00BB73FB" w:rsidP="003C469F">
      <w:pPr>
        <w:rPr>
          <w:rFonts w:asciiTheme="minorHAnsi" w:hAnsiTheme="minorHAnsi" w:cs="Calibri"/>
        </w:rPr>
      </w:pPr>
      <w:r w:rsidRPr="0067297E">
        <w:rPr>
          <w:rFonts w:asciiTheme="minorHAnsi" w:hAnsiTheme="minorHAnsi"/>
          <w:noProof/>
          <w:lang w:eastAsia="en-GB"/>
        </w:rPr>
        <w:drawing>
          <wp:inline distT="0" distB="0" distL="0" distR="0" wp14:anchorId="7C4C79FD" wp14:editId="0497354D">
            <wp:extent cx="7464490" cy="5279761"/>
            <wp:effectExtent l="0" t="0" r="3175" b="0"/>
            <wp:docPr id="24" name="Picture 24" descr="Map showing predominant housing type and bedrooms (colour coded) across Lewisham with labeled Wards. " title="Map 4.1 Predominant Dwelling type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472843" cy="5285669"/>
                    </a:xfrm>
                    <a:prstGeom prst="rect">
                      <a:avLst/>
                    </a:prstGeom>
                  </pic:spPr>
                </pic:pic>
              </a:graphicData>
            </a:graphic>
          </wp:inline>
        </w:drawing>
      </w:r>
    </w:p>
    <w:p w14:paraId="1C512BC8" w14:textId="77777777" w:rsidR="00BB73FB" w:rsidRPr="0067297E" w:rsidRDefault="00BB73FB">
      <w:pPr>
        <w:pStyle w:val="Heading3"/>
        <w:ind w:left="0" w:firstLine="709"/>
        <w:rPr>
          <w:rFonts w:asciiTheme="minorHAnsi" w:hAnsiTheme="minorHAnsi" w:cs="Calibri"/>
        </w:rPr>
        <w:sectPr w:rsidR="00BB73FB" w:rsidRPr="0067297E" w:rsidSect="00DD5741">
          <w:headerReference w:type="default" r:id="rId41"/>
          <w:footerReference w:type="default" r:id="rId42"/>
          <w:pgSz w:w="16838" w:h="11906" w:orient="landscape"/>
          <w:pgMar w:top="1276" w:right="1440" w:bottom="1440" w:left="1440" w:header="709" w:footer="567" w:gutter="0"/>
          <w:cols w:space="720"/>
          <w:docGrid w:linePitch="326"/>
        </w:sectPr>
      </w:pPr>
    </w:p>
    <w:p w14:paraId="141AF315" w14:textId="7639AC76" w:rsidR="009D369A" w:rsidRPr="0067297E" w:rsidRDefault="009D369A">
      <w:pPr>
        <w:pStyle w:val="Heading3"/>
        <w:ind w:left="0" w:firstLine="709"/>
        <w:rPr>
          <w:rFonts w:asciiTheme="minorHAnsi" w:hAnsiTheme="minorHAnsi" w:cs="Calibri"/>
        </w:rPr>
      </w:pPr>
      <w:r w:rsidRPr="0067297E">
        <w:rPr>
          <w:rFonts w:asciiTheme="minorHAnsi" w:hAnsiTheme="minorHAnsi" w:cs="Calibri"/>
        </w:rPr>
        <w:t>Property age and condition</w:t>
      </w:r>
    </w:p>
    <w:p w14:paraId="68EC1DA1" w14:textId="6818FA77" w:rsidR="009D369A" w:rsidRPr="0067297E" w:rsidRDefault="009D369A" w:rsidP="002C70BC">
      <w:pPr>
        <w:pStyle w:val="Reporttext"/>
        <w:numPr>
          <w:ilvl w:val="1"/>
          <w:numId w:val="33"/>
        </w:numPr>
        <w:rPr>
          <w:rFonts w:asciiTheme="minorHAnsi" w:hAnsiTheme="minorHAnsi" w:cs="Calibri"/>
        </w:rPr>
      </w:pPr>
      <w:r w:rsidRPr="0067297E">
        <w:rPr>
          <w:rFonts w:asciiTheme="minorHAnsi" w:hAnsiTheme="minorHAnsi" w:cs="Calibri"/>
        </w:rPr>
        <w:t xml:space="preserve">The age profile of dwelling stock in </w:t>
      </w:r>
      <w:r w:rsidR="006F1D57" w:rsidRPr="0067297E">
        <w:rPr>
          <w:rFonts w:asciiTheme="minorHAnsi" w:hAnsiTheme="minorHAnsi" w:cs="Calibri"/>
          <w:lang w:val="en-GB"/>
        </w:rPr>
        <w:t>the Borough of Lewisham</w:t>
      </w:r>
      <w:r w:rsidR="006F1D57" w:rsidRPr="0067297E">
        <w:rPr>
          <w:rFonts w:asciiTheme="minorHAnsi" w:hAnsiTheme="minorHAnsi" w:cs="Calibri"/>
        </w:rPr>
        <w:t xml:space="preserve"> is summarised in Table 4.</w:t>
      </w:r>
      <w:r w:rsidR="003B05BC" w:rsidRPr="0067297E">
        <w:rPr>
          <w:rFonts w:asciiTheme="minorHAnsi" w:hAnsiTheme="minorHAnsi" w:cs="Calibri"/>
          <w:lang w:val="en-GB"/>
        </w:rPr>
        <w:t>5</w:t>
      </w:r>
      <w:r w:rsidRPr="0067297E">
        <w:rPr>
          <w:rFonts w:asciiTheme="minorHAnsi" w:hAnsiTheme="minorHAnsi" w:cs="Calibri"/>
        </w:rPr>
        <w:t xml:space="preserve">. The majority of the Borough’s dwellings </w:t>
      </w:r>
      <w:r w:rsidR="00955F3D" w:rsidRPr="0067297E">
        <w:rPr>
          <w:rFonts w:asciiTheme="minorHAnsi" w:hAnsiTheme="minorHAnsi" w:cs="Calibri"/>
          <w:lang w:val="en-GB"/>
        </w:rPr>
        <w:t xml:space="preserve">(56.8%) </w:t>
      </w:r>
      <w:r w:rsidRPr="0067297E">
        <w:rPr>
          <w:rFonts w:asciiTheme="minorHAnsi" w:hAnsiTheme="minorHAnsi" w:cs="Calibri"/>
        </w:rPr>
        <w:t xml:space="preserve">were built </w:t>
      </w:r>
      <w:r w:rsidR="00955F3D" w:rsidRPr="0067297E">
        <w:rPr>
          <w:rFonts w:asciiTheme="minorHAnsi" w:hAnsiTheme="minorHAnsi" w:cs="Calibri"/>
          <w:lang w:val="en-GB"/>
        </w:rPr>
        <w:t>before the end of the Second World War (37.3% pre-1919 and 19.5% in the period 1919-44)</w:t>
      </w:r>
      <w:r w:rsidRPr="0067297E">
        <w:rPr>
          <w:rFonts w:asciiTheme="minorHAnsi" w:hAnsiTheme="minorHAnsi" w:cs="Calibri"/>
        </w:rPr>
        <w:t>.</w:t>
      </w:r>
    </w:p>
    <w:p w14:paraId="4539A1C0" w14:textId="77777777" w:rsidR="009D369A" w:rsidRPr="0067297E" w:rsidRDefault="009D369A">
      <w:pPr>
        <w:pStyle w:val="Reporttext"/>
        <w:numPr>
          <w:ilvl w:val="0"/>
          <w:numId w:val="0"/>
        </w:numPr>
        <w:rPr>
          <w:rFonts w:asciiTheme="minorHAnsi" w:hAnsiTheme="minorHAnsi" w:cs="Calibri"/>
        </w:rPr>
      </w:pPr>
    </w:p>
    <w:tbl>
      <w:tblPr>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0A0" w:firstRow="1" w:lastRow="0" w:firstColumn="1" w:lastColumn="0" w:noHBand="0" w:noVBand="0"/>
      </w:tblPr>
      <w:tblGrid>
        <w:gridCol w:w="1738"/>
        <w:gridCol w:w="1619"/>
        <w:gridCol w:w="1560"/>
      </w:tblGrid>
      <w:tr w:rsidR="009D369A" w:rsidRPr="0067297E" w14:paraId="29499D70" w14:textId="77777777" w:rsidTr="00FF4E2D">
        <w:trPr>
          <w:trHeight w:val="300"/>
          <w:tblHeader/>
        </w:trPr>
        <w:tc>
          <w:tcPr>
            <w:tcW w:w="4917" w:type="dxa"/>
            <w:gridSpan w:val="3"/>
            <w:shd w:val="clear" w:color="auto" w:fill="009999"/>
            <w:vAlign w:val="bottom"/>
          </w:tcPr>
          <w:p w14:paraId="4EFF0AAE" w14:textId="214DA5C9" w:rsidR="009D369A" w:rsidRPr="0067297E" w:rsidRDefault="008845C2" w:rsidP="00FA273F">
            <w:pPr>
              <w:pStyle w:val="tableheading"/>
              <w:rPr>
                <w:rFonts w:asciiTheme="minorHAnsi" w:hAnsiTheme="minorHAnsi"/>
              </w:rPr>
            </w:pPr>
            <w:bookmarkStart w:id="236" w:name="_Toc459731362"/>
            <w:bookmarkStart w:id="237" w:name="_Toc468359762"/>
            <w:bookmarkStart w:id="238" w:name="_Toc23151154"/>
            <w:r w:rsidRPr="0067297E">
              <w:rPr>
                <w:rFonts w:asciiTheme="minorHAnsi" w:hAnsiTheme="minorHAnsi"/>
              </w:rPr>
              <w:t>Table 4.</w:t>
            </w:r>
            <w:r w:rsidR="003B05BC" w:rsidRPr="0067297E">
              <w:rPr>
                <w:rFonts w:asciiTheme="minorHAnsi" w:hAnsiTheme="minorHAnsi"/>
              </w:rPr>
              <w:t>5</w:t>
            </w:r>
            <w:r w:rsidR="009D369A" w:rsidRPr="0067297E">
              <w:rPr>
                <w:rFonts w:asciiTheme="minorHAnsi" w:hAnsiTheme="minorHAnsi"/>
              </w:rPr>
              <w:tab/>
              <w:t>Age of dwelling</w:t>
            </w:r>
            <w:bookmarkEnd w:id="236"/>
            <w:bookmarkEnd w:id="237"/>
            <w:bookmarkEnd w:id="238"/>
          </w:p>
        </w:tc>
      </w:tr>
      <w:tr w:rsidR="009D369A" w:rsidRPr="0067297E" w14:paraId="06B1DA29" w14:textId="77777777" w:rsidTr="00E12901">
        <w:trPr>
          <w:trHeight w:val="300"/>
        </w:trPr>
        <w:tc>
          <w:tcPr>
            <w:tcW w:w="0" w:type="auto"/>
            <w:shd w:val="clear" w:color="auto" w:fill="009999"/>
            <w:noWrap/>
            <w:vAlign w:val="bottom"/>
          </w:tcPr>
          <w:p w14:paraId="08299E91" w14:textId="77777777" w:rsidR="009D369A" w:rsidRPr="0067297E" w:rsidRDefault="009D369A" w:rsidP="00FA273F">
            <w:pPr>
              <w:rPr>
                <w:rFonts w:asciiTheme="minorHAnsi" w:hAnsiTheme="minorHAnsi" w:cs="Calibri"/>
                <w:b/>
                <w:bCs/>
                <w:color w:val="FFFFFF"/>
                <w:sz w:val="22"/>
                <w:szCs w:val="22"/>
              </w:rPr>
            </w:pPr>
            <w:r w:rsidRPr="0067297E">
              <w:rPr>
                <w:rFonts w:asciiTheme="minorHAnsi" w:hAnsiTheme="minorHAnsi" w:cs="Calibri"/>
                <w:b/>
                <w:bCs/>
                <w:color w:val="FFFFFF"/>
                <w:sz w:val="22"/>
                <w:szCs w:val="22"/>
              </w:rPr>
              <w:t>Age of Dwellings</w:t>
            </w:r>
          </w:p>
        </w:tc>
        <w:tc>
          <w:tcPr>
            <w:tcW w:w="1619" w:type="dxa"/>
            <w:shd w:val="clear" w:color="auto" w:fill="009999"/>
            <w:noWrap/>
            <w:vAlign w:val="bottom"/>
          </w:tcPr>
          <w:p w14:paraId="3FB4E217" w14:textId="77777777" w:rsidR="009D369A" w:rsidRPr="0067297E" w:rsidRDefault="009D369A" w:rsidP="00FA273F">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 xml:space="preserve">Number </w:t>
            </w:r>
          </w:p>
        </w:tc>
        <w:tc>
          <w:tcPr>
            <w:tcW w:w="1560" w:type="dxa"/>
            <w:shd w:val="clear" w:color="auto" w:fill="009999"/>
            <w:noWrap/>
            <w:vAlign w:val="bottom"/>
          </w:tcPr>
          <w:p w14:paraId="195255CA" w14:textId="77777777" w:rsidR="009D369A" w:rsidRPr="0067297E" w:rsidRDefault="009D369A" w:rsidP="00FA273F">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w:t>
            </w:r>
          </w:p>
        </w:tc>
      </w:tr>
      <w:tr w:rsidR="00955F3D" w:rsidRPr="0067297E" w14:paraId="0A34ECBB" w14:textId="77777777" w:rsidTr="00E12901">
        <w:trPr>
          <w:trHeight w:val="300"/>
        </w:trPr>
        <w:tc>
          <w:tcPr>
            <w:tcW w:w="0" w:type="auto"/>
            <w:shd w:val="clear" w:color="000000" w:fill="FFFFFF"/>
            <w:noWrap/>
            <w:vAlign w:val="bottom"/>
          </w:tcPr>
          <w:p w14:paraId="700B1E13" w14:textId="77777777" w:rsidR="00955F3D" w:rsidRPr="0067297E" w:rsidRDefault="00955F3D" w:rsidP="00FA273F">
            <w:pPr>
              <w:rPr>
                <w:rFonts w:asciiTheme="minorHAnsi" w:hAnsiTheme="minorHAnsi" w:cs="Calibri"/>
                <w:sz w:val="22"/>
                <w:szCs w:val="22"/>
              </w:rPr>
            </w:pPr>
            <w:r w:rsidRPr="0067297E">
              <w:rPr>
                <w:rFonts w:asciiTheme="minorHAnsi" w:hAnsiTheme="minorHAnsi" w:cs="Calibri"/>
                <w:sz w:val="22"/>
                <w:szCs w:val="22"/>
              </w:rPr>
              <w:t>pre-1919</w:t>
            </w:r>
          </w:p>
        </w:tc>
        <w:tc>
          <w:tcPr>
            <w:tcW w:w="1619" w:type="dxa"/>
            <w:noWrap/>
            <w:vAlign w:val="bottom"/>
          </w:tcPr>
          <w:p w14:paraId="758DAE2B" w14:textId="77777777" w:rsidR="00955F3D" w:rsidRPr="0067297E" w:rsidRDefault="00955F3D" w:rsidP="005647AC">
            <w:pPr>
              <w:jc w:val="right"/>
              <w:rPr>
                <w:rFonts w:asciiTheme="minorHAnsi" w:hAnsiTheme="minorHAnsi" w:cs="Calibri"/>
                <w:color w:val="000000"/>
                <w:sz w:val="22"/>
                <w:szCs w:val="22"/>
              </w:rPr>
            </w:pPr>
            <w:r w:rsidRPr="0067297E">
              <w:rPr>
                <w:rFonts w:asciiTheme="minorHAnsi" w:hAnsiTheme="minorHAnsi" w:cs="Calibri"/>
                <w:color w:val="000000"/>
                <w:sz w:val="22"/>
                <w:szCs w:val="22"/>
              </w:rPr>
              <w:t>45130</w:t>
            </w:r>
          </w:p>
        </w:tc>
        <w:tc>
          <w:tcPr>
            <w:tcW w:w="1560" w:type="dxa"/>
            <w:noWrap/>
            <w:vAlign w:val="bottom"/>
          </w:tcPr>
          <w:p w14:paraId="575F9DC8" w14:textId="77777777" w:rsidR="00955F3D" w:rsidRPr="0067297E" w:rsidRDefault="00955F3D" w:rsidP="005647AC">
            <w:pPr>
              <w:jc w:val="right"/>
              <w:rPr>
                <w:rFonts w:asciiTheme="minorHAnsi" w:hAnsiTheme="minorHAnsi" w:cs="Calibri"/>
                <w:color w:val="000000"/>
                <w:sz w:val="22"/>
                <w:szCs w:val="22"/>
              </w:rPr>
            </w:pPr>
            <w:r w:rsidRPr="0067297E">
              <w:rPr>
                <w:rFonts w:asciiTheme="minorHAnsi" w:hAnsiTheme="minorHAnsi" w:cs="Calibri"/>
                <w:color w:val="000000"/>
                <w:sz w:val="22"/>
                <w:szCs w:val="22"/>
              </w:rPr>
              <w:t>37.3</w:t>
            </w:r>
          </w:p>
        </w:tc>
      </w:tr>
      <w:tr w:rsidR="00955F3D" w:rsidRPr="0067297E" w14:paraId="45AD1940" w14:textId="77777777" w:rsidTr="00E12901">
        <w:trPr>
          <w:trHeight w:val="300"/>
        </w:trPr>
        <w:tc>
          <w:tcPr>
            <w:tcW w:w="0" w:type="auto"/>
            <w:shd w:val="clear" w:color="000000" w:fill="FFFFFF"/>
            <w:noWrap/>
            <w:vAlign w:val="bottom"/>
          </w:tcPr>
          <w:p w14:paraId="2B6A8B11" w14:textId="77777777" w:rsidR="00955F3D" w:rsidRPr="0067297E" w:rsidRDefault="00955F3D" w:rsidP="00FA273F">
            <w:pPr>
              <w:rPr>
                <w:rFonts w:asciiTheme="minorHAnsi" w:hAnsiTheme="minorHAnsi" w:cs="Calibri"/>
                <w:sz w:val="22"/>
                <w:szCs w:val="22"/>
              </w:rPr>
            </w:pPr>
            <w:r w:rsidRPr="0067297E">
              <w:rPr>
                <w:rFonts w:asciiTheme="minorHAnsi" w:hAnsiTheme="minorHAnsi" w:cs="Calibri"/>
                <w:sz w:val="22"/>
                <w:szCs w:val="22"/>
              </w:rPr>
              <w:t>1919-44</w:t>
            </w:r>
          </w:p>
        </w:tc>
        <w:tc>
          <w:tcPr>
            <w:tcW w:w="1619" w:type="dxa"/>
            <w:noWrap/>
            <w:vAlign w:val="bottom"/>
          </w:tcPr>
          <w:p w14:paraId="3165C971" w14:textId="77777777" w:rsidR="00955F3D" w:rsidRPr="0067297E" w:rsidRDefault="00955F3D" w:rsidP="005647AC">
            <w:pPr>
              <w:jc w:val="right"/>
              <w:rPr>
                <w:rFonts w:asciiTheme="minorHAnsi" w:hAnsiTheme="minorHAnsi" w:cs="Calibri"/>
                <w:color w:val="000000"/>
                <w:sz w:val="22"/>
                <w:szCs w:val="22"/>
              </w:rPr>
            </w:pPr>
            <w:r w:rsidRPr="0067297E">
              <w:rPr>
                <w:rFonts w:asciiTheme="minorHAnsi" w:hAnsiTheme="minorHAnsi" w:cs="Calibri"/>
                <w:color w:val="000000"/>
                <w:sz w:val="22"/>
                <w:szCs w:val="22"/>
              </w:rPr>
              <w:t>23570</w:t>
            </w:r>
          </w:p>
        </w:tc>
        <w:tc>
          <w:tcPr>
            <w:tcW w:w="1560" w:type="dxa"/>
            <w:noWrap/>
            <w:vAlign w:val="bottom"/>
          </w:tcPr>
          <w:p w14:paraId="28EDCBB8" w14:textId="77777777" w:rsidR="00955F3D" w:rsidRPr="0067297E" w:rsidRDefault="00955F3D" w:rsidP="005647AC">
            <w:pPr>
              <w:jc w:val="right"/>
              <w:rPr>
                <w:rFonts w:asciiTheme="minorHAnsi" w:hAnsiTheme="minorHAnsi" w:cs="Calibri"/>
                <w:color w:val="000000"/>
                <w:sz w:val="22"/>
                <w:szCs w:val="22"/>
              </w:rPr>
            </w:pPr>
            <w:r w:rsidRPr="0067297E">
              <w:rPr>
                <w:rFonts w:asciiTheme="minorHAnsi" w:hAnsiTheme="minorHAnsi" w:cs="Calibri"/>
                <w:color w:val="000000"/>
                <w:sz w:val="22"/>
                <w:szCs w:val="22"/>
              </w:rPr>
              <w:t>19.5</w:t>
            </w:r>
          </w:p>
        </w:tc>
      </w:tr>
      <w:tr w:rsidR="00955F3D" w:rsidRPr="0067297E" w14:paraId="06196CF3" w14:textId="77777777" w:rsidTr="00E12901">
        <w:trPr>
          <w:trHeight w:val="300"/>
        </w:trPr>
        <w:tc>
          <w:tcPr>
            <w:tcW w:w="0" w:type="auto"/>
            <w:shd w:val="clear" w:color="000000" w:fill="FFFFFF"/>
            <w:noWrap/>
            <w:vAlign w:val="bottom"/>
          </w:tcPr>
          <w:p w14:paraId="1CAE8A10" w14:textId="77777777" w:rsidR="00955F3D" w:rsidRPr="0067297E" w:rsidRDefault="00955F3D" w:rsidP="00FA273F">
            <w:pPr>
              <w:rPr>
                <w:rFonts w:asciiTheme="minorHAnsi" w:hAnsiTheme="minorHAnsi" w:cs="Calibri"/>
                <w:sz w:val="22"/>
                <w:szCs w:val="22"/>
              </w:rPr>
            </w:pPr>
            <w:r w:rsidRPr="0067297E">
              <w:rPr>
                <w:rFonts w:asciiTheme="minorHAnsi" w:hAnsiTheme="minorHAnsi" w:cs="Calibri"/>
                <w:sz w:val="22"/>
                <w:szCs w:val="22"/>
              </w:rPr>
              <w:t>1945-64</w:t>
            </w:r>
          </w:p>
        </w:tc>
        <w:tc>
          <w:tcPr>
            <w:tcW w:w="1619" w:type="dxa"/>
            <w:noWrap/>
            <w:vAlign w:val="bottom"/>
          </w:tcPr>
          <w:p w14:paraId="6EF34B2C" w14:textId="77777777" w:rsidR="00955F3D" w:rsidRPr="0067297E" w:rsidRDefault="00955F3D" w:rsidP="005647AC">
            <w:pPr>
              <w:jc w:val="right"/>
              <w:rPr>
                <w:rFonts w:asciiTheme="minorHAnsi" w:hAnsiTheme="minorHAnsi" w:cs="Calibri"/>
                <w:color w:val="000000"/>
                <w:sz w:val="22"/>
                <w:szCs w:val="22"/>
              </w:rPr>
            </w:pPr>
            <w:r w:rsidRPr="0067297E">
              <w:rPr>
                <w:rFonts w:asciiTheme="minorHAnsi" w:hAnsiTheme="minorHAnsi" w:cs="Calibri"/>
                <w:color w:val="000000"/>
                <w:sz w:val="22"/>
                <w:szCs w:val="22"/>
              </w:rPr>
              <w:t>12640</w:t>
            </w:r>
          </w:p>
        </w:tc>
        <w:tc>
          <w:tcPr>
            <w:tcW w:w="1560" w:type="dxa"/>
            <w:noWrap/>
            <w:vAlign w:val="bottom"/>
          </w:tcPr>
          <w:p w14:paraId="0697BC24" w14:textId="77777777" w:rsidR="00955F3D" w:rsidRPr="0067297E" w:rsidRDefault="00955F3D" w:rsidP="005647AC">
            <w:pPr>
              <w:jc w:val="right"/>
              <w:rPr>
                <w:rFonts w:asciiTheme="minorHAnsi" w:hAnsiTheme="minorHAnsi" w:cs="Calibri"/>
                <w:color w:val="000000"/>
                <w:sz w:val="22"/>
                <w:szCs w:val="22"/>
              </w:rPr>
            </w:pPr>
            <w:r w:rsidRPr="0067297E">
              <w:rPr>
                <w:rFonts w:asciiTheme="minorHAnsi" w:hAnsiTheme="minorHAnsi" w:cs="Calibri"/>
                <w:color w:val="000000"/>
                <w:sz w:val="22"/>
                <w:szCs w:val="22"/>
              </w:rPr>
              <w:t>10.4</w:t>
            </w:r>
          </w:p>
        </w:tc>
      </w:tr>
      <w:tr w:rsidR="00955F3D" w:rsidRPr="0067297E" w14:paraId="61A2C1F4" w14:textId="77777777" w:rsidTr="00E12901">
        <w:trPr>
          <w:trHeight w:val="300"/>
        </w:trPr>
        <w:tc>
          <w:tcPr>
            <w:tcW w:w="0" w:type="auto"/>
            <w:shd w:val="clear" w:color="000000" w:fill="FFFFFF"/>
            <w:noWrap/>
            <w:vAlign w:val="bottom"/>
          </w:tcPr>
          <w:p w14:paraId="18755EC7" w14:textId="77777777" w:rsidR="00955F3D" w:rsidRPr="0067297E" w:rsidRDefault="00955F3D" w:rsidP="00FA273F">
            <w:pPr>
              <w:rPr>
                <w:rFonts w:asciiTheme="minorHAnsi" w:hAnsiTheme="minorHAnsi" w:cs="Calibri"/>
                <w:sz w:val="22"/>
                <w:szCs w:val="22"/>
              </w:rPr>
            </w:pPr>
            <w:r w:rsidRPr="0067297E">
              <w:rPr>
                <w:rFonts w:asciiTheme="minorHAnsi" w:hAnsiTheme="minorHAnsi" w:cs="Calibri"/>
                <w:sz w:val="22"/>
                <w:szCs w:val="22"/>
              </w:rPr>
              <w:t>1965-82</w:t>
            </w:r>
          </w:p>
        </w:tc>
        <w:tc>
          <w:tcPr>
            <w:tcW w:w="1619" w:type="dxa"/>
            <w:noWrap/>
            <w:vAlign w:val="bottom"/>
          </w:tcPr>
          <w:p w14:paraId="69C1AA1E" w14:textId="77777777" w:rsidR="00955F3D" w:rsidRPr="0067297E" w:rsidRDefault="00955F3D" w:rsidP="005647AC">
            <w:pPr>
              <w:jc w:val="right"/>
              <w:rPr>
                <w:rFonts w:asciiTheme="minorHAnsi" w:hAnsiTheme="minorHAnsi" w:cs="Calibri"/>
                <w:color w:val="000000"/>
                <w:sz w:val="22"/>
                <w:szCs w:val="22"/>
              </w:rPr>
            </w:pPr>
            <w:r w:rsidRPr="0067297E">
              <w:rPr>
                <w:rFonts w:asciiTheme="minorHAnsi" w:hAnsiTheme="minorHAnsi" w:cs="Calibri"/>
                <w:color w:val="000000"/>
                <w:sz w:val="22"/>
                <w:szCs w:val="22"/>
              </w:rPr>
              <w:t>16260</w:t>
            </w:r>
          </w:p>
        </w:tc>
        <w:tc>
          <w:tcPr>
            <w:tcW w:w="1560" w:type="dxa"/>
            <w:noWrap/>
            <w:vAlign w:val="bottom"/>
          </w:tcPr>
          <w:p w14:paraId="45A83915" w14:textId="77777777" w:rsidR="00955F3D" w:rsidRPr="0067297E" w:rsidRDefault="00955F3D" w:rsidP="005647AC">
            <w:pPr>
              <w:jc w:val="right"/>
              <w:rPr>
                <w:rFonts w:asciiTheme="minorHAnsi" w:hAnsiTheme="minorHAnsi" w:cs="Calibri"/>
                <w:color w:val="000000"/>
                <w:sz w:val="22"/>
                <w:szCs w:val="22"/>
              </w:rPr>
            </w:pPr>
            <w:r w:rsidRPr="0067297E">
              <w:rPr>
                <w:rFonts w:asciiTheme="minorHAnsi" w:hAnsiTheme="minorHAnsi" w:cs="Calibri"/>
                <w:color w:val="000000"/>
                <w:sz w:val="22"/>
                <w:szCs w:val="22"/>
              </w:rPr>
              <w:t>13.4</w:t>
            </w:r>
          </w:p>
        </w:tc>
      </w:tr>
      <w:tr w:rsidR="00955F3D" w:rsidRPr="0067297E" w14:paraId="00DD5B17" w14:textId="77777777" w:rsidTr="00E12901">
        <w:trPr>
          <w:trHeight w:val="300"/>
        </w:trPr>
        <w:tc>
          <w:tcPr>
            <w:tcW w:w="0" w:type="auto"/>
            <w:shd w:val="clear" w:color="000000" w:fill="FFFFFF"/>
            <w:noWrap/>
            <w:vAlign w:val="bottom"/>
          </w:tcPr>
          <w:p w14:paraId="3BF799FD" w14:textId="77777777" w:rsidR="00955F3D" w:rsidRPr="0067297E" w:rsidRDefault="00955F3D" w:rsidP="00FA273F">
            <w:pPr>
              <w:rPr>
                <w:rFonts w:asciiTheme="minorHAnsi" w:hAnsiTheme="minorHAnsi" w:cs="Calibri"/>
                <w:sz w:val="22"/>
                <w:szCs w:val="22"/>
              </w:rPr>
            </w:pPr>
            <w:r w:rsidRPr="0067297E">
              <w:rPr>
                <w:rFonts w:asciiTheme="minorHAnsi" w:hAnsiTheme="minorHAnsi" w:cs="Calibri"/>
                <w:sz w:val="22"/>
                <w:szCs w:val="22"/>
              </w:rPr>
              <w:t>1983-99</w:t>
            </w:r>
          </w:p>
        </w:tc>
        <w:tc>
          <w:tcPr>
            <w:tcW w:w="1619" w:type="dxa"/>
            <w:noWrap/>
            <w:vAlign w:val="bottom"/>
          </w:tcPr>
          <w:p w14:paraId="24DB4B6A" w14:textId="77777777" w:rsidR="00955F3D" w:rsidRPr="0067297E" w:rsidRDefault="00955F3D" w:rsidP="005647AC">
            <w:pPr>
              <w:jc w:val="right"/>
              <w:rPr>
                <w:rFonts w:asciiTheme="minorHAnsi" w:hAnsiTheme="minorHAnsi" w:cs="Calibri"/>
                <w:color w:val="000000"/>
                <w:sz w:val="22"/>
                <w:szCs w:val="22"/>
              </w:rPr>
            </w:pPr>
            <w:r w:rsidRPr="0067297E">
              <w:rPr>
                <w:rFonts w:asciiTheme="minorHAnsi" w:hAnsiTheme="minorHAnsi" w:cs="Calibri"/>
                <w:color w:val="000000"/>
                <w:sz w:val="22"/>
                <w:szCs w:val="22"/>
              </w:rPr>
              <w:t>8920</w:t>
            </w:r>
          </w:p>
        </w:tc>
        <w:tc>
          <w:tcPr>
            <w:tcW w:w="1560" w:type="dxa"/>
            <w:noWrap/>
            <w:vAlign w:val="bottom"/>
          </w:tcPr>
          <w:p w14:paraId="0BE8E672" w14:textId="77777777" w:rsidR="00955F3D" w:rsidRPr="0067297E" w:rsidRDefault="00955F3D" w:rsidP="005647AC">
            <w:pPr>
              <w:jc w:val="right"/>
              <w:rPr>
                <w:rFonts w:asciiTheme="minorHAnsi" w:hAnsiTheme="minorHAnsi" w:cs="Calibri"/>
                <w:color w:val="000000"/>
                <w:sz w:val="22"/>
                <w:szCs w:val="22"/>
              </w:rPr>
            </w:pPr>
            <w:r w:rsidRPr="0067297E">
              <w:rPr>
                <w:rFonts w:asciiTheme="minorHAnsi" w:hAnsiTheme="minorHAnsi" w:cs="Calibri"/>
                <w:color w:val="000000"/>
                <w:sz w:val="22"/>
                <w:szCs w:val="22"/>
              </w:rPr>
              <w:t>7.4</w:t>
            </w:r>
          </w:p>
        </w:tc>
      </w:tr>
      <w:tr w:rsidR="00955F3D" w:rsidRPr="0067297E" w14:paraId="0664E3B8" w14:textId="77777777" w:rsidTr="00E12901">
        <w:trPr>
          <w:trHeight w:val="300"/>
        </w:trPr>
        <w:tc>
          <w:tcPr>
            <w:tcW w:w="0" w:type="auto"/>
            <w:shd w:val="clear" w:color="000000" w:fill="FFFFFF"/>
            <w:noWrap/>
            <w:vAlign w:val="bottom"/>
          </w:tcPr>
          <w:p w14:paraId="46FC3342" w14:textId="77777777" w:rsidR="00955F3D" w:rsidRPr="0067297E" w:rsidRDefault="00955F3D" w:rsidP="00FA273F">
            <w:pPr>
              <w:rPr>
                <w:rFonts w:asciiTheme="minorHAnsi" w:hAnsiTheme="minorHAnsi" w:cs="Calibri"/>
                <w:sz w:val="22"/>
                <w:szCs w:val="22"/>
              </w:rPr>
            </w:pPr>
            <w:r w:rsidRPr="0067297E">
              <w:rPr>
                <w:rFonts w:asciiTheme="minorHAnsi" w:hAnsiTheme="minorHAnsi" w:cs="Calibri"/>
                <w:sz w:val="22"/>
                <w:szCs w:val="22"/>
              </w:rPr>
              <w:t>post 1999</w:t>
            </w:r>
          </w:p>
        </w:tc>
        <w:tc>
          <w:tcPr>
            <w:tcW w:w="1619" w:type="dxa"/>
            <w:noWrap/>
            <w:vAlign w:val="bottom"/>
          </w:tcPr>
          <w:p w14:paraId="544743C4" w14:textId="77777777" w:rsidR="00955F3D" w:rsidRPr="0067297E" w:rsidRDefault="00955F3D" w:rsidP="005647AC">
            <w:pPr>
              <w:jc w:val="right"/>
              <w:rPr>
                <w:rFonts w:asciiTheme="minorHAnsi" w:hAnsiTheme="minorHAnsi" w:cs="Calibri"/>
                <w:color w:val="000000"/>
                <w:sz w:val="22"/>
                <w:szCs w:val="22"/>
              </w:rPr>
            </w:pPr>
            <w:r w:rsidRPr="0067297E">
              <w:rPr>
                <w:rFonts w:asciiTheme="minorHAnsi" w:hAnsiTheme="minorHAnsi" w:cs="Calibri"/>
                <w:color w:val="000000"/>
                <w:sz w:val="22"/>
                <w:szCs w:val="22"/>
              </w:rPr>
              <w:t>14440</w:t>
            </w:r>
          </w:p>
        </w:tc>
        <w:tc>
          <w:tcPr>
            <w:tcW w:w="1560" w:type="dxa"/>
            <w:noWrap/>
            <w:vAlign w:val="bottom"/>
          </w:tcPr>
          <w:p w14:paraId="4CFFA4DF" w14:textId="77777777" w:rsidR="00955F3D" w:rsidRPr="0067297E" w:rsidRDefault="00955F3D" w:rsidP="005647AC">
            <w:pPr>
              <w:jc w:val="right"/>
              <w:rPr>
                <w:rFonts w:asciiTheme="minorHAnsi" w:hAnsiTheme="minorHAnsi" w:cs="Calibri"/>
                <w:color w:val="000000"/>
                <w:sz w:val="22"/>
                <w:szCs w:val="22"/>
              </w:rPr>
            </w:pPr>
            <w:r w:rsidRPr="0067297E">
              <w:rPr>
                <w:rFonts w:asciiTheme="minorHAnsi" w:hAnsiTheme="minorHAnsi" w:cs="Calibri"/>
                <w:color w:val="000000"/>
                <w:sz w:val="22"/>
                <w:szCs w:val="22"/>
              </w:rPr>
              <w:t>11.9</w:t>
            </w:r>
          </w:p>
        </w:tc>
      </w:tr>
      <w:tr w:rsidR="00955F3D" w:rsidRPr="0067297E" w14:paraId="25430B2E" w14:textId="77777777" w:rsidTr="00E12901">
        <w:trPr>
          <w:trHeight w:val="300"/>
        </w:trPr>
        <w:tc>
          <w:tcPr>
            <w:tcW w:w="0" w:type="auto"/>
            <w:shd w:val="clear" w:color="000000" w:fill="FFFFFF"/>
            <w:noWrap/>
            <w:vAlign w:val="bottom"/>
          </w:tcPr>
          <w:p w14:paraId="6780C21D" w14:textId="77777777" w:rsidR="00955F3D" w:rsidRPr="0067297E" w:rsidRDefault="00955F3D" w:rsidP="00FA273F">
            <w:pPr>
              <w:rPr>
                <w:rFonts w:asciiTheme="minorHAnsi" w:hAnsiTheme="minorHAnsi" w:cs="Calibri"/>
                <w:b/>
                <w:bCs/>
                <w:sz w:val="22"/>
                <w:szCs w:val="22"/>
              </w:rPr>
            </w:pPr>
            <w:r w:rsidRPr="0067297E">
              <w:rPr>
                <w:rFonts w:asciiTheme="minorHAnsi" w:hAnsiTheme="minorHAnsi" w:cs="Calibri"/>
                <w:b/>
                <w:bCs/>
                <w:sz w:val="22"/>
                <w:szCs w:val="22"/>
              </w:rPr>
              <w:t>Total</w:t>
            </w:r>
          </w:p>
        </w:tc>
        <w:tc>
          <w:tcPr>
            <w:tcW w:w="1619" w:type="dxa"/>
            <w:noWrap/>
            <w:vAlign w:val="bottom"/>
          </w:tcPr>
          <w:p w14:paraId="51A3BC2F" w14:textId="77777777" w:rsidR="00955F3D" w:rsidRPr="0067297E" w:rsidRDefault="00955F3D" w:rsidP="005647AC">
            <w:pPr>
              <w:jc w:val="right"/>
              <w:rPr>
                <w:rFonts w:asciiTheme="minorHAnsi" w:hAnsiTheme="minorHAnsi" w:cs="Calibri"/>
                <w:b/>
                <w:bCs/>
                <w:color w:val="000000"/>
                <w:sz w:val="22"/>
                <w:szCs w:val="22"/>
              </w:rPr>
            </w:pPr>
            <w:r w:rsidRPr="0067297E">
              <w:rPr>
                <w:rFonts w:asciiTheme="minorHAnsi" w:hAnsiTheme="minorHAnsi" w:cs="Calibri"/>
                <w:b/>
                <w:bCs/>
                <w:color w:val="000000"/>
                <w:sz w:val="22"/>
                <w:szCs w:val="22"/>
              </w:rPr>
              <w:t>120,960</w:t>
            </w:r>
          </w:p>
        </w:tc>
        <w:tc>
          <w:tcPr>
            <w:tcW w:w="1560" w:type="dxa"/>
            <w:noWrap/>
            <w:vAlign w:val="bottom"/>
          </w:tcPr>
          <w:p w14:paraId="11773543" w14:textId="77777777" w:rsidR="00955F3D" w:rsidRPr="0067297E" w:rsidRDefault="00955F3D" w:rsidP="005647AC">
            <w:pPr>
              <w:jc w:val="right"/>
              <w:rPr>
                <w:rFonts w:asciiTheme="minorHAnsi" w:hAnsiTheme="minorHAnsi" w:cs="Calibri"/>
                <w:b/>
                <w:bCs/>
                <w:color w:val="000000"/>
                <w:sz w:val="22"/>
                <w:szCs w:val="22"/>
              </w:rPr>
            </w:pPr>
            <w:r w:rsidRPr="0067297E">
              <w:rPr>
                <w:rFonts w:asciiTheme="minorHAnsi" w:hAnsiTheme="minorHAnsi" w:cs="Calibri"/>
                <w:b/>
                <w:bCs/>
                <w:color w:val="000000"/>
                <w:sz w:val="22"/>
                <w:szCs w:val="22"/>
              </w:rPr>
              <w:t>100.0</w:t>
            </w:r>
          </w:p>
        </w:tc>
      </w:tr>
      <w:tr w:rsidR="009D369A" w:rsidRPr="0067297E" w14:paraId="5A022F23" w14:textId="77777777" w:rsidTr="00E12901">
        <w:trPr>
          <w:gridAfter w:val="1"/>
          <w:wAfter w:w="1560" w:type="dxa"/>
          <w:trHeight w:val="300"/>
        </w:trPr>
        <w:tc>
          <w:tcPr>
            <w:tcW w:w="0" w:type="auto"/>
            <w:shd w:val="clear" w:color="000000" w:fill="FFFFFF"/>
            <w:noWrap/>
            <w:vAlign w:val="bottom"/>
          </w:tcPr>
          <w:p w14:paraId="1810B443" w14:textId="77777777" w:rsidR="009D369A" w:rsidRPr="0067297E" w:rsidRDefault="009D369A" w:rsidP="00FA273F">
            <w:pPr>
              <w:rPr>
                <w:rFonts w:asciiTheme="minorHAnsi" w:hAnsiTheme="minorHAnsi" w:cs="Calibri"/>
                <w:b/>
                <w:bCs/>
                <w:sz w:val="22"/>
                <w:szCs w:val="22"/>
              </w:rPr>
            </w:pPr>
            <w:r w:rsidRPr="0067297E">
              <w:rPr>
                <w:rFonts w:asciiTheme="minorHAnsi" w:hAnsiTheme="minorHAnsi" w:cs="Calibri"/>
                <w:b/>
                <w:bCs/>
                <w:sz w:val="22"/>
                <w:szCs w:val="22"/>
              </w:rPr>
              <w:t>Unknown</w:t>
            </w:r>
          </w:p>
        </w:tc>
        <w:tc>
          <w:tcPr>
            <w:tcW w:w="1619" w:type="dxa"/>
            <w:noWrap/>
            <w:vAlign w:val="bottom"/>
          </w:tcPr>
          <w:p w14:paraId="53E02BEE" w14:textId="77777777" w:rsidR="009D369A" w:rsidRPr="0067297E" w:rsidRDefault="00955F3D" w:rsidP="005647AC">
            <w:pPr>
              <w:jc w:val="right"/>
              <w:rPr>
                <w:rFonts w:asciiTheme="minorHAnsi" w:hAnsiTheme="minorHAnsi" w:cs="Calibri"/>
                <w:b/>
                <w:bCs/>
                <w:color w:val="000000"/>
                <w:sz w:val="22"/>
                <w:szCs w:val="22"/>
              </w:rPr>
            </w:pPr>
            <w:r w:rsidRPr="0067297E">
              <w:rPr>
                <w:rFonts w:asciiTheme="minorHAnsi" w:hAnsiTheme="minorHAnsi" w:cs="Calibri"/>
                <w:b/>
                <w:bCs/>
                <w:color w:val="000000"/>
                <w:sz w:val="22"/>
                <w:szCs w:val="22"/>
              </w:rPr>
              <w:t>4,930</w:t>
            </w:r>
          </w:p>
        </w:tc>
      </w:tr>
      <w:tr w:rsidR="009D369A" w:rsidRPr="0067297E" w14:paraId="015C9425" w14:textId="77777777" w:rsidTr="00E12901">
        <w:trPr>
          <w:gridAfter w:val="1"/>
          <w:wAfter w:w="1560" w:type="dxa"/>
          <w:trHeight w:val="300"/>
        </w:trPr>
        <w:tc>
          <w:tcPr>
            <w:tcW w:w="0" w:type="auto"/>
            <w:shd w:val="clear" w:color="000000" w:fill="FFFFFF"/>
            <w:noWrap/>
            <w:vAlign w:val="bottom"/>
          </w:tcPr>
          <w:p w14:paraId="20D73E37" w14:textId="77777777" w:rsidR="009D369A" w:rsidRPr="0067297E" w:rsidRDefault="009D369A" w:rsidP="00FA273F">
            <w:pPr>
              <w:rPr>
                <w:rFonts w:asciiTheme="minorHAnsi" w:hAnsiTheme="minorHAnsi" w:cs="Calibri"/>
                <w:b/>
                <w:bCs/>
                <w:sz w:val="22"/>
                <w:szCs w:val="22"/>
              </w:rPr>
            </w:pPr>
            <w:r w:rsidRPr="0067297E">
              <w:rPr>
                <w:rFonts w:asciiTheme="minorHAnsi" w:hAnsiTheme="minorHAnsi" w:cs="Calibri"/>
                <w:b/>
                <w:bCs/>
                <w:sz w:val="22"/>
                <w:szCs w:val="22"/>
              </w:rPr>
              <w:t>Grand Total</w:t>
            </w:r>
          </w:p>
        </w:tc>
        <w:tc>
          <w:tcPr>
            <w:tcW w:w="1619" w:type="dxa"/>
            <w:noWrap/>
            <w:vAlign w:val="bottom"/>
          </w:tcPr>
          <w:p w14:paraId="7C7A780D" w14:textId="77777777" w:rsidR="009D369A" w:rsidRPr="0067297E" w:rsidRDefault="00955F3D" w:rsidP="005647AC">
            <w:pPr>
              <w:jc w:val="right"/>
              <w:rPr>
                <w:rFonts w:asciiTheme="minorHAnsi" w:hAnsiTheme="minorHAnsi" w:cs="Calibri"/>
                <w:b/>
                <w:bCs/>
                <w:color w:val="000000"/>
                <w:sz w:val="22"/>
                <w:szCs w:val="22"/>
              </w:rPr>
            </w:pPr>
            <w:r w:rsidRPr="0067297E">
              <w:rPr>
                <w:rFonts w:asciiTheme="minorHAnsi" w:hAnsiTheme="minorHAnsi" w:cs="Calibri"/>
                <w:b/>
                <w:bCs/>
                <w:color w:val="000000"/>
                <w:sz w:val="22"/>
                <w:szCs w:val="22"/>
              </w:rPr>
              <w:t>125,890</w:t>
            </w:r>
          </w:p>
        </w:tc>
      </w:tr>
    </w:tbl>
    <w:p w14:paraId="57AC0803" w14:textId="46BFFC7A" w:rsidR="009D369A" w:rsidRPr="0067297E" w:rsidRDefault="009D369A" w:rsidP="00E12901">
      <w:pPr>
        <w:ind w:left="709"/>
        <w:rPr>
          <w:rFonts w:asciiTheme="minorHAnsi" w:hAnsiTheme="minorHAnsi" w:cs="Calibri"/>
          <w:sz w:val="20"/>
          <w:szCs w:val="20"/>
        </w:rPr>
      </w:pPr>
      <w:r w:rsidRPr="0067297E">
        <w:rPr>
          <w:rFonts w:asciiTheme="minorHAnsi" w:hAnsiTheme="minorHAnsi" w:cs="Calibri"/>
          <w:sz w:val="20"/>
          <w:szCs w:val="20"/>
        </w:rPr>
        <w:t xml:space="preserve">Source: Valuation Office Agency </w:t>
      </w:r>
      <w:r w:rsidR="0017065B">
        <w:rPr>
          <w:rFonts w:asciiTheme="minorHAnsi" w:hAnsiTheme="minorHAnsi" w:cs="Calibri"/>
          <w:sz w:val="20"/>
          <w:szCs w:val="20"/>
        </w:rPr>
        <w:t>2017</w:t>
      </w:r>
    </w:p>
    <w:p w14:paraId="7DBC3A3F" w14:textId="77777777" w:rsidR="009D369A" w:rsidRPr="0067297E" w:rsidRDefault="009D369A" w:rsidP="00543A76">
      <w:pPr>
        <w:rPr>
          <w:rFonts w:asciiTheme="minorHAnsi" w:hAnsiTheme="minorHAnsi" w:cs="Calibri"/>
          <w:sz w:val="20"/>
          <w:szCs w:val="20"/>
        </w:rPr>
      </w:pPr>
    </w:p>
    <w:p w14:paraId="3913826A" w14:textId="3ADDE1D8" w:rsidR="009D369A" w:rsidRPr="0067297E" w:rsidRDefault="009D369A" w:rsidP="002C70BC">
      <w:pPr>
        <w:pStyle w:val="Reporttext"/>
        <w:numPr>
          <w:ilvl w:val="1"/>
          <w:numId w:val="33"/>
        </w:numPr>
        <w:rPr>
          <w:rFonts w:asciiTheme="minorHAnsi" w:hAnsiTheme="minorHAnsi" w:cs="Calibri"/>
        </w:rPr>
      </w:pPr>
      <w:r w:rsidRPr="0067297E">
        <w:rPr>
          <w:rFonts w:asciiTheme="minorHAnsi" w:hAnsiTheme="minorHAnsi" w:cs="Calibri"/>
        </w:rPr>
        <w:t xml:space="preserve">The English Housing Survey produces national data on dwelling condition. Applying national trends to the stock profile of </w:t>
      </w:r>
      <w:r w:rsidR="008845C2" w:rsidRPr="0067297E">
        <w:rPr>
          <w:rFonts w:asciiTheme="minorHAnsi" w:hAnsiTheme="minorHAnsi" w:cs="Calibri"/>
          <w:lang w:val="en-GB"/>
        </w:rPr>
        <w:t>the borough</w:t>
      </w:r>
      <w:r w:rsidRPr="0067297E">
        <w:rPr>
          <w:rFonts w:asciiTheme="minorHAnsi" w:hAnsiTheme="minorHAnsi" w:cs="Calibri"/>
        </w:rPr>
        <w:t xml:space="preserve"> </w:t>
      </w:r>
      <w:r w:rsidR="003B05BC" w:rsidRPr="0067297E">
        <w:rPr>
          <w:rFonts w:asciiTheme="minorHAnsi" w:hAnsiTheme="minorHAnsi" w:cs="Calibri"/>
          <w:lang w:val="en-US"/>
        </w:rPr>
        <w:t xml:space="preserve">based on age </w:t>
      </w:r>
      <w:r w:rsidRPr="0067297E">
        <w:rPr>
          <w:rFonts w:asciiTheme="minorHAnsi" w:hAnsiTheme="minorHAnsi" w:cs="Calibri"/>
        </w:rPr>
        <w:t xml:space="preserve">would suggest that around </w:t>
      </w:r>
      <w:r w:rsidR="00FC773A" w:rsidRPr="0067297E">
        <w:rPr>
          <w:rFonts w:asciiTheme="minorHAnsi" w:hAnsiTheme="minorHAnsi" w:cs="Calibri"/>
          <w:lang w:val="en-GB"/>
        </w:rPr>
        <w:t>25.2</w:t>
      </w:r>
      <w:r w:rsidRPr="0067297E">
        <w:rPr>
          <w:rFonts w:asciiTheme="minorHAnsi" w:hAnsiTheme="minorHAnsi" w:cs="Calibri"/>
        </w:rPr>
        <w:t xml:space="preserve">% of dwelling stock is non-decent, which is </w:t>
      </w:r>
      <w:r w:rsidR="00927A25" w:rsidRPr="0067297E">
        <w:rPr>
          <w:rFonts w:asciiTheme="minorHAnsi" w:hAnsiTheme="minorHAnsi" w:cs="Calibri"/>
          <w:lang w:val="en-GB"/>
        </w:rPr>
        <w:t xml:space="preserve">above </w:t>
      </w:r>
      <w:r w:rsidRPr="0067297E">
        <w:rPr>
          <w:rFonts w:asciiTheme="minorHAnsi" w:hAnsiTheme="minorHAnsi" w:cs="Calibri"/>
        </w:rPr>
        <w:t>the national average of 20.6%</w:t>
      </w:r>
      <w:r w:rsidR="008845C2" w:rsidRPr="0067297E">
        <w:rPr>
          <w:rFonts w:asciiTheme="minorHAnsi" w:hAnsiTheme="minorHAnsi" w:cs="Calibri"/>
        </w:rPr>
        <w:t xml:space="preserve"> (Table 4.</w:t>
      </w:r>
      <w:r w:rsidR="003B05BC" w:rsidRPr="0067297E">
        <w:rPr>
          <w:rFonts w:asciiTheme="minorHAnsi" w:hAnsiTheme="minorHAnsi" w:cs="Calibri"/>
          <w:lang w:val="en-GB"/>
        </w:rPr>
        <w:t>6</w:t>
      </w:r>
      <w:r w:rsidR="008845C2" w:rsidRPr="0067297E">
        <w:rPr>
          <w:rFonts w:asciiTheme="minorHAnsi" w:hAnsiTheme="minorHAnsi" w:cs="Calibri"/>
        </w:rPr>
        <w:t>)</w:t>
      </w:r>
      <w:r w:rsidRPr="0067297E">
        <w:rPr>
          <w:rFonts w:asciiTheme="minorHAnsi" w:hAnsiTheme="minorHAnsi" w:cs="Calibri"/>
        </w:rPr>
        <w:t>. The number of dwellings likely to fail the minimum standard of decent homes</w:t>
      </w:r>
      <w:r w:rsidR="006F1D57" w:rsidRPr="0067297E">
        <w:rPr>
          <w:rFonts w:asciiTheme="minorHAnsi" w:hAnsiTheme="minorHAnsi" w:cs="Calibri"/>
        </w:rPr>
        <w:t xml:space="preserve"> criteria is estimated to be </w:t>
      </w:r>
      <w:r w:rsidR="00FC773A" w:rsidRPr="0067297E">
        <w:rPr>
          <w:rFonts w:asciiTheme="minorHAnsi" w:hAnsiTheme="minorHAnsi" w:cs="Calibri"/>
          <w:lang w:val="en-GB"/>
        </w:rPr>
        <w:t>15.8</w:t>
      </w:r>
      <w:r w:rsidRPr="0067297E">
        <w:rPr>
          <w:rFonts w:asciiTheme="minorHAnsi" w:hAnsiTheme="minorHAnsi" w:cs="Calibri"/>
        </w:rPr>
        <w:t>% (compared with 11.9% nationally).</w:t>
      </w:r>
      <w:r w:rsidR="003B05BC" w:rsidRPr="0067297E">
        <w:rPr>
          <w:rFonts w:asciiTheme="minorHAnsi" w:hAnsiTheme="minorHAnsi" w:cs="Calibri"/>
          <w:lang w:val="en-US"/>
        </w:rPr>
        <w:t xml:space="preserve"> However, this is only indicative and based on national data applied to the borough.</w:t>
      </w:r>
      <w:r w:rsidRPr="0067297E">
        <w:rPr>
          <w:rFonts w:asciiTheme="minorHAnsi" w:hAnsiTheme="minorHAnsi" w:cs="Calibri"/>
        </w:rPr>
        <w:t xml:space="preserve"> </w:t>
      </w:r>
    </w:p>
    <w:p w14:paraId="3C7EFC57" w14:textId="77777777" w:rsidR="009D369A" w:rsidRPr="0067297E" w:rsidRDefault="009D369A" w:rsidP="002C70BC">
      <w:pPr>
        <w:pStyle w:val="Reporttext"/>
        <w:numPr>
          <w:ilvl w:val="1"/>
          <w:numId w:val="33"/>
        </w:numPr>
        <w:rPr>
          <w:rFonts w:asciiTheme="minorHAnsi" w:hAnsiTheme="minorHAnsi" w:cs="Calibri"/>
        </w:rPr>
      </w:pPr>
      <w:r w:rsidRPr="0067297E">
        <w:rPr>
          <w:rFonts w:asciiTheme="minorHAnsi" w:hAnsiTheme="minorHAnsi" w:cs="Calibri"/>
        </w:rPr>
        <w:t xml:space="preserve">A full definition of what constitutes a decent home is available from </w:t>
      </w:r>
      <w:r w:rsidR="00955F3D" w:rsidRPr="0067297E">
        <w:rPr>
          <w:rFonts w:asciiTheme="minorHAnsi" w:hAnsiTheme="minorHAnsi" w:cs="Calibri"/>
          <w:lang w:val="en-GB"/>
        </w:rPr>
        <w:t>MH</w:t>
      </w:r>
      <w:r w:rsidRPr="0067297E">
        <w:rPr>
          <w:rFonts w:asciiTheme="minorHAnsi" w:hAnsiTheme="minorHAnsi" w:cs="Calibri"/>
        </w:rPr>
        <w:t>CLG</w:t>
      </w:r>
      <w:r w:rsidRPr="0067297E">
        <w:rPr>
          <w:rStyle w:val="FootnoteReference"/>
          <w:rFonts w:asciiTheme="minorHAnsi" w:hAnsiTheme="minorHAnsi" w:cs="Calibri"/>
        </w:rPr>
        <w:footnoteReference w:id="19"/>
      </w:r>
      <w:r w:rsidRPr="0067297E">
        <w:rPr>
          <w:rFonts w:asciiTheme="minorHAnsi" w:hAnsiTheme="minorHAnsi" w:cs="Calibri"/>
        </w:rPr>
        <w:t xml:space="preserve"> but in summary a decent home meets the following four criteria:</w:t>
      </w:r>
    </w:p>
    <w:p w14:paraId="6EA37BA8" w14:textId="77777777" w:rsidR="009D369A" w:rsidRPr="0067297E" w:rsidRDefault="009D369A" w:rsidP="002C70BC">
      <w:pPr>
        <w:pStyle w:val="Reporttext"/>
        <w:numPr>
          <w:ilvl w:val="4"/>
          <w:numId w:val="33"/>
        </w:numPr>
        <w:tabs>
          <w:tab w:val="clear" w:pos="709"/>
          <w:tab w:val="left" w:pos="1701"/>
        </w:tabs>
        <w:ind w:left="1701"/>
        <w:rPr>
          <w:rFonts w:asciiTheme="minorHAnsi" w:hAnsiTheme="minorHAnsi" w:cs="Calibri"/>
        </w:rPr>
      </w:pPr>
      <w:r w:rsidRPr="0067297E">
        <w:rPr>
          <w:rFonts w:asciiTheme="minorHAnsi" w:hAnsiTheme="minorHAnsi" w:cs="Calibri"/>
        </w:rPr>
        <w:t>It meets the current statutory minimum for housing;</w:t>
      </w:r>
    </w:p>
    <w:p w14:paraId="10CBC502" w14:textId="77777777" w:rsidR="009D369A" w:rsidRPr="0067297E" w:rsidRDefault="009D369A" w:rsidP="002C70BC">
      <w:pPr>
        <w:pStyle w:val="Reporttext"/>
        <w:numPr>
          <w:ilvl w:val="4"/>
          <w:numId w:val="33"/>
        </w:numPr>
        <w:tabs>
          <w:tab w:val="clear" w:pos="709"/>
          <w:tab w:val="left" w:pos="1701"/>
        </w:tabs>
        <w:ind w:left="1701"/>
        <w:rPr>
          <w:rFonts w:asciiTheme="minorHAnsi" w:hAnsiTheme="minorHAnsi" w:cs="Calibri"/>
        </w:rPr>
      </w:pPr>
      <w:r w:rsidRPr="0067297E">
        <w:rPr>
          <w:rFonts w:asciiTheme="minorHAnsi" w:hAnsiTheme="minorHAnsi" w:cs="Calibri"/>
        </w:rPr>
        <w:t>It is in a reasonable state of repair;</w:t>
      </w:r>
    </w:p>
    <w:p w14:paraId="7451A3A2" w14:textId="77777777" w:rsidR="009D369A" w:rsidRPr="0067297E" w:rsidRDefault="009D369A" w:rsidP="002C70BC">
      <w:pPr>
        <w:pStyle w:val="Reporttext"/>
        <w:numPr>
          <w:ilvl w:val="4"/>
          <w:numId w:val="33"/>
        </w:numPr>
        <w:tabs>
          <w:tab w:val="clear" w:pos="709"/>
          <w:tab w:val="left" w:pos="1701"/>
        </w:tabs>
        <w:ind w:left="1701"/>
        <w:rPr>
          <w:rFonts w:asciiTheme="minorHAnsi" w:hAnsiTheme="minorHAnsi" w:cs="Calibri"/>
        </w:rPr>
      </w:pPr>
      <w:r w:rsidRPr="0067297E">
        <w:rPr>
          <w:rFonts w:asciiTheme="minorHAnsi" w:hAnsiTheme="minorHAnsi" w:cs="Calibri"/>
        </w:rPr>
        <w:t>It has reasonably modern facilities and services; and</w:t>
      </w:r>
    </w:p>
    <w:p w14:paraId="7AFF69BF" w14:textId="77777777" w:rsidR="009D369A" w:rsidRPr="0067297E" w:rsidRDefault="009D369A" w:rsidP="002C70BC">
      <w:pPr>
        <w:pStyle w:val="Reporttext"/>
        <w:numPr>
          <w:ilvl w:val="4"/>
          <w:numId w:val="33"/>
        </w:numPr>
        <w:tabs>
          <w:tab w:val="clear" w:pos="709"/>
          <w:tab w:val="left" w:pos="1701"/>
        </w:tabs>
        <w:ind w:left="1701"/>
        <w:rPr>
          <w:rFonts w:asciiTheme="minorHAnsi" w:hAnsiTheme="minorHAnsi" w:cs="Calibri"/>
        </w:rPr>
      </w:pPr>
      <w:r w:rsidRPr="0067297E">
        <w:rPr>
          <w:rFonts w:asciiTheme="minorHAnsi" w:hAnsiTheme="minorHAnsi" w:cs="Calibri"/>
        </w:rPr>
        <w:t>It provides a reasonable degree of thermal comfort.</w:t>
      </w:r>
    </w:p>
    <w:p w14:paraId="3388B3CE" w14:textId="77777777" w:rsidR="009D369A" w:rsidRPr="0067297E" w:rsidRDefault="009D369A" w:rsidP="006C722F">
      <w:pPr>
        <w:rPr>
          <w:rFonts w:asciiTheme="minorHAnsi" w:hAnsiTheme="minorHAnsi" w:cs="Calibri"/>
        </w:rPr>
      </w:pPr>
    </w:p>
    <w:p w14:paraId="1E66C393" w14:textId="77777777" w:rsidR="009D369A" w:rsidRPr="0067297E" w:rsidRDefault="009D369A" w:rsidP="006C722F">
      <w:pPr>
        <w:ind w:firstLine="709"/>
        <w:rPr>
          <w:rFonts w:asciiTheme="minorHAnsi" w:hAnsiTheme="minorHAnsi" w:cs="Calibri"/>
          <w:b/>
          <w:bCs/>
        </w:rPr>
      </w:pPr>
    </w:p>
    <w:p w14:paraId="67699ACB" w14:textId="77777777" w:rsidR="000B6518" w:rsidRPr="0067297E" w:rsidRDefault="000B6518">
      <w:pPr>
        <w:rPr>
          <w:rFonts w:asciiTheme="minorHAnsi" w:hAnsiTheme="minorHAnsi" w:cs="Calibri"/>
          <w:b/>
          <w:bCs/>
        </w:rPr>
        <w:sectPr w:rsidR="000B6518" w:rsidRPr="0067297E" w:rsidSect="009D369A">
          <w:headerReference w:type="default" r:id="rId43"/>
          <w:footerReference w:type="default" r:id="rId44"/>
          <w:pgSz w:w="11906" w:h="16838"/>
          <w:pgMar w:top="1440" w:right="1276" w:bottom="1440" w:left="1440" w:header="709" w:footer="567" w:gutter="0"/>
          <w:cols w:space="720"/>
        </w:sect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0A0" w:firstRow="1" w:lastRow="0" w:firstColumn="1" w:lastColumn="0" w:noHBand="0" w:noVBand="0"/>
      </w:tblPr>
      <w:tblGrid>
        <w:gridCol w:w="1800"/>
        <w:gridCol w:w="1516"/>
        <w:gridCol w:w="1733"/>
        <w:gridCol w:w="1756"/>
        <w:gridCol w:w="1349"/>
        <w:gridCol w:w="1654"/>
        <w:gridCol w:w="1171"/>
        <w:gridCol w:w="1643"/>
        <w:gridCol w:w="1490"/>
      </w:tblGrid>
      <w:tr w:rsidR="009D369A" w:rsidRPr="0067297E" w14:paraId="77056C85" w14:textId="77777777" w:rsidTr="00FF4E2D">
        <w:trPr>
          <w:trHeight w:val="300"/>
          <w:tblHeader/>
        </w:trPr>
        <w:tc>
          <w:tcPr>
            <w:tcW w:w="5000" w:type="pct"/>
            <w:gridSpan w:val="9"/>
            <w:shd w:val="clear" w:color="auto" w:fill="009999"/>
            <w:noWrap/>
            <w:vAlign w:val="bottom"/>
          </w:tcPr>
          <w:p w14:paraId="59644705" w14:textId="6D2DDC6E" w:rsidR="009D369A" w:rsidRPr="0067297E" w:rsidRDefault="008845C2" w:rsidP="00FA273F">
            <w:pPr>
              <w:pStyle w:val="tableheading"/>
              <w:rPr>
                <w:rFonts w:asciiTheme="minorHAnsi" w:hAnsiTheme="minorHAnsi"/>
              </w:rPr>
            </w:pPr>
            <w:bookmarkStart w:id="239" w:name="_Toc459731363"/>
            <w:bookmarkStart w:id="240" w:name="_Toc468359763"/>
            <w:bookmarkStart w:id="241" w:name="_Toc23151155"/>
            <w:r w:rsidRPr="0067297E">
              <w:rPr>
                <w:rFonts w:asciiTheme="minorHAnsi" w:hAnsiTheme="minorHAnsi"/>
              </w:rPr>
              <w:t>Table 4.</w:t>
            </w:r>
            <w:r w:rsidR="003B05BC" w:rsidRPr="0067297E">
              <w:rPr>
                <w:rFonts w:asciiTheme="minorHAnsi" w:hAnsiTheme="minorHAnsi"/>
              </w:rPr>
              <w:t>6</w:t>
            </w:r>
            <w:r w:rsidR="009D369A" w:rsidRPr="0067297E">
              <w:rPr>
                <w:rFonts w:asciiTheme="minorHAnsi" w:hAnsiTheme="minorHAnsi"/>
              </w:rPr>
              <w:tab/>
              <w:t xml:space="preserve">Dwelling stock condition in England and </w:t>
            </w:r>
            <w:r w:rsidR="00720B7E" w:rsidRPr="0067297E">
              <w:rPr>
                <w:rFonts w:asciiTheme="minorHAnsi" w:hAnsiTheme="minorHAnsi"/>
              </w:rPr>
              <w:t>Lewisham</w:t>
            </w:r>
            <w:r w:rsidR="009D369A" w:rsidRPr="0067297E">
              <w:rPr>
                <w:rFonts w:asciiTheme="minorHAnsi" w:hAnsiTheme="minorHAnsi"/>
              </w:rPr>
              <w:t xml:space="preserve"> estimates</w:t>
            </w:r>
            <w:bookmarkEnd w:id="239"/>
            <w:bookmarkEnd w:id="240"/>
            <w:bookmarkEnd w:id="241"/>
          </w:p>
        </w:tc>
      </w:tr>
      <w:tr w:rsidR="00955F3D" w:rsidRPr="0067297E" w14:paraId="4AB345EA" w14:textId="77777777" w:rsidTr="00955F3D">
        <w:trPr>
          <w:trHeight w:val="300"/>
        </w:trPr>
        <w:tc>
          <w:tcPr>
            <w:tcW w:w="1175" w:type="pct"/>
            <w:gridSpan w:val="2"/>
            <w:shd w:val="clear" w:color="auto" w:fill="009999"/>
            <w:noWrap/>
            <w:vAlign w:val="bottom"/>
          </w:tcPr>
          <w:p w14:paraId="26212520" w14:textId="77777777" w:rsidR="00955F3D" w:rsidRPr="0067297E" w:rsidRDefault="00955F3D"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England</w:t>
            </w:r>
          </w:p>
        </w:tc>
        <w:tc>
          <w:tcPr>
            <w:tcW w:w="2715" w:type="pct"/>
            <w:gridSpan w:val="5"/>
            <w:shd w:val="clear" w:color="auto" w:fill="009999"/>
            <w:vAlign w:val="bottom"/>
          </w:tcPr>
          <w:p w14:paraId="609A0B5F" w14:textId="77777777" w:rsidR="00955F3D" w:rsidRPr="0067297E" w:rsidRDefault="00955F3D"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Fails decent homes criteria</w:t>
            </w:r>
          </w:p>
        </w:tc>
        <w:tc>
          <w:tcPr>
            <w:tcW w:w="582" w:type="pct"/>
            <w:vMerge w:val="restart"/>
            <w:shd w:val="clear" w:color="auto" w:fill="009999"/>
            <w:noWrap/>
            <w:vAlign w:val="bottom"/>
          </w:tcPr>
          <w:p w14:paraId="10B3380C" w14:textId="77777777" w:rsidR="00955F3D" w:rsidRPr="0067297E" w:rsidRDefault="00955F3D"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All dwellings</w:t>
            </w:r>
            <w:r w:rsidRPr="0067297E">
              <w:rPr>
                <w:rFonts w:asciiTheme="minorHAnsi" w:hAnsiTheme="minorHAnsi" w:cs="Calibri"/>
                <w:b/>
                <w:bCs/>
                <w:color w:val="FFFFFF"/>
                <w:sz w:val="22"/>
                <w:szCs w:val="22"/>
              </w:rPr>
              <w:br/>
              <w:t>in group (000s)</w:t>
            </w:r>
          </w:p>
        </w:tc>
        <w:tc>
          <w:tcPr>
            <w:tcW w:w="528" w:type="pct"/>
            <w:vMerge w:val="restart"/>
            <w:shd w:val="clear" w:color="auto" w:fill="009999"/>
            <w:noWrap/>
            <w:vAlign w:val="bottom"/>
          </w:tcPr>
          <w:p w14:paraId="4679D37D" w14:textId="77777777" w:rsidR="00955F3D" w:rsidRPr="0067297E" w:rsidRDefault="00955F3D"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 dwellings</w:t>
            </w:r>
          </w:p>
        </w:tc>
      </w:tr>
      <w:tr w:rsidR="009D369A" w:rsidRPr="0067297E" w14:paraId="5780E4A4" w14:textId="77777777" w:rsidTr="00955F3D">
        <w:trPr>
          <w:trHeight w:val="740"/>
        </w:trPr>
        <w:tc>
          <w:tcPr>
            <w:tcW w:w="638" w:type="pct"/>
            <w:shd w:val="clear" w:color="auto" w:fill="009999"/>
            <w:noWrap/>
            <w:vAlign w:val="bottom"/>
          </w:tcPr>
          <w:p w14:paraId="5A8E043D" w14:textId="77777777" w:rsidR="009D369A" w:rsidRPr="0067297E" w:rsidRDefault="009D369A"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Dwelling age (ehs)</w:t>
            </w:r>
          </w:p>
        </w:tc>
        <w:tc>
          <w:tcPr>
            <w:tcW w:w="537" w:type="pct"/>
            <w:shd w:val="clear" w:color="auto" w:fill="009999"/>
            <w:noWrap/>
            <w:vAlign w:val="bottom"/>
          </w:tcPr>
          <w:p w14:paraId="15457706" w14:textId="77777777" w:rsidR="009D369A" w:rsidRPr="0067297E" w:rsidRDefault="00FC773A"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w:t>
            </w:r>
          </w:p>
        </w:tc>
        <w:tc>
          <w:tcPr>
            <w:tcW w:w="614" w:type="pct"/>
            <w:shd w:val="clear" w:color="auto" w:fill="009999"/>
            <w:vAlign w:val="bottom"/>
          </w:tcPr>
          <w:p w14:paraId="24F3D302" w14:textId="77777777" w:rsidR="009D369A" w:rsidRPr="0067297E" w:rsidRDefault="009D369A"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Non-decent</w:t>
            </w:r>
          </w:p>
        </w:tc>
        <w:tc>
          <w:tcPr>
            <w:tcW w:w="622" w:type="pct"/>
            <w:shd w:val="clear" w:color="auto" w:fill="009999"/>
            <w:vAlign w:val="bottom"/>
          </w:tcPr>
          <w:p w14:paraId="38F2C58D" w14:textId="77777777" w:rsidR="009D369A" w:rsidRPr="0067297E" w:rsidRDefault="009D369A"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Minimum</w:t>
            </w:r>
            <w:r w:rsidRPr="0067297E">
              <w:rPr>
                <w:rFonts w:asciiTheme="minorHAnsi" w:hAnsiTheme="minorHAnsi" w:cs="Calibri"/>
                <w:b/>
                <w:bCs/>
                <w:color w:val="FFFFFF"/>
                <w:sz w:val="22"/>
                <w:szCs w:val="22"/>
              </w:rPr>
              <w:br/>
              <w:t>standard</w:t>
            </w:r>
          </w:p>
        </w:tc>
        <w:tc>
          <w:tcPr>
            <w:tcW w:w="478" w:type="pct"/>
            <w:shd w:val="clear" w:color="auto" w:fill="009999"/>
            <w:vAlign w:val="bottom"/>
          </w:tcPr>
          <w:p w14:paraId="5491732F" w14:textId="77777777" w:rsidR="009D369A" w:rsidRPr="0067297E" w:rsidRDefault="009D369A"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Repair</w:t>
            </w:r>
          </w:p>
        </w:tc>
        <w:tc>
          <w:tcPr>
            <w:tcW w:w="586" w:type="pct"/>
            <w:shd w:val="clear" w:color="auto" w:fill="009999"/>
            <w:vAlign w:val="bottom"/>
          </w:tcPr>
          <w:p w14:paraId="6AFCBE6B" w14:textId="77777777" w:rsidR="009D369A" w:rsidRPr="0067297E" w:rsidRDefault="009D369A"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Modern facilities and services</w:t>
            </w:r>
          </w:p>
        </w:tc>
        <w:tc>
          <w:tcPr>
            <w:tcW w:w="415" w:type="pct"/>
            <w:shd w:val="clear" w:color="auto" w:fill="009999"/>
            <w:vAlign w:val="bottom"/>
          </w:tcPr>
          <w:p w14:paraId="7D2201BC" w14:textId="77777777" w:rsidR="009D369A" w:rsidRPr="0067297E" w:rsidRDefault="009D369A" w:rsidP="00FA273F">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Thermal</w:t>
            </w:r>
            <w:r w:rsidRPr="0067297E">
              <w:rPr>
                <w:rFonts w:asciiTheme="minorHAnsi" w:hAnsiTheme="minorHAnsi" w:cs="Calibri"/>
                <w:b/>
                <w:bCs/>
                <w:color w:val="FFFFFF"/>
                <w:sz w:val="22"/>
                <w:szCs w:val="22"/>
              </w:rPr>
              <w:br/>
              <w:t>comfort</w:t>
            </w:r>
          </w:p>
        </w:tc>
        <w:tc>
          <w:tcPr>
            <w:tcW w:w="582" w:type="pct"/>
            <w:vMerge/>
            <w:shd w:val="clear" w:color="auto" w:fill="009999"/>
            <w:vAlign w:val="bottom"/>
          </w:tcPr>
          <w:p w14:paraId="1CA974AC" w14:textId="77777777" w:rsidR="009D369A" w:rsidRPr="0067297E" w:rsidRDefault="009D369A" w:rsidP="00FA273F">
            <w:pPr>
              <w:jc w:val="center"/>
              <w:rPr>
                <w:rFonts w:asciiTheme="minorHAnsi" w:hAnsiTheme="minorHAnsi" w:cs="Calibri"/>
                <w:b/>
                <w:bCs/>
                <w:color w:val="FFFFFF"/>
                <w:sz w:val="22"/>
                <w:szCs w:val="22"/>
              </w:rPr>
            </w:pPr>
          </w:p>
        </w:tc>
        <w:tc>
          <w:tcPr>
            <w:tcW w:w="528" w:type="pct"/>
            <w:vMerge/>
            <w:shd w:val="clear" w:color="auto" w:fill="009999"/>
            <w:noWrap/>
            <w:vAlign w:val="bottom"/>
          </w:tcPr>
          <w:p w14:paraId="2BEDA933" w14:textId="77777777" w:rsidR="009D369A" w:rsidRPr="0067297E" w:rsidRDefault="009D369A" w:rsidP="00FA273F">
            <w:pPr>
              <w:jc w:val="center"/>
              <w:rPr>
                <w:rFonts w:asciiTheme="minorHAnsi" w:hAnsiTheme="minorHAnsi" w:cs="Calibri"/>
                <w:b/>
                <w:bCs/>
                <w:color w:val="FFFFFF"/>
                <w:sz w:val="22"/>
                <w:szCs w:val="22"/>
              </w:rPr>
            </w:pPr>
          </w:p>
        </w:tc>
      </w:tr>
      <w:tr w:rsidR="009D369A" w:rsidRPr="0067297E" w14:paraId="5FA06FA6" w14:textId="77777777" w:rsidTr="00955F3D">
        <w:trPr>
          <w:trHeight w:val="300"/>
        </w:trPr>
        <w:tc>
          <w:tcPr>
            <w:tcW w:w="638" w:type="pct"/>
            <w:shd w:val="clear" w:color="000000" w:fill="FFFFFF"/>
            <w:noWrap/>
            <w:vAlign w:val="bottom"/>
          </w:tcPr>
          <w:p w14:paraId="06D03CA0" w14:textId="77777777" w:rsidR="009D369A" w:rsidRPr="0067297E" w:rsidRDefault="009D369A" w:rsidP="00E12901">
            <w:pPr>
              <w:rPr>
                <w:rFonts w:asciiTheme="minorHAnsi" w:hAnsiTheme="minorHAnsi" w:cs="Calibri"/>
                <w:sz w:val="22"/>
                <w:szCs w:val="22"/>
              </w:rPr>
            </w:pPr>
            <w:r w:rsidRPr="0067297E">
              <w:rPr>
                <w:rFonts w:asciiTheme="minorHAnsi" w:hAnsiTheme="minorHAnsi" w:cs="Calibri"/>
                <w:sz w:val="22"/>
                <w:szCs w:val="22"/>
              </w:rPr>
              <w:t>pre-1919</w:t>
            </w:r>
          </w:p>
        </w:tc>
        <w:tc>
          <w:tcPr>
            <w:tcW w:w="537" w:type="pct"/>
            <w:shd w:val="clear" w:color="000000" w:fill="FFFFFF"/>
            <w:noWrap/>
            <w:vAlign w:val="bottom"/>
          </w:tcPr>
          <w:p w14:paraId="7DB27FD1" w14:textId="77777777" w:rsidR="009D369A" w:rsidRPr="0067297E" w:rsidRDefault="00BC2D8D" w:rsidP="00CE19D0">
            <w:pPr>
              <w:jc w:val="center"/>
              <w:rPr>
                <w:rFonts w:asciiTheme="minorHAnsi" w:hAnsiTheme="minorHAnsi" w:cs="Calibri"/>
                <w:sz w:val="22"/>
                <w:szCs w:val="22"/>
              </w:rPr>
            </w:pPr>
            <w:r w:rsidRPr="0067297E">
              <w:rPr>
                <w:rFonts w:asciiTheme="minorHAnsi" w:hAnsiTheme="minorHAnsi" w:cs="Calibri"/>
                <w:sz w:val="22"/>
                <w:szCs w:val="22"/>
              </w:rPr>
              <w:t>-</w:t>
            </w:r>
          </w:p>
        </w:tc>
        <w:tc>
          <w:tcPr>
            <w:tcW w:w="614" w:type="pct"/>
            <w:shd w:val="clear" w:color="000000" w:fill="FFFFFF"/>
            <w:noWrap/>
            <w:vAlign w:val="bottom"/>
          </w:tcPr>
          <w:p w14:paraId="43DE6FE2"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40.1</w:t>
            </w:r>
          </w:p>
        </w:tc>
        <w:tc>
          <w:tcPr>
            <w:tcW w:w="622" w:type="pct"/>
            <w:shd w:val="clear" w:color="000000" w:fill="FFFFFF"/>
            <w:noWrap/>
            <w:vAlign w:val="bottom"/>
          </w:tcPr>
          <w:p w14:paraId="47770DCA"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28.7</w:t>
            </w:r>
          </w:p>
        </w:tc>
        <w:tc>
          <w:tcPr>
            <w:tcW w:w="478" w:type="pct"/>
            <w:shd w:val="clear" w:color="000000" w:fill="FFFFFF"/>
            <w:noWrap/>
            <w:vAlign w:val="bottom"/>
          </w:tcPr>
          <w:p w14:paraId="3D58CC4F"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11.2</w:t>
            </w:r>
          </w:p>
        </w:tc>
        <w:tc>
          <w:tcPr>
            <w:tcW w:w="586" w:type="pct"/>
            <w:shd w:val="clear" w:color="000000" w:fill="FFFFFF"/>
            <w:noWrap/>
            <w:vAlign w:val="bottom"/>
          </w:tcPr>
          <w:p w14:paraId="12A2C8F2"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3.9</w:t>
            </w:r>
          </w:p>
        </w:tc>
        <w:tc>
          <w:tcPr>
            <w:tcW w:w="415" w:type="pct"/>
            <w:shd w:val="clear" w:color="000000" w:fill="FFFFFF"/>
            <w:noWrap/>
            <w:vAlign w:val="bottom"/>
          </w:tcPr>
          <w:p w14:paraId="0A03A204"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11.9</w:t>
            </w:r>
          </w:p>
        </w:tc>
        <w:tc>
          <w:tcPr>
            <w:tcW w:w="582" w:type="pct"/>
            <w:shd w:val="clear" w:color="000000" w:fill="FFFFFF"/>
            <w:noWrap/>
            <w:vAlign w:val="bottom"/>
          </w:tcPr>
          <w:p w14:paraId="486B2C79"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4,648</w:t>
            </w:r>
          </w:p>
        </w:tc>
        <w:tc>
          <w:tcPr>
            <w:tcW w:w="528" w:type="pct"/>
            <w:shd w:val="clear" w:color="000000" w:fill="FFFFFF"/>
            <w:noWrap/>
          </w:tcPr>
          <w:p w14:paraId="52960090"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20.0</w:t>
            </w:r>
          </w:p>
        </w:tc>
      </w:tr>
      <w:tr w:rsidR="009D369A" w:rsidRPr="0067297E" w14:paraId="362A71F5" w14:textId="77777777" w:rsidTr="00955F3D">
        <w:trPr>
          <w:trHeight w:val="300"/>
        </w:trPr>
        <w:tc>
          <w:tcPr>
            <w:tcW w:w="638" w:type="pct"/>
            <w:shd w:val="clear" w:color="000000" w:fill="FFFFFF"/>
            <w:noWrap/>
            <w:vAlign w:val="bottom"/>
          </w:tcPr>
          <w:p w14:paraId="28E81D41" w14:textId="77777777" w:rsidR="009D369A" w:rsidRPr="0067297E" w:rsidRDefault="009D369A" w:rsidP="00E12901">
            <w:pPr>
              <w:rPr>
                <w:rFonts w:asciiTheme="minorHAnsi" w:hAnsiTheme="minorHAnsi" w:cs="Calibri"/>
                <w:sz w:val="22"/>
                <w:szCs w:val="22"/>
              </w:rPr>
            </w:pPr>
            <w:r w:rsidRPr="0067297E">
              <w:rPr>
                <w:rFonts w:asciiTheme="minorHAnsi" w:hAnsiTheme="minorHAnsi" w:cs="Calibri"/>
                <w:sz w:val="22"/>
                <w:szCs w:val="22"/>
              </w:rPr>
              <w:t>1919-44</w:t>
            </w:r>
          </w:p>
        </w:tc>
        <w:tc>
          <w:tcPr>
            <w:tcW w:w="537" w:type="pct"/>
            <w:shd w:val="clear" w:color="000000" w:fill="FFFFFF"/>
            <w:noWrap/>
            <w:vAlign w:val="bottom"/>
          </w:tcPr>
          <w:p w14:paraId="6BB71A4E" w14:textId="77777777" w:rsidR="009D369A" w:rsidRPr="0067297E" w:rsidRDefault="00BC2D8D" w:rsidP="00CE19D0">
            <w:pPr>
              <w:jc w:val="center"/>
              <w:rPr>
                <w:rFonts w:asciiTheme="minorHAnsi" w:hAnsiTheme="minorHAnsi" w:cs="Calibri"/>
                <w:sz w:val="22"/>
                <w:szCs w:val="22"/>
              </w:rPr>
            </w:pPr>
            <w:r w:rsidRPr="0067297E">
              <w:rPr>
                <w:rFonts w:asciiTheme="minorHAnsi" w:hAnsiTheme="minorHAnsi" w:cs="Calibri"/>
                <w:sz w:val="22"/>
                <w:szCs w:val="22"/>
              </w:rPr>
              <w:t>-</w:t>
            </w:r>
          </w:p>
        </w:tc>
        <w:tc>
          <w:tcPr>
            <w:tcW w:w="614" w:type="pct"/>
            <w:shd w:val="clear" w:color="000000" w:fill="FFFFFF"/>
            <w:noWrap/>
            <w:vAlign w:val="bottom"/>
          </w:tcPr>
          <w:p w14:paraId="6A791E6A"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24.1</w:t>
            </w:r>
          </w:p>
        </w:tc>
        <w:tc>
          <w:tcPr>
            <w:tcW w:w="622" w:type="pct"/>
            <w:shd w:val="clear" w:color="000000" w:fill="FFFFFF"/>
            <w:noWrap/>
            <w:vAlign w:val="bottom"/>
          </w:tcPr>
          <w:p w14:paraId="4390C0EB"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13.1</w:t>
            </w:r>
          </w:p>
        </w:tc>
        <w:tc>
          <w:tcPr>
            <w:tcW w:w="478" w:type="pct"/>
            <w:shd w:val="clear" w:color="000000" w:fill="FFFFFF"/>
            <w:noWrap/>
            <w:vAlign w:val="bottom"/>
          </w:tcPr>
          <w:p w14:paraId="2345CD3E"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7.6</w:t>
            </w:r>
          </w:p>
        </w:tc>
        <w:tc>
          <w:tcPr>
            <w:tcW w:w="586" w:type="pct"/>
            <w:shd w:val="clear" w:color="000000" w:fill="FFFFFF"/>
            <w:noWrap/>
            <w:vAlign w:val="bottom"/>
          </w:tcPr>
          <w:p w14:paraId="47DF7D25"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1.7</w:t>
            </w:r>
          </w:p>
        </w:tc>
        <w:tc>
          <w:tcPr>
            <w:tcW w:w="415" w:type="pct"/>
            <w:shd w:val="clear" w:color="000000" w:fill="FFFFFF"/>
            <w:noWrap/>
            <w:vAlign w:val="bottom"/>
          </w:tcPr>
          <w:p w14:paraId="63D0C211"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7.6</w:t>
            </w:r>
          </w:p>
        </w:tc>
        <w:tc>
          <w:tcPr>
            <w:tcW w:w="582" w:type="pct"/>
            <w:shd w:val="clear" w:color="000000" w:fill="FFFFFF"/>
            <w:noWrap/>
            <w:vAlign w:val="bottom"/>
          </w:tcPr>
          <w:p w14:paraId="5AB1E6E8"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3,930</w:t>
            </w:r>
          </w:p>
        </w:tc>
        <w:tc>
          <w:tcPr>
            <w:tcW w:w="528" w:type="pct"/>
            <w:shd w:val="clear" w:color="000000" w:fill="FFFFFF"/>
            <w:noWrap/>
          </w:tcPr>
          <w:p w14:paraId="75F43F39"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16.9</w:t>
            </w:r>
          </w:p>
        </w:tc>
      </w:tr>
      <w:tr w:rsidR="009D369A" w:rsidRPr="0067297E" w14:paraId="6F4F10EC" w14:textId="77777777" w:rsidTr="00955F3D">
        <w:trPr>
          <w:trHeight w:val="300"/>
        </w:trPr>
        <w:tc>
          <w:tcPr>
            <w:tcW w:w="638" w:type="pct"/>
            <w:shd w:val="clear" w:color="000000" w:fill="FFFFFF"/>
            <w:noWrap/>
            <w:vAlign w:val="bottom"/>
          </w:tcPr>
          <w:p w14:paraId="15628E69" w14:textId="77777777" w:rsidR="009D369A" w:rsidRPr="0067297E" w:rsidRDefault="009D369A" w:rsidP="00E12901">
            <w:pPr>
              <w:rPr>
                <w:rFonts w:asciiTheme="minorHAnsi" w:hAnsiTheme="minorHAnsi" w:cs="Calibri"/>
                <w:sz w:val="22"/>
                <w:szCs w:val="22"/>
              </w:rPr>
            </w:pPr>
            <w:r w:rsidRPr="0067297E">
              <w:rPr>
                <w:rFonts w:asciiTheme="minorHAnsi" w:hAnsiTheme="minorHAnsi" w:cs="Calibri"/>
                <w:sz w:val="22"/>
                <w:szCs w:val="22"/>
              </w:rPr>
              <w:t>1945-64</w:t>
            </w:r>
          </w:p>
        </w:tc>
        <w:tc>
          <w:tcPr>
            <w:tcW w:w="537" w:type="pct"/>
            <w:shd w:val="clear" w:color="000000" w:fill="FFFFFF"/>
            <w:noWrap/>
            <w:vAlign w:val="bottom"/>
          </w:tcPr>
          <w:p w14:paraId="00FE13C9" w14:textId="77777777" w:rsidR="009D369A" w:rsidRPr="0067297E" w:rsidRDefault="00BC2D8D" w:rsidP="00CE19D0">
            <w:pPr>
              <w:jc w:val="center"/>
              <w:rPr>
                <w:rFonts w:asciiTheme="minorHAnsi" w:hAnsiTheme="minorHAnsi" w:cs="Calibri"/>
                <w:sz w:val="22"/>
                <w:szCs w:val="22"/>
              </w:rPr>
            </w:pPr>
            <w:r w:rsidRPr="0067297E">
              <w:rPr>
                <w:rFonts w:asciiTheme="minorHAnsi" w:hAnsiTheme="minorHAnsi" w:cs="Calibri"/>
                <w:sz w:val="22"/>
                <w:szCs w:val="22"/>
              </w:rPr>
              <w:t>-</w:t>
            </w:r>
          </w:p>
        </w:tc>
        <w:tc>
          <w:tcPr>
            <w:tcW w:w="614" w:type="pct"/>
            <w:shd w:val="clear" w:color="000000" w:fill="FFFFFF"/>
            <w:noWrap/>
            <w:vAlign w:val="bottom"/>
          </w:tcPr>
          <w:p w14:paraId="2E49BDFE"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16.6</w:t>
            </w:r>
          </w:p>
        </w:tc>
        <w:tc>
          <w:tcPr>
            <w:tcW w:w="622" w:type="pct"/>
            <w:shd w:val="clear" w:color="000000" w:fill="FFFFFF"/>
            <w:noWrap/>
            <w:vAlign w:val="bottom"/>
          </w:tcPr>
          <w:p w14:paraId="5E0A870C"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8.0</w:t>
            </w:r>
          </w:p>
        </w:tc>
        <w:tc>
          <w:tcPr>
            <w:tcW w:w="478" w:type="pct"/>
            <w:shd w:val="clear" w:color="000000" w:fill="FFFFFF"/>
            <w:noWrap/>
            <w:vAlign w:val="bottom"/>
          </w:tcPr>
          <w:p w14:paraId="54EBD187"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3.6</w:t>
            </w:r>
          </w:p>
        </w:tc>
        <w:tc>
          <w:tcPr>
            <w:tcW w:w="586" w:type="pct"/>
            <w:shd w:val="clear" w:color="000000" w:fill="FFFFFF"/>
            <w:noWrap/>
            <w:vAlign w:val="bottom"/>
          </w:tcPr>
          <w:p w14:paraId="75D21B6E"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2.0</w:t>
            </w:r>
          </w:p>
        </w:tc>
        <w:tc>
          <w:tcPr>
            <w:tcW w:w="415" w:type="pct"/>
            <w:shd w:val="clear" w:color="000000" w:fill="FFFFFF"/>
            <w:noWrap/>
            <w:vAlign w:val="bottom"/>
          </w:tcPr>
          <w:p w14:paraId="187340AD"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5.7</w:t>
            </w:r>
          </w:p>
        </w:tc>
        <w:tc>
          <w:tcPr>
            <w:tcW w:w="582" w:type="pct"/>
            <w:shd w:val="clear" w:color="000000" w:fill="FFFFFF"/>
            <w:noWrap/>
            <w:vAlign w:val="bottom"/>
          </w:tcPr>
          <w:p w14:paraId="1884EE1D"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4,505</w:t>
            </w:r>
          </w:p>
        </w:tc>
        <w:tc>
          <w:tcPr>
            <w:tcW w:w="528" w:type="pct"/>
            <w:shd w:val="clear" w:color="000000" w:fill="FFFFFF"/>
            <w:noWrap/>
          </w:tcPr>
          <w:p w14:paraId="3EAF8A07"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19.4</w:t>
            </w:r>
          </w:p>
        </w:tc>
      </w:tr>
      <w:tr w:rsidR="009D369A" w:rsidRPr="0067297E" w14:paraId="061063BC" w14:textId="77777777" w:rsidTr="00955F3D">
        <w:trPr>
          <w:trHeight w:val="300"/>
        </w:trPr>
        <w:tc>
          <w:tcPr>
            <w:tcW w:w="638" w:type="pct"/>
            <w:shd w:val="clear" w:color="000000" w:fill="FFFFFF"/>
            <w:noWrap/>
            <w:vAlign w:val="bottom"/>
          </w:tcPr>
          <w:p w14:paraId="47491A88" w14:textId="77777777" w:rsidR="009D369A" w:rsidRPr="0067297E" w:rsidRDefault="009D369A" w:rsidP="00E12901">
            <w:pPr>
              <w:rPr>
                <w:rFonts w:asciiTheme="minorHAnsi" w:hAnsiTheme="minorHAnsi" w:cs="Calibri"/>
                <w:sz w:val="22"/>
                <w:szCs w:val="22"/>
              </w:rPr>
            </w:pPr>
            <w:r w:rsidRPr="0067297E">
              <w:rPr>
                <w:rFonts w:asciiTheme="minorHAnsi" w:hAnsiTheme="minorHAnsi" w:cs="Calibri"/>
                <w:sz w:val="22"/>
                <w:szCs w:val="22"/>
              </w:rPr>
              <w:t>1965-80</w:t>
            </w:r>
          </w:p>
        </w:tc>
        <w:tc>
          <w:tcPr>
            <w:tcW w:w="537" w:type="pct"/>
            <w:shd w:val="clear" w:color="000000" w:fill="FFFFFF"/>
            <w:noWrap/>
            <w:vAlign w:val="bottom"/>
          </w:tcPr>
          <w:p w14:paraId="5A8BA35A" w14:textId="77777777" w:rsidR="009D369A" w:rsidRPr="0067297E" w:rsidRDefault="00BC2D8D" w:rsidP="00CE19D0">
            <w:pPr>
              <w:jc w:val="center"/>
              <w:rPr>
                <w:rFonts w:asciiTheme="minorHAnsi" w:hAnsiTheme="minorHAnsi" w:cs="Calibri"/>
                <w:sz w:val="22"/>
                <w:szCs w:val="22"/>
              </w:rPr>
            </w:pPr>
            <w:r w:rsidRPr="0067297E">
              <w:rPr>
                <w:rFonts w:asciiTheme="minorHAnsi" w:hAnsiTheme="minorHAnsi" w:cs="Calibri"/>
                <w:sz w:val="22"/>
                <w:szCs w:val="22"/>
              </w:rPr>
              <w:t>-</w:t>
            </w:r>
          </w:p>
        </w:tc>
        <w:tc>
          <w:tcPr>
            <w:tcW w:w="614" w:type="pct"/>
            <w:shd w:val="clear" w:color="000000" w:fill="FFFFFF"/>
            <w:noWrap/>
            <w:vAlign w:val="bottom"/>
          </w:tcPr>
          <w:p w14:paraId="3A06ACA1"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17.5</w:t>
            </w:r>
          </w:p>
        </w:tc>
        <w:tc>
          <w:tcPr>
            <w:tcW w:w="622" w:type="pct"/>
            <w:shd w:val="clear" w:color="000000" w:fill="FFFFFF"/>
            <w:noWrap/>
            <w:vAlign w:val="bottom"/>
          </w:tcPr>
          <w:p w14:paraId="2D197CC6"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8.8</w:t>
            </w:r>
          </w:p>
        </w:tc>
        <w:tc>
          <w:tcPr>
            <w:tcW w:w="478" w:type="pct"/>
            <w:shd w:val="clear" w:color="000000" w:fill="FFFFFF"/>
            <w:noWrap/>
            <w:vAlign w:val="bottom"/>
          </w:tcPr>
          <w:p w14:paraId="45D47B11"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1.8</w:t>
            </w:r>
          </w:p>
        </w:tc>
        <w:tc>
          <w:tcPr>
            <w:tcW w:w="586" w:type="pct"/>
            <w:shd w:val="clear" w:color="000000" w:fill="FFFFFF"/>
            <w:noWrap/>
            <w:vAlign w:val="bottom"/>
          </w:tcPr>
          <w:p w14:paraId="03820B6E"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1.9</w:t>
            </w:r>
          </w:p>
        </w:tc>
        <w:tc>
          <w:tcPr>
            <w:tcW w:w="415" w:type="pct"/>
            <w:shd w:val="clear" w:color="000000" w:fill="FFFFFF"/>
            <w:noWrap/>
            <w:vAlign w:val="bottom"/>
          </w:tcPr>
          <w:p w14:paraId="2EFD1CAE"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7.6</w:t>
            </w:r>
          </w:p>
        </w:tc>
        <w:tc>
          <w:tcPr>
            <w:tcW w:w="582" w:type="pct"/>
            <w:shd w:val="clear" w:color="000000" w:fill="FFFFFF"/>
            <w:noWrap/>
            <w:vAlign w:val="bottom"/>
          </w:tcPr>
          <w:p w14:paraId="3F420F03"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4,757</w:t>
            </w:r>
          </w:p>
        </w:tc>
        <w:tc>
          <w:tcPr>
            <w:tcW w:w="528" w:type="pct"/>
            <w:shd w:val="clear" w:color="000000" w:fill="FFFFFF"/>
            <w:noWrap/>
          </w:tcPr>
          <w:p w14:paraId="6446AAB9"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20.5</w:t>
            </w:r>
          </w:p>
        </w:tc>
      </w:tr>
      <w:tr w:rsidR="009D369A" w:rsidRPr="0067297E" w14:paraId="691CA4FC" w14:textId="77777777" w:rsidTr="00955F3D">
        <w:trPr>
          <w:trHeight w:val="300"/>
        </w:trPr>
        <w:tc>
          <w:tcPr>
            <w:tcW w:w="638" w:type="pct"/>
            <w:shd w:val="clear" w:color="000000" w:fill="FFFFFF"/>
            <w:noWrap/>
            <w:vAlign w:val="bottom"/>
          </w:tcPr>
          <w:p w14:paraId="3DCEE5AF" w14:textId="77777777" w:rsidR="009D369A" w:rsidRPr="0067297E" w:rsidRDefault="009D369A" w:rsidP="00E12901">
            <w:pPr>
              <w:rPr>
                <w:rFonts w:asciiTheme="minorHAnsi" w:hAnsiTheme="minorHAnsi" w:cs="Calibri"/>
                <w:sz w:val="22"/>
                <w:szCs w:val="22"/>
              </w:rPr>
            </w:pPr>
            <w:r w:rsidRPr="0067297E">
              <w:rPr>
                <w:rFonts w:asciiTheme="minorHAnsi" w:hAnsiTheme="minorHAnsi" w:cs="Calibri"/>
                <w:sz w:val="22"/>
                <w:szCs w:val="22"/>
              </w:rPr>
              <w:t>1981-90</w:t>
            </w:r>
          </w:p>
        </w:tc>
        <w:tc>
          <w:tcPr>
            <w:tcW w:w="537" w:type="pct"/>
            <w:shd w:val="clear" w:color="000000" w:fill="FFFFFF"/>
            <w:noWrap/>
            <w:vAlign w:val="bottom"/>
          </w:tcPr>
          <w:p w14:paraId="454E41DE" w14:textId="77777777" w:rsidR="009D369A" w:rsidRPr="0067297E" w:rsidRDefault="00BC2D8D" w:rsidP="00CE19D0">
            <w:pPr>
              <w:jc w:val="center"/>
              <w:rPr>
                <w:rFonts w:asciiTheme="minorHAnsi" w:hAnsiTheme="minorHAnsi" w:cs="Calibri"/>
                <w:sz w:val="22"/>
                <w:szCs w:val="22"/>
              </w:rPr>
            </w:pPr>
            <w:r w:rsidRPr="0067297E">
              <w:rPr>
                <w:rFonts w:asciiTheme="minorHAnsi" w:hAnsiTheme="minorHAnsi" w:cs="Calibri"/>
                <w:sz w:val="22"/>
                <w:szCs w:val="22"/>
              </w:rPr>
              <w:t>-</w:t>
            </w:r>
          </w:p>
        </w:tc>
        <w:tc>
          <w:tcPr>
            <w:tcW w:w="614" w:type="pct"/>
            <w:shd w:val="clear" w:color="000000" w:fill="FFFFFF"/>
            <w:noWrap/>
            <w:vAlign w:val="bottom"/>
          </w:tcPr>
          <w:p w14:paraId="6641AC93"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17.6</w:t>
            </w:r>
          </w:p>
        </w:tc>
        <w:tc>
          <w:tcPr>
            <w:tcW w:w="622" w:type="pct"/>
            <w:shd w:val="clear" w:color="000000" w:fill="FFFFFF"/>
            <w:noWrap/>
            <w:vAlign w:val="bottom"/>
          </w:tcPr>
          <w:p w14:paraId="008675D2"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4.7</w:t>
            </w:r>
          </w:p>
        </w:tc>
        <w:tc>
          <w:tcPr>
            <w:tcW w:w="478" w:type="pct"/>
            <w:shd w:val="clear" w:color="000000" w:fill="FFFFFF"/>
            <w:noWrap/>
            <w:vAlign w:val="bottom"/>
          </w:tcPr>
          <w:p w14:paraId="4162BAC7"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w:t>
            </w:r>
          </w:p>
        </w:tc>
        <w:tc>
          <w:tcPr>
            <w:tcW w:w="586" w:type="pct"/>
            <w:shd w:val="clear" w:color="000000" w:fill="FFFFFF"/>
            <w:noWrap/>
            <w:vAlign w:val="bottom"/>
          </w:tcPr>
          <w:p w14:paraId="03A434B2"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.9</w:t>
            </w:r>
          </w:p>
        </w:tc>
        <w:tc>
          <w:tcPr>
            <w:tcW w:w="415" w:type="pct"/>
            <w:shd w:val="clear" w:color="000000" w:fill="FFFFFF"/>
            <w:noWrap/>
            <w:vAlign w:val="bottom"/>
          </w:tcPr>
          <w:p w14:paraId="4D864BC8"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13.5</w:t>
            </w:r>
          </w:p>
        </w:tc>
        <w:tc>
          <w:tcPr>
            <w:tcW w:w="582" w:type="pct"/>
            <w:shd w:val="clear" w:color="000000" w:fill="FFFFFF"/>
            <w:noWrap/>
            <w:vAlign w:val="bottom"/>
          </w:tcPr>
          <w:p w14:paraId="34161D8F"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1,953</w:t>
            </w:r>
          </w:p>
        </w:tc>
        <w:tc>
          <w:tcPr>
            <w:tcW w:w="528" w:type="pct"/>
            <w:shd w:val="clear" w:color="000000" w:fill="FFFFFF"/>
            <w:noWrap/>
          </w:tcPr>
          <w:p w14:paraId="4F78D1FD"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8.4</w:t>
            </w:r>
          </w:p>
        </w:tc>
      </w:tr>
      <w:tr w:rsidR="009D369A" w:rsidRPr="0067297E" w14:paraId="6D7CF96F" w14:textId="77777777" w:rsidTr="00955F3D">
        <w:trPr>
          <w:trHeight w:val="300"/>
        </w:trPr>
        <w:tc>
          <w:tcPr>
            <w:tcW w:w="638" w:type="pct"/>
            <w:shd w:val="clear" w:color="000000" w:fill="FFFFFF"/>
            <w:noWrap/>
            <w:vAlign w:val="bottom"/>
          </w:tcPr>
          <w:p w14:paraId="0AF23BBB" w14:textId="77777777" w:rsidR="009D369A" w:rsidRPr="0067297E" w:rsidRDefault="009D369A" w:rsidP="00E12901">
            <w:pPr>
              <w:rPr>
                <w:rFonts w:asciiTheme="minorHAnsi" w:hAnsiTheme="minorHAnsi" w:cs="Calibri"/>
                <w:sz w:val="22"/>
                <w:szCs w:val="22"/>
              </w:rPr>
            </w:pPr>
            <w:r w:rsidRPr="0067297E">
              <w:rPr>
                <w:rFonts w:asciiTheme="minorHAnsi" w:hAnsiTheme="minorHAnsi" w:cs="Calibri"/>
                <w:sz w:val="22"/>
                <w:szCs w:val="22"/>
              </w:rPr>
              <w:t>post 1990</w:t>
            </w:r>
          </w:p>
        </w:tc>
        <w:tc>
          <w:tcPr>
            <w:tcW w:w="537" w:type="pct"/>
            <w:shd w:val="clear" w:color="000000" w:fill="FFFFFF"/>
            <w:noWrap/>
            <w:vAlign w:val="bottom"/>
          </w:tcPr>
          <w:p w14:paraId="09EA22CB" w14:textId="77777777" w:rsidR="009D369A" w:rsidRPr="0067297E" w:rsidRDefault="00BC2D8D" w:rsidP="00CE19D0">
            <w:pPr>
              <w:jc w:val="center"/>
              <w:rPr>
                <w:rFonts w:asciiTheme="minorHAnsi" w:hAnsiTheme="minorHAnsi" w:cs="Calibri"/>
                <w:sz w:val="22"/>
                <w:szCs w:val="22"/>
              </w:rPr>
            </w:pPr>
            <w:r w:rsidRPr="0067297E">
              <w:rPr>
                <w:rFonts w:asciiTheme="minorHAnsi" w:hAnsiTheme="minorHAnsi" w:cs="Calibri"/>
                <w:sz w:val="22"/>
                <w:szCs w:val="22"/>
              </w:rPr>
              <w:t>-</w:t>
            </w:r>
          </w:p>
        </w:tc>
        <w:tc>
          <w:tcPr>
            <w:tcW w:w="614" w:type="pct"/>
            <w:shd w:val="clear" w:color="000000" w:fill="FFFFFF"/>
            <w:noWrap/>
            <w:vAlign w:val="bottom"/>
          </w:tcPr>
          <w:p w14:paraId="76457F83"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1.5</w:t>
            </w:r>
          </w:p>
        </w:tc>
        <w:tc>
          <w:tcPr>
            <w:tcW w:w="622" w:type="pct"/>
            <w:shd w:val="clear" w:color="000000" w:fill="FFFFFF"/>
            <w:noWrap/>
            <w:vAlign w:val="bottom"/>
          </w:tcPr>
          <w:p w14:paraId="6339C684"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1.5</w:t>
            </w:r>
          </w:p>
        </w:tc>
        <w:tc>
          <w:tcPr>
            <w:tcW w:w="478" w:type="pct"/>
            <w:shd w:val="clear" w:color="000000" w:fill="FFFFFF"/>
            <w:noWrap/>
            <w:vAlign w:val="bottom"/>
          </w:tcPr>
          <w:p w14:paraId="3A818E98"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w:t>
            </w:r>
          </w:p>
        </w:tc>
        <w:tc>
          <w:tcPr>
            <w:tcW w:w="586" w:type="pct"/>
            <w:shd w:val="clear" w:color="000000" w:fill="FFFFFF"/>
            <w:noWrap/>
            <w:vAlign w:val="bottom"/>
          </w:tcPr>
          <w:p w14:paraId="1748327D"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w:t>
            </w:r>
          </w:p>
        </w:tc>
        <w:tc>
          <w:tcPr>
            <w:tcW w:w="415" w:type="pct"/>
            <w:shd w:val="clear" w:color="000000" w:fill="FFFFFF"/>
            <w:noWrap/>
            <w:vAlign w:val="bottom"/>
          </w:tcPr>
          <w:p w14:paraId="47C5B403"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w:t>
            </w:r>
          </w:p>
        </w:tc>
        <w:tc>
          <w:tcPr>
            <w:tcW w:w="582" w:type="pct"/>
            <w:shd w:val="clear" w:color="000000" w:fill="FFFFFF"/>
            <w:noWrap/>
            <w:vAlign w:val="bottom"/>
          </w:tcPr>
          <w:p w14:paraId="06979F53"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3,460</w:t>
            </w:r>
          </w:p>
        </w:tc>
        <w:tc>
          <w:tcPr>
            <w:tcW w:w="528" w:type="pct"/>
            <w:shd w:val="clear" w:color="000000" w:fill="FFFFFF"/>
            <w:noWrap/>
          </w:tcPr>
          <w:p w14:paraId="01C7EA87"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14.9</w:t>
            </w:r>
          </w:p>
        </w:tc>
      </w:tr>
      <w:tr w:rsidR="009D369A" w:rsidRPr="0067297E" w14:paraId="5375C99C" w14:textId="77777777" w:rsidTr="00955F3D">
        <w:trPr>
          <w:trHeight w:val="300"/>
        </w:trPr>
        <w:tc>
          <w:tcPr>
            <w:tcW w:w="1175" w:type="pct"/>
            <w:gridSpan w:val="2"/>
            <w:shd w:val="clear" w:color="000000" w:fill="FFFFFF"/>
            <w:noWrap/>
            <w:vAlign w:val="bottom"/>
          </w:tcPr>
          <w:p w14:paraId="6E7A0099" w14:textId="77777777" w:rsidR="009D369A" w:rsidRPr="0067297E" w:rsidRDefault="009D369A" w:rsidP="00E12901">
            <w:pPr>
              <w:rPr>
                <w:rFonts w:asciiTheme="minorHAnsi" w:hAnsiTheme="minorHAnsi" w:cs="Calibri"/>
                <w:b/>
                <w:bCs/>
                <w:sz w:val="22"/>
                <w:szCs w:val="22"/>
              </w:rPr>
            </w:pPr>
            <w:r w:rsidRPr="0067297E">
              <w:rPr>
                <w:rFonts w:asciiTheme="minorHAnsi" w:hAnsiTheme="minorHAnsi" w:cs="Calibri"/>
                <w:b/>
                <w:bCs/>
                <w:sz w:val="22"/>
                <w:szCs w:val="22"/>
              </w:rPr>
              <w:t>Total</w:t>
            </w:r>
          </w:p>
        </w:tc>
        <w:tc>
          <w:tcPr>
            <w:tcW w:w="614" w:type="pct"/>
            <w:shd w:val="clear" w:color="000000" w:fill="FFFFFF"/>
            <w:noWrap/>
            <w:vAlign w:val="bottom"/>
          </w:tcPr>
          <w:p w14:paraId="5975E64A"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20.6</w:t>
            </w:r>
          </w:p>
        </w:tc>
        <w:tc>
          <w:tcPr>
            <w:tcW w:w="622" w:type="pct"/>
            <w:shd w:val="clear" w:color="000000" w:fill="FFFFFF"/>
            <w:noWrap/>
            <w:vAlign w:val="bottom"/>
          </w:tcPr>
          <w:p w14:paraId="1B1096B4"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11.9</w:t>
            </w:r>
          </w:p>
        </w:tc>
        <w:tc>
          <w:tcPr>
            <w:tcW w:w="478" w:type="pct"/>
            <w:shd w:val="clear" w:color="000000" w:fill="FFFFFF"/>
            <w:noWrap/>
            <w:vAlign w:val="bottom"/>
          </w:tcPr>
          <w:p w14:paraId="6672277E"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4.6</w:t>
            </w:r>
          </w:p>
        </w:tc>
        <w:tc>
          <w:tcPr>
            <w:tcW w:w="586" w:type="pct"/>
            <w:shd w:val="clear" w:color="000000" w:fill="FFFFFF"/>
            <w:noWrap/>
            <w:vAlign w:val="bottom"/>
          </w:tcPr>
          <w:p w14:paraId="4461FE24"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1.9</w:t>
            </w:r>
          </w:p>
        </w:tc>
        <w:tc>
          <w:tcPr>
            <w:tcW w:w="415" w:type="pct"/>
            <w:shd w:val="clear" w:color="000000" w:fill="FFFFFF"/>
            <w:noWrap/>
            <w:vAlign w:val="bottom"/>
          </w:tcPr>
          <w:p w14:paraId="7E5F7E18"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7.5</w:t>
            </w:r>
          </w:p>
        </w:tc>
        <w:tc>
          <w:tcPr>
            <w:tcW w:w="582" w:type="pct"/>
            <w:shd w:val="clear" w:color="000000" w:fill="FFFFFF"/>
            <w:noWrap/>
            <w:vAlign w:val="bottom"/>
          </w:tcPr>
          <w:p w14:paraId="307568D0" w14:textId="77777777" w:rsidR="009D369A" w:rsidRPr="0067297E" w:rsidRDefault="009D369A" w:rsidP="00CE19D0">
            <w:pPr>
              <w:jc w:val="right"/>
              <w:rPr>
                <w:rFonts w:asciiTheme="minorHAnsi" w:hAnsiTheme="minorHAnsi" w:cs="Calibri"/>
                <w:sz w:val="22"/>
                <w:szCs w:val="22"/>
              </w:rPr>
            </w:pPr>
            <w:r w:rsidRPr="0067297E">
              <w:rPr>
                <w:rFonts w:asciiTheme="minorHAnsi" w:hAnsiTheme="minorHAnsi" w:cs="Calibri"/>
                <w:sz w:val="22"/>
                <w:szCs w:val="22"/>
              </w:rPr>
              <w:t>23,254</w:t>
            </w:r>
          </w:p>
        </w:tc>
        <w:tc>
          <w:tcPr>
            <w:tcW w:w="528" w:type="pct"/>
            <w:shd w:val="clear" w:color="000000" w:fill="FFFFFF"/>
            <w:noWrap/>
          </w:tcPr>
          <w:p w14:paraId="2342C46A" w14:textId="77777777" w:rsidR="009D369A" w:rsidRPr="0067297E" w:rsidRDefault="009D369A" w:rsidP="00CE19D0">
            <w:pPr>
              <w:jc w:val="right"/>
              <w:rPr>
                <w:rFonts w:asciiTheme="minorHAnsi" w:hAnsiTheme="minorHAnsi" w:cs="Calibri"/>
                <w:b/>
                <w:bCs/>
                <w:sz w:val="22"/>
                <w:szCs w:val="22"/>
              </w:rPr>
            </w:pPr>
            <w:r w:rsidRPr="0067297E">
              <w:rPr>
                <w:rFonts w:asciiTheme="minorHAnsi" w:hAnsiTheme="minorHAnsi" w:cs="Calibri"/>
                <w:b/>
                <w:bCs/>
                <w:sz w:val="22"/>
                <w:szCs w:val="22"/>
              </w:rPr>
              <w:t>100.0</w:t>
            </w:r>
          </w:p>
        </w:tc>
      </w:tr>
      <w:tr w:rsidR="00955F3D" w:rsidRPr="0067297E" w14:paraId="7D05B4C4" w14:textId="77777777" w:rsidTr="00955F3D">
        <w:trPr>
          <w:trHeight w:val="300"/>
        </w:trPr>
        <w:tc>
          <w:tcPr>
            <w:tcW w:w="1175" w:type="pct"/>
            <w:gridSpan w:val="2"/>
            <w:shd w:val="clear" w:color="auto" w:fill="009999"/>
            <w:noWrap/>
            <w:vAlign w:val="bottom"/>
          </w:tcPr>
          <w:p w14:paraId="68C43ADD" w14:textId="77777777" w:rsidR="00955F3D" w:rsidRPr="0067297E" w:rsidRDefault="00955F3D"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Lewisham</w:t>
            </w:r>
          </w:p>
        </w:tc>
        <w:tc>
          <w:tcPr>
            <w:tcW w:w="2715" w:type="pct"/>
            <w:gridSpan w:val="5"/>
            <w:shd w:val="clear" w:color="auto" w:fill="009999"/>
            <w:vAlign w:val="bottom"/>
          </w:tcPr>
          <w:p w14:paraId="4B131E48" w14:textId="77777777" w:rsidR="00955F3D" w:rsidRPr="0067297E" w:rsidRDefault="00955F3D"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Fails decent homes criteria (estimate)</w:t>
            </w:r>
          </w:p>
        </w:tc>
        <w:tc>
          <w:tcPr>
            <w:tcW w:w="582" w:type="pct"/>
            <w:vMerge w:val="restart"/>
            <w:shd w:val="clear" w:color="auto" w:fill="009999"/>
            <w:noWrap/>
            <w:vAlign w:val="bottom"/>
          </w:tcPr>
          <w:p w14:paraId="377D7C82" w14:textId="77777777" w:rsidR="00955F3D" w:rsidRPr="0067297E" w:rsidRDefault="00955F3D"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All dwellings</w:t>
            </w:r>
          </w:p>
        </w:tc>
        <w:tc>
          <w:tcPr>
            <w:tcW w:w="528" w:type="pct"/>
            <w:vMerge w:val="restart"/>
            <w:shd w:val="clear" w:color="auto" w:fill="009999"/>
            <w:noWrap/>
            <w:vAlign w:val="bottom"/>
          </w:tcPr>
          <w:p w14:paraId="641E6496" w14:textId="77777777" w:rsidR="00955F3D" w:rsidRPr="0067297E" w:rsidRDefault="00955F3D"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 dwellings</w:t>
            </w:r>
          </w:p>
        </w:tc>
      </w:tr>
      <w:tr w:rsidR="009D369A" w:rsidRPr="0067297E" w14:paraId="26ECEAC5" w14:textId="77777777" w:rsidTr="00955F3D">
        <w:trPr>
          <w:trHeight w:val="500"/>
        </w:trPr>
        <w:tc>
          <w:tcPr>
            <w:tcW w:w="638" w:type="pct"/>
            <w:shd w:val="clear" w:color="auto" w:fill="009999"/>
            <w:noWrap/>
            <w:vAlign w:val="bottom"/>
          </w:tcPr>
          <w:p w14:paraId="5EF4C115" w14:textId="77777777" w:rsidR="009D369A" w:rsidRPr="0067297E" w:rsidRDefault="009D369A"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Dwelling age (ehs)</w:t>
            </w:r>
          </w:p>
        </w:tc>
        <w:tc>
          <w:tcPr>
            <w:tcW w:w="537" w:type="pct"/>
            <w:shd w:val="clear" w:color="auto" w:fill="009999"/>
            <w:noWrap/>
            <w:vAlign w:val="bottom"/>
          </w:tcPr>
          <w:p w14:paraId="6EA02276" w14:textId="77777777" w:rsidR="009D369A" w:rsidRPr="0067297E" w:rsidRDefault="009D369A"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Dwelling age (voa)</w:t>
            </w:r>
          </w:p>
        </w:tc>
        <w:tc>
          <w:tcPr>
            <w:tcW w:w="614" w:type="pct"/>
            <w:shd w:val="clear" w:color="auto" w:fill="009999"/>
            <w:vAlign w:val="bottom"/>
          </w:tcPr>
          <w:p w14:paraId="1056EEEC" w14:textId="77777777" w:rsidR="009D369A" w:rsidRPr="0067297E" w:rsidRDefault="009D369A"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Non-decent</w:t>
            </w:r>
          </w:p>
        </w:tc>
        <w:tc>
          <w:tcPr>
            <w:tcW w:w="622" w:type="pct"/>
            <w:shd w:val="clear" w:color="auto" w:fill="009999"/>
            <w:vAlign w:val="bottom"/>
          </w:tcPr>
          <w:p w14:paraId="7218967E" w14:textId="77777777" w:rsidR="009D369A" w:rsidRPr="0067297E" w:rsidRDefault="009D369A"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Minimum</w:t>
            </w:r>
            <w:r w:rsidRPr="0067297E">
              <w:rPr>
                <w:rFonts w:asciiTheme="minorHAnsi" w:hAnsiTheme="minorHAnsi" w:cs="Calibri"/>
                <w:b/>
                <w:bCs/>
                <w:color w:val="FFFFFF"/>
                <w:sz w:val="22"/>
                <w:szCs w:val="22"/>
              </w:rPr>
              <w:br/>
              <w:t>standard</w:t>
            </w:r>
          </w:p>
        </w:tc>
        <w:tc>
          <w:tcPr>
            <w:tcW w:w="478" w:type="pct"/>
            <w:shd w:val="clear" w:color="auto" w:fill="009999"/>
            <w:vAlign w:val="bottom"/>
          </w:tcPr>
          <w:p w14:paraId="345259E8" w14:textId="77777777" w:rsidR="009D369A" w:rsidRPr="0067297E" w:rsidRDefault="009D369A"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Repair</w:t>
            </w:r>
          </w:p>
        </w:tc>
        <w:tc>
          <w:tcPr>
            <w:tcW w:w="586" w:type="pct"/>
            <w:shd w:val="clear" w:color="auto" w:fill="009999"/>
            <w:vAlign w:val="bottom"/>
          </w:tcPr>
          <w:p w14:paraId="564FF61E" w14:textId="77777777" w:rsidR="009D369A" w:rsidRPr="0067297E" w:rsidRDefault="009D369A"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Modern facilities</w:t>
            </w:r>
            <w:r w:rsidRPr="0067297E">
              <w:rPr>
                <w:rFonts w:asciiTheme="minorHAnsi" w:hAnsiTheme="minorHAnsi" w:cs="Calibri"/>
                <w:b/>
                <w:bCs/>
                <w:color w:val="FFFFFF"/>
                <w:sz w:val="22"/>
                <w:szCs w:val="22"/>
              </w:rPr>
              <w:br/>
              <w:t>and services</w:t>
            </w:r>
          </w:p>
        </w:tc>
        <w:tc>
          <w:tcPr>
            <w:tcW w:w="415" w:type="pct"/>
            <w:shd w:val="clear" w:color="auto" w:fill="009999"/>
            <w:vAlign w:val="bottom"/>
          </w:tcPr>
          <w:p w14:paraId="54A1B8C2" w14:textId="77777777" w:rsidR="009D369A" w:rsidRPr="0067297E" w:rsidRDefault="009D369A" w:rsidP="00FA273F">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Thermal</w:t>
            </w:r>
            <w:r w:rsidRPr="0067297E">
              <w:rPr>
                <w:rFonts w:asciiTheme="minorHAnsi" w:hAnsiTheme="minorHAnsi" w:cs="Calibri"/>
                <w:b/>
                <w:bCs/>
                <w:color w:val="FFFFFF"/>
                <w:sz w:val="22"/>
                <w:szCs w:val="22"/>
              </w:rPr>
              <w:br/>
              <w:t>comfort</w:t>
            </w:r>
          </w:p>
        </w:tc>
        <w:tc>
          <w:tcPr>
            <w:tcW w:w="582" w:type="pct"/>
            <w:vMerge/>
            <w:shd w:val="clear" w:color="auto" w:fill="009999"/>
            <w:vAlign w:val="bottom"/>
          </w:tcPr>
          <w:p w14:paraId="5B39DED7" w14:textId="77777777" w:rsidR="009D369A" w:rsidRPr="0067297E" w:rsidRDefault="009D369A" w:rsidP="00FA273F">
            <w:pPr>
              <w:jc w:val="center"/>
              <w:rPr>
                <w:rFonts w:asciiTheme="minorHAnsi" w:hAnsiTheme="minorHAnsi" w:cs="Calibri"/>
                <w:b/>
                <w:bCs/>
                <w:color w:val="FFFFFF"/>
                <w:sz w:val="22"/>
                <w:szCs w:val="22"/>
              </w:rPr>
            </w:pPr>
          </w:p>
        </w:tc>
        <w:tc>
          <w:tcPr>
            <w:tcW w:w="528" w:type="pct"/>
            <w:vMerge/>
            <w:shd w:val="clear" w:color="auto" w:fill="009999"/>
            <w:noWrap/>
            <w:vAlign w:val="bottom"/>
          </w:tcPr>
          <w:p w14:paraId="5626BB51" w14:textId="77777777" w:rsidR="009D369A" w:rsidRPr="0067297E" w:rsidRDefault="009D369A" w:rsidP="00FA273F">
            <w:pPr>
              <w:jc w:val="center"/>
              <w:rPr>
                <w:rFonts w:asciiTheme="minorHAnsi" w:hAnsiTheme="minorHAnsi" w:cs="Calibri"/>
                <w:b/>
                <w:bCs/>
                <w:color w:val="FFFFFF"/>
                <w:sz w:val="22"/>
                <w:szCs w:val="22"/>
              </w:rPr>
            </w:pPr>
          </w:p>
        </w:tc>
      </w:tr>
      <w:tr w:rsidR="00B34E7B" w:rsidRPr="0067297E" w14:paraId="0C71CA9C" w14:textId="77777777" w:rsidTr="00DB68DB">
        <w:trPr>
          <w:trHeight w:val="300"/>
        </w:trPr>
        <w:tc>
          <w:tcPr>
            <w:tcW w:w="638" w:type="pct"/>
            <w:shd w:val="clear" w:color="000000" w:fill="FFFFFF"/>
            <w:noWrap/>
            <w:vAlign w:val="bottom"/>
          </w:tcPr>
          <w:p w14:paraId="69F740F6" w14:textId="77777777" w:rsidR="00B34E7B" w:rsidRPr="0067297E" w:rsidRDefault="00B34E7B" w:rsidP="00E12901">
            <w:pPr>
              <w:rPr>
                <w:rFonts w:asciiTheme="minorHAnsi" w:hAnsiTheme="minorHAnsi" w:cs="Calibri"/>
                <w:sz w:val="22"/>
                <w:szCs w:val="22"/>
              </w:rPr>
            </w:pPr>
            <w:r w:rsidRPr="0067297E">
              <w:rPr>
                <w:rFonts w:asciiTheme="minorHAnsi" w:hAnsiTheme="minorHAnsi" w:cs="Calibri"/>
                <w:sz w:val="22"/>
                <w:szCs w:val="22"/>
              </w:rPr>
              <w:t>pre-1919</w:t>
            </w:r>
          </w:p>
        </w:tc>
        <w:tc>
          <w:tcPr>
            <w:tcW w:w="537" w:type="pct"/>
            <w:noWrap/>
            <w:vAlign w:val="bottom"/>
          </w:tcPr>
          <w:p w14:paraId="4D83FC73" w14:textId="77777777" w:rsidR="00B34E7B" w:rsidRPr="0067297E" w:rsidRDefault="00B34E7B" w:rsidP="00E12901">
            <w:pPr>
              <w:rPr>
                <w:rFonts w:asciiTheme="minorHAnsi" w:hAnsiTheme="minorHAnsi" w:cs="Calibri"/>
                <w:sz w:val="22"/>
                <w:szCs w:val="22"/>
              </w:rPr>
            </w:pPr>
            <w:r w:rsidRPr="0067297E">
              <w:rPr>
                <w:rFonts w:asciiTheme="minorHAnsi" w:hAnsiTheme="minorHAnsi" w:cs="Calibri"/>
                <w:sz w:val="22"/>
                <w:szCs w:val="22"/>
              </w:rPr>
              <w:t>pre-1919</w:t>
            </w:r>
          </w:p>
        </w:tc>
        <w:tc>
          <w:tcPr>
            <w:tcW w:w="614" w:type="pct"/>
            <w:shd w:val="clear" w:color="000000" w:fill="FFFFFF"/>
            <w:noWrap/>
            <w:vAlign w:val="bottom"/>
          </w:tcPr>
          <w:p w14:paraId="5B78B4DF"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18107</w:t>
            </w:r>
          </w:p>
        </w:tc>
        <w:tc>
          <w:tcPr>
            <w:tcW w:w="622" w:type="pct"/>
            <w:shd w:val="clear" w:color="000000" w:fill="FFFFFF"/>
            <w:noWrap/>
            <w:vAlign w:val="bottom"/>
          </w:tcPr>
          <w:p w14:paraId="40BFBAD5"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12947</w:t>
            </w:r>
          </w:p>
        </w:tc>
        <w:tc>
          <w:tcPr>
            <w:tcW w:w="478" w:type="pct"/>
            <w:shd w:val="clear" w:color="000000" w:fill="FFFFFF"/>
            <w:noWrap/>
            <w:vAlign w:val="bottom"/>
          </w:tcPr>
          <w:p w14:paraId="166F65D5"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5055</w:t>
            </w:r>
          </w:p>
        </w:tc>
        <w:tc>
          <w:tcPr>
            <w:tcW w:w="586" w:type="pct"/>
            <w:shd w:val="clear" w:color="000000" w:fill="FFFFFF"/>
            <w:noWrap/>
            <w:vAlign w:val="bottom"/>
          </w:tcPr>
          <w:p w14:paraId="4AA257CC"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1739</w:t>
            </w:r>
          </w:p>
        </w:tc>
        <w:tc>
          <w:tcPr>
            <w:tcW w:w="415" w:type="pct"/>
            <w:shd w:val="clear" w:color="000000" w:fill="FFFFFF"/>
            <w:noWrap/>
            <w:vAlign w:val="bottom"/>
          </w:tcPr>
          <w:p w14:paraId="510F0885"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5384</w:t>
            </w:r>
          </w:p>
        </w:tc>
        <w:tc>
          <w:tcPr>
            <w:tcW w:w="582" w:type="pct"/>
            <w:noWrap/>
            <w:vAlign w:val="bottom"/>
          </w:tcPr>
          <w:p w14:paraId="48C6C73C"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color w:val="000000"/>
                <w:sz w:val="22"/>
                <w:szCs w:val="22"/>
              </w:rPr>
              <w:t>45130</w:t>
            </w:r>
          </w:p>
        </w:tc>
        <w:tc>
          <w:tcPr>
            <w:tcW w:w="528" w:type="pct"/>
            <w:shd w:val="clear" w:color="000000" w:fill="FFFFFF"/>
            <w:noWrap/>
            <w:vAlign w:val="bottom"/>
          </w:tcPr>
          <w:p w14:paraId="0CD61860" w14:textId="77777777" w:rsidR="00B34E7B" w:rsidRPr="0067297E" w:rsidRDefault="00B34E7B" w:rsidP="00CE19D0">
            <w:pPr>
              <w:jc w:val="right"/>
              <w:rPr>
                <w:rFonts w:asciiTheme="minorHAnsi" w:hAnsiTheme="minorHAnsi" w:cs="Calibri"/>
                <w:sz w:val="22"/>
                <w:szCs w:val="22"/>
              </w:rPr>
            </w:pPr>
            <w:r w:rsidRPr="0067297E">
              <w:rPr>
                <w:rFonts w:asciiTheme="minorHAnsi" w:hAnsiTheme="minorHAnsi" w:cs="Calibri"/>
                <w:color w:val="000000"/>
                <w:sz w:val="22"/>
                <w:szCs w:val="22"/>
              </w:rPr>
              <w:t>37.3</w:t>
            </w:r>
          </w:p>
        </w:tc>
      </w:tr>
      <w:tr w:rsidR="00B34E7B" w:rsidRPr="0067297E" w14:paraId="34EB0963" w14:textId="77777777" w:rsidTr="00DB68DB">
        <w:trPr>
          <w:trHeight w:val="300"/>
        </w:trPr>
        <w:tc>
          <w:tcPr>
            <w:tcW w:w="638" w:type="pct"/>
            <w:shd w:val="clear" w:color="000000" w:fill="FFFFFF"/>
            <w:noWrap/>
            <w:vAlign w:val="bottom"/>
          </w:tcPr>
          <w:p w14:paraId="04766AD6" w14:textId="77777777" w:rsidR="00B34E7B" w:rsidRPr="0067297E" w:rsidRDefault="00B34E7B" w:rsidP="00E12901">
            <w:pPr>
              <w:rPr>
                <w:rFonts w:asciiTheme="minorHAnsi" w:hAnsiTheme="minorHAnsi" w:cs="Calibri"/>
                <w:sz w:val="22"/>
                <w:szCs w:val="22"/>
              </w:rPr>
            </w:pPr>
            <w:r w:rsidRPr="0067297E">
              <w:rPr>
                <w:rFonts w:asciiTheme="minorHAnsi" w:hAnsiTheme="minorHAnsi" w:cs="Calibri"/>
                <w:sz w:val="22"/>
                <w:szCs w:val="22"/>
              </w:rPr>
              <w:t>1919-44</w:t>
            </w:r>
          </w:p>
        </w:tc>
        <w:tc>
          <w:tcPr>
            <w:tcW w:w="537" w:type="pct"/>
            <w:shd w:val="clear" w:color="000000" w:fill="FFFFFF"/>
            <w:noWrap/>
            <w:vAlign w:val="bottom"/>
          </w:tcPr>
          <w:p w14:paraId="4DED5501" w14:textId="77777777" w:rsidR="00B34E7B" w:rsidRPr="0067297E" w:rsidRDefault="00B34E7B" w:rsidP="00E12901">
            <w:pPr>
              <w:rPr>
                <w:rFonts w:asciiTheme="minorHAnsi" w:hAnsiTheme="minorHAnsi" w:cs="Calibri"/>
                <w:sz w:val="22"/>
                <w:szCs w:val="22"/>
              </w:rPr>
            </w:pPr>
            <w:r w:rsidRPr="0067297E">
              <w:rPr>
                <w:rFonts w:asciiTheme="minorHAnsi" w:hAnsiTheme="minorHAnsi" w:cs="Calibri"/>
                <w:sz w:val="22"/>
                <w:szCs w:val="22"/>
              </w:rPr>
              <w:t>1919-44</w:t>
            </w:r>
          </w:p>
        </w:tc>
        <w:tc>
          <w:tcPr>
            <w:tcW w:w="614" w:type="pct"/>
            <w:shd w:val="clear" w:color="000000" w:fill="FFFFFF"/>
            <w:noWrap/>
            <w:vAlign w:val="bottom"/>
          </w:tcPr>
          <w:p w14:paraId="24E2E939"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5669</w:t>
            </w:r>
          </w:p>
        </w:tc>
        <w:tc>
          <w:tcPr>
            <w:tcW w:w="622" w:type="pct"/>
            <w:shd w:val="clear" w:color="000000" w:fill="FFFFFF"/>
            <w:noWrap/>
            <w:vAlign w:val="bottom"/>
          </w:tcPr>
          <w:p w14:paraId="3019EBBA"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3089</w:t>
            </w:r>
          </w:p>
        </w:tc>
        <w:tc>
          <w:tcPr>
            <w:tcW w:w="478" w:type="pct"/>
            <w:shd w:val="clear" w:color="000000" w:fill="FFFFFF"/>
            <w:noWrap/>
            <w:vAlign w:val="bottom"/>
          </w:tcPr>
          <w:p w14:paraId="6D750500"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1780</w:t>
            </w:r>
          </w:p>
        </w:tc>
        <w:tc>
          <w:tcPr>
            <w:tcW w:w="586" w:type="pct"/>
            <w:shd w:val="clear" w:color="000000" w:fill="FFFFFF"/>
            <w:noWrap/>
            <w:vAlign w:val="bottom"/>
          </w:tcPr>
          <w:p w14:paraId="3D4DC750"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404</w:t>
            </w:r>
          </w:p>
        </w:tc>
        <w:tc>
          <w:tcPr>
            <w:tcW w:w="415" w:type="pct"/>
            <w:shd w:val="clear" w:color="000000" w:fill="FFFFFF"/>
            <w:noWrap/>
            <w:vAlign w:val="bottom"/>
          </w:tcPr>
          <w:p w14:paraId="6BE41AB5"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1790</w:t>
            </w:r>
          </w:p>
        </w:tc>
        <w:tc>
          <w:tcPr>
            <w:tcW w:w="582" w:type="pct"/>
            <w:noWrap/>
            <w:vAlign w:val="bottom"/>
          </w:tcPr>
          <w:p w14:paraId="28E17902"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color w:val="000000"/>
                <w:sz w:val="22"/>
                <w:szCs w:val="22"/>
              </w:rPr>
              <w:t>23570</w:t>
            </w:r>
          </w:p>
        </w:tc>
        <w:tc>
          <w:tcPr>
            <w:tcW w:w="528" w:type="pct"/>
            <w:shd w:val="clear" w:color="000000" w:fill="FFFFFF"/>
            <w:noWrap/>
            <w:vAlign w:val="bottom"/>
          </w:tcPr>
          <w:p w14:paraId="6CEC00E4" w14:textId="77777777" w:rsidR="00B34E7B" w:rsidRPr="0067297E" w:rsidRDefault="00B34E7B" w:rsidP="00CE19D0">
            <w:pPr>
              <w:jc w:val="right"/>
              <w:rPr>
                <w:rFonts w:asciiTheme="minorHAnsi" w:hAnsiTheme="minorHAnsi" w:cs="Calibri"/>
                <w:sz w:val="22"/>
                <w:szCs w:val="22"/>
              </w:rPr>
            </w:pPr>
            <w:r w:rsidRPr="0067297E">
              <w:rPr>
                <w:rFonts w:asciiTheme="minorHAnsi" w:hAnsiTheme="minorHAnsi" w:cs="Calibri"/>
                <w:color w:val="000000"/>
                <w:sz w:val="22"/>
                <w:szCs w:val="22"/>
              </w:rPr>
              <w:t>19.5</w:t>
            </w:r>
          </w:p>
        </w:tc>
      </w:tr>
      <w:tr w:rsidR="00B34E7B" w:rsidRPr="0067297E" w14:paraId="1CF9DDAF" w14:textId="77777777" w:rsidTr="00DB68DB">
        <w:trPr>
          <w:trHeight w:val="300"/>
        </w:trPr>
        <w:tc>
          <w:tcPr>
            <w:tcW w:w="638" w:type="pct"/>
            <w:shd w:val="clear" w:color="000000" w:fill="FFFFFF"/>
            <w:noWrap/>
            <w:vAlign w:val="bottom"/>
          </w:tcPr>
          <w:p w14:paraId="37D3FDCC" w14:textId="77777777" w:rsidR="00B34E7B" w:rsidRPr="0067297E" w:rsidRDefault="00B34E7B" w:rsidP="00E12901">
            <w:pPr>
              <w:rPr>
                <w:rFonts w:asciiTheme="minorHAnsi" w:hAnsiTheme="minorHAnsi" w:cs="Calibri"/>
                <w:sz w:val="22"/>
                <w:szCs w:val="22"/>
              </w:rPr>
            </w:pPr>
            <w:r w:rsidRPr="0067297E">
              <w:rPr>
                <w:rFonts w:asciiTheme="minorHAnsi" w:hAnsiTheme="minorHAnsi" w:cs="Calibri"/>
                <w:sz w:val="22"/>
                <w:szCs w:val="22"/>
              </w:rPr>
              <w:t>1945-64</w:t>
            </w:r>
          </w:p>
        </w:tc>
        <w:tc>
          <w:tcPr>
            <w:tcW w:w="537" w:type="pct"/>
            <w:shd w:val="clear" w:color="000000" w:fill="FFFFFF"/>
            <w:noWrap/>
            <w:vAlign w:val="bottom"/>
          </w:tcPr>
          <w:p w14:paraId="5ABC44FD" w14:textId="77777777" w:rsidR="00B34E7B" w:rsidRPr="0067297E" w:rsidRDefault="00B34E7B" w:rsidP="00E12901">
            <w:pPr>
              <w:rPr>
                <w:rFonts w:asciiTheme="minorHAnsi" w:hAnsiTheme="minorHAnsi" w:cs="Calibri"/>
                <w:sz w:val="22"/>
                <w:szCs w:val="22"/>
              </w:rPr>
            </w:pPr>
            <w:r w:rsidRPr="0067297E">
              <w:rPr>
                <w:rFonts w:asciiTheme="minorHAnsi" w:hAnsiTheme="minorHAnsi" w:cs="Calibri"/>
                <w:sz w:val="22"/>
                <w:szCs w:val="22"/>
              </w:rPr>
              <w:t>1945-64</w:t>
            </w:r>
          </w:p>
        </w:tc>
        <w:tc>
          <w:tcPr>
            <w:tcW w:w="614" w:type="pct"/>
            <w:shd w:val="clear" w:color="000000" w:fill="FFFFFF"/>
            <w:noWrap/>
            <w:vAlign w:val="bottom"/>
          </w:tcPr>
          <w:p w14:paraId="03AF7B80"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2103</w:t>
            </w:r>
          </w:p>
        </w:tc>
        <w:tc>
          <w:tcPr>
            <w:tcW w:w="622" w:type="pct"/>
            <w:shd w:val="clear" w:color="000000" w:fill="FFFFFF"/>
            <w:noWrap/>
            <w:vAlign w:val="bottom"/>
          </w:tcPr>
          <w:p w14:paraId="7E218BF4"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1006</w:t>
            </w:r>
          </w:p>
        </w:tc>
        <w:tc>
          <w:tcPr>
            <w:tcW w:w="478" w:type="pct"/>
            <w:shd w:val="clear" w:color="000000" w:fill="FFFFFF"/>
            <w:noWrap/>
            <w:vAlign w:val="bottom"/>
          </w:tcPr>
          <w:p w14:paraId="68030128"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460</w:t>
            </w:r>
          </w:p>
        </w:tc>
        <w:tc>
          <w:tcPr>
            <w:tcW w:w="586" w:type="pct"/>
            <w:shd w:val="clear" w:color="000000" w:fill="FFFFFF"/>
            <w:noWrap/>
            <w:vAlign w:val="bottom"/>
          </w:tcPr>
          <w:p w14:paraId="56503C90"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247</w:t>
            </w:r>
          </w:p>
        </w:tc>
        <w:tc>
          <w:tcPr>
            <w:tcW w:w="415" w:type="pct"/>
            <w:shd w:val="clear" w:color="000000" w:fill="FFFFFF"/>
            <w:noWrap/>
            <w:vAlign w:val="bottom"/>
          </w:tcPr>
          <w:p w14:paraId="5F3042C4"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722</w:t>
            </w:r>
          </w:p>
        </w:tc>
        <w:tc>
          <w:tcPr>
            <w:tcW w:w="582" w:type="pct"/>
            <w:noWrap/>
            <w:vAlign w:val="bottom"/>
          </w:tcPr>
          <w:p w14:paraId="597E4CF7"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color w:val="000000"/>
                <w:sz w:val="22"/>
                <w:szCs w:val="22"/>
              </w:rPr>
              <w:t>12640</w:t>
            </w:r>
          </w:p>
        </w:tc>
        <w:tc>
          <w:tcPr>
            <w:tcW w:w="528" w:type="pct"/>
            <w:shd w:val="clear" w:color="000000" w:fill="FFFFFF"/>
            <w:noWrap/>
            <w:vAlign w:val="bottom"/>
          </w:tcPr>
          <w:p w14:paraId="5D5B91EB" w14:textId="77777777" w:rsidR="00B34E7B" w:rsidRPr="0067297E" w:rsidRDefault="00B34E7B" w:rsidP="00CE19D0">
            <w:pPr>
              <w:jc w:val="right"/>
              <w:rPr>
                <w:rFonts w:asciiTheme="minorHAnsi" w:hAnsiTheme="minorHAnsi" w:cs="Calibri"/>
                <w:sz w:val="22"/>
                <w:szCs w:val="22"/>
              </w:rPr>
            </w:pPr>
            <w:r w:rsidRPr="0067297E">
              <w:rPr>
                <w:rFonts w:asciiTheme="minorHAnsi" w:hAnsiTheme="minorHAnsi" w:cs="Calibri"/>
                <w:color w:val="000000"/>
                <w:sz w:val="22"/>
                <w:szCs w:val="22"/>
              </w:rPr>
              <w:t>10.4</w:t>
            </w:r>
          </w:p>
        </w:tc>
      </w:tr>
      <w:tr w:rsidR="00B34E7B" w:rsidRPr="0067297E" w14:paraId="28ED9792" w14:textId="77777777" w:rsidTr="00DB68DB">
        <w:trPr>
          <w:trHeight w:val="300"/>
        </w:trPr>
        <w:tc>
          <w:tcPr>
            <w:tcW w:w="638" w:type="pct"/>
            <w:shd w:val="clear" w:color="000000" w:fill="FFFFFF"/>
            <w:noWrap/>
            <w:vAlign w:val="bottom"/>
          </w:tcPr>
          <w:p w14:paraId="38BA38F9" w14:textId="77777777" w:rsidR="00B34E7B" w:rsidRPr="0067297E" w:rsidRDefault="00B34E7B" w:rsidP="00E12901">
            <w:pPr>
              <w:rPr>
                <w:rFonts w:asciiTheme="minorHAnsi" w:hAnsiTheme="minorHAnsi" w:cs="Calibri"/>
                <w:sz w:val="22"/>
                <w:szCs w:val="22"/>
              </w:rPr>
            </w:pPr>
            <w:r w:rsidRPr="0067297E">
              <w:rPr>
                <w:rFonts w:asciiTheme="minorHAnsi" w:hAnsiTheme="minorHAnsi" w:cs="Calibri"/>
                <w:sz w:val="22"/>
                <w:szCs w:val="22"/>
              </w:rPr>
              <w:t>1965-80</w:t>
            </w:r>
          </w:p>
        </w:tc>
        <w:tc>
          <w:tcPr>
            <w:tcW w:w="537" w:type="pct"/>
            <w:shd w:val="clear" w:color="000000" w:fill="FFFFFF"/>
            <w:noWrap/>
            <w:vAlign w:val="bottom"/>
          </w:tcPr>
          <w:p w14:paraId="5B287D59" w14:textId="77777777" w:rsidR="00B34E7B" w:rsidRPr="0067297E" w:rsidRDefault="00B34E7B" w:rsidP="00E12901">
            <w:pPr>
              <w:rPr>
                <w:rFonts w:asciiTheme="minorHAnsi" w:hAnsiTheme="minorHAnsi" w:cs="Calibri"/>
                <w:sz w:val="22"/>
                <w:szCs w:val="22"/>
              </w:rPr>
            </w:pPr>
            <w:r w:rsidRPr="0067297E">
              <w:rPr>
                <w:rFonts w:asciiTheme="minorHAnsi" w:hAnsiTheme="minorHAnsi" w:cs="Calibri"/>
                <w:sz w:val="22"/>
                <w:szCs w:val="22"/>
              </w:rPr>
              <w:t>1965-82</w:t>
            </w:r>
          </w:p>
        </w:tc>
        <w:tc>
          <w:tcPr>
            <w:tcW w:w="614" w:type="pct"/>
            <w:shd w:val="clear" w:color="000000" w:fill="FFFFFF"/>
            <w:noWrap/>
            <w:vAlign w:val="bottom"/>
          </w:tcPr>
          <w:p w14:paraId="3B5DB7D1"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2841</w:t>
            </w:r>
          </w:p>
        </w:tc>
        <w:tc>
          <w:tcPr>
            <w:tcW w:w="622" w:type="pct"/>
            <w:shd w:val="clear" w:color="000000" w:fill="FFFFFF"/>
            <w:noWrap/>
            <w:vAlign w:val="bottom"/>
          </w:tcPr>
          <w:p w14:paraId="1561A9C4"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1426</w:t>
            </w:r>
          </w:p>
        </w:tc>
        <w:tc>
          <w:tcPr>
            <w:tcW w:w="478" w:type="pct"/>
            <w:shd w:val="clear" w:color="000000" w:fill="FFFFFF"/>
            <w:noWrap/>
            <w:vAlign w:val="bottom"/>
          </w:tcPr>
          <w:p w14:paraId="5EBA79B3"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297</w:t>
            </w:r>
          </w:p>
        </w:tc>
        <w:tc>
          <w:tcPr>
            <w:tcW w:w="586" w:type="pct"/>
            <w:shd w:val="clear" w:color="000000" w:fill="FFFFFF"/>
            <w:noWrap/>
            <w:vAlign w:val="bottom"/>
          </w:tcPr>
          <w:p w14:paraId="32DBBC64"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309</w:t>
            </w:r>
          </w:p>
        </w:tc>
        <w:tc>
          <w:tcPr>
            <w:tcW w:w="415" w:type="pct"/>
            <w:shd w:val="clear" w:color="000000" w:fill="FFFFFF"/>
            <w:noWrap/>
            <w:vAlign w:val="bottom"/>
          </w:tcPr>
          <w:p w14:paraId="32D7258A"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1232</w:t>
            </w:r>
          </w:p>
        </w:tc>
        <w:tc>
          <w:tcPr>
            <w:tcW w:w="582" w:type="pct"/>
            <w:noWrap/>
            <w:vAlign w:val="bottom"/>
          </w:tcPr>
          <w:p w14:paraId="02C7F77A"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color w:val="000000"/>
                <w:sz w:val="22"/>
                <w:szCs w:val="22"/>
              </w:rPr>
              <w:t>16260</w:t>
            </w:r>
          </w:p>
        </w:tc>
        <w:tc>
          <w:tcPr>
            <w:tcW w:w="528" w:type="pct"/>
            <w:shd w:val="clear" w:color="000000" w:fill="FFFFFF"/>
            <w:noWrap/>
            <w:vAlign w:val="bottom"/>
          </w:tcPr>
          <w:p w14:paraId="4C6DBCB7" w14:textId="77777777" w:rsidR="00B34E7B" w:rsidRPr="0067297E" w:rsidRDefault="00B34E7B" w:rsidP="00CE19D0">
            <w:pPr>
              <w:jc w:val="right"/>
              <w:rPr>
                <w:rFonts w:asciiTheme="minorHAnsi" w:hAnsiTheme="minorHAnsi" w:cs="Calibri"/>
                <w:sz w:val="22"/>
                <w:szCs w:val="22"/>
              </w:rPr>
            </w:pPr>
            <w:r w:rsidRPr="0067297E">
              <w:rPr>
                <w:rFonts w:asciiTheme="minorHAnsi" w:hAnsiTheme="minorHAnsi" w:cs="Calibri"/>
                <w:color w:val="000000"/>
                <w:sz w:val="22"/>
                <w:szCs w:val="22"/>
              </w:rPr>
              <w:t>13.4</w:t>
            </w:r>
          </w:p>
        </w:tc>
      </w:tr>
      <w:tr w:rsidR="00B34E7B" w:rsidRPr="0067297E" w14:paraId="5F48B0D9" w14:textId="77777777" w:rsidTr="00DB68DB">
        <w:trPr>
          <w:trHeight w:val="300"/>
        </w:trPr>
        <w:tc>
          <w:tcPr>
            <w:tcW w:w="638" w:type="pct"/>
            <w:shd w:val="clear" w:color="000000" w:fill="FFFFFF"/>
            <w:noWrap/>
            <w:vAlign w:val="bottom"/>
          </w:tcPr>
          <w:p w14:paraId="3DDC7369" w14:textId="77777777" w:rsidR="00B34E7B" w:rsidRPr="0067297E" w:rsidRDefault="00B34E7B" w:rsidP="00E12901">
            <w:pPr>
              <w:rPr>
                <w:rFonts w:asciiTheme="minorHAnsi" w:hAnsiTheme="minorHAnsi" w:cs="Calibri"/>
                <w:sz w:val="22"/>
                <w:szCs w:val="22"/>
              </w:rPr>
            </w:pPr>
            <w:r w:rsidRPr="0067297E">
              <w:rPr>
                <w:rFonts w:asciiTheme="minorHAnsi" w:hAnsiTheme="minorHAnsi" w:cs="Calibri"/>
                <w:sz w:val="22"/>
                <w:szCs w:val="22"/>
              </w:rPr>
              <w:t>1981-90</w:t>
            </w:r>
          </w:p>
        </w:tc>
        <w:tc>
          <w:tcPr>
            <w:tcW w:w="537" w:type="pct"/>
            <w:shd w:val="clear" w:color="000000" w:fill="FFFFFF"/>
            <w:noWrap/>
            <w:vAlign w:val="bottom"/>
          </w:tcPr>
          <w:p w14:paraId="4D4465E6" w14:textId="77777777" w:rsidR="00B34E7B" w:rsidRPr="0067297E" w:rsidRDefault="00B34E7B" w:rsidP="00E12901">
            <w:pPr>
              <w:rPr>
                <w:rFonts w:asciiTheme="minorHAnsi" w:hAnsiTheme="minorHAnsi" w:cs="Calibri"/>
                <w:sz w:val="22"/>
                <w:szCs w:val="22"/>
              </w:rPr>
            </w:pPr>
            <w:r w:rsidRPr="0067297E">
              <w:rPr>
                <w:rFonts w:asciiTheme="minorHAnsi" w:hAnsiTheme="minorHAnsi" w:cs="Calibri"/>
                <w:sz w:val="22"/>
                <w:szCs w:val="22"/>
              </w:rPr>
              <w:t>1983-99</w:t>
            </w:r>
          </w:p>
        </w:tc>
        <w:tc>
          <w:tcPr>
            <w:tcW w:w="614" w:type="pct"/>
            <w:shd w:val="clear" w:color="000000" w:fill="FFFFFF"/>
            <w:noWrap/>
            <w:vAlign w:val="bottom"/>
          </w:tcPr>
          <w:p w14:paraId="540611D4"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1570</w:t>
            </w:r>
          </w:p>
        </w:tc>
        <w:tc>
          <w:tcPr>
            <w:tcW w:w="622" w:type="pct"/>
            <w:shd w:val="clear" w:color="000000" w:fill="FFFFFF"/>
            <w:noWrap/>
            <w:vAlign w:val="bottom"/>
          </w:tcPr>
          <w:p w14:paraId="07E6D3BA"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422</w:t>
            </w:r>
          </w:p>
        </w:tc>
        <w:tc>
          <w:tcPr>
            <w:tcW w:w="478" w:type="pct"/>
            <w:shd w:val="clear" w:color="000000" w:fill="FFFFFF"/>
            <w:noWrap/>
            <w:vAlign w:val="bottom"/>
          </w:tcPr>
          <w:p w14:paraId="3D5534A7"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w:t>
            </w:r>
          </w:p>
        </w:tc>
        <w:tc>
          <w:tcPr>
            <w:tcW w:w="586" w:type="pct"/>
            <w:shd w:val="clear" w:color="000000" w:fill="FFFFFF"/>
            <w:noWrap/>
            <w:vAlign w:val="bottom"/>
          </w:tcPr>
          <w:p w14:paraId="08D1B959"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84</w:t>
            </w:r>
          </w:p>
        </w:tc>
        <w:tc>
          <w:tcPr>
            <w:tcW w:w="415" w:type="pct"/>
            <w:shd w:val="clear" w:color="000000" w:fill="FFFFFF"/>
            <w:noWrap/>
            <w:vAlign w:val="bottom"/>
          </w:tcPr>
          <w:p w14:paraId="70C0342A"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1201</w:t>
            </w:r>
          </w:p>
        </w:tc>
        <w:tc>
          <w:tcPr>
            <w:tcW w:w="582" w:type="pct"/>
            <w:noWrap/>
            <w:vAlign w:val="bottom"/>
          </w:tcPr>
          <w:p w14:paraId="189E2F3D"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color w:val="000000"/>
                <w:sz w:val="22"/>
                <w:szCs w:val="22"/>
              </w:rPr>
              <w:t>8920</w:t>
            </w:r>
          </w:p>
        </w:tc>
        <w:tc>
          <w:tcPr>
            <w:tcW w:w="528" w:type="pct"/>
            <w:shd w:val="clear" w:color="000000" w:fill="FFFFFF"/>
            <w:noWrap/>
            <w:vAlign w:val="bottom"/>
          </w:tcPr>
          <w:p w14:paraId="0786F3EE" w14:textId="77777777" w:rsidR="00B34E7B" w:rsidRPr="0067297E" w:rsidRDefault="00B34E7B" w:rsidP="00CE19D0">
            <w:pPr>
              <w:jc w:val="right"/>
              <w:rPr>
                <w:rFonts w:asciiTheme="minorHAnsi" w:hAnsiTheme="minorHAnsi" w:cs="Calibri"/>
                <w:sz w:val="22"/>
                <w:szCs w:val="22"/>
              </w:rPr>
            </w:pPr>
            <w:r w:rsidRPr="0067297E">
              <w:rPr>
                <w:rFonts w:asciiTheme="minorHAnsi" w:hAnsiTheme="minorHAnsi" w:cs="Calibri"/>
                <w:color w:val="000000"/>
                <w:sz w:val="22"/>
                <w:szCs w:val="22"/>
              </w:rPr>
              <w:t>7.4</w:t>
            </w:r>
          </w:p>
        </w:tc>
      </w:tr>
      <w:tr w:rsidR="00B34E7B" w:rsidRPr="0067297E" w14:paraId="3AD8B51B" w14:textId="77777777" w:rsidTr="00DB68DB">
        <w:trPr>
          <w:trHeight w:val="300"/>
        </w:trPr>
        <w:tc>
          <w:tcPr>
            <w:tcW w:w="638" w:type="pct"/>
            <w:shd w:val="clear" w:color="000000" w:fill="FFFFFF"/>
            <w:noWrap/>
            <w:vAlign w:val="bottom"/>
          </w:tcPr>
          <w:p w14:paraId="02B5684D" w14:textId="77777777" w:rsidR="00B34E7B" w:rsidRPr="0067297E" w:rsidRDefault="00B34E7B" w:rsidP="00E12901">
            <w:pPr>
              <w:rPr>
                <w:rFonts w:asciiTheme="minorHAnsi" w:hAnsiTheme="minorHAnsi" w:cs="Calibri"/>
                <w:sz w:val="22"/>
                <w:szCs w:val="22"/>
              </w:rPr>
            </w:pPr>
            <w:r w:rsidRPr="0067297E">
              <w:rPr>
                <w:rFonts w:asciiTheme="minorHAnsi" w:hAnsiTheme="minorHAnsi" w:cs="Calibri"/>
                <w:sz w:val="22"/>
                <w:szCs w:val="22"/>
              </w:rPr>
              <w:t>post 1990</w:t>
            </w:r>
          </w:p>
        </w:tc>
        <w:tc>
          <w:tcPr>
            <w:tcW w:w="537" w:type="pct"/>
            <w:shd w:val="clear" w:color="000000" w:fill="FFFFFF"/>
            <w:noWrap/>
            <w:vAlign w:val="bottom"/>
          </w:tcPr>
          <w:p w14:paraId="046F01EE" w14:textId="77777777" w:rsidR="00B34E7B" w:rsidRPr="0067297E" w:rsidRDefault="00B34E7B" w:rsidP="00E12901">
            <w:pPr>
              <w:rPr>
                <w:rFonts w:asciiTheme="minorHAnsi" w:hAnsiTheme="minorHAnsi" w:cs="Calibri"/>
                <w:sz w:val="22"/>
                <w:szCs w:val="22"/>
              </w:rPr>
            </w:pPr>
            <w:r w:rsidRPr="0067297E">
              <w:rPr>
                <w:rFonts w:asciiTheme="minorHAnsi" w:hAnsiTheme="minorHAnsi" w:cs="Calibri"/>
                <w:sz w:val="22"/>
                <w:szCs w:val="22"/>
              </w:rPr>
              <w:t>post 1999</w:t>
            </w:r>
          </w:p>
        </w:tc>
        <w:tc>
          <w:tcPr>
            <w:tcW w:w="614" w:type="pct"/>
            <w:shd w:val="clear" w:color="000000" w:fill="FFFFFF"/>
            <w:noWrap/>
            <w:vAlign w:val="bottom"/>
          </w:tcPr>
          <w:p w14:paraId="31A9C488"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211</w:t>
            </w:r>
          </w:p>
        </w:tc>
        <w:tc>
          <w:tcPr>
            <w:tcW w:w="622" w:type="pct"/>
            <w:shd w:val="clear" w:color="000000" w:fill="FFFFFF"/>
            <w:noWrap/>
            <w:vAlign w:val="bottom"/>
          </w:tcPr>
          <w:p w14:paraId="58E5614C"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211</w:t>
            </w:r>
          </w:p>
        </w:tc>
        <w:tc>
          <w:tcPr>
            <w:tcW w:w="478" w:type="pct"/>
            <w:shd w:val="clear" w:color="000000" w:fill="FFFFFF"/>
            <w:noWrap/>
            <w:vAlign w:val="bottom"/>
          </w:tcPr>
          <w:p w14:paraId="72D291A3"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w:t>
            </w:r>
          </w:p>
        </w:tc>
        <w:tc>
          <w:tcPr>
            <w:tcW w:w="586" w:type="pct"/>
            <w:shd w:val="clear" w:color="000000" w:fill="FFFFFF"/>
            <w:noWrap/>
            <w:vAlign w:val="bottom"/>
          </w:tcPr>
          <w:p w14:paraId="132A0777"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w:t>
            </w:r>
          </w:p>
        </w:tc>
        <w:tc>
          <w:tcPr>
            <w:tcW w:w="415" w:type="pct"/>
            <w:shd w:val="clear" w:color="000000" w:fill="FFFFFF"/>
            <w:noWrap/>
            <w:vAlign w:val="bottom"/>
          </w:tcPr>
          <w:p w14:paraId="4E6D0D69"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sz w:val="22"/>
                <w:szCs w:val="22"/>
              </w:rPr>
              <w:t>*</w:t>
            </w:r>
          </w:p>
        </w:tc>
        <w:tc>
          <w:tcPr>
            <w:tcW w:w="582" w:type="pct"/>
            <w:noWrap/>
            <w:vAlign w:val="bottom"/>
          </w:tcPr>
          <w:p w14:paraId="48A8634A"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color w:val="000000"/>
                <w:sz w:val="22"/>
                <w:szCs w:val="22"/>
              </w:rPr>
              <w:t>14440</w:t>
            </w:r>
          </w:p>
        </w:tc>
        <w:tc>
          <w:tcPr>
            <w:tcW w:w="528" w:type="pct"/>
            <w:shd w:val="clear" w:color="000000" w:fill="FFFFFF"/>
            <w:noWrap/>
            <w:vAlign w:val="bottom"/>
          </w:tcPr>
          <w:p w14:paraId="7EF5E82B" w14:textId="77777777" w:rsidR="00B34E7B" w:rsidRPr="0067297E" w:rsidRDefault="00B34E7B" w:rsidP="00CE19D0">
            <w:pPr>
              <w:jc w:val="right"/>
              <w:rPr>
                <w:rFonts w:asciiTheme="minorHAnsi" w:hAnsiTheme="minorHAnsi" w:cs="Calibri"/>
                <w:sz w:val="22"/>
                <w:szCs w:val="22"/>
              </w:rPr>
            </w:pPr>
            <w:r w:rsidRPr="0067297E">
              <w:rPr>
                <w:rFonts w:asciiTheme="minorHAnsi" w:hAnsiTheme="minorHAnsi" w:cs="Calibri"/>
                <w:color w:val="000000"/>
                <w:sz w:val="22"/>
                <w:szCs w:val="22"/>
              </w:rPr>
              <w:t>11.9</w:t>
            </w:r>
          </w:p>
        </w:tc>
      </w:tr>
      <w:tr w:rsidR="00B34E7B" w:rsidRPr="0067297E" w14:paraId="1A8006C1" w14:textId="77777777" w:rsidTr="00DB68DB">
        <w:trPr>
          <w:trHeight w:val="300"/>
        </w:trPr>
        <w:tc>
          <w:tcPr>
            <w:tcW w:w="1175" w:type="pct"/>
            <w:gridSpan w:val="2"/>
            <w:shd w:val="clear" w:color="000000" w:fill="FFFFFF"/>
            <w:noWrap/>
            <w:vAlign w:val="bottom"/>
          </w:tcPr>
          <w:p w14:paraId="26A88D79" w14:textId="77777777" w:rsidR="00B34E7B" w:rsidRPr="0067297E" w:rsidRDefault="00B34E7B" w:rsidP="00E12901">
            <w:pPr>
              <w:rPr>
                <w:rFonts w:asciiTheme="minorHAnsi" w:hAnsiTheme="minorHAnsi" w:cs="Calibri"/>
                <w:b/>
                <w:bCs/>
                <w:color w:val="000000"/>
                <w:sz w:val="22"/>
                <w:szCs w:val="22"/>
              </w:rPr>
            </w:pPr>
            <w:r w:rsidRPr="0067297E">
              <w:rPr>
                <w:rFonts w:asciiTheme="minorHAnsi" w:hAnsiTheme="minorHAnsi" w:cs="Calibri"/>
                <w:b/>
                <w:bCs/>
                <w:color w:val="000000"/>
                <w:sz w:val="22"/>
                <w:szCs w:val="22"/>
              </w:rPr>
              <w:t>Total</w:t>
            </w:r>
          </w:p>
        </w:tc>
        <w:tc>
          <w:tcPr>
            <w:tcW w:w="614" w:type="pct"/>
            <w:shd w:val="clear" w:color="000000" w:fill="FFFFFF"/>
            <w:noWrap/>
            <w:vAlign w:val="bottom"/>
          </w:tcPr>
          <w:p w14:paraId="2B482B6E"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b/>
                <w:bCs/>
                <w:sz w:val="22"/>
                <w:szCs w:val="22"/>
              </w:rPr>
              <w:t>30502</w:t>
            </w:r>
          </w:p>
        </w:tc>
        <w:tc>
          <w:tcPr>
            <w:tcW w:w="622" w:type="pct"/>
            <w:shd w:val="clear" w:color="000000" w:fill="FFFFFF"/>
            <w:noWrap/>
            <w:vAlign w:val="bottom"/>
          </w:tcPr>
          <w:p w14:paraId="0AB6F7F3"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b/>
                <w:bCs/>
                <w:sz w:val="22"/>
                <w:szCs w:val="22"/>
              </w:rPr>
              <w:t>19101</w:t>
            </w:r>
          </w:p>
        </w:tc>
        <w:tc>
          <w:tcPr>
            <w:tcW w:w="478" w:type="pct"/>
            <w:shd w:val="clear" w:color="000000" w:fill="FFFFFF"/>
            <w:noWrap/>
            <w:vAlign w:val="bottom"/>
          </w:tcPr>
          <w:p w14:paraId="2852E8B7"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b/>
                <w:bCs/>
                <w:sz w:val="22"/>
                <w:szCs w:val="22"/>
              </w:rPr>
              <w:t>7593</w:t>
            </w:r>
          </w:p>
        </w:tc>
        <w:tc>
          <w:tcPr>
            <w:tcW w:w="586" w:type="pct"/>
            <w:shd w:val="clear" w:color="000000" w:fill="FFFFFF"/>
            <w:noWrap/>
            <w:vAlign w:val="bottom"/>
          </w:tcPr>
          <w:p w14:paraId="0FB67A3E"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b/>
                <w:bCs/>
                <w:sz w:val="22"/>
                <w:szCs w:val="22"/>
              </w:rPr>
              <w:t>2783</w:t>
            </w:r>
          </w:p>
        </w:tc>
        <w:tc>
          <w:tcPr>
            <w:tcW w:w="415" w:type="pct"/>
            <w:shd w:val="clear" w:color="000000" w:fill="FFFFFF"/>
            <w:noWrap/>
            <w:vAlign w:val="bottom"/>
          </w:tcPr>
          <w:p w14:paraId="667C541E" w14:textId="77777777" w:rsidR="00B34E7B" w:rsidRPr="0067297E" w:rsidRDefault="00B34E7B" w:rsidP="00CE19D0">
            <w:pPr>
              <w:autoSpaceDE w:val="0"/>
              <w:autoSpaceDN w:val="0"/>
              <w:adjustRightInd w:val="0"/>
              <w:jc w:val="right"/>
              <w:rPr>
                <w:rFonts w:asciiTheme="minorHAnsi" w:hAnsiTheme="minorHAnsi" w:cs="Calibri"/>
                <w:color w:val="000000"/>
                <w:sz w:val="22"/>
                <w:szCs w:val="22"/>
                <w:lang w:eastAsia="en-GB"/>
              </w:rPr>
            </w:pPr>
            <w:r w:rsidRPr="0067297E">
              <w:rPr>
                <w:rFonts w:asciiTheme="minorHAnsi" w:hAnsiTheme="minorHAnsi" w:cs="Calibri"/>
                <w:b/>
                <w:bCs/>
                <w:sz w:val="22"/>
                <w:szCs w:val="22"/>
              </w:rPr>
              <w:t>10330</w:t>
            </w:r>
          </w:p>
        </w:tc>
        <w:tc>
          <w:tcPr>
            <w:tcW w:w="582" w:type="pct"/>
            <w:noWrap/>
            <w:vAlign w:val="bottom"/>
          </w:tcPr>
          <w:p w14:paraId="4AB3FA8F" w14:textId="77777777" w:rsidR="00B34E7B" w:rsidRPr="0067297E" w:rsidRDefault="00B34E7B" w:rsidP="00CE19D0">
            <w:pPr>
              <w:autoSpaceDE w:val="0"/>
              <w:autoSpaceDN w:val="0"/>
              <w:adjustRightInd w:val="0"/>
              <w:jc w:val="right"/>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120,960</w:t>
            </w:r>
          </w:p>
        </w:tc>
        <w:tc>
          <w:tcPr>
            <w:tcW w:w="528" w:type="pct"/>
            <w:shd w:val="clear" w:color="000000" w:fill="FFFFFF"/>
            <w:noWrap/>
            <w:vAlign w:val="bottom"/>
          </w:tcPr>
          <w:p w14:paraId="75A01CDB" w14:textId="77777777" w:rsidR="00B34E7B" w:rsidRPr="0067297E" w:rsidRDefault="00B34E7B" w:rsidP="00CE19D0">
            <w:pPr>
              <w:jc w:val="right"/>
              <w:rPr>
                <w:rFonts w:asciiTheme="minorHAnsi" w:hAnsiTheme="minorHAnsi" w:cs="Calibri"/>
                <w:sz w:val="22"/>
                <w:szCs w:val="22"/>
              </w:rPr>
            </w:pPr>
            <w:r w:rsidRPr="0067297E">
              <w:rPr>
                <w:rFonts w:asciiTheme="minorHAnsi" w:hAnsiTheme="minorHAnsi" w:cs="Calibri"/>
                <w:b/>
                <w:bCs/>
                <w:color w:val="000000"/>
                <w:sz w:val="22"/>
                <w:szCs w:val="22"/>
              </w:rPr>
              <w:t>100.0</w:t>
            </w:r>
          </w:p>
        </w:tc>
      </w:tr>
      <w:tr w:rsidR="00B34E7B" w:rsidRPr="0067297E" w14:paraId="4FF94A88" w14:textId="77777777" w:rsidTr="00DB68DB">
        <w:trPr>
          <w:gridAfter w:val="2"/>
          <w:wAfter w:w="1110" w:type="pct"/>
          <w:trHeight w:val="300"/>
        </w:trPr>
        <w:tc>
          <w:tcPr>
            <w:tcW w:w="1175" w:type="pct"/>
            <w:gridSpan w:val="2"/>
            <w:shd w:val="clear" w:color="000000" w:fill="FFFFFF"/>
            <w:noWrap/>
            <w:vAlign w:val="bottom"/>
          </w:tcPr>
          <w:p w14:paraId="3C8FE411" w14:textId="77777777" w:rsidR="00B34E7B" w:rsidRPr="0067297E" w:rsidRDefault="00B34E7B" w:rsidP="00E12901">
            <w:pPr>
              <w:rPr>
                <w:rFonts w:asciiTheme="minorHAnsi" w:hAnsiTheme="minorHAnsi" w:cs="Calibri"/>
                <w:b/>
                <w:bCs/>
                <w:color w:val="000000"/>
                <w:sz w:val="22"/>
                <w:szCs w:val="22"/>
              </w:rPr>
            </w:pPr>
            <w:r w:rsidRPr="0067297E">
              <w:rPr>
                <w:rFonts w:asciiTheme="minorHAnsi" w:hAnsiTheme="minorHAnsi" w:cs="Calibri"/>
                <w:b/>
                <w:bCs/>
                <w:color w:val="000000"/>
                <w:sz w:val="22"/>
                <w:szCs w:val="22"/>
              </w:rPr>
              <w:t xml:space="preserve">% of all stock in Lewisham </w:t>
            </w:r>
          </w:p>
        </w:tc>
        <w:tc>
          <w:tcPr>
            <w:tcW w:w="614" w:type="pct"/>
            <w:shd w:val="clear" w:color="000000" w:fill="FFFFFF"/>
            <w:noWrap/>
            <w:vAlign w:val="bottom"/>
          </w:tcPr>
          <w:p w14:paraId="772D44BA" w14:textId="77777777" w:rsidR="00B34E7B" w:rsidRPr="0067297E" w:rsidRDefault="00B34E7B" w:rsidP="00CE19D0">
            <w:pPr>
              <w:autoSpaceDE w:val="0"/>
              <w:autoSpaceDN w:val="0"/>
              <w:adjustRightInd w:val="0"/>
              <w:jc w:val="right"/>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rPr>
              <w:t>25.2</w:t>
            </w:r>
          </w:p>
        </w:tc>
        <w:tc>
          <w:tcPr>
            <w:tcW w:w="622" w:type="pct"/>
            <w:shd w:val="clear" w:color="000000" w:fill="FFFFFF"/>
            <w:noWrap/>
            <w:vAlign w:val="bottom"/>
          </w:tcPr>
          <w:p w14:paraId="1EB28AA2" w14:textId="77777777" w:rsidR="00B34E7B" w:rsidRPr="0067297E" w:rsidRDefault="00B34E7B" w:rsidP="00CE19D0">
            <w:pPr>
              <w:autoSpaceDE w:val="0"/>
              <w:autoSpaceDN w:val="0"/>
              <w:adjustRightInd w:val="0"/>
              <w:jc w:val="right"/>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rPr>
              <w:t>15.8</w:t>
            </w:r>
          </w:p>
        </w:tc>
        <w:tc>
          <w:tcPr>
            <w:tcW w:w="478" w:type="pct"/>
            <w:shd w:val="clear" w:color="000000" w:fill="FFFFFF"/>
            <w:noWrap/>
            <w:vAlign w:val="bottom"/>
          </w:tcPr>
          <w:p w14:paraId="427D3474" w14:textId="77777777" w:rsidR="00B34E7B" w:rsidRPr="0067297E" w:rsidRDefault="00B34E7B" w:rsidP="00CE19D0">
            <w:pPr>
              <w:autoSpaceDE w:val="0"/>
              <w:autoSpaceDN w:val="0"/>
              <w:adjustRightInd w:val="0"/>
              <w:jc w:val="right"/>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rPr>
              <w:t>6.3</w:t>
            </w:r>
          </w:p>
        </w:tc>
        <w:tc>
          <w:tcPr>
            <w:tcW w:w="586" w:type="pct"/>
            <w:shd w:val="clear" w:color="000000" w:fill="FFFFFF"/>
            <w:noWrap/>
            <w:vAlign w:val="bottom"/>
          </w:tcPr>
          <w:p w14:paraId="58522A8B" w14:textId="77777777" w:rsidR="00B34E7B" w:rsidRPr="0067297E" w:rsidRDefault="00B34E7B" w:rsidP="00CE19D0">
            <w:pPr>
              <w:autoSpaceDE w:val="0"/>
              <w:autoSpaceDN w:val="0"/>
              <w:adjustRightInd w:val="0"/>
              <w:jc w:val="right"/>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rPr>
              <w:t>2.3</w:t>
            </w:r>
          </w:p>
        </w:tc>
        <w:tc>
          <w:tcPr>
            <w:tcW w:w="415" w:type="pct"/>
            <w:shd w:val="clear" w:color="000000" w:fill="FFFFFF"/>
            <w:noWrap/>
            <w:vAlign w:val="bottom"/>
          </w:tcPr>
          <w:p w14:paraId="6336FF9E" w14:textId="77777777" w:rsidR="00B34E7B" w:rsidRPr="0067297E" w:rsidRDefault="00B34E7B" w:rsidP="00CE19D0">
            <w:pPr>
              <w:autoSpaceDE w:val="0"/>
              <w:autoSpaceDN w:val="0"/>
              <w:adjustRightInd w:val="0"/>
              <w:jc w:val="right"/>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rPr>
              <w:t>8.5</w:t>
            </w:r>
          </w:p>
        </w:tc>
      </w:tr>
      <w:tr w:rsidR="00B34E7B" w:rsidRPr="0067297E" w14:paraId="139FA94A" w14:textId="77777777" w:rsidTr="00DB68DB">
        <w:trPr>
          <w:gridAfter w:val="2"/>
          <w:wAfter w:w="1110" w:type="pct"/>
          <w:trHeight w:val="300"/>
        </w:trPr>
        <w:tc>
          <w:tcPr>
            <w:tcW w:w="1175" w:type="pct"/>
            <w:gridSpan w:val="2"/>
            <w:shd w:val="clear" w:color="000000" w:fill="FFFFFF"/>
            <w:noWrap/>
            <w:vAlign w:val="bottom"/>
          </w:tcPr>
          <w:p w14:paraId="29AD2018" w14:textId="77777777" w:rsidR="00B34E7B" w:rsidRPr="0067297E" w:rsidRDefault="00B34E7B" w:rsidP="00E12901">
            <w:pPr>
              <w:rPr>
                <w:rFonts w:asciiTheme="minorHAnsi" w:hAnsiTheme="minorHAnsi" w:cs="Calibri"/>
                <w:b/>
                <w:bCs/>
                <w:color w:val="000000"/>
                <w:sz w:val="22"/>
                <w:szCs w:val="22"/>
              </w:rPr>
            </w:pPr>
            <w:r w:rsidRPr="0067297E">
              <w:rPr>
                <w:rFonts w:asciiTheme="minorHAnsi" w:hAnsiTheme="minorHAnsi" w:cs="Calibri"/>
                <w:b/>
                <w:bCs/>
                <w:color w:val="000000"/>
                <w:sz w:val="22"/>
                <w:szCs w:val="22"/>
              </w:rPr>
              <w:t>National % (as above)</w:t>
            </w:r>
          </w:p>
        </w:tc>
        <w:tc>
          <w:tcPr>
            <w:tcW w:w="614" w:type="pct"/>
            <w:shd w:val="clear" w:color="000000" w:fill="FFFFFF"/>
            <w:noWrap/>
            <w:vAlign w:val="center"/>
          </w:tcPr>
          <w:p w14:paraId="71B506A4" w14:textId="77777777" w:rsidR="00B34E7B" w:rsidRPr="0067297E" w:rsidRDefault="00B34E7B" w:rsidP="00CE19D0">
            <w:pPr>
              <w:autoSpaceDE w:val="0"/>
              <w:autoSpaceDN w:val="0"/>
              <w:adjustRightInd w:val="0"/>
              <w:jc w:val="right"/>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rPr>
              <w:t>20.6</w:t>
            </w:r>
          </w:p>
        </w:tc>
        <w:tc>
          <w:tcPr>
            <w:tcW w:w="622" w:type="pct"/>
            <w:shd w:val="clear" w:color="000000" w:fill="FFFFFF"/>
            <w:noWrap/>
            <w:vAlign w:val="center"/>
          </w:tcPr>
          <w:p w14:paraId="48CCBE2F" w14:textId="77777777" w:rsidR="00B34E7B" w:rsidRPr="0067297E" w:rsidRDefault="00B34E7B" w:rsidP="00CE19D0">
            <w:pPr>
              <w:autoSpaceDE w:val="0"/>
              <w:autoSpaceDN w:val="0"/>
              <w:adjustRightInd w:val="0"/>
              <w:jc w:val="right"/>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rPr>
              <w:t>11.9</w:t>
            </w:r>
          </w:p>
        </w:tc>
        <w:tc>
          <w:tcPr>
            <w:tcW w:w="478" w:type="pct"/>
            <w:shd w:val="clear" w:color="000000" w:fill="FFFFFF"/>
            <w:noWrap/>
            <w:vAlign w:val="center"/>
          </w:tcPr>
          <w:p w14:paraId="71A8ED9C" w14:textId="77777777" w:rsidR="00B34E7B" w:rsidRPr="0067297E" w:rsidRDefault="00B34E7B" w:rsidP="00CE19D0">
            <w:pPr>
              <w:autoSpaceDE w:val="0"/>
              <w:autoSpaceDN w:val="0"/>
              <w:adjustRightInd w:val="0"/>
              <w:jc w:val="right"/>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rPr>
              <w:t>4.6</w:t>
            </w:r>
          </w:p>
        </w:tc>
        <w:tc>
          <w:tcPr>
            <w:tcW w:w="586" w:type="pct"/>
            <w:shd w:val="clear" w:color="000000" w:fill="FFFFFF"/>
            <w:noWrap/>
            <w:vAlign w:val="center"/>
          </w:tcPr>
          <w:p w14:paraId="78B06005" w14:textId="77777777" w:rsidR="00B34E7B" w:rsidRPr="0067297E" w:rsidRDefault="00B34E7B" w:rsidP="00CE19D0">
            <w:pPr>
              <w:autoSpaceDE w:val="0"/>
              <w:autoSpaceDN w:val="0"/>
              <w:adjustRightInd w:val="0"/>
              <w:jc w:val="right"/>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rPr>
              <w:t>1.9</w:t>
            </w:r>
          </w:p>
        </w:tc>
        <w:tc>
          <w:tcPr>
            <w:tcW w:w="415" w:type="pct"/>
            <w:shd w:val="clear" w:color="000000" w:fill="FFFFFF"/>
            <w:noWrap/>
            <w:vAlign w:val="center"/>
          </w:tcPr>
          <w:p w14:paraId="2160A4D1" w14:textId="77777777" w:rsidR="00B34E7B" w:rsidRPr="0067297E" w:rsidRDefault="00B34E7B" w:rsidP="00CE19D0">
            <w:pPr>
              <w:autoSpaceDE w:val="0"/>
              <w:autoSpaceDN w:val="0"/>
              <w:adjustRightInd w:val="0"/>
              <w:jc w:val="right"/>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rPr>
              <w:t>7.5</w:t>
            </w:r>
          </w:p>
        </w:tc>
      </w:tr>
    </w:tbl>
    <w:p w14:paraId="6F2E3AAC" w14:textId="77777777" w:rsidR="009D369A" w:rsidRPr="0067297E" w:rsidRDefault="009D369A" w:rsidP="00543A76">
      <w:pPr>
        <w:rPr>
          <w:rFonts w:asciiTheme="minorHAnsi" w:hAnsiTheme="minorHAnsi" w:cs="Calibri"/>
          <w:sz w:val="20"/>
          <w:szCs w:val="20"/>
        </w:rPr>
      </w:pPr>
      <w:r w:rsidRPr="0067297E">
        <w:rPr>
          <w:rFonts w:asciiTheme="minorHAnsi" w:hAnsiTheme="minorHAnsi" w:cs="Calibri"/>
          <w:sz w:val="20"/>
          <w:szCs w:val="20"/>
        </w:rPr>
        <w:t xml:space="preserve">Source: English Housing Survey 2013 data applied to 2016 Valuation Office Agency dwelling stock age profile </w:t>
      </w:r>
    </w:p>
    <w:p w14:paraId="5B8DBA90" w14:textId="77777777" w:rsidR="009D369A" w:rsidRPr="0067297E" w:rsidRDefault="009D369A" w:rsidP="00543A76">
      <w:pPr>
        <w:rPr>
          <w:rFonts w:asciiTheme="minorHAnsi" w:hAnsiTheme="minorHAnsi" w:cs="Calibri"/>
          <w:sz w:val="20"/>
          <w:szCs w:val="20"/>
        </w:rPr>
      </w:pPr>
      <w:r w:rsidRPr="0067297E">
        <w:rPr>
          <w:rFonts w:asciiTheme="minorHAnsi" w:hAnsiTheme="minorHAnsi" w:cs="Calibri"/>
          <w:sz w:val="20"/>
          <w:szCs w:val="20"/>
        </w:rPr>
        <w:t>Note ‘*’ indicates sample size too small for reliable estimate</w:t>
      </w:r>
    </w:p>
    <w:p w14:paraId="673B1DAC" w14:textId="77777777" w:rsidR="000B6518" w:rsidRPr="0067297E" w:rsidRDefault="000B6518">
      <w:pPr>
        <w:rPr>
          <w:rFonts w:asciiTheme="minorHAnsi" w:hAnsiTheme="minorHAnsi" w:cs="Calibri"/>
        </w:rPr>
        <w:sectPr w:rsidR="000B6518" w:rsidRPr="0067297E" w:rsidSect="009D369A">
          <w:headerReference w:type="default" r:id="rId45"/>
          <w:footerReference w:type="default" r:id="rId46"/>
          <w:pgSz w:w="16838" w:h="11906" w:orient="landscape"/>
          <w:pgMar w:top="1440" w:right="1276" w:bottom="1440" w:left="1440" w:header="709" w:footer="567" w:gutter="0"/>
          <w:cols w:space="720"/>
        </w:sectPr>
      </w:pPr>
    </w:p>
    <w:p w14:paraId="61EE36E2" w14:textId="77777777" w:rsidR="009D369A" w:rsidRPr="0067297E" w:rsidRDefault="009D369A">
      <w:pPr>
        <w:pStyle w:val="Heading3"/>
        <w:ind w:left="0" w:firstLine="709"/>
        <w:rPr>
          <w:rFonts w:asciiTheme="minorHAnsi" w:hAnsiTheme="minorHAnsi" w:cs="Calibri"/>
        </w:rPr>
      </w:pPr>
      <w:r w:rsidRPr="0067297E">
        <w:rPr>
          <w:rFonts w:asciiTheme="minorHAnsi" w:hAnsiTheme="minorHAnsi" w:cs="Calibri"/>
        </w:rPr>
        <w:t>Property tenure</w:t>
      </w:r>
    </w:p>
    <w:p w14:paraId="0ABC6F6B" w14:textId="77777777" w:rsidR="004078D0" w:rsidRPr="0067297E" w:rsidRDefault="00C82469">
      <w:pPr>
        <w:pStyle w:val="Reporttext"/>
        <w:rPr>
          <w:rFonts w:asciiTheme="minorHAnsi" w:hAnsiTheme="minorHAnsi" w:cs="Calibri"/>
          <w:lang w:val="en-GB"/>
        </w:rPr>
      </w:pPr>
      <w:r w:rsidRPr="0067297E">
        <w:rPr>
          <w:rFonts w:asciiTheme="minorHAnsi" w:hAnsiTheme="minorHAnsi" w:cs="Calibri"/>
          <w:lang w:val="en-GB"/>
        </w:rPr>
        <w:t xml:space="preserve">Greater London Authority (GLA) data </w:t>
      </w:r>
      <w:r w:rsidR="008845C2" w:rsidRPr="0067297E">
        <w:rPr>
          <w:rFonts w:asciiTheme="minorHAnsi" w:hAnsiTheme="minorHAnsi" w:cs="Calibri"/>
          <w:lang w:val="en-GB"/>
        </w:rPr>
        <w:t xml:space="preserve">for 2016 </w:t>
      </w:r>
      <w:r w:rsidRPr="0067297E">
        <w:rPr>
          <w:rFonts w:asciiTheme="minorHAnsi" w:hAnsiTheme="minorHAnsi" w:cs="Calibri"/>
          <w:lang w:val="en-GB"/>
        </w:rPr>
        <w:t>based on the Annual Population Survey (APS) estimates that 49.2% of the housing stock in Lewisham is owner occupied, 27.6% social rented an</w:t>
      </w:r>
      <w:r w:rsidR="004078D0" w:rsidRPr="0067297E">
        <w:rPr>
          <w:rFonts w:asciiTheme="minorHAnsi" w:hAnsiTheme="minorHAnsi" w:cs="Calibri"/>
          <w:lang w:val="en-GB"/>
        </w:rPr>
        <w:t>d 23.2% private rented.</w:t>
      </w:r>
    </w:p>
    <w:p w14:paraId="7A0B2440" w14:textId="6258DD67" w:rsidR="00CF2F1D" w:rsidRPr="0067297E" w:rsidRDefault="007A122A">
      <w:pPr>
        <w:pStyle w:val="Reporttext"/>
        <w:rPr>
          <w:rFonts w:asciiTheme="minorHAnsi" w:hAnsiTheme="minorHAnsi" w:cs="Calibri"/>
        </w:rPr>
      </w:pPr>
      <w:r w:rsidRPr="0067297E">
        <w:rPr>
          <w:rFonts w:asciiTheme="minorHAnsi" w:hAnsiTheme="minorHAnsi" w:cs="Calibri"/>
          <w:lang w:val="en-GB"/>
        </w:rPr>
        <w:t xml:space="preserve">Based on the </w:t>
      </w:r>
      <w:r w:rsidR="006C7598" w:rsidRPr="0067297E">
        <w:rPr>
          <w:rFonts w:asciiTheme="minorHAnsi" w:hAnsiTheme="minorHAnsi" w:cs="Calibri"/>
          <w:lang w:val="en-GB"/>
        </w:rPr>
        <w:t>2011 Census</w:t>
      </w:r>
      <w:r w:rsidR="00987325" w:rsidRPr="0067297E">
        <w:rPr>
          <w:rFonts w:asciiTheme="minorHAnsi" w:hAnsiTheme="minorHAnsi" w:cs="Calibri"/>
          <w:lang w:val="en-GB"/>
        </w:rPr>
        <w:t xml:space="preserve">, </w:t>
      </w:r>
      <w:r w:rsidR="00C167B8" w:rsidRPr="0067297E">
        <w:rPr>
          <w:rFonts w:asciiTheme="minorHAnsi" w:hAnsiTheme="minorHAnsi" w:cs="Calibri"/>
          <w:lang w:val="en-GB"/>
        </w:rPr>
        <w:t>t</w:t>
      </w:r>
      <w:r w:rsidR="00680561" w:rsidRPr="0067297E">
        <w:rPr>
          <w:rFonts w:asciiTheme="minorHAnsi" w:hAnsiTheme="minorHAnsi" w:cs="Calibri"/>
        </w:rPr>
        <w:t xml:space="preserve">he tenure profile of </w:t>
      </w:r>
      <w:r w:rsidR="002C3E0E" w:rsidRPr="0067297E">
        <w:rPr>
          <w:rFonts w:asciiTheme="minorHAnsi" w:hAnsiTheme="minorHAnsi" w:cs="Calibri"/>
          <w:lang w:val="en-GB"/>
        </w:rPr>
        <w:t xml:space="preserve">the </w:t>
      </w:r>
      <w:r w:rsidR="00E93769" w:rsidRPr="0067297E">
        <w:rPr>
          <w:rFonts w:asciiTheme="minorHAnsi" w:hAnsiTheme="minorHAnsi" w:cs="Calibri"/>
          <w:lang w:val="en-GB"/>
        </w:rPr>
        <w:t>borough</w:t>
      </w:r>
      <w:r w:rsidR="00680561" w:rsidRPr="0067297E">
        <w:rPr>
          <w:rFonts w:asciiTheme="minorHAnsi" w:hAnsiTheme="minorHAnsi" w:cs="Calibri"/>
        </w:rPr>
        <w:t xml:space="preserve"> is summarised in </w:t>
      </w:r>
      <w:r w:rsidR="00300FF2" w:rsidRPr="0067297E">
        <w:rPr>
          <w:rFonts w:asciiTheme="minorHAnsi" w:hAnsiTheme="minorHAnsi" w:cs="Calibri"/>
        </w:rPr>
        <w:t xml:space="preserve">Figure </w:t>
      </w:r>
      <w:r w:rsidR="003C607C" w:rsidRPr="0067297E">
        <w:rPr>
          <w:rFonts w:asciiTheme="minorHAnsi" w:hAnsiTheme="minorHAnsi" w:cs="Calibri"/>
        </w:rPr>
        <w:t>4</w:t>
      </w:r>
      <w:r w:rsidR="000B2674" w:rsidRPr="0067297E">
        <w:rPr>
          <w:rFonts w:asciiTheme="minorHAnsi" w:hAnsiTheme="minorHAnsi" w:cs="Calibri"/>
        </w:rPr>
        <w:t>.</w:t>
      </w:r>
      <w:r w:rsidR="00033C50" w:rsidRPr="0067297E">
        <w:rPr>
          <w:rFonts w:asciiTheme="minorHAnsi" w:hAnsiTheme="minorHAnsi" w:cs="Calibri"/>
          <w:lang w:val="en-GB"/>
        </w:rPr>
        <w:t>3</w:t>
      </w:r>
      <w:r w:rsidR="00680561" w:rsidRPr="0067297E">
        <w:rPr>
          <w:rFonts w:asciiTheme="minorHAnsi" w:hAnsiTheme="minorHAnsi" w:cs="Calibri"/>
        </w:rPr>
        <w:t xml:space="preserve">. Overall, </w:t>
      </w:r>
      <w:r w:rsidR="006C7598" w:rsidRPr="0067297E">
        <w:rPr>
          <w:rFonts w:asciiTheme="minorHAnsi" w:hAnsiTheme="minorHAnsi" w:cs="Calibri"/>
          <w:lang w:val="en-GB"/>
        </w:rPr>
        <w:t>43.6</w:t>
      </w:r>
      <w:r w:rsidR="00680561" w:rsidRPr="0067297E">
        <w:rPr>
          <w:rFonts w:asciiTheme="minorHAnsi" w:hAnsiTheme="minorHAnsi" w:cs="Calibri"/>
        </w:rPr>
        <w:t xml:space="preserve">% of occupied dwellings are owner-occupied, </w:t>
      </w:r>
      <w:r w:rsidR="006C7598" w:rsidRPr="0067297E">
        <w:rPr>
          <w:rFonts w:asciiTheme="minorHAnsi" w:hAnsiTheme="minorHAnsi" w:cs="Calibri"/>
          <w:lang w:val="en-GB"/>
        </w:rPr>
        <w:t>31.1</w:t>
      </w:r>
      <w:r w:rsidR="00185DCE" w:rsidRPr="0067297E">
        <w:rPr>
          <w:rFonts w:asciiTheme="minorHAnsi" w:hAnsiTheme="minorHAnsi" w:cs="Calibri"/>
        </w:rPr>
        <w:t>% are rented from a social housing provider</w:t>
      </w:r>
      <w:r w:rsidR="00185DCE" w:rsidRPr="0067297E">
        <w:rPr>
          <w:rFonts w:asciiTheme="minorHAnsi" w:hAnsiTheme="minorHAnsi" w:cs="Calibri"/>
          <w:lang w:val="en-GB"/>
        </w:rPr>
        <w:t xml:space="preserve"> and </w:t>
      </w:r>
      <w:r w:rsidR="006C7598" w:rsidRPr="0067297E">
        <w:rPr>
          <w:rFonts w:asciiTheme="minorHAnsi" w:hAnsiTheme="minorHAnsi" w:cs="Calibri"/>
          <w:lang w:val="en-GB"/>
        </w:rPr>
        <w:t>25.3</w:t>
      </w:r>
      <w:r w:rsidR="006C7598" w:rsidRPr="0067297E">
        <w:rPr>
          <w:rFonts w:asciiTheme="minorHAnsi" w:hAnsiTheme="minorHAnsi" w:cs="Calibri"/>
        </w:rPr>
        <w:t>% are private rented (including tied accommodation)</w:t>
      </w:r>
      <w:r w:rsidR="00680561" w:rsidRPr="0067297E">
        <w:rPr>
          <w:rFonts w:asciiTheme="minorHAnsi" w:hAnsiTheme="minorHAnsi" w:cs="Calibri"/>
        </w:rPr>
        <w:t>.</w:t>
      </w:r>
      <w:bookmarkStart w:id="242" w:name="_Toc428528374"/>
      <w:bookmarkStart w:id="243" w:name="_Toc430084690"/>
      <w:bookmarkStart w:id="244" w:name="_Toc430782177"/>
    </w:p>
    <w:p w14:paraId="187A96ED" w14:textId="77777777" w:rsidR="009C5883" w:rsidRPr="0067297E" w:rsidRDefault="009C5883">
      <w:pPr>
        <w:rPr>
          <w:rFonts w:asciiTheme="minorHAnsi" w:hAnsiTheme="minorHAnsi"/>
        </w:rPr>
      </w:pPr>
    </w:p>
    <w:p w14:paraId="31FCB653" w14:textId="4F8C5114" w:rsidR="007936A8" w:rsidRPr="0067297E" w:rsidRDefault="00300FF2" w:rsidP="00FA273F">
      <w:pPr>
        <w:pStyle w:val="figureheading"/>
        <w:ind w:left="709"/>
        <w:rPr>
          <w:rFonts w:asciiTheme="minorHAnsi" w:hAnsiTheme="minorHAnsi" w:cs="Calibri"/>
        </w:rPr>
      </w:pPr>
      <w:bookmarkStart w:id="245" w:name="_Toc23151225"/>
      <w:r w:rsidRPr="0067297E">
        <w:rPr>
          <w:rFonts w:asciiTheme="minorHAnsi" w:hAnsiTheme="minorHAnsi" w:cs="Calibri"/>
        </w:rPr>
        <w:t xml:space="preserve">Figure </w:t>
      </w:r>
      <w:r w:rsidR="003C607C" w:rsidRPr="0067297E">
        <w:rPr>
          <w:rFonts w:asciiTheme="minorHAnsi" w:hAnsiTheme="minorHAnsi" w:cs="Calibri"/>
        </w:rPr>
        <w:t>4</w:t>
      </w:r>
      <w:r w:rsidR="000B2674" w:rsidRPr="0067297E">
        <w:rPr>
          <w:rFonts w:asciiTheme="minorHAnsi" w:hAnsiTheme="minorHAnsi" w:cs="Calibri"/>
        </w:rPr>
        <w:t>.</w:t>
      </w:r>
      <w:r w:rsidR="00CE124A" w:rsidRPr="0067297E">
        <w:rPr>
          <w:rFonts w:asciiTheme="minorHAnsi" w:hAnsiTheme="minorHAnsi" w:cs="Calibri"/>
          <w:lang w:val="en-GB"/>
        </w:rPr>
        <w:t>3</w:t>
      </w:r>
      <w:r w:rsidR="00680561" w:rsidRPr="0067297E">
        <w:rPr>
          <w:rFonts w:asciiTheme="minorHAnsi" w:hAnsiTheme="minorHAnsi" w:cs="Calibri"/>
        </w:rPr>
        <w:tab/>
      </w:r>
      <w:r w:rsidR="008F144F" w:rsidRPr="0067297E">
        <w:rPr>
          <w:rFonts w:asciiTheme="minorHAnsi" w:hAnsiTheme="minorHAnsi" w:cs="Calibri"/>
          <w:lang w:val="en-GB"/>
        </w:rPr>
        <w:t xml:space="preserve">Borough </w:t>
      </w:r>
      <w:r w:rsidR="0088772B" w:rsidRPr="0067297E">
        <w:rPr>
          <w:rFonts w:asciiTheme="minorHAnsi" w:hAnsiTheme="minorHAnsi" w:cs="Calibri"/>
          <w:lang w:val="en-GB"/>
        </w:rPr>
        <w:t xml:space="preserve">of </w:t>
      </w:r>
      <w:r w:rsidR="00A276B4" w:rsidRPr="0067297E">
        <w:rPr>
          <w:rFonts w:asciiTheme="minorHAnsi" w:hAnsiTheme="minorHAnsi" w:cs="Calibri"/>
          <w:lang w:val="en-GB"/>
        </w:rPr>
        <w:t>Lewisham</w:t>
      </w:r>
      <w:r w:rsidR="00680561" w:rsidRPr="0067297E">
        <w:rPr>
          <w:rFonts w:asciiTheme="minorHAnsi" w:hAnsiTheme="minorHAnsi" w:cs="Calibri"/>
        </w:rPr>
        <w:t>: tenure profile of occupied dwellings</w:t>
      </w:r>
      <w:bookmarkEnd w:id="242"/>
      <w:bookmarkEnd w:id="243"/>
      <w:bookmarkEnd w:id="244"/>
      <w:bookmarkEnd w:id="245"/>
      <w:r w:rsidR="00B52DBB" w:rsidRPr="0067297E">
        <w:rPr>
          <w:rFonts w:asciiTheme="minorHAnsi" w:hAnsiTheme="minorHAnsi" w:cs="Calibri"/>
        </w:rPr>
        <w:t xml:space="preserve"> </w:t>
      </w:r>
    </w:p>
    <w:p w14:paraId="46EB58C8" w14:textId="77777777" w:rsidR="007936A8" w:rsidRPr="0067297E" w:rsidRDefault="007936A8" w:rsidP="00FA273F">
      <w:pPr>
        <w:ind w:left="709"/>
        <w:rPr>
          <w:rFonts w:asciiTheme="minorHAnsi" w:hAnsiTheme="minorHAnsi"/>
        </w:rPr>
      </w:pPr>
      <w:r w:rsidRPr="0067297E">
        <w:rPr>
          <w:rFonts w:asciiTheme="minorHAnsi" w:hAnsiTheme="minorHAnsi"/>
          <w:noProof/>
          <w:lang w:eastAsia="en-GB"/>
        </w:rPr>
        <w:drawing>
          <wp:inline distT="0" distB="0" distL="0" distR="0" wp14:anchorId="2425158A" wp14:editId="719E460A">
            <wp:extent cx="5380631" cy="2642870"/>
            <wp:effectExtent l="0" t="0" r="10795" b="5080"/>
            <wp:docPr id="7172" name="Chart 7172" descr="Chart showing tenure profile of dwellings." title="Figure 4.3 Borough of Lewisham: tenure profile of occupied dwellings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379B28-3AF9-C54A-B403-24356F1D3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DB9C733" w14:textId="0810A207" w:rsidR="007936A8" w:rsidRPr="0067297E" w:rsidRDefault="007936A8" w:rsidP="00FA273F">
      <w:pPr>
        <w:ind w:left="709"/>
        <w:rPr>
          <w:rFonts w:asciiTheme="minorHAnsi" w:hAnsiTheme="minorHAnsi"/>
          <w:sz w:val="20"/>
          <w:szCs w:val="20"/>
        </w:rPr>
      </w:pPr>
      <w:r w:rsidRPr="0067297E">
        <w:rPr>
          <w:rFonts w:asciiTheme="minorHAnsi" w:hAnsiTheme="minorHAnsi"/>
          <w:sz w:val="20"/>
          <w:szCs w:val="20"/>
        </w:rPr>
        <w:t xml:space="preserve">Source: 2011 </w:t>
      </w:r>
      <w:r w:rsidR="005B2517" w:rsidRPr="0067297E">
        <w:rPr>
          <w:rFonts w:asciiTheme="minorHAnsi" w:hAnsiTheme="minorHAnsi"/>
          <w:sz w:val="20"/>
          <w:szCs w:val="20"/>
        </w:rPr>
        <w:t>Census</w:t>
      </w:r>
    </w:p>
    <w:p w14:paraId="6B1BC17F" w14:textId="77777777" w:rsidR="007936A8" w:rsidRPr="0067297E" w:rsidRDefault="007936A8" w:rsidP="006C722F">
      <w:pPr>
        <w:rPr>
          <w:rFonts w:asciiTheme="minorHAnsi" w:hAnsiTheme="minorHAnsi"/>
          <w:sz w:val="20"/>
          <w:szCs w:val="20"/>
        </w:rPr>
      </w:pPr>
    </w:p>
    <w:p w14:paraId="22DB1A67" w14:textId="7CE37A90" w:rsidR="007936A8" w:rsidRPr="0067297E" w:rsidRDefault="007936A8" w:rsidP="006C722F">
      <w:pPr>
        <w:pStyle w:val="Reporttext"/>
        <w:rPr>
          <w:rFonts w:asciiTheme="minorHAnsi" w:hAnsiTheme="minorHAnsi" w:cs="Calibri"/>
        </w:rPr>
      </w:pPr>
      <w:r w:rsidRPr="0067297E">
        <w:rPr>
          <w:rFonts w:asciiTheme="minorHAnsi" w:hAnsiTheme="minorHAnsi" w:cs="Calibri"/>
        </w:rPr>
        <w:t>T</w:t>
      </w:r>
      <w:r w:rsidRPr="0067297E">
        <w:rPr>
          <w:rFonts w:asciiTheme="minorHAnsi" w:hAnsiTheme="minorHAnsi" w:cs="Calibri"/>
          <w:lang w:val="en-GB"/>
        </w:rPr>
        <w:t>he t</w:t>
      </w:r>
      <w:r w:rsidRPr="0067297E">
        <w:rPr>
          <w:rFonts w:asciiTheme="minorHAnsi" w:hAnsiTheme="minorHAnsi" w:cs="Calibri"/>
        </w:rPr>
        <w:t>enure profile varies across</w:t>
      </w:r>
      <w:r w:rsidR="00E93769" w:rsidRPr="0067297E">
        <w:rPr>
          <w:rFonts w:asciiTheme="minorHAnsi" w:hAnsiTheme="minorHAnsi" w:cs="Calibri"/>
          <w:lang w:val="en-GB"/>
        </w:rPr>
        <w:t xml:space="preserve"> the b</w:t>
      </w:r>
      <w:r w:rsidRPr="0067297E">
        <w:rPr>
          <w:rFonts w:asciiTheme="minorHAnsi" w:hAnsiTheme="minorHAnsi" w:cs="Calibri"/>
          <w:lang w:val="en-GB"/>
        </w:rPr>
        <w:t xml:space="preserve">orough, as set out in </w:t>
      </w:r>
      <w:r w:rsidRPr="0067297E">
        <w:rPr>
          <w:rFonts w:asciiTheme="minorHAnsi" w:hAnsiTheme="minorHAnsi" w:cs="Calibri"/>
          <w:color w:val="000000" w:themeColor="text1"/>
          <w:lang w:val="en-GB"/>
        </w:rPr>
        <w:t>Tables 4.</w:t>
      </w:r>
      <w:r w:rsidR="003B05BC" w:rsidRPr="0067297E">
        <w:rPr>
          <w:rFonts w:asciiTheme="minorHAnsi" w:hAnsiTheme="minorHAnsi" w:cs="Calibri"/>
          <w:color w:val="000000" w:themeColor="text1"/>
          <w:lang w:val="en-GB"/>
        </w:rPr>
        <w:t>7</w:t>
      </w:r>
      <w:r w:rsidRPr="0067297E">
        <w:rPr>
          <w:rFonts w:asciiTheme="minorHAnsi" w:hAnsiTheme="minorHAnsi" w:cs="Calibri"/>
          <w:color w:val="000000" w:themeColor="text1"/>
          <w:lang w:val="en-GB"/>
        </w:rPr>
        <w:t xml:space="preserve"> (ward), Table 4.</w:t>
      </w:r>
      <w:r w:rsidR="003B05BC" w:rsidRPr="0067297E">
        <w:rPr>
          <w:rFonts w:asciiTheme="minorHAnsi" w:hAnsiTheme="minorHAnsi" w:cs="Calibri"/>
          <w:color w:val="000000" w:themeColor="text1"/>
          <w:lang w:val="en-GB"/>
        </w:rPr>
        <w:t>8</w:t>
      </w:r>
      <w:r w:rsidRPr="0067297E">
        <w:rPr>
          <w:rFonts w:asciiTheme="minorHAnsi" w:hAnsiTheme="minorHAnsi" w:cs="Calibri"/>
          <w:color w:val="000000" w:themeColor="text1"/>
          <w:lang w:val="en-GB"/>
        </w:rPr>
        <w:t xml:space="preserve"> (sub-area) and Figure 4.4, based on Census 2011 data. Ward-level analysis (Table 4.</w:t>
      </w:r>
      <w:r w:rsidR="003B05BC" w:rsidRPr="0067297E">
        <w:rPr>
          <w:rFonts w:asciiTheme="minorHAnsi" w:hAnsiTheme="minorHAnsi" w:cs="Calibri"/>
          <w:color w:val="000000" w:themeColor="text1"/>
          <w:lang w:val="en-GB"/>
        </w:rPr>
        <w:t>7</w:t>
      </w:r>
      <w:r w:rsidRPr="0067297E">
        <w:rPr>
          <w:rFonts w:asciiTheme="minorHAnsi" w:hAnsiTheme="minorHAnsi" w:cs="Calibri"/>
          <w:color w:val="000000" w:themeColor="text1"/>
          <w:lang w:val="en-GB"/>
        </w:rPr>
        <w:t xml:space="preserve">) </w:t>
      </w:r>
      <w:r w:rsidRPr="0067297E">
        <w:rPr>
          <w:rFonts w:asciiTheme="minorHAnsi" w:hAnsiTheme="minorHAnsi" w:cs="Calibri"/>
          <w:lang w:val="en-GB"/>
        </w:rPr>
        <w:t>indicates that the</w:t>
      </w:r>
      <w:r w:rsidRPr="0067297E">
        <w:rPr>
          <w:rFonts w:asciiTheme="minorHAnsi" w:hAnsiTheme="minorHAnsi" w:cs="Calibri"/>
        </w:rPr>
        <w:t xml:space="preserve"> proportion of owner</w:t>
      </w:r>
      <w:r w:rsidRPr="0067297E">
        <w:rPr>
          <w:rFonts w:asciiTheme="minorHAnsi" w:hAnsiTheme="minorHAnsi" w:cs="Calibri"/>
          <w:lang w:val="en-GB"/>
        </w:rPr>
        <w:t>-</w:t>
      </w:r>
      <w:r w:rsidRPr="0067297E">
        <w:rPr>
          <w:rFonts w:asciiTheme="minorHAnsi" w:hAnsiTheme="minorHAnsi" w:cs="Calibri"/>
        </w:rPr>
        <w:t xml:space="preserve">occupied dwellings is highest in </w:t>
      </w:r>
      <w:r w:rsidRPr="0067297E">
        <w:rPr>
          <w:rFonts w:asciiTheme="minorHAnsi" w:hAnsiTheme="minorHAnsi" w:cs="Calibri"/>
          <w:lang w:val="en-GB"/>
        </w:rPr>
        <w:t>Catford South (66.4%).</w:t>
      </w:r>
      <w:r w:rsidRPr="0067297E">
        <w:rPr>
          <w:rFonts w:asciiTheme="minorHAnsi" w:hAnsiTheme="minorHAnsi" w:cs="Calibri"/>
        </w:rPr>
        <w:t xml:space="preserve"> </w:t>
      </w:r>
      <w:r w:rsidRPr="0067297E">
        <w:rPr>
          <w:rFonts w:asciiTheme="minorHAnsi" w:hAnsiTheme="minorHAnsi" w:cs="Calibri"/>
          <w:lang w:val="en-GB"/>
        </w:rPr>
        <w:t>In comparison, the highest proportion of affordable housing can be found in Evelyn ward (57.3%).</w:t>
      </w:r>
    </w:p>
    <w:p w14:paraId="4A909F3C" w14:textId="5E2FF37E" w:rsidR="007936A8" w:rsidRPr="0067297E" w:rsidRDefault="007936A8" w:rsidP="006C722F">
      <w:pPr>
        <w:pStyle w:val="Reporttext"/>
        <w:rPr>
          <w:rFonts w:asciiTheme="minorHAnsi" w:hAnsiTheme="minorHAnsi" w:cs="Calibri"/>
        </w:rPr>
      </w:pPr>
      <w:r w:rsidRPr="0067297E">
        <w:rPr>
          <w:rFonts w:asciiTheme="minorHAnsi" w:hAnsiTheme="minorHAnsi" w:cs="Calibri"/>
          <w:lang w:val="en-GB"/>
        </w:rPr>
        <w:t>Regarding sub-areas</w:t>
      </w:r>
      <w:r w:rsidR="003B05BC" w:rsidRPr="0067297E">
        <w:rPr>
          <w:rFonts w:asciiTheme="minorHAnsi" w:hAnsiTheme="minorHAnsi" w:cs="Calibri"/>
          <w:lang w:val="en-GB"/>
        </w:rPr>
        <w:t xml:space="preserve"> (Table 4.8)</w:t>
      </w:r>
      <w:r w:rsidRPr="0067297E">
        <w:rPr>
          <w:rFonts w:asciiTheme="minorHAnsi" w:hAnsiTheme="minorHAnsi" w:cs="Calibri"/>
          <w:lang w:val="en-GB"/>
        </w:rPr>
        <w:t>, the highest proportion of affordable housing is in North (42.</w:t>
      </w:r>
      <w:r w:rsidR="00033C50" w:rsidRPr="0067297E">
        <w:rPr>
          <w:rFonts w:asciiTheme="minorHAnsi" w:hAnsiTheme="minorHAnsi" w:cs="Calibri"/>
          <w:lang w:val="en-GB"/>
        </w:rPr>
        <w:t>2</w:t>
      </w:r>
      <w:r w:rsidRPr="0067297E">
        <w:rPr>
          <w:rFonts w:asciiTheme="minorHAnsi" w:hAnsiTheme="minorHAnsi" w:cs="Calibri"/>
          <w:lang w:val="en-GB"/>
        </w:rPr>
        <w:t>%); private renting is highest in West (27.2%) and Central (26.9%); the highest proportion of owner occupiers are in East (56%).</w:t>
      </w:r>
    </w:p>
    <w:p w14:paraId="1D1717CC" w14:textId="77777777" w:rsidR="007936A8" w:rsidRPr="0067297E" w:rsidRDefault="007936A8" w:rsidP="00944242">
      <w:pPr>
        <w:rPr>
          <w:rFonts w:asciiTheme="minorHAnsi" w:hAnsiTheme="minorHAnsi"/>
        </w:rPr>
      </w:pPr>
    </w:p>
    <w:p w14:paraId="19F8B079" w14:textId="6478E47A" w:rsidR="00CE124A" w:rsidRPr="0067297E" w:rsidRDefault="00CE124A">
      <w:pPr>
        <w:rPr>
          <w:rFonts w:asciiTheme="minorHAnsi" w:hAnsiTheme="minorHAnsi"/>
        </w:rPr>
      </w:pPr>
      <w:r w:rsidRPr="0067297E">
        <w:rPr>
          <w:rFonts w:asciiTheme="minorHAnsi" w:hAnsiTheme="minorHAnsi"/>
        </w:rPr>
        <w:br w:type="page"/>
      </w:r>
    </w:p>
    <w:tbl>
      <w:tblPr>
        <w:tblW w:w="7863" w:type="dxa"/>
        <w:tblInd w:w="607" w:type="dxa"/>
        <w:tblLook w:val="04A0" w:firstRow="1" w:lastRow="0" w:firstColumn="1" w:lastColumn="0" w:noHBand="0" w:noVBand="1"/>
      </w:tblPr>
      <w:tblGrid>
        <w:gridCol w:w="1865"/>
        <w:gridCol w:w="1749"/>
        <w:gridCol w:w="1539"/>
        <w:gridCol w:w="1195"/>
        <w:gridCol w:w="1515"/>
      </w:tblGrid>
      <w:tr w:rsidR="007936A8" w:rsidRPr="0067297E" w14:paraId="58D31177" w14:textId="77777777" w:rsidTr="00FF4E2D">
        <w:trPr>
          <w:trHeight w:val="280"/>
          <w:tblHeader/>
        </w:trPr>
        <w:tc>
          <w:tcPr>
            <w:tcW w:w="7863" w:type="dxa"/>
            <w:gridSpan w:val="5"/>
            <w:tcBorders>
              <w:top w:val="single" w:sz="4" w:space="0" w:color="006666"/>
              <w:left w:val="single" w:sz="4" w:space="0" w:color="006666"/>
              <w:bottom w:val="single" w:sz="4" w:space="0" w:color="006666"/>
              <w:right w:val="single" w:sz="4" w:space="0" w:color="006666"/>
            </w:tcBorders>
            <w:shd w:val="clear" w:color="000000" w:fill="009999"/>
            <w:vAlign w:val="center"/>
            <w:hideMark/>
          </w:tcPr>
          <w:p w14:paraId="7496D0BE" w14:textId="406B970A" w:rsidR="007936A8" w:rsidRPr="0067297E" w:rsidRDefault="007936A8" w:rsidP="00FA273F">
            <w:pPr>
              <w:pStyle w:val="tableheading"/>
              <w:rPr>
                <w:rFonts w:asciiTheme="minorHAnsi" w:hAnsiTheme="minorHAnsi"/>
              </w:rPr>
            </w:pPr>
            <w:bookmarkStart w:id="246" w:name="_Toc23151156"/>
            <w:r w:rsidRPr="0067297E">
              <w:rPr>
                <w:rFonts w:asciiTheme="minorHAnsi" w:hAnsiTheme="minorHAnsi"/>
              </w:rPr>
              <w:t>Table 4.</w:t>
            </w:r>
            <w:r w:rsidR="003B05BC" w:rsidRPr="0067297E">
              <w:rPr>
                <w:rFonts w:asciiTheme="minorHAnsi" w:hAnsiTheme="minorHAnsi"/>
              </w:rPr>
              <w:t>7</w:t>
            </w:r>
            <w:r w:rsidR="00E12901" w:rsidRPr="0067297E">
              <w:rPr>
                <w:rFonts w:asciiTheme="minorHAnsi" w:hAnsiTheme="minorHAnsi"/>
              </w:rPr>
              <w:tab/>
            </w:r>
            <w:r w:rsidR="00592CB2" w:rsidRPr="0067297E">
              <w:rPr>
                <w:rFonts w:asciiTheme="minorHAnsi" w:hAnsiTheme="minorHAnsi"/>
                <w:lang w:val="en-GB"/>
              </w:rPr>
              <w:t>Housing t</w:t>
            </w:r>
            <w:r w:rsidRPr="0067297E">
              <w:rPr>
                <w:rFonts w:asciiTheme="minorHAnsi" w:hAnsiTheme="minorHAnsi"/>
              </w:rPr>
              <w:t>enure by ward</w:t>
            </w:r>
            <w:r w:rsidR="00BC2029" w:rsidRPr="0067297E">
              <w:rPr>
                <w:rFonts w:asciiTheme="minorHAnsi" w:hAnsiTheme="minorHAnsi"/>
              </w:rPr>
              <w:t xml:space="preserve"> (%)</w:t>
            </w:r>
            <w:bookmarkEnd w:id="246"/>
          </w:p>
        </w:tc>
      </w:tr>
      <w:tr w:rsidR="007936A8" w:rsidRPr="0067297E" w14:paraId="7E60E2CE"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000000" w:fill="009999"/>
            <w:noWrap/>
            <w:vAlign w:val="center"/>
            <w:hideMark/>
          </w:tcPr>
          <w:p w14:paraId="3451F998" w14:textId="77777777" w:rsidR="007936A8" w:rsidRPr="0067297E" w:rsidRDefault="007936A8" w:rsidP="00E12901">
            <w:pPr>
              <w:rPr>
                <w:rFonts w:asciiTheme="minorHAnsi" w:hAnsiTheme="minorHAnsi" w:cs="Calibri"/>
                <w:b/>
                <w:bCs/>
                <w:color w:val="FFFFFF"/>
                <w:sz w:val="22"/>
                <w:szCs w:val="22"/>
              </w:rPr>
            </w:pPr>
            <w:r w:rsidRPr="0067297E">
              <w:rPr>
                <w:rFonts w:asciiTheme="minorHAnsi" w:hAnsiTheme="minorHAnsi" w:cs="Calibri"/>
                <w:b/>
                <w:bCs/>
                <w:color w:val="FFFFFF"/>
                <w:sz w:val="22"/>
                <w:szCs w:val="22"/>
              </w:rPr>
              <w:t>Ward</w:t>
            </w:r>
          </w:p>
        </w:tc>
        <w:tc>
          <w:tcPr>
            <w:tcW w:w="1749" w:type="dxa"/>
            <w:tcBorders>
              <w:top w:val="nil"/>
              <w:left w:val="nil"/>
              <w:bottom w:val="single" w:sz="4" w:space="0" w:color="006666"/>
              <w:right w:val="single" w:sz="4" w:space="0" w:color="006666"/>
            </w:tcBorders>
            <w:shd w:val="clear" w:color="000000" w:fill="009999"/>
            <w:noWrap/>
            <w:vAlign w:val="center"/>
            <w:hideMark/>
          </w:tcPr>
          <w:p w14:paraId="47E0FD42" w14:textId="77777777" w:rsidR="007936A8" w:rsidRPr="0067297E" w:rsidRDefault="007936A8"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Owner occupied</w:t>
            </w:r>
          </w:p>
        </w:tc>
        <w:tc>
          <w:tcPr>
            <w:tcW w:w="1539" w:type="dxa"/>
            <w:tcBorders>
              <w:top w:val="nil"/>
              <w:left w:val="nil"/>
              <w:bottom w:val="single" w:sz="4" w:space="0" w:color="006666"/>
              <w:right w:val="single" w:sz="4" w:space="0" w:color="006666"/>
            </w:tcBorders>
            <w:shd w:val="clear" w:color="000000" w:fill="009999"/>
            <w:noWrap/>
            <w:vAlign w:val="center"/>
            <w:hideMark/>
          </w:tcPr>
          <w:p w14:paraId="1D6099EE" w14:textId="77777777" w:rsidR="007936A8" w:rsidRPr="0067297E" w:rsidRDefault="007936A8"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Private rented</w:t>
            </w:r>
          </w:p>
        </w:tc>
        <w:tc>
          <w:tcPr>
            <w:tcW w:w="1195" w:type="dxa"/>
            <w:tcBorders>
              <w:top w:val="nil"/>
              <w:left w:val="nil"/>
              <w:bottom w:val="single" w:sz="4" w:space="0" w:color="006666"/>
              <w:right w:val="single" w:sz="4" w:space="0" w:color="006666"/>
            </w:tcBorders>
            <w:shd w:val="clear" w:color="000000" w:fill="009999"/>
            <w:noWrap/>
            <w:vAlign w:val="center"/>
            <w:hideMark/>
          </w:tcPr>
          <w:p w14:paraId="1DFE07D8" w14:textId="77777777" w:rsidR="007936A8" w:rsidRPr="0067297E" w:rsidRDefault="007936A8"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Affordable</w:t>
            </w:r>
          </w:p>
        </w:tc>
        <w:tc>
          <w:tcPr>
            <w:tcW w:w="1515" w:type="dxa"/>
            <w:tcBorders>
              <w:top w:val="nil"/>
              <w:left w:val="nil"/>
              <w:bottom w:val="single" w:sz="4" w:space="0" w:color="006666"/>
              <w:right w:val="single" w:sz="4" w:space="0" w:color="006666"/>
            </w:tcBorders>
            <w:shd w:val="clear" w:color="000000" w:fill="009999"/>
            <w:vAlign w:val="center"/>
            <w:hideMark/>
          </w:tcPr>
          <w:p w14:paraId="357FAEC7" w14:textId="77777777" w:rsidR="007936A8" w:rsidRPr="0067297E" w:rsidRDefault="007936A8" w:rsidP="00E12901">
            <w:pPr>
              <w:jc w:val="center"/>
              <w:rPr>
                <w:rFonts w:asciiTheme="minorHAnsi" w:hAnsiTheme="minorHAnsi" w:cs="Calibri"/>
                <w:b/>
                <w:bCs/>
                <w:i/>
                <w:iCs/>
                <w:color w:val="FFFFFF"/>
                <w:sz w:val="22"/>
                <w:szCs w:val="22"/>
              </w:rPr>
            </w:pPr>
            <w:r w:rsidRPr="0067297E">
              <w:rPr>
                <w:rFonts w:asciiTheme="minorHAnsi" w:hAnsiTheme="minorHAnsi" w:cs="Calibri"/>
                <w:b/>
                <w:bCs/>
                <w:i/>
                <w:iCs/>
                <w:color w:val="FFFFFF"/>
                <w:sz w:val="22"/>
                <w:szCs w:val="22"/>
              </w:rPr>
              <w:t>Base</w:t>
            </w:r>
          </w:p>
        </w:tc>
      </w:tr>
      <w:tr w:rsidR="007936A8" w:rsidRPr="0067297E" w14:paraId="290A5654"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65E9E2DC"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Bellingham</w:t>
            </w:r>
          </w:p>
        </w:tc>
        <w:tc>
          <w:tcPr>
            <w:tcW w:w="1749" w:type="dxa"/>
            <w:tcBorders>
              <w:top w:val="nil"/>
              <w:left w:val="nil"/>
              <w:bottom w:val="single" w:sz="4" w:space="0" w:color="006666"/>
              <w:right w:val="single" w:sz="4" w:space="0" w:color="006666"/>
            </w:tcBorders>
            <w:shd w:val="clear" w:color="auto" w:fill="auto"/>
            <w:noWrap/>
            <w:vAlign w:val="center"/>
            <w:hideMark/>
          </w:tcPr>
          <w:p w14:paraId="58B0ECA9"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41.3</w:t>
            </w:r>
          </w:p>
        </w:tc>
        <w:tc>
          <w:tcPr>
            <w:tcW w:w="1539" w:type="dxa"/>
            <w:tcBorders>
              <w:top w:val="nil"/>
              <w:left w:val="nil"/>
              <w:bottom w:val="single" w:sz="4" w:space="0" w:color="006666"/>
              <w:right w:val="single" w:sz="4" w:space="0" w:color="006666"/>
            </w:tcBorders>
            <w:shd w:val="clear" w:color="auto" w:fill="auto"/>
            <w:noWrap/>
            <w:vAlign w:val="center"/>
            <w:hideMark/>
          </w:tcPr>
          <w:p w14:paraId="1673E7F6"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14.7</w:t>
            </w:r>
          </w:p>
        </w:tc>
        <w:tc>
          <w:tcPr>
            <w:tcW w:w="1195" w:type="dxa"/>
            <w:tcBorders>
              <w:top w:val="nil"/>
              <w:left w:val="nil"/>
              <w:bottom w:val="single" w:sz="4" w:space="0" w:color="006666"/>
              <w:right w:val="single" w:sz="4" w:space="0" w:color="006666"/>
            </w:tcBorders>
            <w:shd w:val="clear" w:color="auto" w:fill="auto"/>
            <w:noWrap/>
            <w:vAlign w:val="center"/>
            <w:hideMark/>
          </w:tcPr>
          <w:p w14:paraId="779696AA"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44</w:t>
            </w:r>
            <w:r w:rsidR="00786D9B" w:rsidRPr="0067297E">
              <w:rPr>
                <w:rFonts w:asciiTheme="minorHAnsi" w:hAnsiTheme="minorHAnsi" w:cs="Calibri"/>
                <w:color w:val="000000"/>
                <w:sz w:val="22"/>
                <w:szCs w:val="22"/>
              </w:rPr>
              <w:t>.0</w:t>
            </w:r>
          </w:p>
        </w:tc>
        <w:tc>
          <w:tcPr>
            <w:tcW w:w="1515" w:type="dxa"/>
            <w:tcBorders>
              <w:top w:val="nil"/>
              <w:left w:val="nil"/>
              <w:bottom w:val="single" w:sz="4" w:space="0" w:color="006666"/>
              <w:right w:val="single" w:sz="4" w:space="0" w:color="006666"/>
            </w:tcBorders>
            <w:shd w:val="clear" w:color="auto" w:fill="auto"/>
            <w:noWrap/>
            <w:vAlign w:val="center"/>
            <w:hideMark/>
          </w:tcPr>
          <w:p w14:paraId="671EF0D7"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6,107</w:t>
            </w:r>
          </w:p>
        </w:tc>
      </w:tr>
      <w:tr w:rsidR="007936A8" w:rsidRPr="0067297E" w14:paraId="642E42E4"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0C9E8F6A"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Blackheath</w:t>
            </w:r>
          </w:p>
        </w:tc>
        <w:tc>
          <w:tcPr>
            <w:tcW w:w="1749" w:type="dxa"/>
            <w:tcBorders>
              <w:top w:val="nil"/>
              <w:left w:val="nil"/>
              <w:bottom w:val="single" w:sz="4" w:space="0" w:color="006666"/>
              <w:right w:val="single" w:sz="4" w:space="0" w:color="006666"/>
            </w:tcBorders>
            <w:shd w:val="clear" w:color="auto" w:fill="auto"/>
            <w:noWrap/>
            <w:vAlign w:val="center"/>
            <w:hideMark/>
          </w:tcPr>
          <w:p w14:paraId="39F08025"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43.4</w:t>
            </w:r>
          </w:p>
        </w:tc>
        <w:tc>
          <w:tcPr>
            <w:tcW w:w="1539" w:type="dxa"/>
            <w:tcBorders>
              <w:top w:val="nil"/>
              <w:left w:val="nil"/>
              <w:bottom w:val="single" w:sz="4" w:space="0" w:color="006666"/>
              <w:right w:val="single" w:sz="4" w:space="0" w:color="006666"/>
            </w:tcBorders>
            <w:shd w:val="clear" w:color="auto" w:fill="auto"/>
            <w:noWrap/>
            <w:vAlign w:val="center"/>
            <w:hideMark/>
          </w:tcPr>
          <w:p w14:paraId="5A70CC7A"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27.8</w:t>
            </w:r>
          </w:p>
        </w:tc>
        <w:tc>
          <w:tcPr>
            <w:tcW w:w="1195" w:type="dxa"/>
            <w:tcBorders>
              <w:top w:val="nil"/>
              <w:left w:val="nil"/>
              <w:bottom w:val="single" w:sz="4" w:space="0" w:color="006666"/>
              <w:right w:val="single" w:sz="4" w:space="0" w:color="006666"/>
            </w:tcBorders>
            <w:shd w:val="clear" w:color="auto" w:fill="auto"/>
            <w:noWrap/>
            <w:vAlign w:val="center"/>
            <w:hideMark/>
          </w:tcPr>
          <w:p w14:paraId="346157A3"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28.8</w:t>
            </w:r>
          </w:p>
        </w:tc>
        <w:tc>
          <w:tcPr>
            <w:tcW w:w="1515" w:type="dxa"/>
            <w:tcBorders>
              <w:top w:val="nil"/>
              <w:left w:val="nil"/>
              <w:bottom w:val="single" w:sz="4" w:space="0" w:color="006666"/>
              <w:right w:val="single" w:sz="4" w:space="0" w:color="006666"/>
            </w:tcBorders>
            <w:shd w:val="clear" w:color="auto" w:fill="auto"/>
            <w:noWrap/>
            <w:vAlign w:val="center"/>
            <w:hideMark/>
          </w:tcPr>
          <w:p w14:paraId="156BD099"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6,423</w:t>
            </w:r>
          </w:p>
        </w:tc>
      </w:tr>
      <w:tr w:rsidR="007936A8" w:rsidRPr="0067297E" w14:paraId="5DBA1FC4"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5DC8FF57"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Brockley</w:t>
            </w:r>
          </w:p>
        </w:tc>
        <w:tc>
          <w:tcPr>
            <w:tcW w:w="1749" w:type="dxa"/>
            <w:tcBorders>
              <w:top w:val="nil"/>
              <w:left w:val="nil"/>
              <w:bottom w:val="single" w:sz="4" w:space="0" w:color="006666"/>
              <w:right w:val="single" w:sz="4" w:space="0" w:color="006666"/>
            </w:tcBorders>
            <w:shd w:val="clear" w:color="auto" w:fill="auto"/>
            <w:noWrap/>
            <w:vAlign w:val="center"/>
            <w:hideMark/>
          </w:tcPr>
          <w:p w14:paraId="02F896A2"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33.1</w:t>
            </w:r>
          </w:p>
        </w:tc>
        <w:tc>
          <w:tcPr>
            <w:tcW w:w="1539" w:type="dxa"/>
            <w:tcBorders>
              <w:top w:val="nil"/>
              <w:left w:val="nil"/>
              <w:bottom w:val="single" w:sz="4" w:space="0" w:color="006666"/>
              <w:right w:val="single" w:sz="4" w:space="0" w:color="006666"/>
            </w:tcBorders>
            <w:shd w:val="clear" w:color="auto" w:fill="auto"/>
            <w:noWrap/>
            <w:vAlign w:val="center"/>
            <w:hideMark/>
          </w:tcPr>
          <w:p w14:paraId="15B77928"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36.8</w:t>
            </w:r>
          </w:p>
        </w:tc>
        <w:tc>
          <w:tcPr>
            <w:tcW w:w="1195" w:type="dxa"/>
            <w:tcBorders>
              <w:top w:val="nil"/>
              <w:left w:val="nil"/>
              <w:bottom w:val="single" w:sz="4" w:space="0" w:color="006666"/>
              <w:right w:val="single" w:sz="4" w:space="0" w:color="006666"/>
            </w:tcBorders>
            <w:shd w:val="clear" w:color="auto" w:fill="auto"/>
            <w:noWrap/>
            <w:vAlign w:val="center"/>
            <w:hideMark/>
          </w:tcPr>
          <w:p w14:paraId="3AAF9EC5"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30.1</w:t>
            </w:r>
          </w:p>
        </w:tc>
        <w:tc>
          <w:tcPr>
            <w:tcW w:w="1515" w:type="dxa"/>
            <w:tcBorders>
              <w:top w:val="nil"/>
              <w:left w:val="nil"/>
              <w:bottom w:val="single" w:sz="4" w:space="0" w:color="006666"/>
              <w:right w:val="single" w:sz="4" w:space="0" w:color="006666"/>
            </w:tcBorders>
            <w:shd w:val="clear" w:color="auto" w:fill="auto"/>
            <w:noWrap/>
            <w:vAlign w:val="center"/>
            <w:hideMark/>
          </w:tcPr>
          <w:p w14:paraId="7E6AAEA0"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7,435</w:t>
            </w:r>
          </w:p>
        </w:tc>
      </w:tr>
      <w:tr w:rsidR="007936A8" w:rsidRPr="0067297E" w14:paraId="75CCA433"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486194EB"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Catford South</w:t>
            </w:r>
          </w:p>
        </w:tc>
        <w:tc>
          <w:tcPr>
            <w:tcW w:w="1749" w:type="dxa"/>
            <w:tcBorders>
              <w:top w:val="nil"/>
              <w:left w:val="nil"/>
              <w:bottom w:val="single" w:sz="4" w:space="0" w:color="006666"/>
              <w:right w:val="single" w:sz="4" w:space="0" w:color="006666"/>
            </w:tcBorders>
            <w:shd w:val="clear" w:color="auto" w:fill="auto"/>
            <w:noWrap/>
            <w:vAlign w:val="center"/>
            <w:hideMark/>
          </w:tcPr>
          <w:p w14:paraId="629AD8BB"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66.4</w:t>
            </w:r>
          </w:p>
        </w:tc>
        <w:tc>
          <w:tcPr>
            <w:tcW w:w="1539" w:type="dxa"/>
            <w:tcBorders>
              <w:top w:val="nil"/>
              <w:left w:val="nil"/>
              <w:bottom w:val="single" w:sz="4" w:space="0" w:color="006666"/>
              <w:right w:val="single" w:sz="4" w:space="0" w:color="006666"/>
            </w:tcBorders>
            <w:shd w:val="clear" w:color="auto" w:fill="auto"/>
            <w:noWrap/>
            <w:vAlign w:val="center"/>
            <w:hideMark/>
          </w:tcPr>
          <w:p w14:paraId="69796435"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21</w:t>
            </w:r>
            <w:r w:rsidR="00786D9B" w:rsidRPr="0067297E">
              <w:rPr>
                <w:rFonts w:asciiTheme="minorHAnsi" w:hAnsiTheme="minorHAnsi" w:cs="Calibri"/>
                <w:color w:val="000000"/>
                <w:sz w:val="22"/>
                <w:szCs w:val="22"/>
              </w:rPr>
              <w:t>.0</w:t>
            </w:r>
          </w:p>
        </w:tc>
        <w:tc>
          <w:tcPr>
            <w:tcW w:w="1195" w:type="dxa"/>
            <w:tcBorders>
              <w:top w:val="nil"/>
              <w:left w:val="nil"/>
              <w:bottom w:val="single" w:sz="4" w:space="0" w:color="006666"/>
              <w:right w:val="single" w:sz="4" w:space="0" w:color="006666"/>
            </w:tcBorders>
            <w:shd w:val="clear" w:color="auto" w:fill="auto"/>
            <w:noWrap/>
            <w:vAlign w:val="center"/>
            <w:hideMark/>
          </w:tcPr>
          <w:p w14:paraId="71064321"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12.6</w:t>
            </w:r>
          </w:p>
        </w:tc>
        <w:tc>
          <w:tcPr>
            <w:tcW w:w="1515" w:type="dxa"/>
            <w:tcBorders>
              <w:top w:val="nil"/>
              <w:left w:val="nil"/>
              <w:bottom w:val="single" w:sz="4" w:space="0" w:color="006666"/>
              <w:right w:val="single" w:sz="4" w:space="0" w:color="006666"/>
            </w:tcBorders>
            <w:shd w:val="clear" w:color="auto" w:fill="auto"/>
            <w:noWrap/>
            <w:vAlign w:val="center"/>
            <w:hideMark/>
          </w:tcPr>
          <w:p w14:paraId="184A4F30"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5,712</w:t>
            </w:r>
          </w:p>
        </w:tc>
      </w:tr>
      <w:tr w:rsidR="007936A8" w:rsidRPr="0067297E" w14:paraId="0FE799F3"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46C42878"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Crofton Park</w:t>
            </w:r>
          </w:p>
        </w:tc>
        <w:tc>
          <w:tcPr>
            <w:tcW w:w="1749" w:type="dxa"/>
            <w:tcBorders>
              <w:top w:val="nil"/>
              <w:left w:val="nil"/>
              <w:bottom w:val="single" w:sz="4" w:space="0" w:color="006666"/>
              <w:right w:val="single" w:sz="4" w:space="0" w:color="006666"/>
            </w:tcBorders>
            <w:shd w:val="clear" w:color="auto" w:fill="auto"/>
            <w:noWrap/>
            <w:vAlign w:val="center"/>
            <w:hideMark/>
          </w:tcPr>
          <w:p w14:paraId="6E516BD1"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56.5</w:t>
            </w:r>
          </w:p>
        </w:tc>
        <w:tc>
          <w:tcPr>
            <w:tcW w:w="1539" w:type="dxa"/>
            <w:tcBorders>
              <w:top w:val="nil"/>
              <w:left w:val="nil"/>
              <w:bottom w:val="single" w:sz="4" w:space="0" w:color="006666"/>
              <w:right w:val="single" w:sz="4" w:space="0" w:color="006666"/>
            </w:tcBorders>
            <w:shd w:val="clear" w:color="auto" w:fill="auto"/>
            <w:noWrap/>
            <w:vAlign w:val="center"/>
            <w:hideMark/>
          </w:tcPr>
          <w:p w14:paraId="44A2242A"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26.7</w:t>
            </w:r>
          </w:p>
        </w:tc>
        <w:tc>
          <w:tcPr>
            <w:tcW w:w="1195" w:type="dxa"/>
            <w:tcBorders>
              <w:top w:val="nil"/>
              <w:left w:val="nil"/>
              <w:bottom w:val="single" w:sz="4" w:space="0" w:color="006666"/>
              <w:right w:val="single" w:sz="4" w:space="0" w:color="006666"/>
            </w:tcBorders>
            <w:shd w:val="clear" w:color="auto" w:fill="auto"/>
            <w:noWrap/>
            <w:vAlign w:val="center"/>
            <w:hideMark/>
          </w:tcPr>
          <w:p w14:paraId="1B524730"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16.8</w:t>
            </w:r>
          </w:p>
        </w:tc>
        <w:tc>
          <w:tcPr>
            <w:tcW w:w="1515" w:type="dxa"/>
            <w:tcBorders>
              <w:top w:val="nil"/>
              <w:left w:val="nil"/>
              <w:bottom w:val="single" w:sz="4" w:space="0" w:color="006666"/>
              <w:right w:val="single" w:sz="4" w:space="0" w:color="006666"/>
            </w:tcBorders>
            <w:shd w:val="clear" w:color="auto" w:fill="auto"/>
            <w:noWrap/>
            <w:vAlign w:val="center"/>
            <w:hideMark/>
          </w:tcPr>
          <w:p w14:paraId="3E81AD71"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6,263</w:t>
            </w:r>
          </w:p>
        </w:tc>
      </w:tr>
      <w:tr w:rsidR="007936A8" w:rsidRPr="0067297E" w14:paraId="41D78724"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4309C735"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Downham</w:t>
            </w:r>
          </w:p>
        </w:tc>
        <w:tc>
          <w:tcPr>
            <w:tcW w:w="1749" w:type="dxa"/>
            <w:tcBorders>
              <w:top w:val="nil"/>
              <w:left w:val="nil"/>
              <w:bottom w:val="single" w:sz="4" w:space="0" w:color="006666"/>
              <w:right w:val="single" w:sz="4" w:space="0" w:color="006666"/>
            </w:tcBorders>
            <w:shd w:val="clear" w:color="auto" w:fill="auto"/>
            <w:noWrap/>
            <w:vAlign w:val="center"/>
            <w:hideMark/>
          </w:tcPr>
          <w:p w14:paraId="692C247A"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45</w:t>
            </w:r>
            <w:r w:rsidR="00786D9B" w:rsidRPr="0067297E">
              <w:rPr>
                <w:rFonts w:asciiTheme="minorHAnsi" w:hAnsiTheme="minorHAnsi" w:cs="Calibri"/>
                <w:color w:val="000000"/>
                <w:sz w:val="22"/>
                <w:szCs w:val="22"/>
              </w:rPr>
              <w:t>.0</w:t>
            </w:r>
          </w:p>
        </w:tc>
        <w:tc>
          <w:tcPr>
            <w:tcW w:w="1539" w:type="dxa"/>
            <w:tcBorders>
              <w:top w:val="nil"/>
              <w:left w:val="nil"/>
              <w:bottom w:val="single" w:sz="4" w:space="0" w:color="006666"/>
              <w:right w:val="single" w:sz="4" w:space="0" w:color="006666"/>
            </w:tcBorders>
            <w:shd w:val="clear" w:color="auto" w:fill="auto"/>
            <w:noWrap/>
            <w:vAlign w:val="center"/>
            <w:hideMark/>
          </w:tcPr>
          <w:p w14:paraId="5D804F8F"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14.1</w:t>
            </w:r>
          </w:p>
        </w:tc>
        <w:tc>
          <w:tcPr>
            <w:tcW w:w="1195" w:type="dxa"/>
            <w:tcBorders>
              <w:top w:val="nil"/>
              <w:left w:val="nil"/>
              <w:bottom w:val="single" w:sz="4" w:space="0" w:color="006666"/>
              <w:right w:val="single" w:sz="4" w:space="0" w:color="006666"/>
            </w:tcBorders>
            <w:shd w:val="clear" w:color="auto" w:fill="auto"/>
            <w:noWrap/>
            <w:vAlign w:val="center"/>
            <w:hideMark/>
          </w:tcPr>
          <w:p w14:paraId="1E7908BA"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40.9</w:t>
            </w:r>
          </w:p>
        </w:tc>
        <w:tc>
          <w:tcPr>
            <w:tcW w:w="1515" w:type="dxa"/>
            <w:tcBorders>
              <w:top w:val="nil"/>
              <w:left w:val="nil"/>
              <w:bottom w:val="single" w:sz="4" w:space="0" w:color="006666"/>
              <w:right w:val="single" w:sz="4" w:space="0" w:color="006666"/>
            </w:tcBorders>
            <w:shd w:val="clear" w:color="auto" w:fill="auto"/>
            <w:noWrap/>
            <w:vAlign w:val="center"/>
            <w:hideMark/>
          </w:tcPr>
          <w:p w14:paraId="24509101"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6,061</w:t>
            </w:r>
          </w:p>
        </w:tc>
      </w:tr>
      <w:tr w:rsidR="007936A8" w:rsidRPr="0067297E" w14:paraId="0573E3DD"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04683744" w14:textId="77777777" w:rsidR="007936A8" w:rsidRPr="0067297E" w:rsidRDefault="007936A8" w:rsidP="00E12901">
            <w:pPr>
              <w:rPr>
                <w:rFonts w:asciiTheme="minorHAnsi" w:hAnsiTheme="minorHAnsi" w:cs="Calibri"/>
                <w:sz w:val="22"/>
                <w:szCs w:val="22"/>
              </w:rPr>
            </w:pPr>
            <w:r w:rsidRPr="0067297E">
              <w:rPr>
                <w:rFonts w:asciiTheme="minorHAnsi" w:hAnsiTheme="minorHAnsi" w:cs="Calibri"/>
                <w:sz w:val="22"/>
                <w:szCs w:val="22"/>
              </w:rPr>
              <w:t>Evelyn</w:t>
            </w:r>
          </w:p>
        </w:tc>
        <w:tc>
          <w:tcPr>
            <w:tcW w:w="1749" w:type="dxa"/>
            <w:tcBorders>
              <w:top w:val="nil"/>
              <w:left w:val="nil"/>
              <w:bottom w:val="single" w:sz="4" w:space="0" w:color="006666"/>
              <w:right w:val="single" w:sz="4" w:space="0" w:color="006666"/>
            </w:tcBorders>
            <w:shd w:val="clear" w:color="auto" w:fill="auto"/>
            <w:noWrap/>
            <w:vAlign w:val="center"/>
            <w:hideMark/>
          </w:tcPr>
          <w:p w14:paraId="2D1CCE3F"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20.2</w:t>
            </w:r>
          </w:p>
        </w:tc>
        <w:tc>
          <w:tcPr>
            <w:tcW w:w="1539" w:type="dxa"/>
            <w:tcBorders>
              <w:top w:val="nil"/>
              <w:left w:val="nil"/>
              <w:bottom w:val="single" w:sz="4" w:space="0" w:color="006666"/>
              <w:right w:val="single" w:sz="4" w:space="0" w:color="006666"/>
            </w:tcBorders>
            <w:shd w:val="clear" w:color="auto" w:fill="auto"/>
            <w:noWrap/>
            <w:vAlign w:val="center"/>
            <w:hideMark/>
          </w:tcPr>
          <w:p w14:paraId="4521169C"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22.6</w:t>
            </w:r>
          </w:p>
        </w:tc>
        <w:tc>
          <w:tcPr>
            <w:tcW w:w="1195" w:type="dxa"/>
            <w:tcBorders>
              <w:top w:val="nil"/>
              <w:left w:val="nil"/>
              <w:bottom w:val="single" w:sz="4" w:space="0" w:color="006666"/>
              <w:right w:val="single" w:sz="4" w:space="0" w:color="006666"/>
            </w:tcBorders>
            <w:shd w:val="clear" w:color="auto" w:fill="auto"/>
            <w:noWrap/>
            <w:vAlign w:val="center"/>
            <w:hideMark/>
          </w:tcPr>
          <w:p w14:paraId="216D42B4"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57.3</w:t>
            </w:r>
          </w:p>
        </w:tc>
        <w:tc>
          <w:tcPr>
            <w:tcW w:w="1515" w:type="dxa"/>
            <w:tcBorders>
              <w:top w:val="nil"/>
              <w:left w:val="nil"/>
              <w:bottom w:val="single" w:sz="4" w:space="0" w:color="006666"/>
              <w:right w:val="single" w:sz="4" w:space="0" w:color="006666"/>
            </w:tcBorders>
            <w:shd w:val="clear" w:color="auto" w:fill="auto"/>
            <w:noWrap/>
            <w:vAlign w:val="center"/>
            <w:hideMark/>
          </w:tcPr>
          <w:p w14:paraId="77A4B9AC"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6,883</w:t>
            </w:r>
          </w:p>
        </w:tc>
      </w:tr>
      <w:tr w:rsidR="007936A8" w:rsidRPr="0067297E" w14:paraId="45FB981D"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49F949CF" w14:textId="77777777" w:rsidR="007936A8" w:rsidRPr="0067297E" w:rsidRDefault="007936A8" w:rsidP="00E12901">
            <w:pPr>
              <w:rPr>
                <w:rFonts w:asciiTheme="minorHAnsi" w:hAnsiTheme="minorHAnsi" w:cs="Calibri"/>
                <w:sz w:val="22"/>
                <w:szCs w:val="22"/>
              </w:rPr>
            </w:pPr>
            <w:r w:rsidRPr="0067297E">
              <w:rPr>
                <w:rFonts w:asciiTheme="minorHAnsi" w:hAnsiTheme="minorHAnsi" w:cs="Calibri"/>
                <w:sz w:val="22"/>
                <w:szCs w:val="22"/>
              </w:rPr>
              <w:t>Forest Hill</w:t>
            </w:r>
          </w:p>
        </w:tc>
        <w:tc>
          <w:tcPr>
            <w:tcW w:w="1749" w:type="dxa"/>
            <w:tcBorders>
              <w:top w:val="nil"/>
              <w:left w:val="nil"/>
              <w:bottom w:val="single" w:sz="4" w:space="0" w:color="006666"/>
              <w:right w:val="single" w:sz="4" w:space="0" w:color="006666"/>
            </w:tcBorders>
            <w:shd w:val="clear" w:color="auto" w:fill="auto"/>
            <w:noWrap/>
            <w:vAlign w:val="center"/>
            <w:hideMark/>
          </w:tcPr>
          <w:p w14:paraId="7B9170B3"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48.1</w:t>
            </w:r>
          </w:p>
        </w:tc>
        <w:tc>
          <w:tcPr>
            <w:tcW w:w="1539" w:type="dxa"/>
            <w:tcBorders>
              <w:top w:val="nil"/>
              <w:left w:val="nil"/>
              <w:bottom w:val="single" w:sz="4" w:space="0" w:color="006666"/>
              <w:right w:val="single" w:sz="4" w:space="0" w:color="006666"/>
            </w:tcBorders>
            <w:shd w:val="clear" w:color="auto" w:fill="auto"/>
            <w:noWrap/>
            <w:vAlign w:val="center"/>
            <w:hideMark/>
          </w:tcPr>
          <w:p w14:paraId="159D6F74"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25.6</w:t>
            </w:r>
          </w:p>
        </w:tc>
        <w:tc>
          <w:tcPr>
            <w:tcW w:w="1195" w:type="dxa"/>
            <w:tcBorders>
              <w:top w:val="nil"/>
              <w:left w:val="nil"/>
              <w:bottom w:val="single" w:sz="4" w:space="0" w:color="006666"/>
              <w:right w:val="single" w:sz="4" w:space="0" w:color="006666"/>
            </w:tcBorders>
            <w:shd w:val="clear" w:color="auto" w:fill="auto"/>
            <w:noWrap/>
            <w:vAlign w:val="center"/>
            <w:hideMark/>
          </w:tcPr>
          <w:p w14:paraId="53C96252"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26.4</w:t>
            </w:r>
          </w:p>
        </w:tc>
        <w:tc>
          <w:tcPr>
            <w:tcW w:w="1515" w:type="dxa"/>
            <w:tcBorders>
              <w:top w:val="nil"/>
              <w:left w:val="nil"/>
              <w:bottom w:val="single" w:sz="4" w:space="0" w:color="006666"/>
              <w:right w:val="single" w:sz="4" w:space="0" w:color="006666"/>
            </w:tcBorders>
            <w:shd w:val="clear" w:color="auto" w:fill="auto"/>
            <w:noWrap/>
            <w:vAlign w:val="center"/>
            <w:hideMark/>
          </w:tcPr>
          <w:p w14:paraId="6FCDD1EE"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6,506</w:t>
            </w:r>
          </w:p>
        </w:tc>
      </w:tr>
      <w:tr w:rsidR="007936A8" w:rsidRPr="0067297E" w14:paraId="5AD3BBAE"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600765BA" w14:textId="77777777" w:rsidR="007936A8" w:rsidRPr="0067297E" w:rsidRDefault="007936A8" w:rsidP="00E12901">
            <w:pPr>
              <w:rPr>
                <w:rFonts w:asciiTheme="minorHAnsi" w:hAnsiTheme="minorHAnsi" w:cs="Calibri"/>
                <w:sz w:val="22"/>
                <w:szCs w:val="22"/>
              </w:rPr>
            </w:pPr>
            <w:r w:rsidRPr="0067297E">
              <w:rPr>
                <w:rFonts w:asciiTheme="minorHAnsi" w:hAnsiTheme="minorHAnsi" w:cs="Calibri"/>
                <w:sz w:val="22"/>
                <w:szCs w:val="22"/>
              </w:rPr>
              <w:t>Grove Park</w:t>
            </w:r>
          </w:p>
        </w:tc>
        <w:tc>
          <w:tcPr>
            <w:tcW w:w="1749" w:type="dxa"/>
            <w:tcBorders>
              <w:top w:val="nil"/>
              <w:left w:val="nil"/>
              <w:bottom w:val="single" w:sz="4" w:space="0" w:color="006666"/>
              <w:right w:val="single" w:sz="4" w:space="0" w:color="006666"/>
            </w:tcBorders>
            <w:shd w:val="clear" w:color="auto" w:fill="auto"/>
            <w:noWrap/>
            <w:vAlign w:val="center"/>
            <w:hideMark/>
          </w:tcPr>
          <w:p w14:paraId="16D67E91"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54.6</w:t>
            </w:r>
          </w:p>
        </w:tc>
        <w:tc>
          <w:tcPr>
            <w:tcW w:w="1539" w:type="dxa"/>
            <w:tcBorders>
              <w:top w:val="nil"/>
              <w:left w:val="nil"/>
              <w:bottom w:val="single" w:sz="4" w:space="0" w:color="006666"/>
              <w:right w:val="single" w:sz="4" w:space="0" w:color="006666"/>
            </w:tcBorders>
            <w:shd w:val="clear" w:color="auto" w:fill="auto"/>
            <w:noWrap/>
            <w:vAlign w:val="center"/>
            <w:hideMark/>
          </w:tcPr>
          <w:p w14:paraId="3DC24D07"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18.8</w:t>
            </w:r>
          </w:p>
        </w:tc>
        <w:tc>
          <w:tcPr>
            <w:tcW w:w="1195" w:type="dxa"/>
            <w:tcBorders>
              <w:top w:val="nil"/>
              <w:left w:val="nil"/>
              <w:bottom w:val="single" w:sz="4" w:space="0" w:color="006666"/>
              <w:right w:val="single" w:sz="4" w:space="0" w:color="006666"/>
            </w:tcBorders>
            <w:shd w:val="clear" w:color="auto" w:fill="auto"/>
            <w:noWrap/>
            <w:vAlign w:val="center"/>
            <w:hideMark/>
          </w:tcPr>
          <w:p w14:paraId="6211E2E7"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26.7</w:t>
            </w:r>
          </w:p>
        </w:tc>
        <w:tc>
          <w:tcPr>
            <w:tcW w:w="1515" w:type="dxa"/>
            <w:tcBorders>
              <w:top w:val="nil"/>
              <w:left w:val="nil"/>
              <w:bottom w:val="single" w:sz="4" w:space="0" w:color="006666"/>
              <w:right w:val="single" w:sz="4" w:space="0" w:color="006666"/>
            </w:tcBorders>
            <w:shd w:val="clear" w:color="auto" w:fill="auto"/>
            <w:noWrap/>
            <w:vAlign w:val="center"/>
            <w:hideMark/>
          </w:tcPr>
          <w:p w14:paraId="633A9E31"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6,182</w:t>
            </w:r>
          </w:p>
        </w:tc>
      </w:tr>
      <w:tr w:rsidR="007936A8" w:rsidRPr="0067297E" w14:paraId="2FE3218E"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07D3E20C"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Ladywell</w:t>
            </w:r>
          </w:p>
        </w:tc>
        <w:tc>
          <w:tcPr>
            <w:tcW w:w="1749" w:type="dxa"/>
            <w:tcBorders>
              <w:top w:val="nil"/>
              <w:left w:val="nil"/>
              <w:bottom w:val="single" w:sz="4" w:space="0" w:color="006666"/>
              <w:right w:val="single" w:sz="4" w:space="0" w:color="006666"/>
            </w:tcBorders>
            <w:shd w:val="clear" w:color="auto" w:fill="auto"/>
            <w:noWrap/>
            <w:vAlign w:val="center"/>
            <w:hideMark/>
          </w:tcPr>
          <w:p w14:paraId="6693A60C"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49.7</w:t>
            </w:r>
          </w:p>
        </w:tc>
        <w:tc>
          <w:tcPr>
            <w:tcW w:w="1539" w:type="dxa"/>
            <w:tcBorders>
              <w:top w:val="nil"/>
              <w:left w:val="nil"/>
              <w:bottom w:val="single" w:sz="4" w:space="0" w:color="006666"/>
              <w:right w:val="single" w:sz="4" w:space="0" w:color="006666"/>
            </w:tcBorders>
            <w:shd w:val="clear" w:color="auto" w:fill="auto"/>
            <w:noWrap/>
            <w:vAlign w:val="center"/>
            <w:hideMark/>
          </w:tcPr>
          <w:p w14:paraId="49560355"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26.7</w:t>
            </w:r>
          </w:p>
        </w:tc>
        <w:tc>
          <w:tcPr>
            <w:tcW w:w="1195" w:type="dxa"/>
            <w:tcBorders>
              <w:top w:val="nil"/>
              <w:left w:val="nil"/>
              <w:bottom w:val="single" w:sz="4" w:space="0" w:color="006666"/>
              <w:right w:val="single" w:sz="4" w:space="0" w:color="006666"/>
            </w:tcBorders>
            <w:shd w:val="clear" w:color="auto" w:fill="auto"/>
            <w:noWrap/>
            <w:vAlign w:val="center"/>
            <w:hideMark/>
          </w:tcPr>
          <w:p w14:paraId="03CAC014"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23.6</w:t>
            </w:r>
          </w:p>
        </w:tc>
        <w:tc>
          <w:tcPr>
            <w:tcW w:w="1515" w:type="dxa"/>
            <w:tcBorders>
              <w:top w:val="nil"/>
              <w:left w:val="nil"/>
              <w:bottom w:val="single" w:sz="4" w:space="0" w:color="006666"/>
              <w:right w:val="single" w:sz="4" w:space="0" w:color="006666"/>
            </w:tcBorders>
            <w:shd w:val="clear" w:color="auto" w:fill="auto"/>
            <w:noWrap/>
            <w:vAlign w:val="center"/>
            <w:hideMark/>
          </w:tcPr>
          <w:p w14:paraId="14377DD5"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5,762</w:t>
            </w:r>
          </w:p>
        </w:tc>
      </w:tr>
      <w:tr w:rsidR="007936A8" w:rsidRPr="0067297E" w14:paraId="3F3B9B81"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378B21DF"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Lee Green</w:t>
            </w:r>
          </w:p>
        </w:tc>
        <w:tc>
          <w:tcPr>
            <w:tcW w:w="1749" w:type="dxa"/>
            <w:tcBorders>
              <w:top w:val="nil"/>
              <w:left w:val="nil"/>
              <w:bottom w:val="single" w:sz="4" w:space="0" w:color="006666"/>
              <w:right w:val="single" w:sz="4" w:space="0" w:color="006666"/>
            </w:tcBorders>
            <w:shd w:val="clear" w:color="auto" w:fill="auto"/>
            <w:noWrap/>
            <w:vAlign w:val="center"/>
            <w:hideMark/>
          </w:tcPr>
          <w:p w14:paraId="6F9F4751"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54.6</w:t>
            </w:r>
          </w:p>
        </w:tc>
        <w:tc>
          <w:tcPr>
            <w:tcW w:w="1539" w:type="dxa"/>
            <w:tcBorders>
              <w:top w:val="nil"/>
              <w:left w:val="nil"/>
              <w:bottom w:val="single" w:sz="4" w:space="0" w:color="006666"/>
              <w:right w:val="single" w:sz="4" w:space="0" w:color="006666"/>
            </w:tcBorders>
            <w:shd w:val="clear" w:color="auto" w:fill="auto"/>
            <w:noWrap/>
            <w:vAlign w:val="center"/>
            <w:hideMark/>
          </w:tcPr>
          <w:p w14:paraId="4C7FF06D"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24.1</w:t>
            </w:r>
          </w:p>
        </w:tc>
        <w:tc>
          <w:tcPr>
            <w:tcW w:w="1195" w:type="dxa"/>
            <w:tcBorders>
              <w:top w:val="nil"/>
              <w:left w:val="nil"/>
              <w:bottom w:val="single" w:sz="4" w:space="0" w:color="006666"/>
              <w:right w:val="single" w:sz="4" w:space="0" w:color="006666"/>
            </w:tcBorders>
            <w:shd w:val="clear" w:color="auto" w:fill="auto"/>
            <w:noWrap/>
            <w:vAlign w:val="center"/>
            <w:hideMark/>
          </w:tcPr>
          <w:p w14:paraId="63376521"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21.2</w:t>
            </w:r>
          </w:p>
        </w:tc>
        <w:tc>
          <w:tcPr>
            <w:tcW w:w="1515" w:type="dxa"/>
            <w:tcBorders>
              <w:top w:val="nil"/>
              <w:left w:val="nil"/>
              <w:bottom w:val="single" w:sz="4" w:space="0" w:color="006666"/>
              <w:right w:val="single" w:sz="4" w:space="0" w:color="006666"/>
            </w:tcBorders>
            <w:shd w:val="clear" w:color="auto" w:fill="auto"/>
            <w:noWrap/>
            <w:vAlign w:val="center"/>
            <w:hideMark/>
          </w:tcPr>
          <w:p w14:paraId="5F2F9387"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6,320</w:t>
            </w:r>
          </w:p>
        </w:tc>
      </w:tr>
      <w:tr w:rsidR="007936A8" w:rsidRPr="0067297E" w14:paraId="0934D2B4"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6CC96832"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Lewisham Central</w:t>
            </w:r>
          </w:p>
        </w:tc>
        <w:tc>
          <w:tcPr>
            <w:tcW w:w="1749" w:type="dxa"/>
            <w:tcBorders>
              <w:top w:val="nil"/>
              <w:left w:val="nil"/>
              <w:bottom w:val="single" w:sz="4" w:space="0" w:color="006666"/>
              <w:right w:val="single" w:sz="4" w:space="0" w:color="006666"/>
            </w:tcBorders>
            <w:shd w:val="clear" w:color="auto" w:fill="auto"/>
            <w:noWrap/>
            <w:vAlign w:val="center"/>
            <w:hideMark/>
          </w:tcPr>
          <w:p w14:paraId="05AF392F"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37.9</w:t>
            </w:r>
          </w:p>
        </w:tc>
        <w:tc>
          <w:tcPr>
            <w:tcW w:w="1539" w:type="dxa"/>
            <w:tcBorders>
              <w:top w:val="nil"/>
              <w:left w:val="nil"/>
              <w:bottom w:val="single" w:sz="4" w:space="0" w:color="006666"/>
              <w:right w:val="single" w:sz="4" w:space="0" w:color="006666"/>
            </w:tcBorders>
            <w:shd w:val="clear" w:color="auto" w:fill="auto"/>
            <w:noWrap/>
            <w:vAlign w:val="center"/>
            <w:hideMark/>
          </w:tcPr>
          <w:p w14:paraId="2E316CA8"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34.7</w:t>
            </w:r>
          </w:p>
        </w:tc>
        <w:tc>
          <w:tcPr>
            <w:tcW w:w="1195" w:type="dxa"/>
            <w:tcBorders>
              <w:top w:val="nil"/>
              <w:left w:val="nil"/>
              <w:bottom w:val="single" w:sz="4" w:space="0" w:color="006666"/>
              <w:right w:val="single" w:sz="4" w:space="0" w:color="006666"/>
            </w:tcBorders>
            <w:shd w:val="clear" w:color="auto" w:fill="auto"/>
            <w:noWrap/>
            <w:vAlign w:val="center"/>
            <w:hideMark/>
          </w:tcPr>
          <w:p w14:paraId="392245CB"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27.4</w:t>
            </w:r>
          </w:p>
        </w:tc>
        <w:tc>
          <w:tcPr>
            <w:tcW w:w="1515" w:type="dxa"/>
            <w:tcBorders>
              <w:top w:val="nil"/>
              <w:left w:val="nil"/>
              <w:bottom w:val="single" w:sz="4" w:space="0" w:color="006666"/>
              <w:right w:val="single" w:sz="4" w:space="0" w:color="006666"/>
            </w:tcBorders>
            <w:shd w:val="clear" w:color="auto" w:fill="auto"/>
            <w:noWrap/>
            <w:vAlign w:val="center"/>
            <w:hideMark/>
          </w:tcPr>
          <w:p w14:paraId="72DC51A3"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7,722</w:t>
            </w:r>
          </w:p>
        </w:tc>
      </w:tr>
      <w:tr w:rsidR="007936A8" w:rsidRPr="0067297E" w14:paraId="3BB0FCC9"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4A83F9DD"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New Cross</w:t>
            </w:r>
          </w:p>
        </w:tc>
        <w:tc>
          <w:tcPr>
            <w:tcW w:w="1749" w:type="dxa"/>
            <w:tcBorders>
              <w:top w:val="nil"/>
              <w:left w:val="nil"/>
              <w:bottom w:val="single" w:sz="4" w:space="0" w:color="006666"/>
              <w:right w:val="single" w:sz="4" w:space="0" w:color="006666"/>
            </w:tcBorders>
            <w:shd w:val="clear" w:color="auto" w:fill="auto"/>
            <w:noWrap/>
            <w:vAlign w:val="center"/>
            <w:hideMark/>
          </w:tcPr>
          <w:p w14:paraId="44156F26"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26.9</w:t>
            </w:r>
          </w:p>
        </w:tc>
        <w:tc>
          <w:tcPr>
            <w:tcW w:w="1539" w:type="dxa"/>
            <w:tcBorders>
              <w:top w:val="nil"/>
              <w:left w:val="nil"/>
              <w:bottom w:val="single" w:sz="4" w:space="0" w:color="006666"/>
              <w:right w:val="single" w:sz="4" w:space="0" w:color="006666"/>
            </w:tcBorders>
            <w:shd w:val="clear" w:color="auto" w:fill="auto"/>
            <w:noWrap/>
            <w:vAlign w:val="center"/>
            <w:hideMark/>
          </w:tcPr>
          <w:p w14:paraId="0555D2CF"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32.7</w:t>
            </w:r>
          </w:p>
        </w:tc>
        <w:tc>
          <w:tcPr>
            <w:tcW w:w="1195" w:type="dxa"/>
            <w:tcBorders>
              <w:top w:val="nil"/>
              <w:left w:val="nil"/>
              <w:bottom w:val="single" w:sz="4" w:space="0" w:color="006666"/>
              <w:right w:val="single" w:sz="4" w:space="0" w:color="006666"/>
            </w:tcBorders>
            <w:shd w:val="clear" w:color="auto" w:fill="auto"/>
            <w:noWrap/>
            <w:vAlign w:val="center"/>
            <w:hideMark/>
          </w:tcPr>
          <w:p w14:paraId="4885060C"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40.5</w:t>
            </w:r>
          </w:p>
        </w:tc>
        <w:tc>
          <w:tcPr>
            <w:tcW w:w="1515" w:type="dxa"/>
            <w:tcBorders>
              <w:top w:val="nil"/>
              <w:left w:val="nil"/>
              <w:bottom w:val="single" w:sz="4" w:space="0" w:color="006666"/>
              <w:right w:val="single" w:sz="4" w:space="0" w:color="006666"/>
            </w:tcBorders>
            <w:shd w:val="clear" w:color="auto" w:fill="auto"/>
            <w:noWrap/>
            <w:vAlign w:val="center"/>
            <w:hideMark/>
          </w:tcPr>
          <w:p w14:paraId="3245D2B3"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6,576</w:t>
            </w:r>
          </w:p>
        </w:tc>
      </w:tr>
      <w:tr w:rsidR="007936A8" w:rsidRPr="0067297E" w14:paraId="6D6CD020"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0FDE8A1B"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 xml:space="preserve">Perry Vale </w:t>
            </w:r>
          </w:p>
        </w:tc>
        <w:tc>
          <w:tcPr>
            <w:tcW w:w="1749" w:type="dxa"/>
            <w:tcBorders>
              <w:top w:val="nil"/>
              <w:left w:val="nil"/>
              <w:bottom w:val="single" w:sz="4" w:space="0" w:color="006666"/>
              <w:right w:val="single" w:sz="4" w:space="0" w:color="006666"/>
            </w:tcBorders>
            <w:shd w:val="clear" w:color="auto" w:fill="auto"/>
            <w:noWrap/>
            <w:vAlign w:val="center"/>
            <w:hideMark/>
          </w:tcPr>
          <w:p w14:paraId="6764F48A"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49.5</w:t>
            </w:r>
          </w:p>
        </w:tc>
        <w:tc>
          <w:tcPr>
            <w:tcW w:w="1539" w:type="dxa"/>
            <w:tcBorders>
              <w:top w:val="nil"/>
              <w:left w:val="nil"/>
              <w:bottom w:val="single" w:sz="4" w:space="0" w:color="006666"/>
              <w:right w:val="single" w:sz="4" w:space="0" w:color="006666"/>
            </w:tcBorders>
            <w:shd w:val="clear" w:color="auto" w:fill="auto"/>
            <w:noWrap/>
            <w:vAlign w:val="center"/>
            <w:hideMark/>
          </w:tcPr>
          <w:p w14:paraId="27063DF5"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23.9</w:t>
            </w:r>
          </w:p>
        </w:tc>
        <w:tc>
          <w:tcPr>
            <w:tcW w:w="1195" w:type="dxa"/>
            <w:tcBorders>
              <w:top w:val="nil"/>
              <w:left w:val="nil"/>
              <w:bottom w:val="single" w:sz="4" w:space="0" w:color="006666"/>
              <w:right w:val="single" w:sz="4" w:space="0" w:color="006666"/>
            </w:tcBorders>
            <w:shd w:val="clear" w:color="auto" w:fill="auto"/>
            <w:noWrap/>
            <w:vAlign w:val="center"/>
            <w:hideMark/>
          </w:tcPr>
          <w:p w14:paraId="3583A217"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26.5</w:t>
            </w:r>
          </w:p>
        </w:tc>
        <w:tc>
          <w:tcPr>
            <w:tcW w:w="1515" w:type="dxa"/>
            <w:tcBorders>
              <w:top w:val="nil"/>
              <w:left w:val="nil"/>
              <w:bottom w:val="single" w:sz="4" w:space="0" w:color="006666"/>
              <w:right w:val="single" w:sz="4" w:space="0" w:color="006666"/>
            </w:tcBorders>
            <w:shd w:val="clear" w:color="auto" w:fill="auto"/>
            <w:noWrap/>
            <w:vAlign w:val="center"/>
            <w:hideMark/>
          </w:tcPr>
          <w:p w14:paraId="15EE2E24"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6,707</w:t>
            </w:r>
          </w:p>
        </w:tc>
      </w:tr>
      <w:tr w:rsidR="007936A8" w:rsidRPr="0067297E" w14:paraId="11ED3A91"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02794C8C"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Rushey Green</w:t>
            </w:r>
          </w:p>
        </w:tc>
        <w:tc>
          <w:tcPr>
            <w:tcW w:w="1749" w:type="dxa"/>
            <w:tcBorders>
              <w:top w:val="nil"/>
              <w:left w:val="nil"/>
              <w:bottom w:val="single" w:sz="4" w:space="0" w:color="006666"/>
              <w:right w:val="single" w:sz="4" w:space="0" w:color="006666"/>
            </w:tcBorders>
            <w:shd w:val="clear" w:color="auto" w:fill="auto"/>
            <w:noWrap/>
            <w:vAlign w:val="center"/>
            <w:hideMark/>
          </w:tcPr>
          <w:p w14:paraId="027A4026"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41.9</w:t>
            </w:r>
          </w:p>
        </w:tc>
        <w:tc>
          <w:tcPr>
            <w:tcW w:w="1539" w:type="dxa"/>
            <w:tcBorders>
              <w:top w:val="nil"/>
              <w:left w:val="nil"/>
              <w:bottom w:val="single" w:sz="4" w:space="0" w:color="006666"/>
              <w:right w:val="single" w:sz="4" w:space="0" w:color="006666"/>
            </w:tcBorders>
            <w:shd w:val="clear" w:color="auto" w:fill="auto"/>
            <w:noWrap/>
            <w:vAlign w:val="center"/>
            <w:hideMark/>
          </w:tcPr>
          <w:p w14:paraId="26FBA882"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31.3</w:t>
            </w:r>
          </w:p>
        </w:tc>
        <w:tc>
          <w:tcPr>
            <w:tcW w:w="1195" w:type="dxa"/>
            <w:tcBorders>
              <w:top w:val="nil"/>
              <w:left w:val="nil"/>
              <w:bottom w:val="single" w:sz="4" w:space="0" w:color="006666"/>
              <w:right w:val="single" w:sz="4" w:space="0" w:color="006666"/>
            </w:tcBorders>
            <w:shd w:val="clear" w:color="auto" w:fill="auto"/>
            <w:noWrap/>
            <w:vAlign w:val="center"/>
            <w:hideMark/>
          </w:tcPr>
          <w:p w14:paraId="1F7C3E45"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26.9</w:t>
            </w:r>
          </w:p>
        </w:tc>
        <w:tc>
          <w:tcPr>
            <w:tcW w:w="1515" w:type="dxa"/>
            <w:tcBorders>
              <w:top w:val="nil"/>
              <w:left w:val="nil"/>
              <w:bottom w:val="single" w:sz="4" w:space="0" w:color="006666"/>
              <w:right w:val="single" w:sz="4" w:space="0" w:color="006666"/>
            </w:tcBorders>
            <w:shd w:val="clear" w:color="auto" w:fill="auto"/>
            <w:noWrap/>
            <w:vAlign w:val="center"/>
            <w:hideMark/>
          </w:tcPr>
          <w:p w14:paraId="7C6D8DFE"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6,257</w:t>
            </w:r>
          </w:p>
        </w:tc>
      </w:tr>
      <w:tr w:rsidR="007936A8" w:rsidRPr="0067297E" w14:paraId="6EF2F67F"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54EC98BA"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Sydenham</w:t>
            </w:r>
          </w:p>
        </w:tc>
        <w:tc>
          <w:tcPr>
            <w:tcW w:w="1749" w:type="dxa"/>
            <w:tcBorders>
              <w:top w:val="nil"/>
              <w:left w:val="nil"/>
              <w:bottom w:val="single" w:sz="4" w:space="0" w:color="006666"/>
              <w:right w:val="single" w:sz="4" w:space="0" w:color="006666"/>
            </w:tcBorders>
            <w:shd w:val="clear" w:color="auto" w:fill="auto"/>
            <w:noWrap/>
            <w:vAlign w:val="center"/>
            <w:hideMark/>
          </w:tcPr>
          <w:p w14:paraId="13ABFF6D"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43.4</w:t>
            </w:r>
          </w:p>
        </w:tc>
        <w:tc>
          <w:tcPr>
            <w:tcW w:w="1539" w:type="dxa"/>
            <w:tcBorders>
              <w:top w:val="nil"/>
              <w:left w:val="nil"/>
              <w:bottom w:val="single" w:sz="4" w:space="0" w:color="006666"/>
              <w:right w:val="single" w:sz="4" w:space="0" w:color="006666"/>
            </w:tcBorders>
            <w:shd w:val="clear" w:color="auto" w:fill="auto"/>
            <w:noWrap/>
            <w:vAlign w:val="center"/>
            <w:hideMark/>
          </w:tcPr>
          <w:p w14:paraId="4872A2A2"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21.8</w:t>
            </w:r>
          </w:p>
        </w:tc>
        <w:tc>
          <w:tcPr>
            <w:tcW w:w="1195" w:type="dxa"/>
            <w:tcBorders>
              <w:top w:val="nil"/>
              <w:left w:val="nil"/>
              <w:bottom w:val="single" w:sz="4" w:space="0" w:color="006666"/>
              <w:right w:val="single" w:sz="4" w:space="0" w:color="006666"/>
            </w:tcBorders>
            <w:shd w:val="clear" w:color="auto" w:fill="auto"/>
            <w:noWrap/>
            <w:vAlign w:val="center"/>
            <w:hideMark/>
          </w:tcPr>
          <w:p w14:paraId="70D5F6DE"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34.7</w:t>
            </w:r>
          </w:p>
        </w:tc>
        <w:tc>
          <w:tcPr>
            <w:tcW w:w="1515" w:type="dxa"/>
            <w:tcBorders>
              <w:top w:val="nil"/>
              <w:left w:val="nil"/>
              <w:bottom w:val="single" w:sz="4" w:space="0" w:color="006666"/>
              <w:right w:val="single" w:sz="4" w:space="0" w:color="006666"/>
            </w:tcBorders>
            <w:shd w:val="clear" w:color="auto" w:fill="auto"/>
            <w:noWrap/>
            <w:vAlign w:val="center"/>
            <w:hideMark/>
          </w:tcPr>
          <w:p w14:paraId="5B6C9091"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6,793</w:t>
            </w:r>
          </w:p>
        </w:tc>
      </w:tr>
      <w:tr w:rsidR="007936A8" w:rsidRPr="0067297E" w14:paraId="37CCBD26"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79E74E95"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Telegraph Hill</w:t>
            </w:r>
          </w:p>
        </w:tc>
        <w:tc>
          <w:tcPr>
            <w:tcW w:w="1749" w:type="dxa"/>
            <w:tcBorders>
              <w:top w:val="nil"/>
              <w:left w:val="nil"/>
              <w:bottom w:val="single" w:sz="4" w:space="0" w:color="006666"/>
              <w:right w:val="single" w:sz="4" w:space="0" w:color="006666"/>
            </w:tcBorders>
            <w:shd w:val="clear" w:color="auto" w:fill="auto"/>
            <w:noWrap/>
            <w:vAlign w:val="center"/>
            <w:hideMark/>
          </w:tcPr>
          <w:p w14:paraId="39BEB26D"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33.2</w:t>
            </w:r>
          </w:p>
        </w:tc>
        <w:tc>
          <w:tcPr>
            <w:tcW w:w="1539" w:type="dxa"/>
            <w:tcBorders>
              <w:top w:val="nil"/>
              <w:left w:val="nil"/>
              <w:bottom w:val="single" w:sz="4" w:space="0" w:color="006666"/>
              <w:right w:val="single" w:sz="4" w:space="0" w:color="006666"/>
            </w:tcBorders>
            <w:shd w:val="clear" w:color="auto" w:fill="auto"/>
            <w:noWrap/>
            <w:vAlign w:val="center"/>
            <w:hideMark/>
          </w:tcPr>
          <w:p w14:paraId="63CFC2A8"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30.2</w:t>
            </w:r>
          </w:p>
        </w:tc>
        <w:tc>
          <w:tcPr>
            <w:tcW w:w="1195" w:type="dxa"/>
            <w:tcBorders>
              <w:top w:val="nil"/>
              <w:left w:val="nil"/>
              <w:bottom w:val="single" w:sz="4" w:space="0" w:color="006666"/>
              <w:right w:val="single" w:sz="4" w:space="0" w:color="006666"/>
            </w:tcBorders>
            <w:shd w:val="clear" w:color="auto" w:fill="auto"/>
            <w:noWrap/>
            <w:vAlign w:val="center"/>
            <w:hideMark/>
          </w:tcPr>
          <w:p w14:paraId="346B96AD"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36.6</w:t>
            </w:r>
          </w:p>
        </w:tc>
        <w:tc>
          <w:tcPr>
            <w:tcW w:w="1515" w:type="dxa"/>
            <w:tcBorders>
              <w:top w:val="nil"/>
              <w:left w:val="nil"/>
              <w:bottom w:val="single" w:sz="4" w:space="0" w:color="006666"/>
              <w:right w:val="single" w:sz="4" w:space="0" w:color="006666"/>
            </w:tcBorders>
            <w:shd w:val="clear" w:color="auto" w:fill="auto"/>
            <w:noWrap/>
            <w:vAlign w:val="center"/>
            <w:hideMark/>
          </w:tcPr>
          <w:p w14:paraId="1E80370D"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6,855</w:t>
            </w:r>
          </w:p>
        </w:tc>
      </w:tr>
      <w:tr w:rsidR="007936A8" w:rsidRPr="0067297E" w14:paraId="1A832FD7"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448122F6"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Whitefoot</w:t>
            </w:r>
          </w:p>
        </w:tc>
        <w:tc>
          <w:tcPr>
            <w:tcW w:w="1749" w:type="dxa"/>
            <w:tcBorders>
              <w:top w:val="nil"/>
              <w:left w:val="nil"/>
              <w:bottom w:val="single" w:sz="4" w:space="0" w:color="006666"/>
              <w:right w:val="single" w:sz="4" w:space="0" w:color="006666"/>
            </w:tcBorders>
            <w:shd w:val="clear" w:color="auto" w:fill="auto"/>
            <w:noWrap/>
            <w:vAlign w:val="center"/>
            <w:hideMark/>
          </w:tcPr>
          <w:p w14:paraId="29270E23"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49.8</w:t>
            </w:r>
          </w:p>
        </w:tc>
        <w:tc>
          <w:tcPr>
            <w:tcW w:w="1539" w:type="dxa"/>
            <w:tcBorders>
              <w:top w:val="nil"/>
              <w:left w:val="nil"/>
              <w:bottom w:val="single" w:sz="4" w:space="0" w:color="006666"/>
              <w:right w:val="single" w:sz="4" w:space="0" w:color="006666"/>
            </w:tcBorders>
            <w:shd w:val="clear" w:color="auto" w:fill="auto"/>
            <w:noWrap/>
            <w:vAlign w:val="center"/>
            <w:hideMark/>
          </w:tcPr>
          <w:p w14:paraId="5A56153A"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15.7</w:t>
            </w:r>
          </w:p>
        </w:tc>
        <w:tc>
          <w:tcPr>
            <w:tcW w:w="1195" w:type="dxa"/>
            <w:tcBorders>
              <w:top w:val="nil"/>
              <w:left w:val="nil"/>
              <w:bottom w:val="single" w:sz="4" w:space="0" w:color="006666"/>
              <w:right w:val="single" w:sz="4" w:space="0" w:color="006666"/>
            </w:tcBorders>
            <w:shd w:val="clear" w:color="auto" w:fill="auto"/>
            <w:noWrap/>
            <w:vAlign w:val="center"/>
            <w:hideMark/>
          </w:tcPr>
          <w:p w14:paraId="33793AF9" w14:textId="77777777" w:rsidR="007936A8" w:rsidRPr="0067297E" w:rsidRDefault="007936A8" w:rsidP="00CE19D0">
            <w:pPr>
              <w:jc w:val="right"/>
              <w:rPr>
                <w:rFonts w:asciiTheme="minorHAnsi" w:hAnsiTheme="minorHAnsi" w:cs="Calibri"/>
                <w:color w:val="000000"/>
                <w:sz w:val="22"/>
                <w:szCs w:val="22"/>
              </w:rPr>
            </w:pPr>
            <w:r w:rsidRPr="0067297E">
              <w:rPr>
                <w:rFonts w:asciiTheme="minorHAnsi" w:hAnsiTheme="minorHAnsi" w:cs="Calibri"/>
                <w:color w:val="000000"/>
                <w:sz w:val="22"/>
                <w:szCs w:val="22"/>
              </w:rPr>
              <w:t>34.5</w:t>
            </w:r>
          </w:p>
        </w:tc>
        <w:tc>
          <w:tcPr>
            <w:tcW w:w="1515" w:type="dxa"/>
            <w:tcBorders>
              <w:top w:val="nil"/>
              <w:left w:val="nil"/>
              <w:bottom w:val="single" w:sz="4" w:space="0" w:color="006666"/>
              <w:right w:val="single" w:sz="4" w:space="0" w:color="006666"/>
            </w:tcBorders>
            <w:shd w:val="clear" w:color="auto" w:fill="auto"/>
            <w:noWrap/>
            <w:vAlign w:val="center"/>
            <w:hideMark/>
          </w:tcPr>
          <w:p w14:paraId="4CD82152"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5,527</w:t>
            </w:r>
          </w:p>
        </w:tc>
      </w:tr>
      <w:tr w:rsidR="007936A8" w:rsidRPr="0067297E" w14:paraId="263D6753" w14:textId="77777777" w:rsidTr="00E12901">
        <w:trPr>
          <w:trHeight w:val="280"/>
        </w:trPr>
        <w:tc>
          <w:tcPr>
            <w:tcW w:w="1865" w:type="dxa"/>
            <w:tcBorders>
              <w:top w:val="nil"/>
              <w:left w:val="single" w:sz="4" w:space="0" w:color="006666"/>
              <w:bottom w:val="single" w:sz="4" w:space="0" w:color="006666"/>
              <w:right w:val="single" w:sz="4" w:space="0" w:color="006666"/>
            </w:tcBorders>
            <w:shd w:val="clear" w:color="auto" w:fill="auto"/>
            <w:noWrap/>
            <w:vAlign w:val="center"/>
            <w:hideMark/>
          </w:tcPr>
          <w:p w14:paraId="35CF17E8" w14:textId="77777777" w:rsidR="007936A8" w:rsidRPr="0067297E" w:rsidRDefault="007936A8" w:rsidP="00E12901">
            <w:pPr>
              <w:rPr>
                <w:rFonts w:asciiTheme="minorHAnsi" w:hAnsiTheme="minorHAnsi" w:cs="Calibri"/>
                <w:color w:val="000000"/>
                <w:sz w:val="22"/>
                <w:szCs w:val="22"/>
              </w:rPr>
            </w:pPr>
            <w:r w:rsidRPr="0067297E">
              <w:rPr>
                <w:rFonts w:asciiTheme="minorHAnsi" w:hAnsiTheme="minorHAnsi" w:cs="Calibri"/>
                <w:color w:val="000000"/>
                <w:sz w:val="22"/>
                <w:szCs w:val="22"/>
              </w:rPr>
              <w:t>Lewisham Total</w:t>
            </w:r>
          </w:p>
        </w:tc>
        <w:tc>
          <w:tcPr>
            <w:tcW w:w="1749" w:type="dxa"/>
            <w:tcBorders>
              <w:top w:val="nil"/>
              <w:left w:val="nil"/>
              <w:bottom w:val="single" w:sz="4" w:space="0" w:color="006666"/>
              <w:right w:val="single" w:sz="4" w:space="0" w:color="006666"/>
            </w:tcBorders>
            <w:shd w:val="clear" w:color="auto" w:fill="auto"/>
            <w:noWrap/>
            <w:vAlign w:val="center"/>
            <w:hideMark/>
          </w:tcPr>
          <w:p w14:paraId="64D50016" w14:textId="77777777" w:rsidR="007936A8" w:rsidRPr="0067297E" w:rsidRDefault="00786D9B" w:rsidP="00CE19D0">
            <w:pPr>
              <w:jc w:val="right"/>
              <w:rPr>
                <w:rFonts w:asciiTheme="minorHAnsi" w:hAnsiTheme="minorHAnsi" w:cs="Calibri"/>
                <w:b/>
                <w:bCs/>
                <w:color w:val="000000"/>
                <w:sz w:val="22"/>
                <w:szCs w:val="22"/>
              </w:rPr>
            </w:pPr>
            <w:r w:rsidRPr="0067297E">
              <w:rPr>
                <w:rFonts w:asciiTheme="minorHAnsi" w:hAnsiTheme="minorHAnsi" w:cs="Calibri"/>
                <w:b/>
                <w:bCs/>
                <w:color w:val="000000"/>
                <w:sz w:val="22"/>
                <w:szCs w:val="22"/>
              </w:rPr>
              <w:t>43.9</w:t>
            </w:r>
          </w:p>
        </w:tc>
        <w:tc>
          <w:tcPr>
            <w:tcW w:w="1539" w:type="dxa"/>
            <w:tcBorders>
              <w:top w:val="nil"/>
              <w:left w:val="nil"/>
              <w:bottom w:val="single" w:sz="4" w:space="0" w:color="006666"/>
              <w:right w:val="single" w:sz="4" w:space="0" w:color="006666"/>
            </w:tcBorders>
            <w:shd w:val="clear" w:color="auto" w:fill="auto"/>
            <w:noWrap/>
            <w:vAlign w:val="center"/>
            <w:hideMark/>
          </w:tcPr>
          <w:p w14:paraId="5A713FE8" w14:textId="77777777" w:rsidR="007936A8" w:rsidRPr="0067297E" w:rsidRDefault="007936A8" w:rsidP="00CE19D0">
            <w:pPr>
              <w:jc w:val="right"/>
              <w:rPr>
                <w:rFonts w:asciiTheme="minorHAnsi" w:hAnsiTheme="minorHAnsi" w:cs="Calibri"/>
                <w:b/>
                <w:bCs/>
                <w:color w:val="000000"/>
                <w:sz w:val="22"/>
                <w:szCs w:val="22"/>
              </w:rPr>
            </w:pPr>
            <w:r w:rsidRPr="0067297E">
              <w:rPr>
                <w:rFonts w:asciiTheme="minorHAnsi" w:hAnsiTheme="minorHAnsi" w:cs="Calibri"/>
                <w:b/>
                <w:bCs/>
                <w:color w:val="000000"/>
                <w:sz w:val="22"/>
                <w:szCs w:val="22"/>
              </w:rPr>
              <w:t> </w:t>
            </w:r>
            <w:r w:rsidR="00786D9B" w:rsidRPr="0067297E">
              <w:rPr>
                <w:rFonts w:asciiTheme="minorHAnsi" w:hAnsiTheme="minorHAnsi" w:cs="Calibri"/>
                <w:b/>
                <w:bCs/>
                <w:color w:val="000000"/>
                <w:sz w:val="22"/>
                <w:szCs w:val="22"/>
              </w:rPr>
              <w:t>25.1</w:t>
            </w:r>
          </w:p>
        </w:tc>
        <w:tc>
          <w:tcPr>
            <w:tcW w:w="1195" w:type="dxa"/>
            <w:tcBorders>
              <w:top w:val="nil"/>
              <w:left w:val="nil"/>
              <w:bottom w:val="single" w:sz="4" w:space="0" w:color="006666"/>
              <w:right w:val="single" w:sz="4" w:space="0" w:color="006666"/>
            </w:tcBorders>
            <w:shd w:val="clear" w:color="auto" w:fill="auto"/>
            <w:noWrap/>
            <w:vAlign w:val="center"/>
            <w:hideMark/>
          </w:tcPr>
          <w:p w14:paraId="45AD810C" w14:textId="77777777" w:rsidR="007936A8" w:rsidRPr="0067297E" w:rsidRDefault="00786D9B" w:rsidP="00CE19D0">
            <w:pPr>
              <w:jc w:val="right"/>
              <w:rPr>
                <w:rFonts w:asciiTheme="minorHAnsi" w:hAnsiTheme="minorHAnsi" w:cs="Calibri"/>
                <w:b/>
                <w:bCs/>
                <w:color w:val="000000"/>
                <w:sz w:val="22"/>
                <w:szCs w:val="22"/>
              </w:rPr>
            </w:pPr>
            <w:r w:rsidRPr="0067297E">
              <w:rPr>
                <w:rFonts w:asciiTheme="minorHAnsi" w:hAnsiTheme="minorHAnsi" w:cs="Calibri"/>
                <w:b/>
                <w:bCs/>
                <w:color w:val="000000"/>
                <w:sz w:val="22"/>
                <w:szCs w:val="22"/>
              </w:rPr>
              <w:t>31.0</w:t>
            </w:r>
          </w:p>
        </w:tc>
        <w:tc>
          <w:tcPr>
            <w:tcW w:w="1515" w:type="dxa"/>
            <w:tcBorders>
              <w:top w:val="nil"/>
              <w:left w:val="nil"/>
              <w:bottom w:val="single" w:sz="4" w:space="0" w:color="006666"/>
              <w:right w:val="single" w:sz="4" w:space="0" w:color="006666"/>
            </w:tcBorders>
            <w:shd w:val="clear" w:color="auto" w:fill="auto"/>
            <w:noWrap/>
            <w:vAlign w:val="center"/>
            <w:hideMark/>
          </w:tcPr>
          <w:p w14:paraId="2C3C7410" w14:textId="77777777" w:rsidR="007936A8" w:rsidRPr="0067297E" w:rsidRDefault="007936A8" w:rsidP="00CE19D0">
            <w:pPr>
              <w:jc w:val="right"/>
              <w:rPr>
                <w:rFonts w:asciiTheme="minorHAnsi" w:hAnsiTheme="minorHAnsi" w:cs="Calibri"/>
                <w:b/>
                <w:bCs/>
                <w:i/>
                <w:iCs/>
                <w:color w:val="000000"/>
                <w:sz w:val="22"/>
                <w:szCs w:val="22"/>
              </w:rPr>
            </w:pPr>
            <w:r w:rsidRPr="0067297E">
              <w:rPr>
                <w:rFonts w:asciiTheme="minorHAnsi" w:hAnsiTheme="minorHAnsi" w:cs="Calibri"/>
                <w:b/>
                <w:bCs/>
                <w:i/>
                <w:iCs/>
                <w:color w:val="000000"/>
                <w:sz w:val="22"/>
                <w:szCs w:val="22"/>
              </w:rPr>
              <w:t>116,091</w:t>
            </w:r>
          </w:p>
        </w:tc>
      </w:tr>
    </w:tbl>
    <w:p w14:paraId="1CB1A901" w14:textId="77777777" w:rsidR="00531BD6" w:rsidRPr="0067297E" w:rsidRDefault="005B0F27" w:rsidP="00E12901">
      <w:pPr>
        <w:ind w:left="720"/>
        <w:rPr>
          <w:rFonts w:asciiTheme="minorHAnsi" w:hAnsiTheme="minorHAnsi" w:cs="Calibri"/>
          <w:sz w:val="20"/>
          <w:szCs w:val="20"/>
        </w:rPr>
      </w:pPr>
      <w:r w:rsidRPr="0067297E">
        <w:rPr>
          <w:rFonts w:asciiTheme="minorHAnsi" w:hAnsiTheme="minorHAnsi" w:cs="Calibri"/>
          <w:sz w:val="20"/>
          <w:szCs w:val="20"/>
        </w:rPr>
        <w:t>Source: 2011 Census</w:t>
      </w:r>
    </w:p>
    <w:p w14:paraId="66AD5AA3" w14:textId="77777777" w:rsidR="005B0F27" w:rsidRPr="0067297E" w:rsidRDefault="005B0F27" w:rsidP="00543A76">
      <w:pPr>
        <w:rPr>
          <w:rFonts w:asciiTheme="minorHAnsi" w:hAnsiTheme="minorHAnsi" w:cs="Calibri"/>
          <w:b/>
        </w:rPr>
      </w:pPr>
    </w:p>
    <w:tbl>
      <w:tblPr>
        <w:tblW w:w="7829" w:type="dxa"/>
        <w:tblInd w:w="607" w:type="dxa"/>
        <w:tblLook w:val="04A0" w:firstRow="1" w:lastRow="0" w:firstColumn="1" w:lastColumn="0" w:noHBand="0" w:noVBand="1"/>
      </w:tblPr>
      <w:tblGrid>
        <w:gridCol w:w="1691"/>
        <w:gridCol w:w="1800"/>
        <w:gridCol w:w="1584"/>
        <w:gridCol w:w="1195"/>
        <w:gridCol w:w="1559"/>
      </w:tblGrid>
      <w:tr w:rsidR="007936A8" w:rsidRPr="0067297E" w14:paraId="5774A906" w14:textId="77777777" w:rsidTr="00FF4E2D">
        <w:trPr>
          <w:trHeight w:val="280"/>
          <w:tblHeader/>
        </w:trPr>
        <w:tc>
          <w:tcPr>
            <w:tcW w:w="7829" w:type="dxa"/>
            <w:gridSpan w:val="5"/>
            <w:tcBorders>
              <w:top w:val="single" w:sz="4" w:space="0" w:color="006666"/>
              <w:left w:val="single" w:sz="4" w:space="0" w:color="006666"/>
              <w:bottom w:val="single" w:sz="4" w:space="0" w:color="006666"/>
              <w:right w:val="single" w:sz="4" w:space="0" w:color="006666"/>
            </w:tcBorders>
            <w:shd w:val="clear" w:color="000000" w:fill="009999"/>
            <w:vAlign w:val="center"/>
            <w:hideMark/>
          </w:tcPr>
          <w:p w14:paraId="40B4141E" w14:textId="2680D12A" w:rsidR="007936A8" w:rsidRPr="0067297E" w:rsidRDefault="007936A8" w:rsidP="003F4875">
            <w:pPr>
              <w:pStyle w:val="tableheading"/>
              <w:rPr>
                <w:rFonts w:asciiTheme="minorHAnsi" w:hAnsiTheme="minorHAnsi"/>
              </w:rPr>
            </w:pPr>
            <w:bookmarkStart w:id="247" w:name="_Toc23151157"/>
            <w:r w:rsidRPr="0067297E">
              <w:rPr>
                <w:rFonts w:asciiTheme="minorHAnsi" w:hAnsiTheme="minorHAnsi"/>
              </w:rPr>
              <w:t>Table 4.</w:t>
            </w:r>
            <w:r w:rsidR="003B05BC" w:rsidRPr="0067297E">
              <w:rPr>
                <w:rFonts w:asciiTheme="minorHAnsi" w:hAnsiTheme="minorHAnsi"/>
              </w:rPr>
              <w:t>8</w:t>
            </w:r>
            <w:r w:rsidR="00516B53" w:rsidRPr="0067297E">
              <w:rPr>
                <w:rFonts w:asciiTheme="minorHAnsi" w:hAnsiTheme="minorHAnsi"/>
              </w:rPr>
              <w:tab/>
            </w:r>
            <w:r w:rsidR="00F4470D" w:rsidRPr="0067297E">
              <w:rPr>
                <w:rFonts w:asciiTheme="minorHAnsi" w:hAnsiTheme="minorHAnsi"/>
                <w:lang w:val="en-GB"/>
              </w:rPr>
              <w:t xml:space="preserve">Housing </w:t>
            </w:r>
            <w:r w:rsidRPr="0067297E">
              <w:rPr>
                <w:rFonts w:asciiTheme="minorHAnsi" w:hAnsiTheme="minorHAnsi"/>
              </w:rPr>
              <w:t xml:space="preserve"> tenure by sub-area</w:t>
            </w:r>
            <w:r w:rsidR="00BC2029" w:rsidRPr="0067297E">
              <w:rPr>
                <w:rFonts w:asciiTheme="minorHAnsi" w:hAnsiTheme="minorHAnsi"/>
              </w:rPr>
              <w:t xml:space="preserve"> (%)</w:t>
            </w:r>
            <w:bookmarkEnd w:id="247"/>
          </w:p>
        </w:tc>
      </w:tr>
      <w:tr w:rsidR="007936A8" w:rsidRPr="0067297E" w14:paraId="590C0008" w14:textId="77777777" w:rsidTr="00E12901">
        <w:trPr>
          <w:trHeight w:val="280"/>
        </w:trPr>
        <w:tc>
          <w:tcPr>
            <w:tcW w:w="1691" w:type="dxa"/>
            <w:tcBorders>
              <w:top w:val="nil"/>
              <w:left w:val="single" w:sz="4" w:space="0" w:color="006666"/>
              <w:bottom w:val="single" w:sz="4" w:space="0" w:color="006666"/>
              <w:right w:val="single" w:sz="4" w:space="0" w:color="006666"/>
            </w:tcBorders>
            <w:shd w:val="clear" w:color="000000" w:fill="009999"/>
            <w:noWrap/>
            <w:vAlign w:val="center"/>
            <w:hideMark/>
          </w:tcPr>
          <w:p w14:paraId="31853B20" w14:textId="77777777" w:rsidR="007936A8" w:rsidRPr="0067297E" w:rsidRDefault="007936A8" w:rsidP="00E12901">
            <w:pPr>
              <w:rPr>
                <w:rFonts w:asciiTheme="minorHAnsi" w:hAnsiTheme="minorHAnsi" w:cs="Calibri"/>
                <w:b/>
                <w:bCs/>
                <w:color w:val="FFFFFF"/>
                <w:sz w:val="22"/>
                <w:szCs w:val="22"/>
              </w:rPr>
            </w:pPr>
            <w:r w:rsidRPr="0067297E">
              <w:rPr>
                <w:rFonts w:asciiTheme="minorHAnsi" w:hAnsiTheme="minorHAnsi" w:cs="Calibri"/>
                <w:b/>
                <w:bCs/>
                <w:color w:val="FFFFFF"/>
                <w:sz w:val="22"/>
                <w:szCs w:val="22"/>
              </w:rPr>
              <w:t>Sub-area</w:t>
            </w:r>
          </w:p>
        </w:tc>
        <w:tc>
          <w:tcPr>
            <w:tcW w:w="1800" w:type="dxa"/>
            <w:tcBorders>
              <w:top w:val="nil"/>
              <w:left w:val="nil"/>
              <w:bottom w:val="single" w:sz="4" w:space="0" w:color="006666"/>
              <w:right w:val="single" w:sz="4" w:space="0" w:color="006666"/>
            </w:tcBorders>
            <w:shd w:val="clear" w:color="000000" w:fill="009999"/>
            <w:noWrap/>
            <w:vAlign w:val="center"/>
            <w:hideMark/>
          </w:tcPr>
          <w:p w14:paraId="5F39FC56" w14:textId="77777777" w:rsidR="007936A8" w:rsidRPr="0067297E" w:rsidRDefault="007936A8"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Owner occupied</w:t>
            </w:r>
          </w:p>
        </w:tc>
        <w:tc>
          <w:tcPr>
            <w:tcW w:w="1584" w:type="dxa"/>
            <w:tcBorders>
              <w:top w:val="nil"/>
              <w:left w:val="nil"/>
              <w:bottom w:val="single" w:sz="4" w:space="0" w:color="006666"/>
              <w:right w:val="single" w:sz="4" w:space="0" w:color="006666"/>
            </w:tcBorders>
            <w:shd w:val="clear" w:color="000000" w:fill="009999"/>
            <w:noWrap/>
            <w:vAlign w:val="center"/>
            <w:hideMark/>
          </w:tcPr>
          <w:p w14:paraId="4E92548B" w14:textId="77777777" w:rsidR="007936A8" w:rsidRPr="0067297E" w:rsidRDefault="007936A8"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Private rented</w:t>
            </w:r>
          </w:p>
        </w:tc>
        <w:tc>
          <w:tcPr>
            <w:tcW w:w="1195" w:type="dxa"/>
            <w:tcBorders>
              <w:top w:val="nil"/>
              <w:left w:val="nil"/>
              <w:bottom w:val="single" w:sz="4" w:space="0" w:color="006666"/>
              <w:right w:val="single" w:sz="4" w:space="0" w:color="006666"/>
            </w:tcBorders>
            <w:shd w:val="clear" w:color="000000" w:fill="009999"/>
            <w:noWrap/>
            <w:vAlign w:val="center"/>
            <w:hideMark/>
          </w:tcPr>
          <w:p w14:paraId="5EC24883" w14:textId="77777777" w:rsidR="007936A8" w:rsidRPr="0067297E" w:rsidRDefault="007936A8" w:rsidP="00E12901">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Affordable</w:t>
            </w:r>
          </w:p>
        </w:tc>
        <w:tc>
          <w:tcPr>
            <w:tcW w:w="1559" w:type="dxa"/>
            <w:tcBorders>
              <w:top w:val="nil"/>
              <w:left w:val="nil"/>
              <w:bottom w:val="single" w:sz="4" w:space="0" w:color="006666"/>
              <w:right w:val="single" w:sz="4" w:space="0" w:color="006666"/>
            </w:tcBorders>
            <w:shd w:val="clear" w:color="000000" w:fill="009999"/>
            <w:vAlign w:val="center"/>
            <w:hideMark/>
          </w:tcPr>
          <w:p w14:paraId="5E64B8A2" w14:textId="77777777" w:rsidR="007936A8" w:rsidRPr="0067297E" w:rsidRDefault="007936A8" w:rsidP="00E12901">
            <w:pPr>
              <w:jc w:val="center"/>
              <w:rPr>
                <w:rFonts w:asciiTheme="minorHAnsi" w:hAnsiTheme="minorHAnsi" w:cs="Calibri"/>
                <w:b/>
                <w:bCs/>
                <w:i/>
                <w:iCs/>
                <w:color w:val="FFFFFF"/>
                <w:sz w:val="22"/>
                <w:szCs w:val="22"/>
              </w:rPr>
            </w:pPr>
            <w:r w:rsidRPr="0067297E">
              <w:rPr>
                <w:rFonts w:asciiTheme="minorHAnsi" w:hAnsiTheme="minorHAnsi" w:cs="Calibri"/>
                <w:b/>
                <w:bCs/>
                <w:i/>
                <w:iCs/>
                <w:color w:val="FFFFFF"/>
                <w:sz w:val="22"/>
                <w:szCs w:val="22"/>
              </w:rPr>
              <w:t>Base</w:t>
            </w:r>
          </w:p>
        </w:tc>
      </w:tr>
      <w:tr w:rsidR="007936A8" w:rsidRPr="0067297E" w14:paraId="75F79089" w14:textId="77777777" w:rsidTr="00E12901">
        <w:trPr>
          <w:trHeight w:val="240"/>
        </w:trPr>
        <w:tc>
          <w:tcPr>
            <w:tcW w:w="1691" w:type="dxa"/>
            <w:tcBorders>
              <w:top w:val="nil"/>
              <w:left w:val="single" w:sz="4" w:space="0" w:color="006666"/>
              <w:bottom w:val="single" w:sz="4" w:space="0" w:color="006666"/>
              <w:right w:val="single" w:sz="4" w:space="0" w:color="006666"/>
            </w:tcBorders>
            <w:shd w:val="clear" w:color="auto" w:fill="auto"/>
            <w:noWrap/>
            <w:vAlign w:val="bottom"/>
            <w:hideMark/>
          </w:tcPr>
          <w:p w14:paraId="3C6A234D" w14:textId="77777777" w:rsidR="007936A8" w:rsidRPr="0067297E" w:rsidRDefault="007936A8" w:rsidP="00E12901">
            <w:pPr>
              <w:rPr>
                <w:rFonts w:asciiTheme="minorHAnsi" w:hAnsiTheme="minorHAnsi" w:cs="Calibri"/>
                <w:sz w:val="22"/>
                <w:szCs w:val="22"/>
              </w:rPr>
            </w:pPr>
            <w:r w:rsidRPr="0067297E">
              <w:rPr>
                <w:rFonts w:asciiTheme="minorHAnsi" w:hAnsiTheme="minorHAnsi" w:cs="Calibri"/>
                <w:sz w:val="22"/>
                <w:szCs w:val="22"/>
              </w:rPr>
              <w:t>Central</w:t>
            </w:r>
          </w:p>
        </w:tc>
        <w:tc>
          <w:tcPr>
            <w:tcW w:w="1800" w:type="dxa"/>
            <w:tcBorders>
              <w:top w:val="nil"/>
              <w:left w:val="nil"/>
              <w:bottom w:val="single" w:sz="4" w:space="0" w:color="006666"/>
              <w:right w:val="single" w:sz="4" w:space="0" w:color="006666"/>
            </w:tcBorders>
            <w:shd w:val="clear" w:color="auto" w:fill="auto"/>
            <w:noWrap/>
            <w:vAlign w:val="bottom"/>
            <w:hideMark/>
          </w:tcPr>
          <w:p w14:paraId="4ED90622"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39.5</w:t>
            </w:r>
          </w:p>
        </w:tc>
        <w:tc>
          <w:tcPr>
            <w:tcW w:w="1584" w:type="dxa"/>
            <w:tcBorders>
              <w:top w:val="nil"/>
              <w:left w:val="nil"/>
              <w:bottom w:val="single" w:sz="4" w:space="0" w:color="006666"/>
              <w:right w:val="single" w:sz="4" w:space="0" w:color="006666"/>
            </w:tcBorders>
            <w:shd w:val="clear" w:color="auto" w:fill="auto"/>
            <w:noWrap/>
            <w:vAlign w:val="bottom"/>
            <w:hideMark/>
          </w:tcPr>
          <w:p w14:paraId="76CD12ED"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26.9</w:t>
            </w:r>
          </w:p>
        </w:tc>
        <w:tc>
          <w:tcPr>
            <w:tcW w:w="1195" w:type="dxa"/>
            <w:tcBorders>
              <w:top w:val="nil"/>
              <w:left w:val="nil"/>
              <w:bottom w:val="single" w:sz="4" w:space="0" w:color="006666"/>
              <w:right w:val="single" w:sz="4" w:space="0" w:color="006666"/>
            </w:tcBorders>
            <w:shd w:val="clear" w:color="auto" w:fill="auto"/>
            <w:noWrap/>
            <w:vAlign w:val="bottom"/>
            <w:hideMark/>
          </w:tcPr>
          <w:p w14:paraId="345C005D"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33.6</w:t>
            </w:r>
          </w:p>
        </w:tc>
        <w:tc>
          <w:tcPr>
            <w:tcW w:w="1559" w:type="dxa"/>
            <w:tcBorders>
              <w:top w:val="nil"/>
              <w:left w:val="nil"/>
              <w:bottom w:val="single" w:sz="4" w:space="0" w:color="006666"/>
              <w:right w:val="single" w:sz="4" w:space="0" w:color="006666"/>
            </w:tcBorders>
            <w:shd w:val="clear" w:color="auto" w:fill="auto"/>
            <w:noWrap/>
            <w:vAlign w:val="bottom"/>
            <w:hideMark/>
          </w:tcPr>
          <w:p w14:paraId="4886C9C6" w14:textId="71E2295F"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19</w:t>
            </w:r>
            <w:r w:rsidR="00CE19D0">
              <w:rPr>
                <w:rFonts w:asciiTheme="minorHAnsi" w:hAnsiTheme="minorHAnsi" w:cs="Calibri"/>
                <w:sz w:val="22"/>
                <w:szCs w:val="22"/>
              </w:rPr>
              <w:t>,</w:t>
            </w:r>
            <w:r w:rsidRPr="0067297E">
              <w:rPr>
                <w:rFonts w:asciiTheme="minorHAnsi" w:hAnsiTheme="minorHAnsi" w:cs="Calibri"/>
                <w:sz w:val="22"/>
                <w:szCs w:val="22"/>
              </w:rPr>
              <w:t>691</w:t>
            </w:r>
          </w:p>
        </w:tc>
      </w:tr>
      <w:tr w:rsidR="007936A8" w:rsidRPr="0067297E" w14:paraId="71F748BE" w14:textId="77777777" w:rsidTr="00E12901">
        <w:trPr>
          <w:trHeight w:val="240"/>
        </w:trPr>
        <w:tc>
          <w:tcPr>
            <w:tcW w:w="1691" w:type="dxa"/>
            <w:tcBorders>
              <w:top w:val="nil"/>
              <w:left w:val="single" w:sz="4" w:space="0" w:color="006666"/>
              <w:bottom w:val="single" w:sz="4" w:space="0" w:color="006666"/>
              <w:right w:val="single" w:sz="4" w:space="0" w:color="006666"/>
            </w:tcBorders>
            <w:shd w:val="clear" w:color="auto" w:fill="auto"/>
            <w:noWrap/>
            <w:vAlign w:val="bottom"/>
            <w:hideMark/>
          </w:tcPr>
          <w:p w14:paraId="3570CF48" w14:textId="77777777" w:rsidR="007936A8" w:rsidRPr="0067297E" w:rsidRDefault="007936A8" w:rsidP="00E12901">
            <w:pPr>
              <w:rPr>
                <w:rFonts w:asciiTheme="minorHAnsi" w:hAnsiTheme="minorHAnsi" w:cs="Calibri"/>
                <w:sz w:val="22"/>
                <w:szCs w:val="22"/>
              </w:rPr>
            </w:pPr>
            <w:r w:rsidRPr="0067297E">
              <w:rPr>
                <w:rFonts w:asciiTheme="minorHAnsi" w:hAnsiTheme="minorHAnsi" w:cs="Calibri"/>
                <w:sz w:val="22"/>
                <w:szCs w:val="22"/>
              </w:rPr>
              <w:t>East</w:t>
            </w:r>
          </w:p>
        </w:tc>
        <w:tc>
          <w:tcPr>
            <w:tcW w:w="1800" w:type="dxa"/>
            <w:tcBorders>
              <w:top w:val="nil"/>
              <w:left w:val="nil"/>
              <w:bottom w:val="single" w:sz="4" w:space="0" w:color="006666"/>
              <w:right w:val="single" w:sz="4" w:space="0" w:color="006666"/>
            </w:tcBorders>
            <w:shd w:val="clear" w:color="auto" w:fill="auto"/>
            <w:noWrap/>
            <w:vAlign w:val="bottom"/>
            <w:hideMark/>
          </w:tcPr>
          <w:p w14:paraId="43CCCC35"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56.0</w:t>
            </w:r>
          </w:p>
        </w:tc>
        <w:tc>
          <w:tcPr>
            <w:tcW w:w="1584" w:type="dxa"/>
            <w:tcBorders>
              <w:top w:val="nil"/>
              <w:left w:val="nil"/>
              <w:bottom w:val="single" w:sz="4" w:space="0" w:color="006666"/>
              <w:right w:val="single" w:sz="4" w:space="0" w:color="006666"/>
            </w:tcBorders>
            <w:shd w:val="clear" w:color="auto" w:fill="auto"/>
            <w:noWrap/>
            <w:vAlign w:val="bottom"/>
            <w:hideMark/>
          </w:tcPr>
          <w:p w14:paraId="22C2D8EF"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20.6</w:t>
            </w:r>
          </w:p>
        </w:tc>
        <w:tc>
          <w:tcPr>
            <w:tcW w:w="1195" w:type="dxa"/>
            <w:tcBorders>
              <w:top w:val="nil"/>
              <w:left w:val="nil"/>
              <w:bottom w:val="single" w:sz="4" w:space="0" w:color="006666"/>
              <w:right w:val="single" w:sz="4" w:space="0" w:color="006666"/>
            </w:tcBorders>
            <w:shd w:val="clear" w:color="auto" w:fill="auto"/>
            <w:noWrap/>
            <w:vAlign w:val="bottom"/>
            <w:hideMark/>
          </w:tcPr>
          <w:p w14:paraId="28090DD6"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23.4</w:t>
            </w:r>
          </w:p>
        </w:tc>
        <w:tc>
          <w:tcPr>
            <w:tcW w:w="1559" w:type="dxa"/>
            <w:tcBorders>
              <w:top w:val="nil"/>
              <w:left w:val="nil"/>
              <w:bottom w:val="single" w:sz="4" w:space="0" w:color="006666"/>
              <w:right w:val="single" w:sz="4" w:space="0" w:color="006666"/>
            </w:tcBorders>
            <w:shd w:val="clear" w:color="auto" w:fill="auto"/>
            <w:noWrap/>
            <w:vAlign w:val="bottom"/>
            <w:hideMark/>
          </w:tcPr>
          <w:p w14:paraId="7E648961" w14:textId="0C5A0A31"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18</w:t>
            </w:r>
            <w:r w:rsidR="00CE19D0">
              <w:rPr>
                <w:rFonts w:asciiTheme="minorHAnsi" w:hAnsiTheme="minorHAnsi" w:cs="Calibri"/>
                <w:sz w:val="22"/>
                <w:szCs w:val="22"/>
              </w:rPr>
              <w:t>,</w:t>
            </w:r>
            <w:r w:rsidRPr="0067297E">
              <w:rPr>
                <w:rFonts w:asciiTheme="minorHAnsi" w:hAnsiTheme="minorHAnsi" w:cs="Calibri"/>
                <w:sz w:val="22"/>
                <w:szCs w:val="22"/>
              </w:rPr>
              <w:t>925</w:t>
            </w:r>
          </w:p>
        </w:tc>
      </w:tr>
      <w:tr w:rsidR="007936A8" w:rsidRPr="0067297E" w14:paraId="4E488FD1" w14:textId="77777777" w:rsidTr="00E12901">
        <w:trPr>
          <w:trHeight w:val="240"/>
        </w:trPr>
        <w:tc>
          <w:tcPr>
            <w:tcW w:w="1691" w:type="dxa"/>
            <w:tcBorders>
              <w:top w:val="nil"/>
              <w:left w:val="single" w:sz="4" w:space="0" w:color="006666"/>
              <w:bottom w:val="single" w:sz="4" w:space="0" w:color="006666"/>
              <w:right w:val="single" w:sz="4" w:space="0" w:color="006666"/>
            </w:tcBorders>
            <w:shd w:val="clear" w:color="auto" w:fill="auto"/>
            <w:noWrap/>
            <w:vAlign w:val="bottom"/>
            <w:hideMark/>
          </w:tcPr>
          <w:p w14:paraId="36AEA0A1" w14:textId="77777777" w:rsidR="007936A8" w:rsidRPr="0067297E" w:rsidRDefault="007936A8" w:rsidP="00E12901">
            <w:pPr>
              <w:rPr>
                <w:rFonts w:asciiTheme="minorHAnsi" w:hAnsiTheme="minorHAnsi" w:cs="Calibri"/>
                <w:sz w:val="22"/>
                <w:szCs w:val="22"/>
              </w:rPr>
            </w:pPr>
            <w:r w:rsidRPr="0067297E">
              <w:rPr>
                <w:rFonts w:asciiTheme="minorHAnsi" w:hAnsiTheme="minorHAnsi" w:cs="Calibri"/>
                <w:sz w:val="22"/>
                <w:szCs w:val="22"/>
              </w:rPr>
              <w:t>North</w:t>
            </w:r>
          </w:p>
        </w:tc>
        <w:tc>
          <w:tcPr>
            <w:tcW w:w="1800" w:type="dxa"/>
            <w:tcBorders>
              <w:top w:val="nil"/>
              <w:left w:val="nil"/>
              <w:bottom w:val="single" w:sz="4" w:space="0" w:color="006666"/>
              <w:right w:val="single" w:sz="4" w:space="0" w:color="006666"/>
            </w:tcBorders>
            <w:shd w:val="clear" w:color="auto" w:fill="auto"/>
            <w:noWrap/>
            <w:vAlign w:val="bottom"/>
            <w:hideMark/>
          </w:tcPr>
          <w:p w14:paraId="645500DA"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33.8</w:t>
            </w:r>
          </w:p>
        </w:tc>
        <w:tc>
          <w:tcPr>
            <w:tcW w:w="1584" w:type="dxa"/>
            <w:tcBorders>
              <w:top w:val="nil"/>
              <w:left w:val="nil"/>
              <w:bottom w:val="single" w:sz="4" w:space="0" w:color="006666"/>
              <w:right w:val="single" w:sz="4" w:space="0" w:color="006666"/>
            </w:tcBorders>
            <w:shd w:val="clear" w:color="auto" w:fill="auto"/>
            <w:noWrap/>
            <w:vAlign w:val="bottom"/>
            <w:hideMark/>
          </w:tcPr>
          <w:p w14:paraId="2C0E8629"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24.1</w:t>
            </w:r>
          </w:p>
        </w:tc>
        <w:tc>
          <w:tcPr>
            <w:tcW w:w="1195" w:type="dxa"/>
            <w:tcBorders>
              <w:top w:val="nil"/>
              <w:left w:val="nil"/>
              <w:bottom w:val="single" w:sz="4" w:space="0" w:color="006666"/>
              <w:right w:val="single" w:sz="4" w:space="0" w:color="006666"/>
            </w:tcBorders>
            <w:shd w:val="clear" w:color="auto" w:fill="auto"/>
            <w:noWrap/>
            <w:vAlign w:val="bottom"/>
            <w:hideMark/>
          </w:tcPr>
          <w:p w14:paraId="443D9A00"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42.2</w:t>
            </w:r>
          </w:p>
        </w:tc>
        <w:tc>
          <w:tcPr>
            <w:tcW w:w="1559" w:type="dxa"/>
            <w:tcBorders>
              <w:top w:val="nil"/>
              <w:left w:val="nil"/>
              <w:bottom w:val="single" w:sz="4" w:space="0" w:color="006666"/>
              <w:right w:val="single" w:sz="4" w:space="0" w:color="006666"/>
            </w:tcBorders>
            <w:shd w:val="clear" w:color="auto" w:fill="auto"/>
            <w:noWrap/>
            <w:vAlign w:val="bottom"/>
            <w:hideMark/>
          </w:tcPr>
          <w:p w14:paraId="0A49DA4E" w14:textId="7545A3D5"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13</w:t>
            </w:r>
            <w:r w:rsidR="00CE19D0">
              <w:rPr>
                <w:rFonts w:asciiTheme="minorHAnsi" w:hAnsiTheme="minorHAnsi" w:cs="Calibri"/>
                <w:sz w:val="22"/>
                <w:szCs w:val="22"/>
              </w:rPr>
              <w:t>,</w:t>
            </w:r>
            <w:r w:rsidRPr="0067297E">
              <w:rPr>
                <w:rFonts w:asciiTheme="minorHAnsi" w:hAnsiTheme="minorHAnsi" w:cs="Calibri"/>
                <w:sz w:val="22"/>
                <w:szCs w:val="22"/>
              </w:rPr>
              <w:t>459</w:t>
            </w:r>
          </w:p>
        </w:tc>
      </w:tr>
      <w:tr w:rsidR="007936A8" w:rsidRPr="0067297E" w14:paraId="69369D33" w14:textId="77777777" w:rsidTr="00E12901">
        <w:trPr>
          <w:trHeight w:val="240"/>
        </w:trPr>
        <w:tc>
          <w:tcPr>
            <w:tcW w:w="1691" w:type="dxa"/>
            <w:tcBorders>
              <w:top w:val="nil"/>
              <w:left w:val="single" w:sz="4" w:space="0" w:color="006666"/>
              <w:bottom w:val="single" w:sz="4" w:space="0" w:color="006666"/>
              <w:right w:val="single" w:sz="4" w:space="0" w:color="006666"/>
            </w:tcBorders>
            <w:shd w:val="clear" w:color="auto" w:fill="auto"/>
            <w:noWrap/>
            <w:vAlign w:val="bottom"/>
            <w:hideMark/>
          </w:tcPr>
          <w:p w14:paraId="50C22894" w14:textId="77777777" w:rsidR="007936A8" w:rsidRPr="0067297E" w:rsidRDefault="007936A8" w:rsidP="00E12901">
            <w:pPr>
              <w:rPr>
                <w:rFonts w:asciiTheme="minorHAnsi" w:hAnsiTheme="minorHAnsi" w:cs="Calibri"/>
                <w:sz w:val="22"/>
                <w:szCs w:val="22"/>
              </w:rPr>
            </w:pPr>
            <w:r w:rsidRPr="0067297E">
              <w:rPr>
                <w:rFonts w:asciiTheme="minorHAnsi" w:hAnsiTheme="minorHAnsi" w:cs="Calibri"/>
                <w:sz w:val="22"/>
                <w:szCs w:val="22"/>
              </w:rPr>
              <w:t>South</w:t>
            </w:r>
          </w:p>
        </w:tc>
        <w:tc>
          <w:tcPr>
            <w:tcW w:w="1800" w:type="dxa"/>
            <w:tcBorders>
              <w:top w:val="nil"/>
              <w:left w:val="nil"/>
              <w:bottom w:val="single" w:sz="4" w:space="0" w:color="006666"/>
              <w:right w:val="single" w:sz="4" w:space="0" w:color="006666"/>
            </w:tcBorders>
            <w:shd w:val="clear" w:color="auto" w:fill="auto"/>
            <w:noWrap/>
            <w:vAlign w:val="bottom"/>
            <w:hideMark/>
          </w:tcPr>
          <w:p w14:paraId="439BA5EF"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52.9</w:t>
            </w:r>
          </w:p>
        </w:tc>
        <w:tc>
          <w:tcPr>
            <w:tcW w:w="1584" w:type="dxa"/>
            <w:tcBorders>
              <w:top w:val="nil"/>
              <w:left w:val="nil"/>
              <w:bottom w:val="single" w:sz="4" w:space="0" w:color="006666"/>
              <w:right w:val="single" w:sz="4" w:space="0" w:color="006666"/>
            </w:tcBorders>
            <w:shd w:val="clear" w:color="auto" w:fill="auto"/>
            <w:noWrap/>
            <w:vAlign w:val="bottom"/>
            <w:hideMark/>
          </w:tcPr>
          <w:p w14:paraId="45399871"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23.2</w:t>
            </w:r>
          </w:p>
        </w:tc>
        <w:tc>
          <w:tcPr>
            <w:tcW w:w="1195" w:type="dxa"/>
            <w:tcBorders>
              <w:top w:val="nil"/>
              <w:left w:val="nil"/>
              <w:bottom w:val="single" w:sz="4" w:space="0" w:color="006666"/>
              <w:right w:val="single" w:sz="4" w:space="0" w:color="006666"/>
            </w:tcBorders>
            <w:shd w:val="clear" w:color="auto" w:fill="auto"/>
            <w:noWrap/>
            <w:vAlign w:val="bottom"/>
            <w:hideMark/>
          </w:tcPr>
          <w:p w14:paraId="4D99FFFD"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23.9</w:t>
            </w:r>
          </w:p>
        </w:tc>
        <w:tc>
          <w:tcPr>
            <w:tcW w:w="1559" w:type="dxa"/>
            <w:tcBorders>
              <w:top w:val="nil"/>
              <w:left w:val="nil"/>
              <w:bottom w:val="single" w:sz="4" w:space="0" w:color="006666"/>
              <w:right w:val="single" w:sz="4" w:space="0" w:color="006666"/>
            </w:tcBorders>
            <w:shd w:val="clear" w:color="auto" w:fill="auto"/>
            <w:noWrap/>
            <w:vAlign w:val="bottom"/>
            <w:hideMark/>
          </w:tcPr>
          <w:p w14:paraId="27FE7E0E" w14:textId="15DE9C71"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17</w:t>
            </w:r>
            <w:r w:rsidR="00CE19D0">
              <w:rPr>
                <w:rFonts w:asciiTheme="minorHAnsi" w:hAnsiTheme="minorHAnsi" w:cs="Calibri"/>
                <w:sz w:val="22"/>
                <w:szCs w:val="22"/>
              </w:rPr>
              <w:t>,</w:t>
            </w:r>
            <w:r w:rsidRPr="0067297E">
              <w:rPr>
                <w:rFonts w:asciiTheme="minorHAnsi" w:hAnsiTheme="minorHAnsi" w:cs="Calibri"/>
                <w:sz w:val="22"/>
                <w:szCs w:val="22"/>
              </w:rPr>
              <w:t>695</w:t>
            </w:r>
          </w:p>
        </w:tc>
      </w:tr>
      <w:tr w:rsidR="007936A8" w:rsidRPr="0067297E" w14:paraId="76DB3E71" w14:textId="77777777" w:rsidTr="00E12901">
        <w:trPr>
          <w:trHeight w:val="240"/>
        </w:trPr>
        <w:tc>
          <w:tcPr>
            <w:tcW w:w="1691" w:type="dxa"/>
            <w:tcBorders>
              <w:top w:val="nil"/>
              <w:left w:val="single" w:sz="4" w:space="0" w:color="006666"/>
              <w:bottom w:val="single" w:sz="4" w:space="0" w:color="006666"/>
              <w:right w:val="single" w:sz="4" w:space="0" w:color="006666"/>
            </w:tcBorders>
            <w:shd w:val="clear" w:color="auto" w:fill="auto"/>
            <w:noWrap/>
            <w:vAlign w:val="bottom"/>
            <w:hideMark/>
          </w:tcPr>
          <w:p w14:paraId="6F399D9E" w14:textId="77777777" w:rsidR="007936A8" w:rsidRPr="0067297E" w:rsidRDefault="007936A8" w:rsidP="00E12901">
            <w:pPr>
              <w:rPr>
                <w:rFonts w:asciiTheme="minorHAnsi" w:hAnsiTheme="minorHAnsi" w:cs="Calibri"/>
                <w:sz w:val="22"/>
                <w:szCs w:val="22"/>
              </w:rPr>
            </w:pPr>
            <w:r w:rsidRPr="0067297E">
              <w:rPr>
                <w:rFonts w:asciiTheme="minorHAnsi" w:hAnsiTheme="minorHAnsi" w:cs="Calibri"/>
                <w:sz w:val="22"/>
                <w:szCs w:val="22"/>
              </w:rPr>
              <w:t>West</w:t>
            </w:r>
          </w:p>
        </w:tc>
        <w:tc>
          <w:tcPr>
            <w:tcW w:w="1800" w:type="dxa"/>
            <w:tcBorders>
              <w:top w:val="nil"/>
              <w:left w:val="nil"/>
              <w:bottom w:val="single" w:sz="4" w:space="0" w:color="006666"/>
              <w:right w:val="single" w:sz="4" w:space="0" w:color="006666"/>
            </w:tcBorders>
            <w:shd w:val="clear" w:color="auto" w:fill="auto"/>
            <w:noWrap/>
            <w:vAlign w:val="bottom"/>
            <w:hideMark/>
          </w:tcPr>
          <w:p w14:paraId="1060AC6A"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40.4</w:t>
            </w:r>
          </w:p>
        </w:tc>
        <w:tc>
          <w:tcPr>
            <w:tcW w:w="1584" w:type="dxa"/>
            <w:tcBorders>
              <w:top w:val="nil"/>
              <w:left w:val="nil"/>
              <w:bottom w:val="single" w:sz="4" w:space="0" w:color="006666"/>
              <w:right w:val="single" w:sz="4" w:space="0" w:color="006666"/>
            </w:tcBorders>
            <w:shd w:val="clear" w:color="auto" w:fill="auto"/>
            <w:noWrap/>
            <w:vAlign w:val="bottom"/>
            <w:hideMark/>
          </w:tcPr>
          <w:p w14:paraId="67C31547"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27.2</w:t>
            </w:r>
          </w:p>
        </w:tc>
        <w:tc>
          <w:tcPr>
            <w:tcW w:w="1195" w:type="dxa"/>
            <w:tcBorders>
              <w:top w:val="nil"/>
              <w:left w:val="nil"/>
              <w:bottom w:val="single" w:sz="4" w:space="0" w:color="006666"/>
              <w:right w:val="single" w:sz="4" w:space="0" w:color="006666"/>
            </w:tcBorders>
            <w:shd w:val="clear" w:color="auto" w:fill="auto"/>
            <w:noWrap/>
            <w:vAlign w:val="bottom"/>
            <w:hideMark/>
          </w:tcPr>
          <w:p w14:paraId="42143C87"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32.4</w:t>
            </w:r>
          </w:p>
        </w:tc>
        <w:tc>
          <w:tcPr>
            <w:tcW w:w="1559" w:type="dxa"/>
            <w:tcBorders>
              <w:top w:val="nil"/>
              <w:left w:val="nil"/>
              <w:bottom w:val="single" w:sz="4" w:space="0" w:color="006666"/>
              <w:right w:val="single" w:sz="4" w:space="0" w:color="006666"/>
            </w:tcBorders>
            <w:shd w:val="clear" w:color="auto" w:fill="auto"/>
            <w:noWrap/>
            <w:vAlign w:val="bottom"/>
            <w:hideMark/>
          </w:tcPr>
          <w:p w14:paraId="1D62EAED" w14:textId="1824562C"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46</w:t>
            </w:r>
            <w:r w:rsidR="00CE19D0">
              <w:rPr>
                <w:rFonts w:asciiTheme="minorHAnsi" w:hAnsiTheme="minorHAnsi" w:cs="Calibri"/>
                <w:sz w:val="22"/>
                <w:szCs w:val="22"/>
              </w:rPr>
              <w:t>,</w:t>
            </w:r>
            <w:r w:rsidRPr="0067297E">
              <w:rPr>
                <w:rFonts w:asciiTheme="minorHAnsi" w:hAnsiTheme="minorHAnsi" w:cs="Calibri"/>
                <w:sz w:val="22"/>
                <w:szCs w:val="22"/>
              </w:rPr>
              <w:t>321</w:t>
            </w:r>
          </w:p>
        </w:tc>
      </w:tr>
      <w:tr w:rsidR="007936A8" w:rsidRPr="0067297E" w14:paraId="3A47B903" w14:textId="77777777" w:rsidTr="00E12901">
        <w:trPr>
          <w:trHeight w:val="240"/>
        </w:trPr>
        <w:tc>
          <w:tcPr>
            <w:tcW w:w="1691" w:type="dxa"/>
            <w:tcBorders>
              <w:top w:val="nil"/>
              <w:left w:val="single" w:sz="4" w:space="0" w:color="006666"/>
              <w:bottom w:val="single" w:sz="4" w:space="0" w:color="006666"/>
              <w:right w:val="single" w:sz="4" w:space="0" w:color="006666"/>
            </w:tcBorders>
            <w:shd w:val="clear" w:color="auto" w:fill="auto"/>
            <w:noWrap/>
            <w:vAlign w:val="bottom"/>
            <w:hideMark/>
          </w:tcPr>
          <w:p w14:paraId="53F765AB" w14:textId="77777777" w:rsidR="007936A8" w:rsidRPr="0067297E" w:rsidRDefault="007936A8" w:rsidP="00E12901">
            <w:pPr>
              <w:rPr>
                <w:rFonts w:asciiTheme="minorHAnsi" w:hAnsiTheme="minorHAnsi" w:cs="Calibri"/>
                <w:sz w:val="22"/>
                <w:szCs w:val="22"/>
              </w:rPr>
            </w:pPr>
            <w:r w:rsidRPr="0067297E">
              <w:rPr>
                <w:rFonts w:asciiTheme="minorHAnsi" w:hAnsiTheme="minorHAnsi" w:cs="Calibri"/>
                <w:sz w:val="22"/>
                <w:szCs w:val="22"/>
              </w:rPr>
              <w:t>Lewisham Total</w:t>
            </w:r>
          </w:p>
        </w:tc>
        <w:tc>
          <w:tcPr>
            <w:tcW w:w="1800" w:type="dxa"/>
            <w:tcBorders>
              <w:top w:val="nil"/>
              <w:left w:val="nil"/>
              <w:bottom w:val="single" w:sz="4" w:space="0" w:color="006666"/>
              <w:right w:val="single" w:sz="4" w:space="0" w:color="006666"/>
            </w:tcBorders>
            <w:shd w:val="clear" w:color="auto" w:fill="auto"/>
            <w:noWrap/>
            <w:vAlign w:val="bottom"/>
            <w:hideMark/>
          </w:tcPr>
          <w:p w14:paraId="55042B42"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43.9</w:t>
            </w:r>
          </w:p>
        </w:tc>
        <w:tc>
          <w:tcPr>
            <w:tcW w:w="1584" w:type="dxa"/>
            <w:tcBorders>
              <w:top w:val="nil"/>
              <w:left w:val="nil"/>
              <w:bottom w:val="single" w:sz="4" w:space="0" w:color="006666"/>
              <w:right w:val="single" w:sz="4" w:space="0" w:color="006666"/>
            </w:tcBorders>
            <w:shd w:val="clear" w:color="auto" w:fill="auto"/>
            <w:noWrap/>
            <w:vAlign w:val="bottom"/>
            <w:hideMark/>
          </w:tcPr>
          <w:p w14:paraId="1BFC7086"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25.1</w:t>
            </w:r>
          </w:p>
        </w:tc>
        <w:tc>
          <w:tcPr>
            <w:tcW w:w="1195" w:type="dxa"/>
            <w:tcBorders>
              <w:top w:val="nil"/>
              <w:left w:val="nil"/>
              <w:bottom w:val="single" w:sz="4" w:space="0" w:color="006666"/>
              <w:right w:val="single" w:sz="4" w:space="0" w:color="006666"/>
            </w:tcBorders>
            <w:shd w:val="clear" w:color="auto" w:fill="auto"/>
            <w:noWrap/>
            <w:vAlign w:val="bottom"/>
            <w:hideMark/>
          </w:tcPr>
          <w:p w14:paraId="3E758D96" w14:textId="77777777"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31.0</w:t>
            </w:r>
          </w:p>
        </w:tc>
        <w:tc>
          <w:tcPr>
            <w:tcW w:w="1559" w:type="dxa"/>
            <w:tcBorders>
              <w:top w:val="nil"/>
              <w:left w:val="nil"/>
              <w:bottom w:val="single" w:sz="4" w:space="0" w:color="006666"/>
              <w:right w:val="single" w:sz="4" w:space="0" w:color="006666"/>
            </w:tcBorders>
            <w:shd w:val="clear" w:color="auto" w:fill="auto"/>
            <w:noWrap/>
            <w:vAlign w:val="bottom"/>
            <w:hideMark/>
          </w:tcPr>
          <w:p w14:paraId="3EC58337" w14:textId="450A9586" w:rsidR="007936A8" w:rsidRPr="0067297E" w:rsidRDefault="007936A8" w:rsidP="00CE19D0">
            <w:pPr>
              <w:jc w:val="right"/>
              <w:rPr>
                <w:rFonts w:asciiTheme="minorHAnsi" w:hAnsiTheme="minorHAnsi" w:cs="Calibri"/>
                <w:sz w:val="22"/>
                <w:szCs w:val="22"/>
              </w:rPr>
            </w:pPr>
            <w:r w:rsidRPr="0067297E">
              <w:rPr>
                <w:rFonts w:asciiTheme="minorHAnsi" w:hAnsiTheme="minorHAnsi" w:cs="Calibri"/>
                <w:sz w:val="22"/>
                <w:szCs w:val="22"/>
              </w:rPr>
              <w:t>116</w:t>
            </w:r>
            <w:r w:rsidR="00CE19D0">
              <w:rPr>
                <w:rFonts w:asciiTheme="minorHAnsi" w:hAnsiTheme="minorHAnsi" w:cs="Calibri"/>
                <w:sz w:val="22"/>
                <w:szCs w:val="22"/>
              </w:rPr>
              <w:t>,</w:t>
            </w:r>
            <w:r w:rsidRPr="0067297E">
              <w:rPr>
                <w:rFonts w:asciiTheme="minorHAnsi" w:hAnsiTheme="minorHAnsi" w:cs="Calibri"/>
                <w:sz w:val="22"/>
                <w:szCs w:val="22"/>
              </w:rPr>
              <w:t>091</w:t>
            </w:r>
          </w:p>
        </w:tc>
      </w:tr>
    </w:tbl>
    <w:p w14:paraId="6C916E5F" w14:textId="77777777" w:rsidR="007936A8" w:rsidRPr="0067297E" w:rsidRDefault="007936A8" w:rsidP="00E12901">
      <w:pPr>
        <w:ind w:left="720"/>
        <w:rPr>
          <w:rFonts w:asciiTheme="minorHAnsi" w:hAnsiTheme="minorHAnsi" w:cs="Calibri"/>
          <w:sz w:val="20"/>
          <w:szCs w:val="20"/>
        </w:rPr>
      </w:pPr>
      <w:r w:rsidRPr="0067297E">
        <w:rPr>
          <w:rFonts w:asciiTheme="minorHAnsi" w:hAnsiTheme="minorHAnsi" w:cs="Calibri"/>
          <w:sz w:val="20"/>
          <w:szCs w:val="20"/>
        </w:rPr>
        <w:t>Source: 2011 Census</w:t>
      </w:r>
    </w:p>
    <w:p w14:paraId="22441AE4" w14:textId="77777777" w:rsidR="00CB1F06" w:rsidRPr="0067297E" w:rsidRDefault="00CB1F06">
      <w:pPr>
        <w:rPr>
          <w:rFonts w:asciiTheme="minorHAnsi" w:hAnsiTheme="minorHAnsi" w:cs="Calibri"/>
        </w:rPr>
        <w:sectPr w:rsidR="00CB1F06" w:rsidRPr="0067297E" w:rsidSect="007F6E31">
          <w:headerReference w:type="default" r:id="rId48"/>
          <w:footerReference w:type="default" r:id="rId49"/>
          <w:pgSz w:w="11906" w:h="16838"/>
          <w:pgMar w:top="1440" w:right="1276" w:bottom="1134" w:left="1440" w:header="708" w:footer="708" w:gutter="0"/>
          <w:cols w:space="708"/>
          <w:docGrid w:linePitch="360"/>
        </w:sectPr>
      </w:pPr>
    </w:p>
    <w:p w14:paraId="29C8515B" w14:textId="77777777" w:rsidR="00CB1F06" w:rsidRPr="0067297E" w:rsidRDefault="00CB1F06">
      <w:pPr>
        <w:pStyle w:val="figureheading"/>
        <w:rPr>
          <w:rFonts w:asciiTheme="minorHAnsi" w:hAnsiTheme="minorHAnsi" w:cs="Calibri"/>
        </w:rPr>
      </w:pPr>
      <w:bookmarkStart w:id="248" w:name="_Toc23151226"/>
      <w:r w:rsidRPr="0067297E">
        <w:rPr>
          <w:rFonts w:asciiTheme="minorHAnsi" w:hAnsiTheme="minorHAnsi" w:cs="Calibri"/>
          <w:lang w:val="en-GB"/>
        </w:rPr>
        <w:t>Figure 4.4</w:t>
      </w:r>
      <w:r w:rsidRPr="0067297E">
        <w:rPr>
          <w:rFonts w:asciiTheme="minorHAnsi" w:hAnsiTheme="minorHAnsi" w:cs="Calibri"/>
          <w:lang w:val="en-GB"/>
        </w:rPr>
        <w:tab/>
        <w:t>Property tenure by ward</w:t>
      </w:r>
      <w:bookmarkEnd w:id="248"/>
    </w:p>
    <w:p w14:paraId="04E5D033" w14:textId="77777777" w:rsidR="00CB1F06" w:rsidRPr="0067297E" w:rsidRDefault="00C97065">
      <w:pPr>
        <w:rPr>
          <w:rFonts w:asciiTheme="minorHAnsi" w:hAnsiTheme="minorHAnsi"/>
        </w:rPr>
      </w:pPr>
      <w:r w:rsidRPr="0067297E">
        <w:rPr>
          <w:rFonts w:asciiTheme="minorHAnsi" w:hAnsiTheme="minorHAnsi"/>
          <w:noProof/>
          <w:lang w:eastAsia="en-GB"/>
        </w:rPr>
        <w:drawing>
          <wp:inline distT="0" distB="0" distL="0" distR="0" wp14:anchorId="5A4B49AF" wp14:editId="126C3034">
            <wp:extent cx="8884285" cy="4219200"/>
            <wp:effectExtent l="0" t="0" r="12065" b="10160"/>
            <wp:docPr id="13" name="Chart 13" descr="Chart showing percentages of tenures (colour coded) by ward. " title="Figure 4.4 Property tenure by war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388216-C487-B849-A961-FAA625B6A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D98A57" w14:textId="77777777" w:rsidR="00CB1F06" w:rsidRPr="0067297E" w:rsidRDefault="00CB1F06">
      <w:pPr>
        <w:rPr>
          <w:rFonts w:asciiTheme="minorHAnsi" w:hAnsiTheme="minorHAnsi" w:cs="Calibri"/>
          <w:sz w:val="20"/>
          <w:szCs w:val="20"/>
        </w:rPr>
      </w:pPr>
      <w:r w:rsidRPr="0067297E">
        <w:rPr>
          <w:rFonts w:asciiTheme="minorHAnsi" w:hAnsiTheme="minorHAnsi" w:cs="Calibri"/>
          <w:sz w:val="20"/>
          <w:szCs w:val="20"/>
        </w:rPr>
        <w:t xml:space="preserve">Source: </w:t>
      </w:r>
      <w:r w:rsidR="00C97065" w:rsidRPr="0067297E">
        <w:rPr>
          <w:rFonts w:asciiTheme="minorHAnsi" w:hAnsiTheme="minorHAnsi" w:cs="Calibri"/>
          <w:sz w:val="20"/>
          <w:szCs w:val="20"/>
        </w:rPr>
        <w:t>Census 2011</w:t>
      </w:r>
    </w:p>
    <w:p w14:paraId="7F70FA95" w14:textId="058866B9" w:rsidR="00BB73FB" w:rsidRPr="0067297E" w:rsidRDefault="00BB73FB">
      <w:pPr>
        <w:rPr>
          <w:rFonts w:asciiTheme="minorHAnsi" w:hAnsiTheme="minorHAnsi" w:cs="Calibri"/>
          <w:sz w:val="20"/>
          <w:szCs w:val="20"/>
        </w:rPr>
        <w:sectPr w:rsidR="00BB73FB" w:rsidRPr="0067297E" w:rsidSect="00CB1F06">
          <w:headerReference w:type="default" r:id="rId51"/>
          <w:footerReference w:type="default" r:id="rId52"/>
          <w:pgSz w:w="16838" w:h="11906" w:orient="landscape"/>
          <w:pgMar w:top="1276" w:right="1134" w:bottom="1440" w:left="1440" w:header="708" w:footer="708" w:gutter="0"/>
          <w:cols w:space="708"/>
          <w:docGrid w:linePitch="360"/>
        </w:sect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779"/>
        <w:gridCol w:w="1761"/>
        <w:gridCol w:w="1700"/>
        <w:gridCol w:w="2267"/>
        <w:gridCol w:w="1673"/>
      </w:tblGrid>
      <w:tr w:rsidR="00C12BC3" w:rsidRPr="0067297E" w14:paraId="22C39059" w14:textId="77777777" w:rsidTr="00FF4E2D">
        <w:trPr>
          <w:tblHeader/>
        </w:trPr>
        <w:tc>
          <w:tcPr>
            <w:tcW w:w="5000" w:type="pct"/>
            <w:gridSpan w:val="5"/>
            <w:shd w:val="clear" w:color="000000" w:fill="009193"/>
            <w:noWrap/>
            <w:vAlign w:val="bottom"/>
          </w:tcPr>
          <w:p w14:paraId="532DE553" w14:textId="47C5B13A" w:rsidR="00C12BC3" w:rsidRPr="0067297E" w:rsidRDefault="00C12BC3" w:rsidP="003F4875">
            <w:pPr>
              <w:pStyle w:val="tableheading"/>
              <w:rPr>
                <w:rFonts w:asciiTheme="minorHAnsi" w:hAnsiTheme="minorHAnsi"/>
              </w:rPr>
            </w:pPr>
            <w:bookmarkStart w:id="249" w:name="_Toc23151158"/>
            <w:r w:rsidRPr="0067297E">
              <w:rPr>
                <w:rFonts w:asciiTheme="minorHAnsi" w:hAnsiTheme="minorHAnsi"/>
              </w:rPr>
              <w:t>Table 4.9</w:t>
            </w:r>
            <w:r w:rsidRPr="0067297E">
              <w:rPr>
                <w:rFonts w:asciiTheme="minorHAnsi" w:hAnsiTheme="minorHAnsi"/>
              </w:rPr>
              <w:tab/>
              <w:t>Lewisham tenure profile and comparator areas</w:t>
            </w:r>
            <w:bookmarkEnd w:id="249"/>
          </w:p>
        </w:tc>
      </w:tr>
      <w:tr w:rsidR="00C12BC3" w:rsidRPr="0067297E" w14:paraId="272EC0F7" w14:textId="77777777" w:rsidTr="00CE19D0">
        <w:tc>
          <w:tcPr>
            <w:tcW w:w="969" w:type="pct"/>
            <w:shd w:val="clear" w:color="000000" w:fill="009193"/>
            <w:noWrap/>
            <w:vAlign w:val="bottom"/>
            <w:hideMark/>
          </w:tcPr>
          <w:p w14:paraId="43856F16" w14:textId="77777777" w:rsidR="00C12BC3" w:rsidRPr="0067297E" w:rsidRDefault="00C12BC3" w:rsidP="00C12BC3">
            <w:pPr>
              <w:rPr>
                <w:rFonts w:asciiTheme="minorHAnsi" w:hAnsiTheme="minorHAnsi" w:cs="Calibri"/>
                <w:b/>
                <w:bCs/>
                <w:color w:val="FFFFFF"/>
                <w:sz w:val="22"/>
                <w:szCs w:val="22"/>
              </w:rPr>
            </w:pPr>
            <w:r w:rsidRPr="0067297E">
              <w:rPr>
                <w:rFonts w:asciiTheme="minorHAnsi" w:hAnsiTheme="minorHAnsi" w:cs="Calibri"/>
                <w:b/>
                <w:bCs/>
                <w:color w:val="FFFFFF"/>
                <w:sz w:val="22"/>
                <w:szCs w:val="22"/>
              </w:rPr>
              <w:t>Location</w:t>
            </w:r>
          </w:p>
        </w:tc>
        <w:tc>
          <w:tcPr>
            <w:tcW w:w="959" w:type="pct"/>
            <w:shd w:val="clear" w:color="000000" w:fill="009193"/>
            <w:vAlign w:val="bottom"/>
            <w:hideMark/>
          </w:tcPr>
          <w:p w14:paraId="71038724" w14:textId="77777777" w:rsidR="00C12BC3" w:rsidRPr="0067297E" w:rsidRDefault="00C12BC3" w:rsidP="00C12BC3">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Owner Occupied %</w:t>
            </w:r>
          </w:p>
        </w:tc>
        <w:tc>
          <w:tcPr>
            <w:tcW w:w="926" w:type="pct"/>
            <w:shd w:val="clear" w:color="000000" w:fill="009193"/>
            <w:vAlign w:val="bottom"/>
            <w:hideMark/>
          </w:tcPr>
          <w:p w14:paraId="2F645C5A" w14:textId="77777777" w:rsidR="00C12BC3" w:rsidRPr="0067297E" w:rsidRDefault="00C12BC3" w:rsidP="00C12BC3">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Private Rented %</w:t>
            </w:r>
          </w:p>
        </w:tc>
        <w:tc>
          <w:tcPr>
            <w:tcW w:w="1235" w:type="pct"/>
            <w:shd w:val="clear" w:color="000000" w:fill="009193"/>
            <w:vAlign w:val="bottom"/>
            <w:hideMark/>
          </w:tcPr>
          <w:p w14:paraId="3837AE4E" w14:textId="546448A1" w:rsidR="00C12BC3" w:rsidRPr="0067297E" w:rsidRDefault="00C12BC3" w:rsidP="00CE19D0">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Affordable Total (SR/RP/</w:t>
            </w:r>
            <w:r w:rsidR="00CE19D0">
              <w:rPr>
                <w:rFonts w:asciiTheme="minorHAnsi" w:hAnsiTheme="minorHAnsi" w:cs="Calibri"/>
                <w:b/>
                <w:bCs/>
                <w:color w:val="FFFFFF"/>
                <w:sz w:val="22"/>
                <w:szCs w:val="22"/>
              </w:rPr>
              <w:t xml:space="preserve"> </w:t>
            </w:r>
            <w:r w:rsidRPr="0067297E">
              <w:rPr>
                <w:rFonts w:asciiTheme="minorHAnsi" w:hAnsiTheme="minorHAnsi" w:cs="Calibri"/>
                <w:b/>
                <w:bCs/>
                <w:color w:val="FFFFFF"/>
                <w:sz w:val="22"/>
                <w:szCs w:val="22"/>
              </w:rPr>
              <w:t>Intermediate) (%)</w:t>
            </w:r>
          </w:p>
        </w:tc>
        <w:tc>
          <w:tcPr>
            <w:tcW w:w="911" w:type="pct"/>
            <w:shd w:val="clear" w:color="000000" w:fill="009193"/>
            <w:vAlign w:val="bottom"/>
            <w:hideMark/>
          </w:tcPr>
          <w:p w14:paraId="4B26B65C" w14:textId="77777777" w:rsidR="00C12BC3" w:rsidRPr="0067297E" w:rsidRDefault="00C12BC3" w:rsidP="00C12BC3">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Total (%)</w:t>
            </w:r>
          </w:p>
        </w:tc>
      </w:tr>
      <w:tr w:rsidR="00C12BC3" w:rsidRPr="0067297E" w14:paraId="5BE66E2C" w14:textId="77777777" w:rsidTr="00CE19D0">
        <w:tc>
          <w:tcPr>
            <w:tcW w:w="969" w:type="pct"/>
            <w:shd w:val="clear" w:color="auto" w:fill="auto"/>
            <w:noWrap/>
            <w:vAlign w:val="bottom"/>
            <w:hideMark/>
          </w:tcPr>
          <w:p w14:paraId="47AD7987" w14:textId="77777777" w:rsidR="00C12BC3" w:rsidRPr="0067297E" w:rsidRDefault="00C12BC3" w:rsidP="00C12BC3">
            <w:pPr>
              <w:rPr>
                <w:rFonts w:asciiTheme="minorHAnsi" w:hAnsiTheme="minorHAnsi" w:cs="Calibri"/>
                <w:sz w:val="22"/>
                <w:szCs w:val="22"/>
              </w:rPr>
            </w:pPr>
            <w:r w:rsidRPr="0067297E">
              <w:rPr>
                <w:rFonts w:asciiTheme="minorHAnsi" w:hAnsiTheme="minorHAnsi" w:cs="Calibri"/>
                <w:sz w:val="22"/>
                <w:szCs w:val="22"/>
              </w:rPr>
              <w:t>Lewisham</w:t>
            </w:r>
          </w:p>
        </w:tc>
        <w:tc>
          <w:tcPr>
            <w:tcW w:w="959" w:type="pct"/>
            <w:shd w:val="clear" w:color="auto" w:fill="auto"/>
            <w:noWrap/>
            <w:vAlign w:val="bottom"/>
            <w:hideMark/>
          </w:tcPr>
          <w:p w14:paraId="651C19EA" w14:textId="7FD8E2E9"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4</w:t>
            </w:r>
            <w:r w:rsidR="001254A4" w:rsidRPr="0067297E">
              <w:rPr>
                <w:rFonts w:asciiTheme="minorHAnsi" w:hAnsiTheme="minorHAnsi" w:cs="Calibri"/>
                <w:sz w:val="22"/>
                <w:szCs w:val="22"/>
              </w:rPr>
              <w:t>3.9</w:t>
            </w:r>
          </w:p>
        </w:tc>
        <w:tc>
          <w:tcPr>
            <w:tcW w:w="926" w:type="pct"/>
            <w:shd w:val="clear" w:color="auto" w:fill="auto"/>
            <w:noWrap/>
            <w:vAlign w:val="bottom"/>
            <w:hideMark/>
          </w:tcPr>
          <w:p w14:paraId="021B191A" w14:textId="3E85F423"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25</w:t>
            </w:r>
            <w:r w:rsidR="001254A4" w:rsidRPr="0067297E">
              <w:rPr>
                <w:rFonts w:asciiTheme="minorHAnsi" w:hAnsiTheme="minorHAnsi" w:cs="Calibri"/>
                <w:sz w:val="22"/>
                <w:szCs w:val="22"/>
              </w:rPr>
              <w:t>.1</w:t>
            </w:r>
          </w:p>
        </w:tc>
        <w:tc>
          <w:tcPr>
            <w:tcW w:w="1235" w:type="pct"/>
            <w:shd w:val="clear" w:color="auto" w:fill="auto"/>
            <w:noWrap/>
            <w:vAlign w:val="bottom"/>
            <w:hideMark/>
          </w:tcPr>
          <w:p w14:paraId="649EADEB" w14:textId="33F3C758"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3</w:t>
            </w:r>
            <w:r w:rsidR="001254A4" w:rsidRPr="0067297E">
              <w:rPr>
                <w:rFonts w:asciiTheme="minorHAnsi" w:hAnsiTheme="minorHAnsi" w:cs="Calibri"/>
                <w:sz w:val="22"/>
                <w:szCs w:val="22"/>
              </w:rPr>
              <w:t>1.0</w:t>
            </w:r>
          </w:p>
        </w:tc>
        <w:tc>
          <w:tcPr>
            <w:tcW w:w="911" w:type="pct"/>
            <w:shd w:val="clear" w:color="auto" w:fill="auto"/>
            <w:noWrap/>
            <w:vAlign w:val="bottom"/>
            <w:hideMark/>
          </w:tcPr>
          <w:p w14:paraId="36830869" w14:textId="77777777"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100.0</w:t>
            </w:r>
          </w:p>
        </w:tc>
      </w:tr>
      <w:tr w:rsidR="00C12BC3" w:rsidRPr="0067297E" w14:paraId="3D83B544" w14:textId="77777777" w:rsidTr="00CE19D0">
        <w:tc>
          <w:tcPr>
            <w:tcW w:w="969" w:type="pct"/>
            <w:shd w:val="clear" w:color="auto" w:fill="auto"/>
            <w:noWrap/>
            <w:vAlign w:val="bottom"/>
            <w:hideMark/>
          </w:tcPr>
          <w:p w14:paraId="321D7982" w14:textId="77777777" w:rsidR="00C12BC3" w:rsidRPr="0067297E" w:rsidRDefault="00C12BC3" w:rsidP="00C12BC3">
            <w:pPr>
              <w:rPr>
                <w:rFonts w:asciiTheme="minorHAnsi" w:hAnsiTheme="minorHAnsi" w:cs="Calibri"/>
                <w:sz w:val="22"/>
                <w:szCs w:val="22"/>
              </w:rPr>
            </w:pPr>
            <w:r w:rsidRPr="0067297E">
              <w:rPr>
                <w:rFonts w:asciiTheme="minorHAnsi" w:hAnsiTheme="minorHAnsi" w:cs="Calibri"/>
                <w:sz w:val="22"/>
                <w:szCs w:val="22"/>
              </w:rPr>
              <w:t>Inner London</w:t>
            </w:r>
          </w:p>
        </w:tc>
        <w:tc>
          <w:tcPr>
            <w:tcW w:w="959" w:type="pct"/>
            <w:shd w:val="clear" w:color="auto" w:fill="auto"/>
            <w:noWrap/>
            <w:vAlign w:val="bottom"/>
            <w:hideMark/>
          </w:tcPr>
          <w:p w14:paraId="2FCB3CCE" w14:textId="77777777"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34.3</w:t>
            </w:r>
          </w:p>
        </w:tc>
        <w:tc>
          <w:tcPr>
            <w:tcW w:w="926" w:type="pct"/>
            <w:shd w:val="clear" w:color="auto" w:fill="auto"/>
            <w:noWrap/>
            <w:vAlign w:val="bottom"/>
            <w:hideMark/>
          </w:tcPr>
          <w:p w14:paraId="22E876BE" w14:textId="77777777"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29.8</w:t>
            </w:r>
          </w:p>
        </w:tc>
        <w:tc>
          <w:tcPr>
            <w:tcW w:w="1235" w:type="pct"/>
            <w:shd w:val="clear" w:color="auto" w:fill="auto"/>
            <w:noWrap/>
            <w:vAlign w:val="bottom"/>
            <w:hideMark/>
          </w:tcPr>
          <w:p w14:paraId="4B200A93" w14:textId="77777777"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35.9</w:t>
            </w:r>
          </w:p>
        </w:tc>
        <w:tc>
          <w:tcPr>
            <w:tcW w:w="911" w:type="pct"/>
            <w:shd w:val="clear" w:color="auto" w:fill="auto"/>
            <w:noWrap/>
            <w:vAlign w:val="bottom"/>
            <w:hideMark/>
          </w:tcPr>
          <w:p w14:paraId="2742820B" w14:textId="77777777"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100.0</w:t>
            </w:r>
          </w:p>
        </w:tc>
      </w:tr>
      <w:tr w:rsidR="00C12BC3" w:rsidRPr="0067297E" w14:paraId="398C61C7" w14:textId="77777777" w:rsidTr="00CE19D0">
        <w:tc>
          <w:tcPr>
            <w:tcW w:w="969" w:type="pct"/>
            <w:shd w:val="clear" w:color="auto" w:fill="auto"/>
            <w:noWrap/>
            <w:vAlign w:val="bottom"/>
            <w:hideMark/>
          </w:tcPr>
          <w:p w14:paraId="00CDC04F" w14:textId="77777777" w:rsidR="00C12BC3" w:rsidRPr="0067297E" w:rsidRDefault="00C12BC3" w:rsidP="00C12BC3">
            <w:pPr>
              <w:rPr>
                <w:rFonts w:asciiTheme="minorHAnsi" w:hAnsiTheme="minorHAnsi" w:cs="Calibri"/>
                <w:sz w:val="22"/>
                <w:szCs w:val="22"/>
              </w:rPr>
            </w:pPr>
            <w:r w:rsidRPr="0067297E">
              <w:rPr>
                <w:rFonts w:asciiTheme="minorHAnsi" w:hAnsiTheme="minorHAnsi" w:cs="Calibri"/>
                <w:sz w:val="22"/>
                <w:szCs w:val="22"/>
              </w:rPr>
              <w:t>London total</w:t>
            </w:r>
          </w:p>
        </w:tc>
        <w:tc>
          <w:tcPr>
            <w:tcW w:w="959" w:type="pct"/>
            <w:shd w:val="clear" w:color="auto" w:fill="auto"/>
            <w:noWrap/>
            <w:vAlign w:val="bottom"/>
            <w:hideMark/>
          </w:tcPr>
          <w:p w14:paraId="70573890" w14:textId="77777777"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48.3</w:t>
            </w:r>
          </w:p>
        </w:tc>
        <w:tc>
          <w:tcPr>
            <w:tcW w:w="926" w:type="pct"/>
            <w:shd w:val="clear" w:color="auto" w:fill="auto"/>
            <w:noWrap/>
            <w:vAlign w:val="bottom"/>
            <w:hideMark/>
          </w:tcPr>
          <w:p w14:paraId="5D21F069" w14:textId="77777777"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26.4</w:t>
            </w:r>
          </w:p>
        </w:tc>
        <w:tc>
          <w:tcPr>
            <w:tcW w:w="1235" w:type="pct"/>
            <w:shd w:val="clear" w:color="auto" w:fill="auto"/>
            <w:noWrap/>
            <w:vAlign w:val="bottom"/>
            <w:hideMark/>
          </w:tcPr>
          <w:p w14:paraId="7A10DA83" w14:textId="77777777"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25.4</w:t>
            </w:r>
          </w:p>
        </w:tc>
        <w:tc>
          <w:tcPr>
            <w:tcW w:w="911" w:type="pct"/>
            <w:shd w:val="clear" w:color="auto" w:fill="auto"/>
            <w:noWrap/>
            <w:vAlign w:val="bottom"/>
            <w:hideMark/>
          </w:tcPr>
          <w:p w14:paraId="739BC2C8" w14:textId="77777777"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100.0</w:t>
            </w:r>
          </w:p>
        </w:tc>
      </w:tr>
      <w:tr w:rsidR="00C12BC3" w:rsidRPr="0067297E" w14:paraId="7C5A894F" w14:textId="77777777" w:rsidTr="00CE19D0">
        <w:tc>
          <w:tcPr>
            <w:tcW w:w="969" w:type="pct"/>
            <w:shd w:val="clear" w:color="auto" w:fill="auto"/>
            <w:noWrap/>
            <w:vAlign w:val="bottom"/>
            <w:hideMark/>
          </w:tcPr>
          <w:p w14:paraId="598FD127" w14:textId="77777777" w:rsidR="00C12BC3" w:rsidRPr="0067297E" w:rsidRDefault="00C12BC3" w:rsidP="00C12BC3">
            <w:pPr>
              <w:rPr>
                <w:rFonts w:asciiTheme="minorHAnsi" w:hAnsiTheme="minorHAnsi" w:cs="Calibri"/>
                <w:sz w:val="22"/>
                <w:szCs w:val="22"/>
              </w:rPr>
            </w:pPr>
            <w:r w:rsidRPr="0067297E">
              <w:rPr>
                <w:rFonts w:asciiTheme="minorHAnsi" w:hAnsiTheme="minorHAnsi" w:cs="Calibri"/>
                <w:sz w:val="22"/>
                <w:szCs w:val="22"/>
              </w:rPr>
              <w:t>England</w:t>
            </w:r>
          </w:p>
        </w:tc>
        <w:tc>
          <w:tcPr>
            <w:tcW w:w="959" w:type="pct"/>
            <w:shd w:val="clear" w:color="auto" w:fill="auto"/>
            <w:noWrap/>
            <w:vAlign w:val="bottom"/>
            <w:hideMark/>
          </w:tcPr>
          <w:p w14:paraId="7D57B867" w14:textId="77777777"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63.3</w:t>
            </w:r>
          </w:p>
        </w:tc>
        <w:tc>
          <w:tcPr>
            <w:tcW w:w="926" w:type="pct"/>
            <w:shd w:val="clear" w:color="auto" w:fill="auto"/>
            <w:noWrap/>
            <w:vAlign w:val="bottom"/>
            <w:hideMark/>
          </w:tcPr>
          <w:p w14:paraId="294A558F" w14:textId="77777777"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18.2</w:t>
            </w:r>
          </w:p>
        </w:tc>
        <w:tc>
          <w:tcPr>
            <w:tcW w:w="1235" w:type="pct"/>
            <w:shd w:val="clear" w:color="auto" w:fill="auto"/>
            <w:noWrap/>
            <w:vAlign w:val="bottom"/>
            <w:hideMark/>
          </w:tcPr>
          <w:p w14:paraId="23C11875" w14:textId="77777777"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18.5</w:t>
            </w:r>
          </w:p>
        </w:tc>
        <w:tc>
          <w:tcPr>
            <w:tcW w:w="911" w:type="pct"/>
            <w:shd w:val="clear" w:color="auto" w:fill="auto"/>
            <w:noWrap/>
            <w:vAlign w:val="bottom"/>
            <w:hideMark/>
          </w:tcPr>
          <w:p w14:paraId="41D3FB3F" w14:textId="77777777" w:rsidR="00C12BC3" w:rsidRPr="0067297E" w:rsidRDefault="00C12BC3" w:rsidP="00CE19D0">
            <w:pPr>
              <w:jc w:val="right"/>
              <w:rPr>
                <w:rFonts w:asciiTheme="minorHAnsi" w:hAnsiTheme="minorHAnsi" w:cs="Calibri"/>
                <w:sz w:val="22"/>
                <w:szCs w:val="22"/>
              </w:rPr>
            </w:pPr>
            <w:r w:rsidRPr="0067297E">
              <w:rPr>
                <w:rFonts w:asciiTheme="minorHAnsi" w:hAnsiTheme="minorHAnsi" w:cs="Calibri"/>
                <w:sz w:val="22"/>
                <w:szCs w:val="22"/>
              </w:rPr>
              <w:t>100.0</w:t>
            </w:r>
          </w:p>
        </w:tc>
      </w:tr>
    </w:tbl>
    <w:p w14:paraId="38528B58" w14:textId="77777777" w:rsidR="00C12BC3" w:rsidRPr="0067297E" w:rsidRDefault="00C12BC3" w:rsidP="00C12BC3">
      <w:pPr>
        <w:rPr>
          <w:rFonts w:asciiTheme="minorHAnsi" w:hAnsiTheme="minorHAnsi"/>
          <w:sz w:val="20"/>
        </w:rPr>
      </w:pPr>
      <w:r w:rsidRPr="0067297E">
        <w:rPr>
          <w:rFonts w:asciiTheme="minorHAnsi" w:hAnsiTheme="minorHAnsi"/>
          <w:sz w:val="20"/>
        </w:rPr>
        <w:t>Source: 2011 census</w:t>
      </w:r>
    </w:p>
    <w:p w14:paraId="51B87B52" w14:textId="77777777" w:rsidR="00C12BC3" w:rsidRPr="0067297E" w:rsidRDefault="00C12BC3" w:rsidP="00C12BC3">
      <w:pPr>
        <w:rPr>
          <w:rFonts w:asciiTheme="minorHAnsi" w:hAnsiTheme="minorHAnsi"/>
        </w:rPr>
      </w:pPr>
    </w:p>
    <w:p w14:paraId="2D5FD627" w14:textId="2D2C2356" w:rsidR="00C12BC3" w:rsidRPr="0067297E" w:rsidRDefault="00C12BC3" w:rsidP="00C12BC3">
      <w:pPr>
        <w:pStyle w:val="Reporttext"/>
        <w:rPr>
          <w:rFonts w:asciiTheme="minorHAnsi" w:hAnsiTheme="minorHAnsi"/>
        </w:rPr>
      </w:pPr>
      <w:r w:rsidRPr="0067297E">
        <w:rPr>
          <w:rFonts w:asciiTheme="minorHAnsi" w:hAnsiTheme="minorHAnsi"/>
        </w:rPr>
        <w:t>Table 4.</w:t>
      </w:r>
      <w:r w:rsidRPr="0067297E">
        <w:rPr>
          <w:rFonts w:asciiTheme="minorHAnsi" w:hAnsiTheme="minorHAnsi"/>
          <w:lang w:val="en-GB"/>
        </w:rPr>
        <w:t>9</w:t>
      </w:r>
      <w:r w:rsidRPr="0067297E">
        <w:rPr>
          <w:rFonts w:asciiTheme="minorHAnsi" w:hAnsiTheme="minorHAnsi"/>
        </w:rPr>
        <w:t xml:space="preserve"> compares the tenure profile of Lewisham with other areas. Note that the profile is broadly comparable with the London average, although the proportion of households living in affordable dwellings is higher and more comparable with the Inner London average. </w:t>
      </w:r>
    </w:p>
    <w:p w14:paraId="688DF592" w14:textId="77777777" w:rsidR="00C12BC3" w:rsidRPr="0067297E" w:rsidRDefault="00C12BC3" w:rsidP="00C12BC3">
      <w:pPr>
        <w:rPr>
          <w:rFonts w:asciiTheme="minorHAnsi" w:hAnsiTheme="minorHAnsi"/>
        </w:rPr>
      </w:pPr>
    </w:p>
    <w:p w14:paraId="2C4A1FF7" w14:textId="5C6D4F74" w:rsidR="00680561" w:rsidRPr="0067297E" w:rsidRDefault="00045564" w:rsidP="00C12BC3">
      <w:pPr>
        <w:pStyle w:val="Heading2"/>
        <w:rPr>
          <w:rFonts w:asciiTheme="minorHAnsi" w:hAnsiTheme="minorHAnsi" w:cs="Calibri"/>
        </w:rPr>
      </w:pPr>
      <w:bookmarkStart w:id="250" w:name="_Toc1385755"/>
      <w:bookmarkStart w:id="251" w:name="_Toc23151070"/>
      <w:r w:rsidRPr="0067297E">
        <w:rPr>
          <w:rFonts w:asciiTheme="minorHAnsi" w:hAnsiTheme="minorHAnsi" w:cs="Calibri"/>
          <w:lang w:val="en-GB"/>
        </w:rPr>
        <w:t>O</w:t>
      </w:r>
      <w:r w:rsidR="00420D29" w:rsidRPr="0067297E">
        <w:rPr>
          <w:rFonts w:asciiTheme="minorHAnsi" w:hAnsiTheme="minorHAnsi" w:cs="Calibri"/>
        </w:rPr>
        <w:t>wner-occupied sector</w:t>
      </w:r>
      <w:bookmarkEnd w:id="250"/>
      <w:bookmarkEnd w:id="251"/>
    </w:p>
    <w:p w14:paraId="32B907B2" w14:textId="77777777" w:rsidR="006F0555" w:rsidRPr="0067297E" w:rsidRDefault="006F0555" w:rsidP="00C12BC3">
      <w:pPr>
        <w:pStyle w:val="Reporttext"/>
        <w:rPr>
          <w:rFonts w:asciiTheme="minorHAnsi" w:hAnsiTheme="minorHAnsi" w:cs="Calibri"/>
          <w:lang w:val="en-GB"/>
        </w:rPr>
      </w:pPr>
      <w:r w:rsidRPr="0067297E">
        <w:rPr>
          <w:rFonts w:asciiTheme="minorHAnsi" w:hAnsiTheme="minorHAnsi" w:cs="Calibri"/>
          <w:lang w:val="en-GB"/>
        </w:rPr>
        <w:t xml:space="preserve">According to the 2011 Census, </w:t>
      </w:r>
      <w:r w:rsidR="00531BD6" w:rsidRPr="0067297E">
        <w:rPr>
          <w:rFonts w:asciiTheme="minorHAnsi" w:hAnsiTheme="minorHAnsi" w:cs="Calibri"/>
          <w:lang w:val="en-GB"/>
        </w:rPr>
        <w:t>43.6</w:t>
      </w:r>
      <w:r w:rsidRPr="0067297E">
        <w:rPr>
          <w:rFonts w:asciiTheme="minorHAnsi" w:hAnsiTheme="minorHAnsi" w:cs="Calibri"/>
          <w:lang w:val="en-GB"/>
        </w:rPr>
        <w:t xml:space="preserve">% of households across </w:t>
      </w:r>
      <w:r w:rsidR="00531BD6" w:rsidRPr="0067297E">
        <w:rPr>
          <w:rFonts w:asciiTheme="minorHAnsi" w:hAnsiTheme="minorHAnsi" w:cs="Calibri"/>
          <w:lang w:val="en-GB"/>
        </w:rPr>
        <w:t xml:space="preserve">the </w:t>
      </w:r>
      <w:r w:rsidR="00E93769" w:rsidRPr="0067297E">
        <w:rPr>
          <w:rFonts w:asciiTheme="minorHAnsi" w:hAnsiTheme="minorHAnsi" w:cs="Calibri"/>
          <w:lang w:val="en-GB"/>
        </w:rPr>
        <w:t>borough</w:t>
      </w:r>
      <w:r w:rsidRPr="0067297E">
        <w:rPr>
          <w:rFonts w:asciiTheme="minorHAnsi" w:hAnsiTheme="minorHAnsi" w:cs="Calibri"/>
          <w:lang w:val="en-GB"/>
        </w:rPr>
        <w:t xml:space="preserve"> are owner occupiers. </w:t>
      </w:r>
      <w:r w:rsidR="00531BD6" w:rsidRPr="0067297E">
        <w:rPr>
          <w:rFonts w:asciiTheme="minorHAnsi" w:hAnsiTheme="minorHAnsi" w:cs="Calibri"/>
          <w:lang w:val="en-GB"/>
        </w:rPr>
        <w:t>14.9</w:t>
      </w:r>
      <w:r w:rsidRPr="0067297E">
        <w:rPr>
          <w:rFonts w:asciiTheme="minorHAnsi" w:hAnsiTheme="minorHAnsi" w:cs="Calibri"/>
          <w:lang w:val="en-GB"/>
        </w:rPr>
        <w:t>% of all households (</w:t>
      </w:r>
      <w:r w:rsidR="00531BD6" w:rsidRPr="0067297E">
        <w:rPr>
          <w:rFonts w:asciiTheme="minorHAnsi" w:hAnsiTheme="minorHAnsi" w:cs="Calibri"/>
          <w:lang w:val="en-GB"/>
        </w:rPr>
        <w:t>17,273</w:t>
      </w:r>
      <w:r w:rsidRPr="0067297E">
        <w:rPr>
          <w:rFonts w:asciiTheme="minorHAnsi" w:hAnsiTheme="minorHAnsi" w:cs="Calibri"/>
          <w:lang w:val="en-GB"/>
        </w:rPr>
        <w:t xml:space="preserve">) own outright and </w:t>
      </w:r>
      <w:r w:rsidR="00531BD6" w:rsidRPr="0067297E">
        <w:rPr>
          <w:rFonts w:asciiTheme="minorHAnsi" w:hAnsiTheme="minorHAnsi" w:cs="Calibri"/>
          <w:lang w:val="en-GB"/>
        </w:rPr>
        <w:t>28.8</w:t>
      </w:r>
      <w:r w:rsidRPr="0067297E">
        <w:rPr>
          <w:rFonts w:asciiTheme="minorHAnsi" w:hAnsiTheme="minorHAnsi" w:cs="Calibri"/>
          <w:lang w:val="en-GB"/>
        </w:rPr>
        <w:t>% of all households (</w:t>
      </w:r>
      <w:r w:rsidR="00531BD6" w:rsidRPr="0067297E">
        <w:rPr>
          <w:rFonts w:asciiTheme="minorHAnsi" w:hAnsiTheme="minorHAnsi" w:cs="Calibri"/>
          <w:lang w:val="en-GB"/>
        </w:rPr>
        <w:t>33,391</w:t>
      </w:r>
      <w:r w:rsidRPr="0067297E">
        <w:rPr>
          <w:rFonts w:asciiTheme="minorHAnsi" w:hAnsiTheme="minorHAnsi" w:cs="Calibri"/>
          <w:lang w:val="en-GB"/>
        </w:rPr>
        <w:t xml:space="preserve">) have a mortgage or loan. </w:t>
      </w:r>
    </w:p>
    <w:p w14:paraId="7F68FDA5" w14:textId="77777777" w:rsidR="00531BD6" w:rsidRPr="0067297E" w:rsidRDefault="005B0F27" w:rsidP="00A04CC5">
      <w:pPr>
        <w:pStyle w:val="Reporttext"/>
        <w:rPr>
          <w:rFonts w:asciiTheme="minorHAnsi" w:hAnsiTheme="minorHAnsi" w:cs="Calibri"/>
          <w:lang w:val="en-GB"/>
        </w:rPr>
      </w:pPr>
      <w:r w:rsidRPr="0067297E">
        <w:rPr>
          <w:rFonts w:asciiTheme="minorHAnsi" w:hAnsiTheme="minorHAnsi" w:cs="Calibri"/>
          <w:lang w:val="en-GB"/>
        </w:rPr>
        <w:t xml:space="preserve">GLA </w:t>
      </w:r>
      <w:r w:rsidR="00531BD6" w:rsidRPr="0067297E">
        <w:rPr>
          <w:rFonts w:asciiTheme="minorHAnsi" w:hAnsiTheme="minorHAnsi" w:cs="Calibri"/>
          <w:lang w:val="en-GB"/>
        </w:rPr>
        <w:t xml:space="preserve">data </w:t>
      </w:r>
      <w:r w:rsidRPr="0067297E">
        <w:rPr>
          <w:rFonts w:asciiTheme="minorHAnsi" w:hAnsiTheme="minorHAnsi" w:cs="Calibri"/>
          <w:lang w:val="en-GB"/>
        </w:rPr>
        <w:t>(</w:t>
      </w:r>
      <w:r w:rsidR="00531BD6" w:rsidRPr="0067297E">
        <w:rPr>
          <w:rFonts w:asciiTheme="minorHAnsi" w:hAnsiTheme="minorHAnsi" w:cs="Calibri"/>
          <w:lang w:val="en-GB"/>
        </w:rPr>
        <w:t>based on t</w:t>
      </w:r>
      <w:r w:rsidRPr="0067297E">
        <w:rPr>
          <w:rFonts w:asciiTheme="minorHAnsi" w:hAnsiTheme="minorHAnsi" w:cs="Calibri"/>
          <w:lang w:val="en-GB"/>
        </w:rPr>
        <w:t>he Annual Population Survey</w:t>
      </w:r>
      <w:r w:rsidR="00531BD6" w:rsidRPr="0067297E">
        <w:rPr>
          <w:rFonts w:asciiTheme="minorHAnsi" w:hAnsiTheme="minorHAnsi" w:cs="Calibri"/>
          <w:lang w:val="en-GB"/>
        </w:rPr>
        <w:t xml:space="preserve">) estimates that 49.2% of the housing stock in </w:t>
      </w:r>
      <w:r w:rsidR="00E93769" w:rsidRPr="0067297E">
        <w:rPr>
          <w:rFonts w:asciiTheme="minorHAnsi" w:hAnsiTheme="minorHAnsi" w:cs="Calibri"/>
          <w:lang w:val="en-GB"/>
        </w:rPr>
        <w:t>the borough</w:t>
      </w:r>
      <w:r w:rsidR="00531BD6" w:rsidRPr="0067297E">
        <w:rPr>
          <w:rFonts w:asciiTheme="minorHAnsi" w:hAnsiTheme="minorHAnsi" w:cs="Calibri"/>
          <w:lang w:val="en-GB"/>
        </w:rPr>
        <w:t xml:space="preserve"> is owner occupied, </w:t>
      </w:r>
      <w:r w:rsidRPr="0067297E">
        <w:rPr>
          <w:rFonts w:asciiTheme="minorHAnsi" w:hAnsiTheme="minorHAnsi" w:cs="Calibri"/>
          <w:lang w:val="en-GB"/>
        </w:rPr>
        <w:t>which is a slightly higher proportion than the 2011 Census figure</w:t>
      </w:r>
      <w:r w:rsidR="00531BD6" w:rsidRPr="0067297E">
        <w:rPr>
          <w:rFonts w:asciiTheme="minorHAnsi" w:hAnsiTheme="minorHAnsi" w:cs="Calibri"/>
          <w:lang w:val="en-GB"/>
        </w:rPr>
        <w:t>.</w:t>
      </w:r>
    </w:p>
    <w:p w14:paraId="79D795CE" w14:textId="0DF5FEA0" w:rsidR="005B0F27" w:rsidRPr="0067297E" w:rsidRDefault="005B0F27" w:rsidP="007E2C96">
      <w:pPr>
        <w:pStyle w:val="Reporttext"/>
        <w:rPr>
          <w:rFonts w:asciiTheme="minorHAnsi" w:hAnsiTheme="minorHAnsi" w:cs="Calibri"/>
        </w:rPr>
      </w:pPr>
      <w:r w:rsidRPr="0067297E">
        <w:rPr>
          <w:rFonts w:asciiTheme="minorHAnsi" w:hAnsiTheme="minorHAnsi" w:cs="Calibri"/>
          <w:lang w:val="en-GB"/>
        </w:rPr>
        <w:t>In terms of dwelling type, 2011 Census data indicates that 66.8% of owner</w:t>
      </w:r>
      <w:r w:rsidR="001254A4" w:rsidRPr="0067297E">
        <w:rPr>
          <w:rFonts w:asciiTheme="minorHAnsi" w:hAnsiTheme="minorHAnsi" w:cs="Calibri"/>
          <w:lang w:val="en-GB"/>
        </w:rPr>
        <w:t>-</w:t>
      </w:r>
      <w:r w:rsidRPr="0067297E">
        <w:rPr>
          <w:rFonts w:asciiTheme="minorHAnsi" w:hAnsiTheme="minorHAnsi" w:cs="Calibri"/>
          <w:lang w:val="en-GB"/>
        </w:rPr>
        <w:t xml:space="preserve">occupied dwellings in </w:t>
      </w:r>
      <w:r w:rsidR="00E93769" w:rsidRPr="0067297E">
        <w:rPr>
          <w:rFonts w:asciiTheme="minorHAnsi" w:hAnsiTheme="minorHAnsi" w:cs="Calibri"/>
          <w:lang w:val="en-GB"/>
        </w:rPr>
        <w:t>the borough</w:t>
      </w:r>
      <w:r w:rsidRPr="0067297E">
        <w:rPr>
          <w:rFonts w:asciiTheme="minorHAnsi" w:hAnsiTheme="minorHAnsi" w:cs="Calibri"/>
          <w:lang w:val="en-GB"/>
        </w:rPr>
        <w:t xml:space="preserve"> are houses. Of these, 43.1% are terraced, 20.0% semi-detached and 3.7% detached. This compares with 44.7% of the total stock that are houses. 33.2% of the o</w:t>
      </w:r>
      <w:r w:rsidR="00E93769" w:rsidRPr="0067297E">
        <w:rPr>
          <w:rFonts w:asciiTheme="minorHAnsi" w:hAnsiTheme="minorHAnsi" w:cs="Calibri"/>
          <w:lang w:val="en-GB"/>
        </w:rPr>
        <w:t>wner</w:t>
      </w:r>
      <w:r w:rsidR="001254A4" w:rsidRPr="0067297E">
        <w:rPr>
          <w:rFonts w:asciiTheme="minorHAnsi" w:hAnsiTheme="minorHAnsi" w:cs="Calibri"/>
          <w:lang w:val="en-GB"/>
        </w:rPr>
        <w:t>-</w:t>
      </w:r>
      <w:r w:rsidR="00E93769" w:rsidRPr="0067297E">
        <w:rPr>
          <w:rFonts w:asciiTheme="minorHAnsi" w:hAnsiTheme="minorHAnsi" w:cs="Calibri"/>
          <w:lang w:val="en-GB"/>
        </w:rPr>
        <w:t>occupied dwellings in the b</w:t>
      </w:r>
      <w:r w:rsidRPr="0067297E">
        <w:rPr>
          <w:rFonts w:asciiTheme="minorHAnsi" w:hAnsiTheme="minorHAnsi" w:cs="Calibri"/>
          <w:lang w:val="en-GB"/>
        </w:rPr>
        <w:t xml:space="preserve">orough are flats, compared with 55.3% of total stock across </w:t>
      </w:r>
      <w:r w:rsidR="00E93769" w:rsidRPr="0067297E">
        <w:rPr>
          <w:rFonts w:asciiTheme="minorHAnsi" w:hAnsiTheme="minorHAnsi" w:cs="Calibri"/>
          <w:lang w:val="en-GB"/>
        </w:rPr>
        <w:t>the borough.</w:t>
      </w:r>
    </w:p>
    <w:p w14:paraId="5E9AEB35" w14:textId="7E6785C2" w:rsidR="005B0F27" w:rsidRPr="0067297E" w:rsidRDefault="005B0F27" w:rsidP="00516B53">
      <w:pPr>
        <w:pStyle w:val="Reporttext"/>
        <w:rPr>
          <w:rFonts w:asciiTheme="minorHAnsi" w:hAnsiTheme="minorHAnsi" w:cs="Calibri"/>
        </w:rPr>
      </w:pPr>
      <w:r w:rsidRPr="0067297E">
        <w:rPr>
          <w:rFonts w:asciiTheme="minorHAnsi" w:hAnsiTheme="minorHAnsi" w:cs="Calibri"/>
          <w:lang w:val="en-GB"/>
        </w:rPr>
        <w:t>With regards to dwelling size, 2011 Census data shows that 42.1% of owner</w:t>
      </w:r>
      <w:r w:rsidR="001254A4" w:rsidRPr="0067297E">
        <w:rPr>
          <w:rFonts w:asciiTheme="minorHAnsi" w:hAnsiTheme="minorHAnsi" w:cs="Calibri"/>
          <w:lang w:val="en-GB"/>
        </w:rPr>
        <w:t>-</w:t>
      </w:r>
      <w:r w:rsidRPr="0067297E">
        <w:rPr>
          <w:rFonts w:asciiTheme="minorHAnsi" w:hAnsiTheme="minorHAnsi" w:cs="Calibri"/>
          <w:lang w:val="en-GB"/>
        </w:rPr>
        <w:t xml:space="preserve">occupied dwellings in </w:t>
      </w:r>
      <w:r w:rsidR="00E93769" w:rsidRPr="0067297E">
        <w:rPr>
          <w:rFonts w:asciiTheme="minorHAnsi" w:hAnsiTheme="minorHAnsi" w:cs="Calibri"/>
          <w:lang w:val="en-GB"/>
        </w:rPr>
        <w:t>the borough</w:t>
      </w:r>
      <w:r w:rsidRPr="0067297E">
        <w:rPr>
          <w:rFonts w:asciiTheme="minorHAnsi" w:hAnsiTheme="minorHAnsi" w:cs="Calibri"/>
          <w:lang w:val="en-GB"/>
        </w:rPr>
        <w:t xml:space="preserve"> have three bedrooms and a further 17.6% have four or more bedrooms. 40.4% of the owner</w:t>
      </w:r>
      <w:r w:rsidR="001254A4" w:rsidRPr="0067297E">
        <w:rPr>
          <w:rFonts w:asciiTheme="minorHAnsi" w:hAnsiTheme="minorHAnsi" w:cs="Calibri"/>
          <w:lang w:val="en-GB"/>
        </w:rPr>
        <w:t>-</w:t>
      </w:r>
      <w:r w:rsidRPr="0067297E">
        <w:rPr>
          <w:rFonts w:asciiTheme="minorHAnsi" w:hAnsiTheme="minorHAnsi" w:cs="Calibri"/>
          <w:lang w:val="en-GB"/>
        </w:rPr>
        <w:t>occupied stock comprises of smaller dwellings with one or two bedrooms (11.7% one bedroom and 28.7% two bedroom). This compares with 58.5% of the total stock that has one or two</w:t>
      </w:r>
      <w:r w:rsidR="00E07FE1" w:rsidRPr="0067297E">
        <w:rPr>
          <w:rFonts w:asciiTheme="minorHAnsi" w:hAnsiTheme="minorHAnsi" w:cs="Calibri"/>
          <w:lang w:val="en-GB"/>
        </w:rPr>
        <w:t xml:space="preserve"> </w:t>
      </w:r>
      <w:r w:rsidRPr="0067297E">
        <w:rPr>
          <w:rFonts w:asciiTheme="minorHAnsi" w:hAnsiTheme="minorHAnsi" w:cs="Calibri"/>
          <w:lang w:val="en-GB"/>
        </w:rPr>
        <w:t xml:space="preserve">bedrooms, 30.2% three bedrooms and 11.3% four or </w:t>
      </w:r>
      <w:r w:rsidR="00E93769" w:rsidRPr="0067297E">
        <w:rPr>
          <w:rFonts w:asciiTheme="minorHAnsi" w:hAnsiTheme="minorHAnsi" w:cs="Calibri"/>
          <w:lang w:val="en-GB"/>
        </w:rPr>
        <w:t>more bedrooms</w:t>
      </w:r>
      <w:r w:rsidRPr="0067297E">
        <w:rPr>
          <w:rFonts w:asciiTheme="minorHAnsi" w:hAnsiTheme="minorHAnsi" w:cs="Calibri"/>
          <w:lang w:val="en-GB"/>
        </w:rPr>
        <w:t>.</w:t>
      </w:r>
    </w:p>
    <w:p w14:paraId="0590D8FF" w14:textId="333F84A8" w:rsidR="00680561" w:rsidRPr="0067297E" w:rsidRDefault="00C5084D" w:rsidP="00516B53">
      <w:pPr>
        <w:pStyle w:val="Reporttext"/>
        <w:rPr>
          <w:rFonts w:asciiTheme="minorHAnsi" w:hAnsiTheme="minorHAnsi" w:cs="Calibri"/>
        </w:rPr>
      </w:pPr>
      <w:r w:rsidRPr="0067297E">
        <w:rPr>
          <w:rFonts w:asciiTheme="minorHAnsi" w:hAnsiTheme="minorHAnsi" w:cs="Calibri"/>
          <w:lang w:val="en-GB"/>
        </w:rPr>
        <w:t xml:space="preserve">As </w:t>
      </w:r>
      <w:r w:rsidRPr="0067297E">
        <w:rPr>
          <w:rFonts w:asciiTheme="minorHAnsi" w:hAnsiTheme="minorHAnsi" w:cs="Calibri"/>
        </w:rPr>
        <w:t xml:space="preserve">summarised in Table </w:t>
      </w:r>
      <w:r w:rsidR="00070E86" w:rsidRPr="0067297E">
        <w:rPr>
          <w:rFonts w:asciiTheme="minorHAnsi" w:hAnsiTheme="minorHAnsi" w:cs="Calibri"/>
          <w:lang w:val="en-US"/>
        </w:rPr>
        <w:t>3.2</w:t>
      </w:r>
      <w:r w:rsidRPr="0067297E">
        <w:rPr>
          <w:rFonts w:asciiTheme="minorHAnsi" w:hAnsiTheme="minorHAnsi" w:cs="Calibri"/>
          <w:lang w:val="en-GB"/>
        </w:rPr>
        <w:t>, o</w:t>
      </w:r>
      <w:r w:rsidR="00F4470D" w:rsidRPr="0067297E">
        <w:rPr>
          <w:rFonts w:asciiTheme="minorHAnsi" w:hAnsiTheme="minorHAnsi" w:cs="Calibri"/>
          <w:lang w:val="en-GB"/>
        </w:rPr>
        <w:t>v</w:t>
      </w:r>
      <w:r w:rsidR="00680561" w:rsidRPr="0067297E">
        <w:rPr>
          <w:rFonts w:asciiTheme="minorHAnsi" w:hAnsiTheme="minorHAnsi" w:cs="Calibri"/>
        </w:rPr>
        <w:t>er the period 2</w:t>
      </w:r>
      <w:r w:rsidR="003D565F" w:rsidRPr="0067297E">
        <w:rPr>
          <w:rFonts w:asciiTheme="minorHAnsi" w:hAnsiTheme="minorHAnsi" w:cs="Calibri"/>
        </w:rPr>
        <w:t>000 to 201</w:t>
      </w:r>
      <w:r w:rsidR="00070E86" w:rsidRPr="0067297E">
        <w:rPr>
          <w:rFonts w:asciiTheme="minorHAnsi" w:hAnsiTheme="minorHAnsi" w:cs="Calibri"/>
          <w:lang w:val="en-GB"/>
        </w:rPr>
        <w:t>8</w:t>
      </w:r>
      <w:r w:rsidR="003D565F" w:rsidRPr="0067297E">
        <w:rPr>
          <w:rFonts w:asciiTheme="minorHAnsi" w:hAnsiTheme="minorHAnsi" w:cs="Calibri"/>
        </w:rPr>
        <w:t xml:space="preserve">, </w:t>
      </w:r>
      <w:r w:rsidR="00033747" w:rsidRPr="0067297E">
        <w:rPr>
          <w:rFonts w:asciiTheme="minorHAnsi" w:hAnsiTheme="minorHAnsi" w:cs="Calibri"/>
          <w:lang w:val="en-GB"/>
        </w:rPr>
        <w:t xml:space="preserve">Land Registry data reveals that </w:t>
      </w:r>
      <w:r w:rsidR="003D565F" w:rsidRPr="0067297E">
        <w:rPr>
          <w:rFonts w:asciiTheme="minorHAnsi" w:hAnsiTheme="minorHAnsi" w:cs="Calibri"/>
        </w:rPr>
        <w:t xml:space="preserve">lower quartile, </w:t>
      </w:r>
      <w:r w:rsidR="00680561" w:rsidRPr="0067297E">
        <w:rPr>
          <w:rFonts w:asciiTheme="minorHAnsi" w:hAnsiTheme="minorHAnsi" w:cs="Calibri"/>
        </w:rPr>
        <w:t xml:space="preserve">median </w:t>
      </w:r>
      <w:r w:rsidR="003D565F" w:rsidRPr="0067297E">
        <w:rPr>
          <w:rFonts w:asciiTheme="minorHAnsi" w:hAnsiTheme="minorHAnsi" w:cs="Calibri"/>
        </w:rPr>
        <w:t xml:space="preserve">and average </w:t>
      </w:r>
      <w:r w:rsidR="00680561" w:rsidRPr="0067297E">
        <w:rPr>
          <w:rFonts w:asciiTheme="minorHAnsi" w:hAnsiTheme="minorHAnsi" w:cs="Calibri"/>
        </w:rPr>
        <w:t xml:space="preserve">house prices across </w:t>
      </w:r>
      <w:r w:rsidR="00755CA9" w:rsidRPr="0067297E">
        <w:rPr>
          <w:rFonts w:asciiTheme="minorHAnsi" w:hAnsiTheme="minorHAnsi" w:cs="Calibri"/>
        </w:rPr>
        <w:t xml:space="preserve">the </w:t>
      </w:r>
      <w:r w:rsidR="00E93769" w:rsidRPr="0067297E">
        <w:rPr>
          <w:rFonts w:asciiTheme="minorHAnsi" w:hAnsiTheme="minorHAnsi" w:cs="Calibri"/>
          <w:lang w:val="en-GB"/>
        </w:rPr>
        <w:t>borough</w:t>
      </w:r>
      <w:r w:rsidR="00680561" w:rsidRPr="0067297E">
        <w:rPr>
          <w:rFonts w:asciiTheme="minorHAnsi" w:hAnsiTheme="minorHAnsi" w:cs="Calibri"/>
        </w:rPr>
        <w:t xml:space="preserve"> increased dramatically</w:t>
      </w:r>
      <w:r w:rsidR="00033747" w:rsidRPr="0067297E">
        <w:rPr>
          <w:rFonts w:asciiTheme="minorHAnsi" w:hAnsiTheme="minorHAnsi" w:cs="Calibri"/>
          <w:lang w:val="en-GB"/>
        </w:rPr>
        <w:t xml:space="preserve">. </w:t>
      </w:r>
      <w:r w:rsidR="007936A8" w:rsidRPr="0067297E">
        <w:rPr>
          <w:rFonts w:asciiTheme="minorHAnsi" w:hAnsiTheme="minorHAnsi" w:cs="Calibri"/>
        </w:rPr>
        <w:t>In</w:t>
      </w:r>
      <w:r w:rsidR="00680561" w:rsidRPr="0067297E">
        <w:rPr>
          <w:rFonts w:asciiTheme="minorHAnsi" w:hAnsiTheme="minorHAnsi" w:cs="Calibri"/>
        </w:rPr>
        <w:t xml:space="preserve"> </w:t>
      </w:r>
      <w:r w:rsidR="00E07FE1" w:rsidRPr="0067297E">
        <w:rPr>
          <w:rFonts w:asciiTheme="minorHAnsi" w:hAnsiTheme="minorHAnsi" w:cs="Calibri"/>
          <w:lang w:val="en-GB"/>
        </w:rPr>
        <w:t xml:space="preserve">the year </w:t>
      </w:r>
      <w:r w:rsidR="00680561" w:rsidRPr="0067297E">
        <w:rPr>
          <w:rFonts w:asciiTheme="minorHAnsi" w:hAnsiTheme="minorHAnsi" w:cs="Calibri"/>
        </w:rPr>
        <w:t>2000, a household income of £</w:t>
      </w:r>
      <w:r w:rsidR="00531BD6" w:rsidRPr="0067297E">
        <w:rPr>
          <w:rFonts w:asciiTheme="minorHAnsi" w:hAnsiTheme="minorHAnsi" w:cs="Calibri"/>
          <w:lang w:val="en-GB"/>
        </w:rPr>
        <w:t>19,</w:t>
      </w:r>
      <w:r w:rsidR="00BC6D95" w:rsidRPr="0067297E">
        <w:rPr>
          <w:rFonts w:asciiTheme="minorHAnsi" w:hAnsiTheme="minorHAnsi" w:cs="Calibri"/>
          <w:lang w:val="en-GB"/>
        </w:rPr>
        <w:t>543</w:t>
      </w:r>
      <w:r w:rsidR="006D7C96" w:rsidRPr="0067297E">
        <w:rPr>
          <w:rFonts w:asciiTheme="minorHAnsi" w:hAnsiTheme="minorHAnsi" w:cs="Calibri"/>
          <w:lang w:val="en-GB"/>
        </w:rPr>
        <w:t xml:space="preserve"> </w:t>
      </w:r>
      <w:r w:rsidR="00680561" w:rsidRPr="0067297E">
        <w:rPr>
          <w:rFonts w:asciiTheme="minorHAnsi" w:hAnsiTheme="minorHAnsi" w:cs="Calibri"/>
        </w:rPr>
        <w:t>was required for a lower quartile price to be affordable; by 201</w:t>
      </w:r>
      <w:r w:rsidR="00070E86" w:rsidRPr="0067297E">
        <w:rPr>
          <w:rFonts w:asciiTheme="minorHAnsi" w:hAnsiTheme="minorHAnsi" w:cs="Calibri"/>
          <w:lang w:val="en-GB"/>
        </w:rPr>
        <w:t>8</w:t>
      </w:r>
      <w:r w:rsidR="00680561" w:rsidRPr="0067297E">
        <w:rPr>
          <w:rFonts w:asciiTheme="minorHAnsi" w:hAnsiTheme="minorHAnsi" w:cs="Calibri"/>
        </w:rPr>
        <w:t xml:space="preserve"> this had increased</w:t>
      </w:r>
      <w:r w:rsidR="007936A8" w:rsidRPr="0067297E">
        <w:rPr>
          <w:rFonts w:asciiTheme="minorHAnsi" w:hAnsiTheme="minorHAnsi" w:cs="Calibri"/>
        </w:rPr>
        <w:t xml:space="preserve"> dramatically</w:t>
      </w:r>
      <w:r w:rsidR="00680561" w:rsidRPr="0067297E">
        <w:rPr>
          <w:rFonts w:asciiTheme="minorHAnsi" w:hAnsiTheme="minorHAnsi" w:cs="Calibri"/>
        </w:rPr>
        <w:t xml:space="preserve"> to £</w:t>
      </w:r>
      <w:r w:rsidR="00531BD6" w:rsidRPr="0067297E">
        <w:rPr>
          <w:rFonts w:asciiTheme="minorHAnsi" w:hAnsiTheme="minorHAnsi" w:cs="Calibri"/>
          <w:lang w:val="en-GB"/>
        </w:rPr>
        <w:t>82,286</w:t>
      </w:r>
      <w:r w:rsidR="00680561" w:rsidRPr="0067297E">
        <w:rPr>
          <w:rFonts w:asciiTheme="minorHAnsi" w:hAnsiTheme="minorHAnsi" w:cs="Calibri"/>
        </w:rPr>
        <w:t>. In comparison, an income of £</w:t>
      </w:r>
      <w:r w:rsidR="00531BD6" w:rsidRPr="0067297E">
        <w:rPr>
          <w:rFonts w:asciiTheme="minorHAnsi" w:hAnsiTheme="minorHAnsi" w:cs="Calibri"/>
          <w:lang w:val="en-GB"/>
        </w:rPr>
        <w:t>25,713</w:t>
      </w:r>
      <w:r w:rsidR="00680561" w:rsidRPr="0067297E">
        <w:rPr>
          <w:rFonts w:asciiTheme="minorHAnsi" w:hAnsiTheme="minorHAnsi" w:cs="Calibri"/>
        </w:rPr>
        <w:t xml:space="preserve"> was required for a median priced property to be affordable in 2000 compared with £</w:t>
      </w:r>
      <w:r w:rsidR="00070E86" w:rsidRPr="0067297E">
        <w:rPr>
          <w:rFonts w:asciiTheme="minorHAnsi" w:hAnsiTheme="minorHAnsi" w:cs="Calibri"/>
          <w:lang w:val="en-GB"/>
        </w:rPr>
        <w:t>106,007</w:t>
      </w:r>
      <w:r w:rsidR="00680561" w:rsidRPr="0067297E">
        <w:rPr>
          <w:rFonts w:asciiTheme="minorHAnsi" w:hAnsiTheme="minorHAnsi" w:cs="Calibri"/>
        </w:rPr>
        <w:t xml:space="preserve"> in 201</w:t>
      </w:r>
      <w:r w:rsidR="00070E86" w:rsidRPr="0067297E">
        <w:rPr>
          <w:rFonts w:asciiTheme="minorHAnsi" w:hAnsiTheme="minorHAnsi" w:cs="Calibri"/>
          <w:lang w:val="en-GB"/>
        </w:rPr>
        <w:t>8</w:t>
      </w:r>
      <w:r w:rsidR="00680561" w:rsidRPr="0067297E">
        <w:rPr>
          <w:rFonts w:asciiTheme="minorHAnsi" w:hAnsiTheme="minorHAnsi" w:cs="Calibri"/>
        </w:rPr>
        <w:t>.</w:t>
      </w:r>
      <w:r w:rsidR="003D565F" w:rsidRPr="0067297E">
        <w:rPr>
          <w:rFonts w:asciiTheme="minorHAnsi" w:hAnsiTheme="minorHAnsi" w:cs="Calibri"/>
        </w:rPr>
        <w:t xml:space="preserve"> </w:t>
      </w:r>
    </w:p>
    <w:p w14:paraId="707F4A53" w14:textId="77777777" w:rsidR="00F6633F" w:rsidRPr="0067297E" w:rsidRDefault="00F6633F" w:rsidP="00543A76">
      <w:pPr>
        <w:pStyle w:val="Reporttext"/>
        <w:rPr>
          <w:rFonts w:asciiTheme="minorHAnsi" w:hAnsiTheme="minorHAnsi"/>
        </w:rPr>
      </w:pPr>
      <w:r w:rsidRPr="0067297E">
        <w:rPr>
          <w:rFonts w:asciiTheme="minorHAnsi" w:hAnsiTheme="minorHAnsi"/>
        </w:rPr>
        <w:t xml:space="preserve">A range of socio-economic and demographic information on </w:t>
      </w:r>
      <w:r w:rsidR="00E93769" w:rsidRPr="0067297E">
        <w:rPr>
          <w:rFonts w:asciiTheme="minorHAnsi" w:hAnsiTheme="minorHAnsi"/>
        </w:rPr>
        <w:t xml:space="preserve">borough </w:t>
      </w:r>
      <w:r w:rsidRPr="0067297E">
        <w:rPr>
          <w:rFonts w:asciiTheme="minorHAnsi" w:hAnsiTheme="minorHAnsi"/>
        </w:rPr>
        <w:t>residents has been obtained from the 2011 Census. Some interesting observations relating to owner-occupiers include:</w:t>
      </w:r>
    </w:p>
    <w:p w14:paraId="5E533E0C" w14:textId="10C99B37" w:rsidR="00F6633F" w:rsidRPr="00DD5741" w:rsidRDefault="00F6633F" w:rsidP="00543A76">
      <w:pPr>
        <w:pStyle w:val="bullet"/>
        <w:rPr>
          <w:rFonts w:asciiTheme="minorHAnsi" w:hAnsiTheme="minorHAnsi"/>
        </w:rPr>
      </w:pPr>
      <w:r w:rsidRPr="00DD5741">
        <w:rPr>
          <w:rFonts w:asciiTheme="minorHAnsi" w:hAnsiTheme="minorHAnsi"/>
        </w:rPr>
        <w:t xml:space="preserve">In terms of household type, </w:t>
      </w:r>
      <w:r w:rsidR="004F33A5" w:rsidRPr="009F28F8">
        <w:rPr>
          <w:rFonts w:asciiTheme="minorHAnsi" w:hAnsiTheme="minorHAnsi"/>
        </w:rPr>
        <w:t>14.0</w:t>
      </w:r>
      <w:r w:rsidRPr="009F28F8">
        <w:rPr>
          <w:rFonts w:asciiTheme="minorHAnsi" w:hAnsiTheme="minorHAnsi"/>
        </w:rPr>
        <w:t>% of owner occupiers are older (65 or</w:t>
      </w:r>
      <w:r w:rsidR="004F33A5" w:rsidRPr="009F28F8">
        <w:rPr>
          <w:rFonts w:asciiTheme="minorHAnsi" w:hAnsiTheme="minorHAnsi"/>
        </w:rPr>
        <w:t xml:space="preserve"> over) singles and couples</w:t>
      </w:r>
      <w:r w:rsidR="004F33A5" w:rsidRPr="00DD5741">
        <w:rPr>
          <w:rFonts w:asciiTheme="minorHAnsi" w:hAnsiTheme="minorHAnsi"/>
        </w:rPr>
        <w:t>, 16.5</w:t>
      </w:r>
      <w:r w:rsidRPr="00DD5741">
        <w:rPr>
          <w:rFonts w:asciiTheme="minorHAnsi" w:hAnsiTheme="minorHAnsi"/>
        </w:rPr>
        <w:t>% are couples (</w:t>
      </w:r>
      <w:r w:rsidR="004F33A5" w:rsidRPr="00DD5741">
        <w:rPr>
          <w:rFonts w:asciiTheme="minorHAnsi" w:hAnsiTheme="minorHAnsi"/>
        </w:rPr>
        <w:t>under 65 with no children), 20</w:t>
      </w:r>
      <w:r w:rsidRPr="00DD5741">
        <w:rPr>
          <w:rFonts w:asciiTheme="minorHAnsi" w:hAnsiTheme="minorHAnsi"/>
        </w:rPr>
        <w:t>% are coup</w:t>
      </w:r>
      <w:r w:rsidR="004F33A5" w:rsidRPr="00DD5741">
        <w:rPr>
          <w:rFonts w:asciiTheme="minorHAnsi" w:hAnsiTheme="minorHAnsi"/>
        </w:rPr>
        <w:t xml:space="preserve">les with children under 18, </w:t>
      </w:r>
      <w:r w:rsidR="00C57B08" w:rsidRPr="00DD5741">
        <w:rPr>
          <w:rFonts w:asciiTheme="minorHAnsi" w:hAnsiTheme="minorHAnsi"/>
        </w:rPr>
        <w:t>6.4% are couples with non-</w:t>
      </w:r>
      <w:r w:rsidR="005B2517" w:rsidRPr="00DD5741">
        <w:rPr>
          <w:rFonts w:asciiTheme="minorHAnsi" w:hAnsiTheme="minorHAnsi"/>
        </w:rPr>
        <w:t>dependent</w:t>
      </w:r>
      <w:r w:rsidR="00C57B08" w:rsidRPr="00DD5741">
        <w:rPr>
          <w:rFonts w:asciiTheme="minorHAnsi" w:hAnsiTheme="minorHAnsi"/>
        </w:rPr>
        <w:t xml:space="preserve"> children, </w:t>
      </w:r>
      <w:r w:rsidR="004F33A5" w:rsidRPr="00DD5741">
        <w:rPr>
          <w:rFonts w:asciiTheme="minorHAnsi" w:hAnsiTheme="minorHAnsi"/>
        </w:rPr>
        <w:t>22.4% are singles (under 65), 4.9</w:t>
      </w:r>
      <w:r w:rsidRPr="00DD5741">
        <w:rPr>
          <w:rFonts w:asciiTheme="minorHAnsi" w:hAnsiTheme="minorHAnsi"/>
        </w:rPr>
        <w:t xml:space="preserve">% are lone </w:t>
      </w:r>
      <w:r w:rsidR="004F33A5" w:rsidRPr="00DD5741">
        <w:rPr>
          <w:rFonts w:asciiTheme="minorHAnsi" w:hAnsiTheme="minorHAnsi"/>
        </w:rPr>
        <w:t>parents with adult children, 4.5</w:t>
      </w:r>
      <w:r w:rsidRPr="00DD5741">
        <w:rPr>
          <w:rFonts w:asciiTheme="minorHAnsi" w:hAnsiTheme="minorHAnsi"/>
        </w:rPr>
        <w:t>% are lone parent</w:t>
      </w:r>
      <w:r w:rsidR="00C57B08" w:rsidRPr="00DD5741">
        <w:rPr>
          <w:rFonts w:asciiTheme="minorHAnsi" w:hAnsiTheme="minorHAnsi"/>
        </w:rPr>
        <w:t>s with children under 18 and 11.2</w:t>
      </w:r>
      <w:r w:rsidRPr="00DD5741">
        <w:rPr>
          <w:rFonts w:asciiTheme="minorHAnsi" w:hAnsiTheme="minorHAnsi"/>
        </w:rPr>
        <w:t>% are other household types;</w:t>
      </w:r>
    </w:p>
    <w:p w14:paraId="3A8041C7" w14:textId="1F57B224" w:rsidR="00F6633F" w:rsidRPr="0067297E" w:rsidRDefault="00C57B08" w:rsidP="00543A76">
      <w:pPr>
        <w:pStyle w:val="bullet"/>
        <w:rPr>
          <w:rFonts w:asciiTheme="minorHAnsi" w:hAnsiTheme="minorHAnsi"/>
        </w:rPr>
      </w:pPr>
      <w:r w:rsidRPr="0067297E">
        <w:rPr>
          <w:rFonts w:asciiTheme="minorHAnsi" w:hAnsiTheme="minorHAnsi"/>
        </w:rPr>
        <w:t>77.3</w:t>
      </w:r>
      <w:r w:rsidR="00F6633F" w:rsidRPr="0067297E">
        <w:rPr>
          <w:rFonts w:asciiTheme="minorHAnsi" w:hAnsiTheme="minorHAnsi"/>
        </w:rPr>
        <w:t xml:space="preserve">% of Household Reference People (Heads of Household) living in owner occupied dwellings are </w:t>
      </w:r>
      <w:r w:rsidRPr="0067297E">
        <w:rPr>
          <w:rFonts w:asciiTheme="minorHAnsi" w:hAnsiTheme="minorHAnsi"/>
        </w:rPr>
        <w:t>in employment and a further 17.9</w:t>
      </w:r>
      <w:r w:rsidR="00F6633F" w:rsidRPr="0067297E">
        <w:rPr>
          <w:rFonts w:asciiTheme="minorHAnsi" w:hAnsiTheme="minorHAnsi"/>
        </w:rPr>
        <w:t>% are wholly retired from work</w:t>
      </w:r>
    </w:p>
    <w:p w14:paraId="65684CF4" w14:textId="6E26DC66" w:rsidR="00F6633F" w:rsidRPr="0067297E" w:rsidRDefault="00C57B08" w:rsidP="00543A76">
      <w:pPr>
        <w:pStyle w:val="Reporttext"/>
        <w:rPr>
          <w:rFonts w:asciiTheme="minorHAnsi" w:hAnsiTheme="minorHAnsi" w:cs="Calibri"/>
        </w:rPr>
      </w:pPr>
      <w:r w:rsidRPr="009F28F8">
        <w:rPr>
          <w:rFonts w:asciiTheme="minorHAnsi" w:hAnsiTheme="minorHAnsi"/>
        </w:rPr>
        <w:t>19</w:t>
      </w:r>
      <w:r w:rsidR="00DD5741" w:rsidRPr="009F28F8">
        <w:rPr>
          <w:rFonts w:asciiTheme="minorHAnsi" w:hAnsiTheme="minorHAnsi"/>
          <w:lang w:val="en-US"/>
        </w:rPr>
        <w:t>.4</w:t>
      </w:r>
      <w:r w:rsidR="00F6633F" w:rsidRPr="009F28F8">
        <w:rPr>
          <w:rFonts w:asciiTheme="minorHAnsi" w:hAnsiTheme="minorHAnsi"/>
        </w:rPr>
        <w:t>% of households in owner o</w:t>
      </w:r>
      <w:r w:rsidRPr="009F28F8">
        <w:rPr>
          <w:rFonts w:asciiTheme="minorHAnsi" w:hAnsiTheme="minorHAnsi"/>
        </w:rPr>
        <w:t>ccupation are aged over 65</w:t>
      </w:r>
      <w:r w:rsidRPr="0067297E">
        <w:rPr>
          <w:rFonts w:asciiTheme="minorHAnsi" w:hAnsiTheme="minorHAnsi"/>
        </w:rPr>
        <w:t>. 80.6% are aged under 65, with 28.1</w:t>
      </w:r>
      <w:r w:rsidR="00F6633F" w:rsidRPr="0067297E">
        <w:rPr>
          <w:rFonts w:asciiTheme="minorHAnsi" w:hAnsiTheme="minorHAnsi"/>
        </w:rPr>
        <w:t>% being betwee</w:t>
      </w:r>
      <w:r w:rsidRPr="0067297E">
        <w:rPr>
          <w:rFonts w:asciiTheme="minorHAnsi" w:hAnsiTheme="minorHAnsi"/>
        </w:rPr>
        <w:t>n the ages of 50 and 64 and 38.5</w:t>
      </w:r>
      <w:r w:rsidR="00F6633F" w:rsidRPr="0067297E">
        <w:rPr>
          <w:rFonts w:asciiTheme="minorHAnsi" w:hAnsiTheme="minorHAnsi"/>
        </w:rPr>
        <w:t>% aged between 35 and 49.</w:t>
      </w:r>
      <w:r w:rsidRPr="0067297E">
        <w:rPr>
          <w:rFonts w:asciiTheme="minorHAnsi" w:hAnsiTheme="minorHAnsi"/>
        </w:rPr>
        <w:t xml:space="preserve"> Only 14% of owner occupiers were aged under 35.</w:t>
      </w:r>
    </w:p>
    <w:p w14:paraId="6D5D086D" w14:textId="4A60FE0C" w:rsidR="00706C9B" w:rsidRPr="0067297E" w:rsidRDefault="00252436" w:rsidP="000256AC">
      <w:pPr>
        <w:pStyle w:val="Reporttext"/>
        <w:rPr>
          <w:rFonts w:asciiTheme="minorHAnsi" w:hAnsiTheme="minorHAnsi" w:cs="Calibri"/>
        </w:rPr>
      </w:pPr>
      <w:r w:rsidRPr="0067297E">
        <w:rPr>
          <w:rFonts w:asciiTheme="minorHAnsi" w:hAnsiTheme="minorHAnsi" w:cs="Calibri"/>
          <w:lang w:val="en-GB"/>
        </w:rPr>
        <w:t xml:space="preserve">The online survey of stakeholders (set out in full in Appendix </w:t>
      </w:r>
      <w:r w:rsidR="00BC6D95" w:rsidRPr="0067297E">
        <w:rPr>
          <w:rFonts w:asciiTheme="minorHAnsi" w:hAnsiTheme="minorHAnsi" w:cs="Calibri"/>
          <w:lang w:val="en-GB"/>
        </w:rPr>
        <w:t>C</w:t>
      </w:r>
      <w:r w:rsidRPr="0067297E">
        <w:rPr>
          <w:rFonts w:asciiTheme="minorHAnsi" w:hAnsiTheme="minorHAnsi" w:cs="Calibri"/>
          <w:lang w:val="en-GB"/>
        </w:rPr>
        <w:t>) found that high house prices are a key fact</w:t>
      </w:r>
      <w:r w:rsidR="00E93769" w:rsidRPr="0067297E">
        <w:rPr>
          <w:rFonts w:asciiTheme="minorHAnsi" w:hAnsiTheme="minorHAnsi" w:cs="Calibri"/>
          <w:lang w:val="en-GB"/>
        </w:rPr>
        <w:t xml:space="preserve">or into why people employed in the Borough of Lewisham </w:t>
      </w:r>
      <w:r w:rsidRPr="0067297E">
        <w:rPr>
          <w:rFonts w:asciiTheme="minorHAnsi" w:hAnsiTheme="minorHAnsi" w:cs="Calibri"/>
          <w:lang w:val="en-GB"/>
        </w:rPr>
        <w:t>commute</w:t>
      </w:r>
      <w:r w:rsidR="00E93769" w:rsidRPr="0067297E">
        <w:rPr>
          <w:rFonts w:asciiTheme="minorHAnsi" w:hAnsiTheme="minorHAnsi" w:cs="Calibri"/>
          <w:lang w:val="en-GB"/>
        </w:rPr>
        <w:t xml:space="preserve"> in from other boroughs. High demand for</w:t>
      </w:r>
      <w:r w:rsidRPr="0067297E">
        <w:rPr>
          <w:rFonts w:asciiTheme="minorHAnsi" w:hAnsiTheme="minorHAnsi" w:cs="Calibri"/>
          <w:lang w:val="en-GB"/>
        </w:rPr>
        <w:t xml:space="preserve"> open market housing was particularly </w:t>
      </w:r>
      <w:r w:rsidR="00E93769" w:rsidRPr="0067297E">
        <w:rPr>
          <w:rFonts w:asciiTheme="minorHAnsi" w:hAnsiTheme="minorHAnsi" w:cs="Calibri"/>
          <w:lang w:val="en-GB"/>
        </w:rPr>
        <w:t>identified in the north of the b</w:t>
      </w:r>
      <w:r w:rsidRPr="0067297E">
        <w:rPr>
          <w:rFonts w:asciiTheme="minorHAnsi" w:hAnsiTheme="minorHAnsi" w:cs="Calibri"/>
          <w:lang w:val="en-GB"/>
        </w:rPr>
        <w:t>orough, including New Cross and Deptford, and also close to railways stations. It was considered that parts of south Lewisham are not so</w:t>
      </w:r>
      <w:r w:rsidR="00293AA7" w:rsidRPr="0067297E">
        <w:rPr>
          <w:rFonts w:asciiTheme="minorHAnsi" w:hAnsiTheme="minorHAnsi" w:cs="Calibri"/>
          <w:lang w:val="en-GB"/>
        </w:rPr>
        <w:t xml:space="preserve"> well served by transport links and proximity to main employment centres; hence slightly lower demand. Houses were noted as being particularly popular amongst buyers, with the trends towards high density developments of flats/apartments potentially driving away households who would prefer traditional houses.</w:t>
      </w:r>
    </w:p>
    <w:p w14:paraId="25192AFF" w14:textId="77777777" w:rsidR="008D04A5" w:rsidRPr="0067297E" w:rsidRDefault="008D04A5" w:rsidP="000256AC">
      <w:pPr>
        <w:pStyle w:val="Reporttext"/>
        <w:rPr>
          <w:rFonts w:asciiTheme="minorHAnsi" w:hAnsiTheme="minorHAnsi" w:cs="Calibri"/>
        </w:rPr>
      </w:pPr>
      <w:r w:rsidRPr="0067297E">
        <w:rPr>
          <w:rFonts w:asciiTheme="minorHAnsi" w:hAnsiTheme="minorHAnsi" w:cs="Calibri"/>
        </w:rPr>
        <w:t xml:space="preserve">A mixed demand </w:t>
      </w:r>
      <w:r w:rsidRPr="0067297E">
        <w:rPr>
          <w:rFonts w:asciiTheme="minorHAnsi" w:hAnsiTheme="minorHAnsi" w:cs="Calibri"/>
          <w:lang w:val="en-GB"/>
        </w:rPr>
        <w:t xml:space="preserve">demographic </w:t>
      </w:r>
      <w:r w:rsidRPr="0067297E">
        <w:rPr>
          <w:rFonts w:asciiTheme="minorHAnsi" w:hAnsiTheme="minorHAnsi" w:cs="Calibri"/>
        </w:rPr>
        <w:t>was reported</w:t>
      </w:r>
      <w:r w:rsidRPr="0067297E">
        <w:rPr>
          <w:rFonts w:asciiTheme="minorHAnsi" w:hAnsiTheme="minorHAnsi" w:cs="Calibri"/>
          <w:lang w:val="en-GB"/>
        </w:rPr>
        <w:t xml:space="preserve"> by stakeholders</w:t>
      </w:r>
      <w:r w:rsidRPr="0067297E">
        <w:rPr>
          <w:rFonts w:asciiTheme="minorHAnsi" w:hAnsiTheme="minorHAnsi" w:cs="Calibri"/>
        </w:rPr>
        <w:t xml:space="preserve">, including new families looking for houses and single people looking for flats. In-migration was mentioned, with </w:t>
      </w:r>
      <w:r w:rsidR="00E93769" w:rsidRPr="0067297E">
        <w:rPr>
          <w:rFonts w:asciiTheme="minorHAnsi" w:hAnsiTheme="minorHAnsi" w:cs="Calibri"/>
        </w:rPr>
        <w:t>new households moving into the b</w:t>
      </w:r>
      <w:r w:rsidRPr="0067297E">
        <w:rPr>
          <w:rFonts w:asciiTheme="minorHAnsi" w:hAnsiTheme="minorHAnsi" w:cs="Calibri"/>
        </w:rPr>
        <w:t xml:space="preserve">orough from elsewhere and driving </w:t>
      </w:r>
      <w:r w:rsidRPr="0067297E">
        <w:rPr>
          <w:rFonts w:asciiTheme="minorHAnsi" w:hAnsiTheme="minorHAnsi" w:cs="Calibri"/>
          <w:lang w:val="en-GB"/>
        </w:rPr>
        <w:t xml:space="preserve">up </w:t>
      </w:r>
      <w:r w:rsidRPr="0067297E">
        <w:rPr>
          <w:rFonts w:asciiTheme="minorHAnsi" w:hAnsiTheme="minorHAnsi" w:cs="Calibri"/>
        </w:rPr>
        <w:t>demand. However, homelessness was also highlighted</w:t>
      </w:r>
      <w:r w:rsidRPr="0067297E">
        <w:rPr>
          <w:rFonts w:asciiTheme="minorHAnsi" w:hAnsiTheme="minorHAnsi" w:cs="Calibri"/>
          <w:lang w:val="en-GB"/>
        </w:rPr>
        <w:t xml:space="preserve">, with one stakeholder expressing </w:t>
      </w:r>
      <w:r w:rsidRPr="0067297E">
        <w:rPr>
          <w:rFonts w:asciiTheme="minorHAnsi" w:hAnsiTheme="minorHAnsi" w:cs="Calibri"/>
        </w:rPr>
        <w:t>the view that the gentrification of the area is driving poorer families to homelessness.</w:t>
      </w:r>
    </w:p>
    <w:p w14:paraId="5193339B" w14:textId="541FB770" w:rsidR="008D04A5" w:rsidRPr="0067297E" w:rsidRDefault="008D04A5" w:rsidP="006C722F">
      <w:pPr>
        <w:pStyle w:val="Reporttext"/>
        <w:rPr>
          <w:rFonts w:asciiTheme="minorHAnsi" w:hAnsiTheme="minorHAnsi" w:cs="Calibri"/>
        </w:rPr>
      </w:pPr>
      <w:r w:rsidRPr="0067297E">
        <w:rPr>
          <w:rFonts w:asciiTheme="minorHAnsi" w:hAnsiTheme="minorHAnsi" w:cs="Calibri"/>
        </w:rPr>
        <w:t xml:space="preserve">Stakeholders were asked for their views on house price and rental price trends in </w:t>
      </w:r>
      <w:r w:rsidRPr="0067297E">
        <w:rPr>
          <w:rFonts w:asciiTheme="minorHAnsi" w:hAnsiTheme="minorHAnsi" w:cs="Calibri"/>
          <w:lang w:val="en-GB"/>
        </w:rPr>
        <w:t xml:space="preserve">the </w:t>
      </w:r>
      <w:r w:rsidR="00E93769" w:rsidRPr="0067297E">
        <w:rPr>
          <w:rFonts w:asciiTheme="minorHAnsi" w:hAnsiTheme="minorHAnsi" w:cs="Calibri"/>
          <w:lang w:val="en-GB"/>
        </w:rPr>
        <w:t>borough</w:t>
      </w:r>
      <w:r w:rsidRPr="0067297E">
        <w:rPr>
          <w:rFonts w:asciiTheme="minorHAnsi" w:hAnsiTheme="minorHAnsi" w:cs="Calibri"/>
        </w:rPr>
        <w:t>. Increasing house prices in Brockley, Forest Hill, Hither Green, Sydenham and New Cross were mentioned, wi</w:t>
      </w:r>
      <w:r w:rsidR="00BC6D95" w:rsidRPr="0067297E">
        <w:rPr>
          <w:rFonts w:asciiTheme="minorHAnsi" w:hAnsiTheme="minorHAnsi" w:cs="Calibri"/>
          <w:lang w:val="en-GB"/>
        </w:rPr>
        <w:t>th</w:t>
      </w:r>
      <w:r w:rsidRPr="0067297E">
        <w:rPr>
          <w:rFonts w:asciiTheme="minorHAnsi" w:hAnsiTheme="minorHAnsi" w:cs="Calibri"/>
        </w:rPr>
        <w:t xml:space="preserve"> a knock-on effect on other areas. Some stakeholders felt that prices have </w:t>
      </w:r>
      <w:r w:rsidRPr="0067297E">
        <w:rPr>
          <w:rFonts w:asciiTheme="minorHAnsi" w:hAnsiTheme="minorHAnsi" w:cs="Calibri"/>
          <w:lang w:val="en-GB"/>
        </w:rPr>
        <w:t xml:space="preserve">now </w:t>
      </w:r>
      <w:r w:rsidRPr="0067297E">
        <w:rPr>
          <w:rFonts w:asciiTheme="minorHAnsi" w:hAnsiTheme="minorHAnsi" w:cs="Calibri"/>
        </w:rPr>
        <w:t xml:space="preserve">stabilised, </w:t>
      </w:r>
      <w:r w:rsidRPr="0067297E">
        <w:rPr>
          <w:rFonts w:asciiTheme="minorHAnsi" w:hAnsiTheme="minorHAnsi" w:cs="Calibri"/>
          <w:lang w:val="en-GB"/>
        </w:rPr>
        <w:t>part of</w:t>
      </w:r>
      <w:r w:rsidRPr="0067297E">
        <w:rPr>
          <w:rFonts w:asciiTheme="minorHAnsi" w:hAnsiTheme="minorHAnsi" w:cs="Calibri"/>
        </w:rPr>
        <w:t xml:space="preserve"> a general downward trend across London </w:t>
      </w:r>
      <w:r w:rsidRPr="0067297E">
        <w:rPr>
          <w:rFonts w:asciiTheme="minorHAnsi" w:hAnsiTheme="minorHAnsi" w:cs="Calibri"/>
          <w:lang w:val="en-GB"/>
        </w:rPr>
        <w:t>impacted</w:t>
      </w:r>
      <w:r w:rsidRPr="0067297E">
        <w:rPr>
          <w:rFonts w:asciiTheme="minorHAnsi" w:hAnsiTheme="minorHAnsi" w:cs="Calibri"/>
        </w:rPr>
        <w:t xml:space="preserve"> by interest rates, availability of mortgage finance and the size of </w:t>
      </w:r>
      <w:r w:rsidR="005B2517" w:rsidRPr="0067297E">
        <w:rPr>
          <w:rFonts w:asciiTheme="minorHAnsi" w:hAnsiTheme="minorHAnsi" w:cs="Calibri"/>
          <w:lang w:val="en-GB"/>
        </w:rPr>
        <w:t>deposits which</w:t>
      </w:r>
      <w:r w:rsidR="003B05BC" w:rsidRPr="0067297E">
        <w:rPr>
          <w:rFonts w:asciiTheme="minorHAnsi" w:hAnsiTheme="minorHAnsi" w:cs="Calibri"/>
          <w:lang w:val="en-GB"/>
        </w:rPr>
        <w:t xml:space="preserve"> has the potential to improve the relative </w:t>
      </w:r>
      <w:r w:rsidR="005B2517" w:rsidRPr="0067297E">
        <w:rPr>
          <w:rFonts w:asciiTheme="minorHAnsi" w:hAnsiTheme="minorHAnsi" w:cs="Calibri"/>
          <w:lang w:val="en-GB"/>
        </w:rPr>
        <w:t>affordability</w:t>
      </w:r>
      <w:r w:rsidR="003B05BC" w:rsidRPr="0067297E">
        <w:rPr>
          <w:rFonts w:asciiTheme="minorHAnsi" w:hAnsiTheme="minorHAnsi" w:cs="Calibri"/>
          <w:lang w:val="en-GB"/>
        </w:rPr>
        <w:t xml:space="preserve"> of prices</w:t>
      </w:r>
      <w:r w:rsidRPr="0067297E">
        <w:rPr>
          <w:rFonts w:asciiTheme="minorHAnsi" w:hAnsiTheme="minorHAnsi" w:cs="Calibri"/>
        </w:rPr>
        <w:t>. Affordability tests from lenders are</w:t>
      </w:r>
      <w:r w:rsidRPr="0067297E">
        <w:rPr>
          <w:rFonts w:asciiTheme="minorHAnsi" w:hAnsiTheme="minorHAnsi" w:cs="Calibri"/>
          <w:lang w:val="en-GB"/>
        </w:rPr>
        <w:t xml:space="preserve"> also</w:t>
      </w:r>
      <w:r w:rsidRPr="0067297E">
        <w:rPr>
          <w:rFonts w:asciiTheme="minorHAnsi" w:hAnsiTheme="minorHAnsi" w:cs="Calibri"/>
        </w:rPr>
        <w:t xml:space="preserve"> considered to have softened demand slightly, but supply shortfalls </w:t>
      </w:r>
      <w:r w:rsidRPr="0067297E">
        <w:rPr>
          <w:rFonts w:asciiTheme="minorHAnsi" w:hAnsiTheme="minorHAnsi" w:cs="Calibri"/>
          <w:lang w:val="en-GB"/>
        </w:rPr>
        <w:t>were considered to have</w:t>
      </w:r>
      <w:r w:rsidRPr="0067297E">
        <w:rPr>
          <w:rFonts w:asciiTheme="minorHAnsi" w:hAnsiTheme="minorHAnsi" w:cs="Calibri"/>
        </w:rPr>
        <w:t xml:space="preserve"> outweighed this impacting </w:t>
      </w:r>
      <w:r w:rsidRPr="0067297E">
        <w:rPr>
          <w:rFonts w:asciiTheme="minorHAnsi" w:hAnsiTheme="minorHAnsi" w:cs="Calibri"/>
          <w:lang w:val="en-GB"/>
        </w:rPr>
        <w:t xml:space="preserve">much </w:t>
      </w:r>
      <w:r w:rsidRPr="0067297E">
        <w:rPr>
          <w:rFonts w:asciiTheme="minorHAnsi" w:hAnsiTheme="minorHAnsi" w:cs="Calibri"/>
        </w:rPr>
        <w:t xml:space="preserve">on prices. </w:t>
      </w:r>
      <w:r w:rsidRPr="0067297E">
        <w:rPr>
          <w:rFonts w:asciiTheme="minorHAnsi" w:hAnsiTheme="minorHAnsi" w:cs="Calibri"/>
          <w:lang w:val="en-GB"/>
        </w:rPr>
        <w:t xml:space="preserve">Respondents felt that </w:t>
      </w:r>
      <w:r w:rsidR="00592CB2" w:rsidRPr="0067297E">
        <w:rPr>
          <w:rFonts w:asciiTheme="minorHAnsi" w:hAnsiTheme="minorHAnsi" w:cs="Calibri"/>
        </w:rPr>
        <w:t>uncertain</w:t>
      </w:r>
      <w:r w:rsidR="00592CB2" w:rsidRPr="0067297E">
        <w:rPr>
          <w:rFonts w:asciiTheme="minorHAnsi" w:hAnsiTheme="minorHAnsi" w:cs="Calibri"/>
          <w:lang w:val="en-GB"/>
        </w:rPr>
        <w:t>ties</w:t>
      </w:r>
      <w:r w:rsidRPr="0067297E">
        <w:rPr>
          <w:rFonts w:asciiTheme="minorHAnsi" w:hAnsiTheme="minorHAnsi" w:cs="Calibri"/>
        </w:rPr>
        <w:t xml:space="preserve"> arising from Brexit may dampen market sentiment in the short term, but prices are expected to recover as the fundamental supply and demand issues will remain. </w:t>
      </w:r>
    </w:p>
    <w:p w14:paraId="172F9947" w14:textId="77777777" w:rsidR="008D04A5" w:rsidRPr="0067297E" w:rsidRDefault="008D04A5" w:rsidP="006C722F">
      <w:pPr>
        <w:pStyle w:val="Reporttext"/>
        <w:rPr>
          <w:rFonts w:asciiTheme="minorHAnsi" w:hAnsiTheme="minorHAnsi" w:cs="Calibri"/>
        </w:rPr>
      </w:pPr>
      <w:r w:rsidRPr="0067297E">
        <w:rPr>
          <w:rFonts w:asciiTheme="minorHAnsi" w:hAnsiTheme="minorHAnsi" w:cs="Calibri"/>
        </w:rPr>
        <w:t xml:space="preserve">One stakeholder reported that there is weakening demand for Buy to Let, driven by tax changes, but this </w:t>
      </w:r>
      <w:r w:rsidRPr="0067297E">
        <w:rPr>
          <w:rFonts w:asciiTheme="minorHAnsi" w:hAnsiTheme="minorHAnsi" w:cs="Calibri"/>
          <w:lang w:val="en-GB"/>
        </w:rPr>
        <w:t>may have a positive</w:t>
      </w:r>
      <w:r w:rsidRPr="0067297E">
        <w:rPr>
          <w:rFonts w:asciiTheme="minorHAnsi" w:hAnsiTheme="minorHAnsi" w:cs="Calibri"/>
        </w:rPr>
        <w:t xml:space="preserve"> effect of helping first time buyers to compete in the market. One social landlord stated that requests to buy homes from existing tenants peaked after Right to Buy (RTB) discounts were increased but have decreased since; even with high RTB discounts some working tenants cannot afford the cost of buying their house. </w:t>
      </w:r>
    </w:p>
    <w:p w14:paraId="1817F5B6" w14:textId="64836EFE" w:rsidR="00293AA7" w:rsidRPr="0067297E" w:rsidRDefault="0088165F" w:rsidP="006C722F">
      <w:pPr>
        <w:pStyle w:val="Reporttext"/>
        <w:rPr>
          <w:rFonts w:asciiTheme="minorHAnsi" w:hAnsiTheme="minorHAnsi" w:cs="Calibri"/>
        </w:rPr>
      </w:pPr>
      <w:r w:rsidRPr="0067297E">
        <w:rPr>
          <w:rFonts w:asciiTheme="minorHAnsi" w:hAnsiTheme="minorHAnsi" w:cs="Calibri"/>
          <w:lang w:val="en-GB"/>
        </w:rPr>
        <w:t>Stakeholders considered</w:t>
      </w:r>
      <w:r w:rsidR="008D04A5" w:rsidRPr="0067297E">
        <w:rPr>
          <w:rFonts w:asciiTheme="minorHAnsi" w:hAnsiTheme="minorHAnsi" w:cs="Calibri"/>
          <w:lang w:val="en-GB"/>
        </w:rPr>
        <w:t xml:space="preserve"> housing </w:t>
      </w:r>
      <w:r w:rsidR="001C048D" w:rsidRPr="0067297E">
        <w:rPr>
          <w:rFonts w:asciiTheme="minorHAnsi" w:hAnsiTheme="minorHAnsi" w:cs="Calibri"/>
        </w:rPr>
        <w:t>affordability</w:t>
      </w:r>
      <w:r w:rsidR="008D04A5" w:rsidRPr="0067297E">
        <w:rPr>
          <w:rFonts w:asciiTheme="minorHAnsi" w:hAnsiTheme="minorHAnsi" w:cs="Calibri"/>
        </w:rPr>
        <w:t xml:space="preserve"> </w:t>
      </w:r>
      <w:r w:rsidR="008D04A5" w:rsidRPr="0067297E">
        <w:rPr>
          <w:rFonts w:asciiTheme="minorHAnsi" w:hAnsiTheme="minorHAnsi" w:cs="Calibri"/>
          <w:lang w:val="en-GB"/>
        </w:rPr>
        <w:t xml:space="preserve">to be </w:t>
      </w:r>
      <w:r w:rsidR="008D04A5" w:rsidRPr="0067297E">
        <w:rPr>
          <w:rFonts w:asciiTheme="minorHAnsi" w:hAnsiTheme="minorHAnsi" w:cs="Calibri"/>
        </w:rPr>
        <w:t xml:space="preserve">an issue across the entire </w:t>
      </w:r>
      <w:r w:rsidR="00E93769" w:rsidRPr="0067297E">
        <w:rPr>
          <w:rFonts w:asciiTheme="minorHAnsi" w:hAnsiTheme="minorHAnsi" w:cs="Calibri"/>
          <w:lang w:val="en-GB"/>
        </w:rPr>
        <w:t>borough</w:t>
      </w:r>
      <w:r w:rsidR="008D04A5" w:rsidRPr="0067297E">
        <w:rPr>
          <w:rFonts w:asciiTheme="minorHAnsi" w:hAnsiTheme="minorHAnsi" w:cs="Calibri"/>
        </w:rPr>
        <w:t xml:space="preserve">, but with some spatial variation: </w:t>
      </w:r>
      <w:r w:rsidR="008D04A5" w:rsidRPr="0067297E">
        <w:rPr>
          <w:rFonts w:asciiTheme="minorHAnsi" w:hAnsiTheme="minorHAnsi" w:cs="Calibri"/>
          <w:i/>
        </w:rPr>
        <w:t>‘some parts are hugely unaffordable, some affordable to the higher earners, all unaffordable to those on low income’</w:t>
      </w:r>
      <w:r w:rsidR="008D04A5" w:rsidRPr="0067297E">
        <w:rPr>
          <w:rFonts w:asciiTheme="minorHAnsi" w:hAnsiTheme="minorHAnsi" w:cs="Calibri"/>
        </w:rPr>
        <w:t xml:space="preserve">. It was noted that affordability is a particular problem for single people and those on fixed incomes. </w:t>
      </w:r>
    </w:p>
    <w:p w14:paraId="6A3A1471" w14:textId="77777777" w:rsidR="006520D9" w:rsidRPr="0067297E" w:rsidRDefault="006520D9" w:rsidP="00944242">
      <w:pPr>
        <w:pStyle w:val="Reporttext"/>
        <w:numPr>
          <w:ilvl w:val="0"/>
          <w:numId w:val="0"/>
        </w:numPr>
        <w:rPr>
          <w:rFonts w:asciiTheme="minorHAnsi" w:hAnsiTheme="minorHAnsi" w:cs="Calibri"/>
        </w:rPr>
      </w:pPr>
    </w:p>
    <w:p w14:paraId="48B8259F" w14:textId="4EE58768" w:rsidR="00836F4E" w:rsidRPr="00CA31B3" w:rsidRDefault="00680561" w:rsidP="00CA31B3">
      <w:pPr>
        <w:pStyle w:val="Heading2"/>
      </w:pPr>
      <w:bookmarkStart w:id="252" w:name="_Toc1385756"/>
      <w:bookmarkStart w:id="253" w:name="_Toc23151071"/>
      <w:r w:rsidRPr="00CA31B3">
        <w:t>Private rented sector</w:t>
      </w:r>
      <w:bookmarkEnd w:id="252"/>
      <w:bookmarkEnd w:id="253"/>
    </w:p>
    <w:p w14:paraId="17A93A80" w14:textId="77777777" w:rsidR="00CD1C49" w:rsidRPr="00836F4E" w:rsidRDefault="00CD1C49" w:rsidP="00836F4E">
      <w:pPr>
        <w:pStyle w:val="Reporttext"/>
        <w:rPr>
          <w:rFonts w:asciiTheme="minorHAnsi" w:hAnsiTheme="minorHAnsi" w:cs="Calibri"/>
        </w:rPr>
      </w:pPr>
      <w:r w:rsidRPr="00836F4E">
        <w:rPr>
          <w:rFonts w:asciiTheme="minorHAnsi" w:hAnsiTheme="minorHAnsi" w:cs="Calibri"/>
        </w:rPr>
        <w:t>The Government’s Housing Strategy (November 2011)</w:t>
      </w:r>
      <w:r w:rsidRPr="0067297E">
        <w:rPr>
          <w:rFonts w:asciiTheme="minorHAnsi" w:hAnsiTheme="minorHAnsi" w:cs="Calibri"/>
          <w:vertAlign w:val="superscript"/>
        </w:rPr>
        <w:footnoteReference w:id="20"/>
      </w:r>
      <w:r w:rsidRPr="00836F4E">
        <w:rPr>
          <w:rFonts w:asciiTheme="minorHAnsi" w:hAnsiTheme="minorHAnsi" w:cs="Calibri"/>
        </w:rPr>
        <w:t>, set out the Government’s plans to boost housing supply. It recognised an increasingly important role for the private rented sector, both in meeting people’s housing needs and in supporting economic growth by enabling people to move to take up jobs elsewhere and to respond to changing circumstances.</w:t>
      </w:r>
    </w:p>
    <w:p w14:paraId="5235F686" w14:textId="77777777" w:rsidR="00CD1C49" w:rsidRPr="0067297E" w:rsidRDefault="00CD1C49" w:rsidP="00C12BC3">
      <w:pPr>
        <w:pStyle w:val="Reporttext"/>
        <w:rPr>
          <w:rFonts w:asciiTheme="minorHAnsi" w:hAnsiTheme="minorHAnsi" w:cs="Calibri"/>
        </w:rPr>
      </w:pPr>
      <w:r w:rsidRPr="0067297E">
        <w:rPr>
          <w:rFonts w:asciiTheme="minorHAnsi" w:hAnsiTheme="minorHAnsi" w:cs="Calibri"/>
        </w:rPr>
        <w:t xml:space="preserve">The private rented sector in England is growing; the Census figures for 2011 confirmed that </w:t>
      </w:r>
      <w:r w:rsidR="00B00F74" w:rsidRPr="0067297E">
        <w:rPr>
          <w:rFonts w:asciiTheme="minorHAnsi" w:hAnsiTheme="minorHAnsi" w:cs="Calibri"/>
          <w:lang w:val="en-GB"/>
        </w:rPr>
        <w:t xml:space="preserve">nationally </w:t>
      </w:r>
      <w:r w:rsidRPr="0067297E">
        <w:rPr>
          <w:rFonts w:asciiTheme="minorHAnsi" w:hAnsiTheme="minorHAnsi" w:cs="Calibri"/>
        </w:rPr>
        <w:t xml:space="preserve">the sector </w:t>
      </w:r>
      <w:r w:rsidR="00706C9B" w:rsidRPr="0067297E">
        <w:rPr>
          <w:rFonts w:asciiTheme="minorHAnsi" w:hAnsiTheme="minorHAnsi" w:cs="Calibri"/>
          <w:lang w:val="en-GB"/>
        </w:rPr>
        <w:t>totalled</w:t>
      </w:r>
      <w:r w:rsidRPr="0067297E">
        <w:rPr>
          <w:rFonts w:asciiTheme="minorHAnsi" w:hAnsiTheme="minorHAnsi" w:cs="Calibri"/>
        </w:rPr>
        <w:t xml:space="preserve"> 16.8%, an increase from 8.8% in 2001. Increasing house prices pre-2007 and the struggling sales market when the down turn came are both factors that have underpinned the growth of the rental market for both ‘active choice’ renters and ‘frustrated would-be’ homeowners. Tenure reform and less accessible social rented housing are also likely to be an increasing factor to the growth in the private rented sector and the sector clearly now plays a vital role in meeting housing needs as well as providing an alternative to homeownership.</w:t>
      </w:r>
    </w:p>
    <w:p w14:paraId="7B3F4B17" w14:textId="77777777" w:rsidR="00CD1C49" w:rsidRPr="0067297E" w:rsidRDefault="00CD1C49" w:rsidP="00A04CC5">
      <w:pPr>
        <w:pStyle w:val="Reporttext"/>
        <w:rPr>
          <w:rFonts w:asciiTheme="minorHAnsi" w:hAnsiTheme="minorHAnsi" w:cs="Calibri"/>
        </w:rPr>
      </w:pPr>
      <w:r w:rsidRPr="0067297E">
        <w:rPr>
          <w:rFonts w:asciiTheme="minorHAnsi" w:hAnsiTheme="minorHAnsi" w:cs="Calibri"/>
        </w:rPr>
        <w:t>Local authorities have an important role in ensuring that the private rented sector meets both these requirements. Balancing good quality supply with demand will help to stabilise rents and encouraging good quality management will improve the reputation of the sector and encourage longer term lets and lower turnover. However, this is a challenging task where existing partners need to be encouraged to participate and new partners and investors need to be identified.</w:t>
      </w:r>
    </w:p>
    <w:p w14:paraId="4630BE72" w14:textId="5E3FAFB1" w:rsidR="00B00F74" w:rsidRPr="0067297E" w:rsidRDefault="00706C9B" w:rsidP="007E2C96">
      <w:pPr>
        <w:pStyle w:val="Reporttext"/>
        <w:rPr>
          <w:rFonts w:asciiTheme="minorHAnsi" w:hAnsiTheme="minorHAnsi" w:cs="Calibri"/>
          <w:lang w:val="en-GB"/>
        </w:rPr>
      </w:pPr>
      <w:r w:rsidRPr="0067297E">
        <w:rPr>
          <w:rFonts w:asciiTheme="minorHAnsi" w:hAnsiTheme="minorHAnsi" w:cs="Calibri"/>
        </w:rPr>
        <w:t xml:space="preserve">The </w:t>
      </w:r>
      <w:r w:rsidR="00B00F74" w:rsidRPr="0067297E">
        <w:rPr>
          <w:rFonts w:asciiTheme="minorHAnsi" w:hAnsiTheme="minorHAnsi" w:cs="Calibri"/>
          <w:lang w:val="en-GB"/>
        </w:rPr>
        <w:t xml:space="preserve">2011 Census indicates that the </w:t>
      </w:r>
      <w:r w:rsidRPr="0067297E">
        <w:rPr>
          <w:rFonts w:asciiTheme="minorHAnsi" w:hAnsiTheme="minorHAnsi" w:cs="Calibri"/>
        </w:rPr>
        <w:t xml:space="preserve">private rented sector accommodates around </w:t>
      </w:r>
      <w:r w:rsidR="00B00F74" w:rsidRPr="0067297E">
        <w:rPr>
          <w:rFonts w:asciiTheme="minorHAnsi" w:hAnsiTheme="minorHAnsi" w:cs="Calibri"/>
          <w:lang w:val="en-GB"/>
        </w:rPr>
        <w:t>one quarter (25.</w:t>
      </w:r>
      <w:r w:rsidR="00E07FE1" w:rsidRPr="0067297E">
        <w:rPr>
          <w:rFonts w:asciiTheme="minorHAnsi" w:hAnsiTheme="minorHAnsi" w:cs="Calibri"/>
          <w:lang w:val="en-GB"/>
        </w:rPr>
        <w:t>1%</w:t>
      </w:r>
      <w:r w:rsidR="00B00F74" w:rsidRPr="0067297E">
        <w:rPr>
          <w:rFonts w:asciiTheme="minorHAnsi" w:hAnsiTheme="minorHAnsi" w:cs="Calibri"/>
          <w:lang w:val="en-GB"/>
        </w:rPr>
        <w:t xml:space="preserve">) </w:t>
      </w:r>
      <w:r w:rsidRPr="0067297E">
        <w:rPr>
          <w:rFonts w:asciiTheme="minorHAnsi" w:hAnsiTheme="minorHAnsi" w:cs="Calibri"/>
        </w:rPr>
        <w:t xml:space="preserve">of households across </w:t>
      </w:r>
      <w:r w:rsidRPr="0067297E">
        <w:rPr>
          <w:rFonts w:asciiTheme="minorHAnsi" w:hAnsiTheme="minorHAnsi" w:cs="Calibri"/>
          <w:lang w:val="en-GB"/>
        </w:rPr>
        <w:t xml:space="preserve">the </w:t>
      </w:r>
      <w:r w:rsidR="00E93769" w:rsidRPr="0067297E">
        <w:rPr>
          <w:rFonts w:asciiTheme="minorHAnsi" w:hAnsiTheme="minorHAnsi" w:cs="Calibri"/>
          <w:lang w:val="en-GB"/>
        </w:rPr>
        <w:t>borough</w:t>
      </w:r>
      <w:r w:rsidR="00B00F74" w:rsidRPr="0067297E">
        <w:rPr>
          <w:rFonts w:asciiTheme="minorHAnsi" w:hAnsiTheme="minorHAnsi" w:cs="Calibri"/>
          <w:lang w:val="en-GB"/>
        </w:rPr>
        <w:t xml:space="preserve"> (29,375 households)</w:t>
      </w:r>
      <w:r w:rsidRPr="0067297E">
        <w:rPr>
          <w:rFonts w:asciiTheme="minorHAnsi" w:hAnsiTheme="minorHAnsi" w:cs="Calibri"/>
        </w:rPr>
        <w:t xml:space="preserve">. </w:t>
      </w:r>
      <w:r w:rsidR="00B00F74" w:rsidRPr="0067297E">
        <w:rPr>
          <w:rFonts w:asciiTheme="minorHAnsi" w:hAnsiTheme="minorHAnsi" w:cs="Calibri"/>
          <w:lang w:val="en-GB"/>
        </w:rPr>
        <w:t xml:space="preserve">GLA data </w:t>
      </w:r>
      <w:r w:rsidR="005B0F27" w:rsidRPr="0067297E">
        <w:rPr>
          <w:rFonts w:asciiTheme="minorHAnsi" w:hAnsiTheme="minorHAnsi" w:cs="Calibri"/>
          <w:lang w:val="en-GB"/>
        </w:rPr>
        <w:t>(</w:t>
      </w:r>
      <w:r w:rsidR="00B00F74" w:rsidRPr="0067297E">
        <w:rPr>
          <w:rFonts w:asciiTheme="minorHAnsi" w:hAnsiTheme="minorHAnsi" w:cs="Calibri"/>
          <w:lang w:val="en-GB"/>
        </w:rPr>
        <w:t xml:space="preserve">based on the Annual Population </w:t>
      </w:r>
      <w:r w:rsidR="005B0F27" w:rsidRPr="0067297E">
        <w:rPr>
          <w:rFonts w:asciiTheme="minorHAnsi" w:hAnsiTheme="minorHAnsi" w:cs="Calibri"/>
          <w:lang w:val="en-GB"/>
        </w:rPr>
        <w:t>Survey</w:t>
      </w:r>
      <w:r w:rsidR="00B00F74" w:rsidRPr="0067297E">
        <w:rPr>
          <w:rFonts w:asciiTheme="minorHAnsi" w:hAnsiTheme="minorHAnsi" w:cs="Calibri"/>
          <w:lang w:val="en-GB"/>
        </w:rPr>
        <w:t xml:space="preserve">) estimates that 23.2% </w:t>
      </w:r>
      <w:r w:rsidR="005B0F27" w:rsidRPr="0067297E">
        <w:rPr>
          <w:rFonts w:asciiTheme="minorHAnsi" w:hAnsiTheme="minorHAnsi" w:cs="Calibri"/>
          <w:lang w:val="en-GB"/>
        </w:rPr>
        <w:t xml:space="preserve">of dwellings in </w:t>
      </w:r>
      <w:r w:rsidR="00E93769" w:rsidRPr="0067297E">
        <w:rPr>
          <w:rFonts w:asciiTheme="minorHAnsi" w:hAnsiTheme="minorHAnsi" w:cs="Calibri"/>
          <w:lang w:val="en-GB"/>
        </w:rPr>
        <w:t>the borough</w:t>
      </w:r>
      <w:r w:rsidR="005B0F27" w:rsidRPr="0067297E">
        <w:rPr>
          <w:rFonts w:asciiTheme="minorHAnsi" w:hAnsiTheme="minorHAnsi" w:cs="Calibri"/>
          <w:lang w:val="en-GB"/>
        </w:rPr>
        <w:t xml:space="preserve"> are </w:t>
      </w:r>
      <w:r w:rsidR="00B00F74" w:rsidRPr="0067297E">
        <w:rPr>
          <w:rFonts w:asciiTheme="minorHAnsi" w:hAnsiTheme="minorHAnsi" w:cs="Calibri"/>
          <w:lang w:val="en-GB"/>
        </w:rPr>
        <w:t>private rented.</w:t>
      </w:r>
      <w:r w:rsidR="005B0F27" w:rsidRPr="0067297E">
        <w:rPr>
          <w:rFonts w:asciiTheme="minorHAnsi" w:hAnsiTheme="minorHAnsi" w:cs="Calibri"/>
          <w:lang w:val="en-GB"/>
        </w:rPr>
        <w:t xml:space="preserve"> This is comparable with the </w:t>
      </w:r>
      <w:r w:rsidR="00BC6D95" w:rsidRPr="0067297E">
        <w:rPr>
          <w:rFonts w:asciiTheme="minorHAnsi" w:hAnsiTheme="minorHAnsi" w:cs="Calibri"/>
          <w:lang w:val="en-GB"/>
        </w:rPr>
        <w:t>C</w:t>
      </w:r>
      <w:r w:rsidR="005B0F27" w:rsidRPr="0067297E">
        <w:rPr>
          <w:rFonts w:asciiTheme="minorHAnsi" w:hAnsiTheme="minorHAnsi" w:cs="Calibri"/>
          <w:lang w:val="en-GB"/>
        </w:rPr>
        <w:t>ensus information.</w:t>
      </w:r>
    </w:p>
    <w:p w14:paraId="5706F673" w14:textId="77777777" w:rsidR="00706C9B" w:rsidRPr="0067297E" w:rsidRDefault="005B0F27" w:rsidP="00516B53">
      <w:pPr>
        <w:pStyle w:val="Reporttext"/>
        <w:rPr>
          <w:rFonts w:asciiTheme="minorHAnsi" w:hAnsiTheme="minorHAnsi" w:cs="Calibri"/>
        </w:rPr>
      </w:pPr>
      <w:r w:rsidRPr="0067297E">
        <w:rPr>
          <w:rFonts w:asciiTheme="minorHAnsi" w:hAnsiTheme="minorHAnsi" w:cs="Calibri"/>
          <w:lang w:val="en-GB"/>
        </w:rPr>
        <w:t>In terms of dwelli</w:t>
      </w:r>
      <w:r w:rsidR="00EF04DF" w:rsidRPr="0067297E">
        <w:rPr>
          <w:rFonts w:asciiTheme="minorHAnsi" w:hAnsiTheme="minorHAnsi" w:cs="Calibri"/>
          <w:lang w:val="en-GB"/>
        </w:rPr>
        <w:t xml:space="preserve">ng characteristics, almost </w:t>
      </w:r>
      <w:r w:rsidRPr="0067297E">
        <w:rPr>
          <w:rFonts w:asciiTheme="minorHAnsi" w:hAnsiTheme="minorHAnsi" w:cs="Calibri"/>
          <w:lang w:val="en-GB"/>
        </w:rPr>
        <w:t xml:space="preserve">three-quarters (73.5%) of the private rented sector stock in </w:t>
      </w:r>
      <w:r w:rsidR="00E93769" w:rsidRPr="0067297E">
        <w:rPr>
          <w:rFonts w:asciiTheme="minorHAnsi" w:hAnsiTheme="minorHAnsi" w:cs="Calibri"/>
          <w:lang w:val="en-GB"/>
        </w:rPr>
        <w:t>the borough comprises f</w:t>
      </w:r>
      <w:r w:rsidRPr="0067297E">
        <w:rPr>
          <w:rFonts w:asciiTheme="minorHAnsi" w:hAnsiTheme="minorHAnsi" w:cs="Calibri"/>
          <w:lang w:val="en-GB"/>
        </w:rPr>
        <w:t xml:space="preserve">lats/apartments. Just over one-quarter (26.5%) of dwellings are houses, of which 15.4% are terraced, 8.0% semi-detached and 3.2% detached houses. Private rented dwellings </w:t>
      </w:r>
      <w:r w:rsidR="00786D9B" w:rsidRPr="0067297E">
        <w:rPr>
          <w:rFonts w:asciiTheme="minorHAnsi" w:hAnsiTheme="minorHAnsi" w:cs="Calibri"/>
          <w:lang w:val="en-GB"/>
        </w:rPr>
        <w:t>tend to be smaller than the b</w:t>
      </w:r>
      <w:r w:rsidRPr="0067297E">
        <w:rPr>
          <w:rFonts w:asciiTheme="minorHAnsi" w:hAnsiTheme="minorHAnsi" w:cs="Calibri"/>
          <w:lang w:val="en-GB"/>
        </w:rPr>
        <w:t>orough average, with around three-quarters (74.1%) of properties being one or two bedrooms (35.8% one bedroom and 38.3% two bedrooms); 18.2% of properties have three bedrooms and 7.7% have four or more bedrooms.</w:t>
      </w:r>
    </w:p>
    <w:p w14:paraId="41298E37" w14:textId="12BB86E2" w:rsidR="007C2621" w:rsidRPr="0067297E" w:rsidRDefault="00DE5225" w:rsidP="00516B53">
      <w:pPr>
        <w:pStyle w:val="Reporttext"/>
        <w:rPr>
          <w:rFonts w:asciiTheme="minorHAnsi" w:hAnsiTheme="minorHAnsi" w:cs="Calibri"/>
        </w:rPr>
      </w:pPr>
      <w:r w:rsidRPr="0067297E">
        <w:rPr>
          <w:rFonts w:asciiTheme="minorHAnsi" w:hAnsiTheme="minorHAnsi" w:cs="Calibri"/>
          <w:lang w:val="en-GB"/>
        </w:rPr>
        <w:t>Considering</w:t>
      </w:r>
      <w:r w:rsidR="007C2621" w:rsidRPr="0067297E">
        <w:rPr>
          <w:rFonts w:asciiTheme="minorHAnsi" w:hAnsiTheme="minorHAnsi" w:cs="Calibri"/>
        </w:rPr>
        <w:t xml:space="preserve"> the cost of renting, Table</w:t>
      </w:r>
      <w:r w:rsidR="007C2621" w:rsidRPr="0067297E">
        <w:rPr>
          <w:rFonts w:asciiTheme="minorHAnsi" w:hAnsiTheme="minorHAnsi" w:cs="Calibri"/>
          <w:lang w:val="en-GB"/>
        </w:rPr>
        <w:t>s</w:t>
      </w:r>
      <w:r w:rsidR="007C2621" w:rsidRPr="0067297E">
        <w:rPr>
          <w:rFonts w:asciiTheme="minorHAnsi" w:hAnsiTheme="minorHAnsi" w:cs="Calibri"/>
        </w:rPr>
        <w:t xml:space="preserve"> </w:t>
      </w:r>
      <w:r w:rsidR="007C2621" w:rsidRPr="0067297E">
        <w:rPr>
          <w:rFonts w:asciiTheme="minorHAnsi" w:hAnsiTheme="minorHAnsi" w:cs="Calibri"/>
          <w:lang w:val="en-GB"/>
        </w:rPr>
        <w:t>4</w:t>
      </w:r>
      <w:r w:rsidR="007C2621" w:rsidRPr="0067297E">
        <w:rPr>
          <w:rFonts w:asciiTheme="minorHAnsi" w:hAnsiTheme="minorHAnsi" w:cs="Calibri"/>
        </w:rPr>
        <w:t>.</w:t>
      </w:r>
      <w:r w:rsidR="00F26F64" w:rsidRPr="0067297E">
        <w:rPr>
          <w:rFonts w:asciiTheme="minorHAnsi" w:hAnsiTheme="minorHAnsi" w:cs="Calibri"/>
          <w:lang w:val="en-GB"/>
        </w:rPr>
        <w:t>1</w:t>
      </w:r>
      <w:r w:rsidR="00BB73FB" w:rsidRPr="0067297E">
        <w:rPr>
          <w:rFonts w:asciiTheme="minorHAnsi" w:hAnsiTheme="minorHAnsi" w:cs="Calibri"/>
          <w:lang w:val="en-GB"/>
        </w:rPr>
        <w:t>0</w:t>
      </w:r>
      <w:r w:rsidR="00CE1628" w:rsidRPr="0067297E">
        <w:rPr>
          <w:rFonts w:asciiTheme="minorHAnsi" w:hAnsiTheme="minorHAnsi" w:cs="Calibri"/>
          <w:lang w:val="en-GB"/>
        </w:rPr>
        <w:t xml:space="preserve"> </w:t>
      </w:r>
      <w:r w:rsidR="007C2621" w:rsidRPr="0067297E">
        <w:rPr>
          <w:rFonts w:asciiTheme="minorHAnsi" w:hAnsiTheme="minorHAnsi" w:cs="Calibri"/>
        </w:rPr>
        <w:t xml:space="preserve">and </w:t>
      </w:r>
      <w:r w:rsidR="007C2621" w:rsidRPr="0067297E">
        <w:rPr>
          <w:rFonts w:asciiTheme="minorHAnsi" w:hAnsiTheme="minorHAnsi" w:cs="Calibri"/>
          <w:lang w:val="en-GB"/>
        </w:rPr>
        <w:t>4</w:t>
      </w:r>
      <w:r w:rsidR="007C2621" w:rsidRPr="0067297E">
        <w:rPr>
          <w:rFonts w:asciiTheme="minorHAnsi" w:hAnsiTheme="minorHAnsi" w:cs="Calibri"/>
        </w:rPr>
        <w:t>.</w:t>
      </w:r>
      <w:r w:rsidR="00F26F64" w:rsidRPr="0067297E">
        <w:rPr>
          <w:rFonts w:asciiTheme="minorHAnsi" w:hAnsiTheme="minorHAnsi" w:cs="Calibri"/>
          <w:lang w:val="en-GB"/>
        </w:rPr>
        <w:t>1</w:t>
      </w:r>
      <w:r w:rsidR="00BB73FB" w:rsidRPr="0067297E">
        <w:rPr>
          <w:rFonts w:asciiTheme="minorHAnsi" w:hAnsiTheme="minorHAnsi" w:cs="Calibri"/>
          <w:lang w:val="en-GB"/>
        </w:rPr>
        <w:t>1</w:t>
      </w:r>
      <w:r w:rsidR="007C2621" w:rsidRPr="0067297E">
        <w:rPr>
          <w:rFonts w:asciiTheme="minorHAnsi" w:hAnsiTheme="minorHAnsi" w:cs="Calibri"/>
        </w:rPr>
        <w:t xml:space="preserve"> set out the comparative median and lower quartile rents for the </w:t>
      </w:r>
      <w:r w:rsidR="00786D9B" w:rsidRPr="0067297E">
        <w:rPr>
          <w:rFonts w:asciiTheme="minorHAnsi" w:hAnsiTheme="minorHAnsi" w:cs="Calibri"/>
          <w:lang w:val="en-GB"/>
        </w:rPr>
        <w:t>borough</w:t>
      </w:r>
      <w:r w:rsidR="006520D9" w:rsidRPr="0067297E">
        <w:rPr>
          <w:rFonts w:asciiTheme="minorHAnsi" w:hAnsiTheme="minorHAnsi" w:cs="Calibri"/>
          <w:lang w:val="en-GB"/>
        </w:rPr>
        <w:t>, London</w:t>
      </w:r>
      <w:r w:rsidR="00083A44" w:rsidRPr="0067297E">
        <w:rPr>
          <w:rFonts w:asciiTheme="minorHAnsi" w:hAnsiTheme="minorHAnsi" w:cs="Calibri"/>
          <w:lang w:val="en-GB"/>
        </w:rPr>
        <w:t xml:space="preserve">, </w:t>
      </w:r>
      <w:r w:rsidR="0091437D" w:rsidRPr="0067297E">
        <w:rPr>
          <w:rFonts w:asciiTheme="minorHAnsi" w:hAnsiTheme="minorHAnsi" w:cs="Calibri"/>
          <w:lang w:val="en-GB"/>
        </w:rPr>
        <w:t xml:space="preserve">the </w:t>
      </w:r>
      <w:r w:rsidR="00083A44" w:rsidRPr="0067297E">
        <w:rPr>
          <w:rFonts w:asciiTheme="minorHAnsi" w:hAnsiTheme="minorHAnsi" w:cs="Calibri"/>
          <w:lang w:val="en-GB"/>
        </w:rPr>
        <w:t>South Eas</w:t>
      </w:r>
      <w:r w:rsidR="009C5883" w:rsidRPr="0067297E">
        <w:rPr>
          <w:rFonts w:asciiTheme="minorHAnsi" w:hAnsiTheme="minorHAnsi" w:cs="Calibri"/>
          <w:lang w:val="en-GB"/>
        </w:rPr>
        <w:t xml:space="preserve">t </w:t>
      </w:r>
      <w:r w:rsidR="007C2621" w:rsidRPr="0067297E">
        <w:rPr>
          <w:rFonts w:asciiTheme="minorHAnsi" w:hAnsiTheme="minorHAnsi" w:cs="Calibri"/>
        </w:rPr>
        <w:t xml:space="preserve">and England as a whole. </w:t>
      </w:r>
    </w:p>
    <w:p w14:paraId="7241B828" w14:textId="5A4B67EE" w:rsidR="009C5883" w:rsidRPr="00967D6C" w:rsidRDefault="009C5883" w:rsidP="00516B53">
      <w:pPr>
        <w:pStyle w:val="Reporttext"/>
        <w:rPr>
          <w:rFonts w:asciiTheme="minorHAnsi" w:hAnsiTheme="minorHAnsi" w:cs="Calibri"/>
        </w:rPr>
      </w:pPr>
      <w:r w:rsidRPr="00967D6C">
        <w:rPr>
          <w:rFonts w:asciiTheme="minorHAnsi" w:hAnsiTheme="minorHAnsi" w:cs="Calibri"/>
        </w:rPr>
        <w:t>The tables indicate that 201</w:t>
      </w:r>
      <w:r w:rsidR="00967D6C" w:rsidRPr="00967D6C">
        <w:rPr>
          <w:rFonts w:asciiTheme="minorHAnsi" w:hAnsiTheme="minorHAnsi" w:cs="Calibri"/>
          <w:lang w:val="en-GB"/>
        </w:rPr>
        <w:t>8</w:t>
      </w:r>
      <w:r w:rsidRPr="00967D6C">
        <w:rPr>
          <w:rFonts w:asciiTheme="minorHAnsi" w:hAnsiTheme="minorHAnsi" w:cs="Calibri"/>
        </w:rPr>
        <w:t xml:space="preserve"> median (£</w:t>
      </w:r>
      <w:r w:rsidR="007F0A6D" w:rsidRPr="00967D6C">
        <w:rPr>
          <w:rFonts w:asciiTheme="minorHAnsi" w:hAnsiTheme="minorHAnsi" w:cs="Calibri"/>
          <w:lang w:val="en-GB"/>
        </w:rPr>
        <w:t>1,248</w:t>
      </w:r>
      <w:r w:rsidRPr="00967D6C">
        <w:rPr>
          <w:rFonts w:asciiTheme="minorHAnsi" w:hAnsiTheme="minorHAnsi" w:cs="Calibri"/>
          <w:lang w:val="en-GB"/>
        </w:rPr>
        <w:t xml:space="preserve"> </w:t>
      </w:r>
      <w:r w:rsidRPr="00967D6C">
        <w:rPr>
          <w:rFonts w:asciiTheme="minorHAnsi" w:hAnsiTheme="minorHAnsi" w:cs="Calibri"/>
        </w:rPr>
        <w:t>pcm) and lower quartile (£</w:t>
      </w:r>
      <w:r w:rsidR="007F0A6D" w:rsidRPr="00967D6C">
        <w:rPr>
          <w:rFonts w:asciiTheme="minorHAnsi" w:hAnsiTheme="minorHAnsi" w:cs="Calibri"/>
          <w:lang w:val="en-GB"/>
        </w:rPr>
        <w:t>1,001</w:t>
      </w:r>
      <w:r w:rsidRPr="00967D6C">
        <w:rPr>
          <w:rFonts w:asciiTheme="minorHAnsi" w:hAnsiTheme="minorHAnsi" w:cs="Calibri"/>
        </w:rPr>
        <w:t xml:space="preserve"> pcm) rental prices are </w:t>
      </w:r>
      <w:r w:rsidRPr="00967D6C">
        <w:rPr>
          <w:rFonts w:asciiTheme="minorHAnsi" w:hAnsiTheme="minorHAnsi" w:cs="Calibri"/>
          <w:lang w:val="en-GB"/>
        </w:rPr>
        <w:t>lower</w:t>
      </w:r>
      <w:r w:rsidRPr="00967D6C">
        <w:rPr>
          <w:rFonts w:asciiTheme="minorHAnsi" w:hAnsiTheme="minorHAnsi" w:cs="Calibri"/>
        </w:rPr>
        <w:t xml:space="preserve"> </w:t>
      </w:r>
      <w:r w:rsidRPr="00967D6C">
        <w:rPr>
          <w:rFonts w:asciiTheme="minorHAnsi" w:hAnsiTheme="minorHAnsi" w:cs="Calibri"/>
          <w:lang w:val="en-GB"/>
        </w:rPr>
        <w:t xml:space="preserve">in the </w:t>
      </w:r>
      <w:r w:rsidR="00786D9B" w:rsidRPr="00967D6C">
        <w:rPr>
          <w:rFonts w:asciiTheme="minorHAnsi" w:hAnsiTheme="minorHAnsi" w:cs="Calibri"/>
          <w:lang w:val="en-GB"/>
        </w:rPr>
        <w:t>b</w:t>
      </w:r>
      <w:r w:rsidR="00706C9B" w:rsidRPr="00967D6C">
        <w:rPr>
          <w:rFonts w:asciiTheme="minorHAnsi" w:hAnsiTheme="minorHAnsi" w:cs="Calibri"/>
          <w:lang w:val="en-GB"/>
        </w:rPr>
        <w:t>orough</w:t>
      </w:r>
      <w:r w:rsidRPr="00967D6C">
        <w:rPr>
          <w:rFonts w:asciiTheme="minorHAnsi" w:hAnsiTheme="minorHAnsi" w:cs="Calibri"/>
        </w:rPr>
        <w:t xml:space="preserve"> than in </w:t>
      </w:r>
      <w:r w:rsidRPr="00967D6C">
        <w:rPr>
          <w:rFonts w:asciiTheme="minorHAnsi" w:hAnsiTheme="minorHAnsi" w:cs="Calibri"/>
          <w:lang w:val="en-GB"/>
        </w:rPr>
        <w:t>London as a whole but higher than</w:t>
      </w:r>
      <w:r w:rsidR="0091437D" w:rsidRPr="00967D6C">
        <w:rPr>
          <w:rFonts w:asciiTheme="minorHAnsi" w:hAnsiTheme="minorHAnsi" w:cs="Calibri"/>
          <w:lang w:val="en-GB"/>
        </w:rPr>
        <w:t xml:space="preserve"> the prices in the South East</w:t>
      </w:r>
      <w:r w:rsidR="007F0A6D" w:rsidRPr="00967D6C">
        <w:rPr>
          <w:rFonts w:asciiTheme="minorHAnsi" w:hAnsiTheme="minorHAnsi" w:cs="Calibri"/>
          <w:lang w:val="en-GB"/>
        </w:rPr>
        <w:t xml:space="preserve"> and England</w:t>
      </w:r>
      <w:r w:rsidR="0091437D" w:rsidRPr="00967D6C">
        <w:rPr>
          <w:rFonts w:asciiTheme="minorHAnsi" w:hAnsiTheme="minorHAnsi" w:cs="Calibri"/>
          <w:lang w:val="en-GB"/>
        </w:rPr>
        <w:t>.</w:t>
      </w:r>
    </w:p>
    <w:p w14:paraId="5E42D11D" w14:textId="4FE51EBA" w:rsidR="009C5883" w:rsidRPr="00C74E5F" w:rsidRDefault="009C5883" w:rsidP="00516B53">
      <w:pPr>
        <w:pStyle w:val="Reporttext"/>
        <w:rPr>
          <w:rFonts w:asciiTheme="minorHAnsi" w:hAnsiTheme="minorHAnsi" w:cs="Calibri"/>
        </w:rPr>
      </w:pPr>
      <w:r w:rsidRPr="00C74E5F">
        <w:rPr>
          <w:rFonts w:asciiTheme="minorHAnsi" w:hAnsiTheme="minorHAnsi" w:cs="Calibri"/>
        </w:rPr>
        <w:t>Comparing the rental price in 201</w:t>
      </w:r>
      <w:r w:rsidR="00C74E5F" w:rsidRPr="00C74E5F">
        <w:rPr>
          <w:rFonts w:asciiTheme="minorHAnsi" w:hAnsiTheme="minorHAnsi" w:cs="Calibri"/>
          <w:lang w:val="en-GB"/>
        </w:rPr>
        <w:t>8</w:t>
      </w:r>
      <w:r w:rsidRPr="00C74E5F">
        <w:rPr>
          <w:rFonts w:asciiTheme="minorHAnsi" w:hAnsiTheme="minorHAnsi" w:cs="Calibri"/>
        </w:rPr>
        <w:t xml:space="preserve"> with that in 2010 indicates that there has been a</w:t>
      </w:r>
      <w:r w:rsidRPr="00C74E5F">
        <w:rPr>
          <w:rFonts w:asciiTheme="minorHAnsi" w:hAnsiTheme="minorHAnsi" w:cs="Calibri"/>
          <w:lang w:val="en-GB"/>
        </w:rPr>
        <w:t>n</w:t>
      </w:r>
      <w:r w:rsidRPr="00C74E5F">
        <w:rPr>
          <w:rFonts w:asciiTheme="minorHAnsi" w:hAnsiTheme="minorHAnsi" w:cs="Calibri"/>
        </w:rPr>
        <w:t xml:space="preserve"> </w:t>
      </w:r>
      <w:r w:rsidRPr="00C74E5F">
        <w:rPr>
          <w:rFonts w:asciiTheme="minorHAnsi" w:hAnsiTheme="minorHAnsi" w:cs="Calibri"/>
          <w:lang w:val="en-GB"/>
        </w:rPr>
        <w:t>inflation increase</w:t>
      </w:r>
      <w:r w:rsidRPr="00C74E5F">
        <w:rPr>
          <w:rFonts w:asciiTheme="minorHAnsi" w:hAnsiTheme="minorHAnsi" w:cs="Calibri"/>
        </w:rPr>
        <w:t xml:space="preserve"> </w:t>
      </w:r>
      <w:r w:rsidRPr="00C74E5F">
        <w:rPr>
          <w:rFonts w:asciiTheme="minorHAnsi" w:hAnsiTheme="minorHAnsi" w:cs="Calibri"/>
          <w:lang w:val="en-GB"/>
        </w:rPr>
        <w:t xml:space="preserve">of </w:t>
      </w:r>
      <w:r w:rsidR="00C74E5F" w:rsidRPr="00C74E5F">
        <w:rPr>
          <w:rFonts w:asciiTheme="minorHAnsi" w:hAnsiTheme="minorHAnsi" w:cs="Calibri"/>
          <w:lang w:val="en-GB"/>
        </w:rPr>
        <w:t>40</w:t>
      </w:r>
      <w:r w:rsidRPr="00C74E5F">
        <w:rPr>
          <w:rFonts w:asciiTheme="minorHAnsi" w:hAnsiTheme="minorHAnsi" w:cs="Calibri"/>
          <w:lang w:val="en-GB"/>
        </w:rPr>
        <w:t xml:space="preserve">% </w:t>
      </w:r>
      <w:r w:rsidRPr="00C74E5F">
        <w:rPr>
          <w:rFonts w:asciiTheme="minorHAnsi" w:hAnsiTheme="minorHAnsi" w:cs="Calibri"/>
        </w:rPr>
        <w:t xml:space="preserve">in median and </w:t>
      </w:r>
      <w:r w:rsidR="007F0A6D" w:rsidRPr="00C74E5F">
        <w:rPr>
          <w:rFonts w:asciiTheme="minorHAnsi" w:hAnsiTheme="minorHAnsi" w:cs="Calibri"/>
          <w:lang w:val="en-GB"/>
        </w:rPr>
        <w:t>2</w:t>
      </w:r>
      <w:r w:rsidR="00C74E5F" w:rsidRPr="00C74E5F">
        <w:rPr>
          <w:rFonts w:asciiTheme="minorHAnsi" w:hAnsiTheme="minorHAnsi" w:cs="Calibri"/>
          <w:lang w:val="en-GB"/>
        </w:rPr>
        <w:t>5.6</w:t>
      </w:r>
      <w:r w:rsidR="007F0A6D" w:rsidRPr="00C74E5F">
        <w:rPr>
          <w:rFonts w:asciiTheme="minorHAnsi" w:hAnsiTheme="minorHAnsi" w:cs="Calibri"/>
          <w:lang w:val="en-GB"/>
        </w:rPr>
        <w:t xml:space="preserve">% in </w:t>
      </w:r>
      <w:r w:rsidRPr="00C74E5F">
        <w:rPr>
          <w:rFonts w:asciiTheme="minorHAnsi" w:hAnsiTheme="minorHAnsi" w:cs="Calibri"/>
        </w:rPr>
        <w:t xml:space="preserve">lower quartile rental prices in the </w:t>
      </w:r>
      <w:r w:rsidR="00786D9B" w:rsidRPr="00C74E5F">
        <w:rPr>
          <w:rFonts w:asciiTheme="minorHAnsi" w:hAnsiTheme="minorHAnsi" w:cs="Calibri"/>
          <w:lang w:val="en-GB"/>
        </w:rPr>
        <w:t>borough</w:t>
      </w:r>
      <w:r w:rsidRPr="00C74E5F">
        <w:rPr>
          <w:rFonts w:asciiTheme="minorHAnsi" w:hAnsiTheme="minorHAnsi" w:cs="Calibri"/>
          <w:lang w:val="en-GB"/>
        </w:rPr>
        <w:t xml:space="preserve"> </w:t>
      </w:r>
      <w:r w:rsidRPr="00C74E5F">
        <w:rPr>
          <w:rFonts w:asciiTheme="minorHAnsi" w:hAnsiTheme="minorHAnsi" w:cs="Calibri"/>
        </w:rPr>
        <w:t>during the period.</w:t>
      </w:r>
      <w:r w:rsidRPr="00C74E5F">
        <w:rPr>
          <w:rFonts w:asciiTheme="minorHAnsi" w:hAnsiTheme="minorHAnsi" w:cs="Calibri"/>
          <w:lang w:val="en-GB"/>
        </w:rPr>
        <w:t xml:space="preserve"> The rate of increase has been higher in the </w:t>
      </w:r>
      <w:r w:rsidR="00786D9B" w:rsidRPr="00C74E5F">
        <w:rPr>
          <w:rFonts w:asciiTheme="minorHAnsi" w:hAnsiTheme="minorHAnsi" w:cs="Calibri"/>
          <w:lang w:val="en-GB"/>
        </w:rPr>
        <w:t>borough</w:t>
      </w:r>
      <w:r w:rsidRPr="00C74E5F">
        <w:rPr>
          <w:rFonts w:asciiTheme="minorHAnsi" w:hAnsiTheme="minorHAnsi" w:cs="Calibri"/>
          <w:lang w:val="en-GB"/>
        </w:rPr>
        <w:t xml:space="preserve"> than across London, the South East and England.</w:t>
      </w:r>
      <w:r w:rsidR="003B05BC" w:rsidRPr="00C74E5F">
        <w:rPr>
          <w:rFonts w:asciiTheme="minorHAnsi" w:hAnsiTheme="minorHAnsi" w:cs="Calibri"/>
          <w:lang w:val="en-GB"/>
        </w:rPr>
        <w:t xml:space="preserve"> In terms of affordability, the ratio of lower quartile earnings to rents has increased from 42.5% in 2010 to 5</w:t>
      </w:r>
      <w:r w:rsidR="00C74E5F" w:rsidRPr="00C74E5F">
        <w:rPr>
          <w:rFonts w:asciiTheme="minorHAnsi" w:hAnsiTheme="minorHAnsi" w:cs="Calibri"/>
          <w:lang w:val="en-GB"/>
        </w:rPr>
        <w:t>6</w:t>
      </w:r>
      <w:r w:rsidR="003B05BC" w:rsidRPr="00C74E5F">
        <w:rPr>
          <w:rFonts w:asciiTheme="minorHAnsi" w:hAnsiTheme="minorHAnsi" w:cs="Calibri"/>
          <w:lang w:val="en-GB"/>
        </w:rPr>
        <w:t>% in 201</w:t>
      </w:r>
      <w:r w:rsidR="00C74E5F" w:rsidRPr="00C74E5F">
        <w:rPr>
          <w:rFonts w:asciiTheme="minorHAnsi" w:hAnsiTheme="minorHAnsi" w:cs="Calibri"/>
          <w:lang w:val="en-GB"/>
        </w:rPr>
        <w:t>8</w:t>
      </w:r>
      <w:r w:rsidR="003B05BC" w:rsidRPr="00C74E5F">
        <w:rPr>
          <w:rFonts w:asciiTheme="minorHAnsi" w:hAnsiTheme="minorHAnsi" w:cs="Calibri"/>
          <w:lang w:val="en-GB"/>
        </w:rPr>
        <w:t xml:space="preserve">; and the ratio of median earnings to median rents has increased from 37.2% in 2010 to </w:t>
      </w:r>
      <w:r w:rsidR="00C74E5F" w:rsidRPr="00C74E5F">
        <w:rPr>
          <w:rFonts w:asciiTheme="minorHAnsi" w:hAnsiTheme="minorHAnsi" w:cs="Calibri"/>
          <w:lang w:val="en-GB"/>
        </w:rPr>
        <w:t>53</w:t>
      </w:r>
      <w:r w:rsidR="003B05BC" w:rsidRPr="00C74E5F">
        <w:rPr>
          <w:rFonts w:asciiTheme="minorHAnsi" w:hAnsiTheme="minorHAnsi" w:cs="Calibri"/>
          <w:lang w:val="en-GB"/>
        </w:rPr>
        <w:t>% in 201</w:t>
      </w:r>
      <w:r w:rsidR="00C74E5F" w:rsidRPr="00C74E5F">
        <w:rPr>
          <w:rFonts w:asciiTheme="minorHAnsi" w:hAnsiTheme="minorHAnsi" w:cs="Calibri"/>
          <w:lang w:val="en-GB"/>
        </w:rPr>
        <w:t>8.</w:t>
      </w:r>
    </w:p>
    <w:p w14:paraId="6708555D" w14:textId="77777777" w:rsidR="009C5883" w:rsidRPr="00C74E5F" w:rsidRDefault="009C5883" w:rsidP="00543A76">
      <w:pPr>
        <w:rPr>
          <w:rFonts w:asciiTheme="minorHAnsi" w:hAnsiTheme="minorHAnsi" w:cs="Calibri"/>
        </w:rPr>
      </w:pPr>
    </w:p>
    <w:tbl>
      <w:tblPr>
        <w:tblW w:w="4303" w:type="pct"/>
        <w:tblInd w:w="653" w:type="dxa"/>
        <w:tblLook w:val="00A0" w:firstRow="1" w:lastRow="0" w:firstColumn="1" w:lastColumn="0" w:noHBand="0" w:noVBand="0"/>
      </w:tblPr>
      <w:tblGrid>
        <w:gridCol w:w="2264"/>
        <w:gridCol w:w="1907"/>
        <w:gridCol w:w="1610"/>
        <w:gridCol w:w="2098"/>
        <w:gridCol w:w="21"/>
      </w:tblGrid>
      <w:tr w:rsidR="009C5883" w:rsidRPr="00C74E5F" w14:paraId="6806CB02" w14:textId="77777777" w:rsidTr="00FF4E2D">
        <w:trPr>
          <w:trHeight w:val="300"/>
          <w:tblHeader/>
        </w:trPr>
        <w:tc>
          <w:tcPr>
            <w:tcW w:w="5000" w:type="pct"/>
            <w:gridSpan w:val="5"/>
            <w:tcBorders>
              <w:top w:val="single" w:sz="4" w:space="0" w:color="006666"/>
              <w:left w:val="single" w:sz="4" w:space="0" w:color="006666"/>
              <w:bottom w:val="single" w:sz="4" w:space="0" w:color="006666"/>
              <w:right w:val="single" w:sz="4" w:space="0" w:color="006666"/>
            </w:tcBorders>
            <w:shd w:val="clear" w:color="auto" w:fill="009999"/>
            <w:vAlign w:val="bottom"/>
          </w:tcPr>
          <w:p w14:paraId="45BFBEC8" w14:textId="620C0E81" w:rsidR="009C5883" w:rsidRPr="00C74E5F" w:rsidRDefault="009C5883" w:rsidP="001E4840">
            <w:pPr>
              <w:pStyle w:val="tableheading"/>
              <w:rPr>
                <w:rFonts w:asciiTheme="minorHAnsi" w:hAnsiTheme="minorHAnsi"/>
                <w:lang w:val="en-US"/>
              </w:rPr>
            </w:pPr>
            <w:bookmarkStart w:id="254" w:name="_Toc474620472"/>
            <w:bookmarkStart w:id="255" w:name="_Toc505293145"/>
            <w:bookmarkStart w:id="256" w:name="_Toc509867353"/>
            <w:bookmarkStart w:id="257" w:name="_Toc23151159"/>
            <w:r w:rsidRPr="00C74E5F">
              <w:rPr>
                <w:rFonts w:asciiTheme="minorHAnsi" w:hAnsiTheme="minorHAnsi"/>
              </w:rPr>
              <w:t>Table 4.</w:t>
            </w:r>
            <w:r w:rsidR="001E4840" w:rsidRPr="00C74E5F">
              <w:rPr>
                <w:rFonts w:asciiTheme="minorHAnsi" w:hAnsiTheme="minorHAnsi"/>
              </w:rPr>
              <w:t>1</w:t>
            </w:r>
            <w:r w:rsidR="001E4840">
              <w:rPr>
                <w:rFonts w:asciiTheme="minorHAnsi" w:hAnsiTheme="minorHAnsi"/>
                <w:lang w:val="en-US"/>
              </w:rPr>
              <w:t>0</w:t>
            </w:r>
            <w:r w:rsidRPr="00C74E5F">
              <w:rPr>
                <w:rFonts w:asciiTheme="minorHAnsi" w:hAnsiTheme="minorHAnsi"/>
              </w:rPr>
              <w:tab/>
              <w:t>Comparative lower quartile rental price 2010-201</w:t>
            </w:r>
            <w:bookmarkEnd w:id="254"/>
            <w:bookmarkEnd w:id="255"/>
            <w:bookmarkEnd w:id="256"/>
            <w:r w:rsidR="00C74E5F">
              <w:rPr>
                <w:rFonts w:asciiTheme="minorHAnsi" w:hAnsiTheme="minorHAnsi"/>
                <w:lang w:val="en-US"/>
              </w:rPr>
              <w:t>8</w:t>
            </w:r>
            <w:bookmarkEnd w:id="257"/>
          </w:p>
        </w:tc>
      </w:tr>
      <w:tr w:rsidR="009C5883" w:rsidRPr="00C74E5F" w14:paraId="301A9B6C" w14:textId="77777777" w:rsidTr="00C74E5F">
        <w:trPr>
          <w:gridAfter w:val="1"/>
          <w:wAfter w:w="13" w:type="pct"/>
          <w:trHeight w:val="300"/>
        </w:trPr>
        <w:tc>
          <w:tcPr>
            <w:tcW w:w="1433" w:type="pct"/>
            <w:vMerge w:val="restart"/>
            <w:tcBorders>
              <w:top w:val="nil"/>
              <w:left w:val="single" w:sz="4" w:space="0" w:color="006666"/>
              <w:bottom w:val="single" w:sz="4" w:space="0" w:color="006666"/>
              <w:right w:val="single" w:sz="4" w:space="0" w:color="006666"/>
            </w:tcBorders>
            <w:shd w:val="clear" w:color="auto" w:fill="009999"/>
            <w:noWrap/>
            <w:vAlign w:val="bottom"/>
          </w:tcPr>
          <w:p w14:paraId="67A6E916" w14:textId="77777777" w:rsidR="009C5883" w:rsidRPr="00CE19D0" w:rsidRDefault="009C5883" w:rsidP="00FA273F">
            <w:pPr>
              <w:rPr>
                <w:rFonts w:asciiTheme="minorHAnsi" w:hAnsiTheme="minorHAnsi" w:cs="Calibri"/>
                <w:b/>
                <w:bCs/>
                <w:color w:val="FFFFFF"/>
                <w:sz w:val="22"/>
                <w:szCs w:val="22"/>
              </w:rPr>
            </w:pPr>
            <w:r w:rsidRPr="00CE19D0">
              <w:rPr>
                <w:rFonts w:asciiTheme="minorHAnsi" w:hAnsiTheme="minorHAnsi" w:cs="Calibri"/>
                <w:b/>
                <w:bCs/>
                <w:color w:val="FFFFFF"/>
                <w:sz w:val="22"/>
                <w:szCs w:val="22"/>
              </w:rPr>
              <w:t>Location</w:t>
            </w:r>
          </w:p>
        </w:tc>
        <w:tc>
          <w:tcPr>
            <w:tcW w:w="2226" w:type="pct"/>
            <w:gridSpan w:val="2"/>
            <w:tcBorders>
              <w:top w:val="nil"/>
              <w:left w:val="nil"/>
              <w:bottom w:val="single" w:sz="4" w:space="0" w:color="006666"/>
              <w:right w:val="single" w:sz="4" w:space="0" w:color="006666"/>
            </w:tcBorders>
            <w:shd w:val="clear" w:color="auto" w:fill="009999"/>
            <w:noWrap/>
            <w:vAlign w:val="bottom"/>
          </w:tcPr>
          <w:p w14:paraId="0948D746" w14:textId="77777777" w:rsidR="009C5883" w:rsidRPr="00C74E5F" w:rsidRDefault="009C5883" w:rsidP="00FA273F">
            <w:pPr>
              <w:jc w:val="center"/>
              <w:rPr>
                <w:rFonts w:asciiTheme="minorHAnsi" w:hAnsiTheme="minorHAnsi" w:cs="Calibri"/>
                <w:b/>
                <w:color w:val="FFFFFF"/>
                <w:sz w:val="22"/>
                <w:szCs w:val="22"/>
              </w:rPr>
            </w:pPr>
            <w:r w:rsidRPr="00C74E5F">
              <w:rPr>
                <w:rFonts w:asciiTheme="minorHAnsi" w:hAnsiTheme="minorHAnsi" w:cs="Calibri"/>
                <w:b/>
                <w:color w:val="FFFFFF"/>
                <w:sz w:val="22"/>
                <w:szCs w:val="22"/>
              </w:rPr>
              <w:t>Lower quartile price by year (£)</w:t>
            </w:r>
          </w:p>
        </w:tc>
        <w:tc>
          <w:tcPr>
            <w:tcW w:w="1328" w:type="pct"/>
            <w:vMerge w:val="restart"/>
            <w:tcBorders>
              <w:top w:val="nil"/>
              <w:left w:val="nil"/>
              <w:bottom w:val="single" w:sz="4" w:space="0" w:color="006666"/>
              <w:right w:val="single" w:sz="4" w:space="0" w:color="006666"/>
            </w:tcBorders>
            <w:shd w:val="clear" w:color="auto" w:fill="009999"/>
            <w:noWrap/>
            <w:vAlign w:val="bottom"/>
          </w:tcPr>
          <w:p w14:paraId="4A774995" w14:textId="77777777" w:rsidR="009C5883" w:rsidRPr="00CE19D0" w:rsidRDefault="009C5883" w:rsidP="00FA273F">
            <w:pPr>
              <w:jc w:val="center"/>
              <w:rPr>
                <w:rFonts w:asciiTheme="minorHAnsi" w:hAnsiTheme="minorHAnsi" w:cs="Calibri"/>
                <w:b/>
                <w:bCs/>
                <w:color w:val="FFFFFF"/>
                <w:sz w:val="22"/>
                <w:szCs w:val="22"/>
              </w:rPr>
            </w:pPr>
            <w:r w:rsidRPr="00CE19D0">
              <w:rPr>
                <w:rFonts w:asciiTheme="minorHAnsi" w:hAnsiTheme="minorHAnsi" w:cs="Calibri"/>
                <w:b/>
                <w:bCs/>
                <w:color w:val="FFFFFF"/>
                <w:sz w:val="22"/>
                <w:szCs w:val="22"/>
              </w:rPr>
              <w:t xml:space="preserve">% change </w:t>
            </w:r>
          </w:p>
          <w:p w14:paraId="5D4EB8F6" w14:textId="62A09991" w:rsidR="009C5883" w:rsidRPr="00CE19D0" w:rsidRDefault="009C5883" w:rsidP="00FA273F">
            <w:pPr>
              <w:jc w:val="center"/>
              <w:rPr>
                <w:rFonts w:asciiTheme="minorHAnsi" w:hAnsiTheme="minorHAnsi" w:cs="Calibri"/>
                <w:b/>
                <w:bCs/>
                <w:color w:val="FFFFFF"/>
                <w:sz w:val="22"/>
                <w:szCs w:val="22"/>
              </w:rPr>
            </w:pPr>
            <w:r w:rsidRPr="00CE19D0">
              <w:rPr>
                <w:rFonts w:asciiTheme="minorHAnsi" w:hAnsiTheme="minorHAnsi" w:cs="Calibri"/>
                <w:b/>
                <w:bCs/>
                <w:color w:val="FFFFFF"/>
                <w:sz w:val="22"/>
                <w:szCs w:val="22"/>
              </w:rPr>
              <w:t>2010-201</w:t>
            </w:r>
            <w:r w:rsidR="00C74E5F" w:rsidRPr="00CE19D0">
              <w:rPr>
                <w:rFonts w:asciiTheme="minorHAnsi" w:hAnsiTheme="minorHAnsi" w:cs="Calibri"/>
                <w:b/>
                <w:bCs/>
                <w:color w:val="FFFFFF"/>
                <w:sz w:val="22"/>
                <w:szCs w:val="22"/>
              </w:rPr>
              <w:t>8</w:t>
            </w:r>
          </w:p>
        </w:tc>
      </w:tr>
      <w:tr w:rsidR="009C5883" w:rsidRPr="00C74E5F" w14:paraId="4B400ED2" w14:textId="77777777" w:rsidTr="00C74E5F">
        <w:trPr>
          <w:gridAfter w:val="1"/>
          <w:wAfter w:w="13" w:type="pct"/>
          <w:trHeight w:val="300"/>
        </w:trPr>
        <w:tc>
          <w:tcPr>
            <w:tcW w:w="1433" w:type="pct"/>
            <w:vMerge/>
            <w:tcBorders>
              <w:top w:val="nil"/>
              <w:left w:val="single" w:sz="4" w:space="0" w:color="006666"/>
              <w:bottom w:val="single" w:sz="4" w:space="0" w:color="006666"/>
              <w:right w:val="single" w:sz="4" w:space="0" w:color="006666"/>
            </w:tcBorders>
            <w:shd w:val="clear" w:color="auto" w:fill="009999"/>
            <w:vAlign w:val="center"/>
          </w:tcPr>
          <w:p w14:paraId="07C940D9" w14:textId="77777777" w:rsidR="009C5883" w:rsidRPr="00C74E5F" w:rsidRDefault="009C5883" w:rsidP="00FA273F">
            <w:pPr>
              <w:rPr>
                <w:rFonts w:asciiTheme="minorHAnsi" w:hAnsiTheme="minorHAnsi" w:cs="Calibri"/>
                <w:color w:val="FFFFFF"/>
                <w:sz w:val="22"/>
                <w:szCs w:val="22"/>
              </w:rPr>
            </w:pPr>
          </w:p>
        </w:tc>
        <w:tc>
          <w:tcPr>
            <w:tcW w:w="1207" w:type="pct"/>
            <w:tcBorders>
              <w:top w:val="nil"/>
              <w:left w:val="nil"/>
              <w:bottom w:val="single" w:sz="4" w:space="0" w:color="006666"/>
              <w:right w:val="single" w:sz="4" w:space="0" w:color="006666"/>
            </w:tcBorders>
            <w:shd w:val="clear" w:color="auto" w:fill="009999"/>
            <w:noWrap/>
            <w:vAlign w:val="bottom"/>
          </w:tcPr>
          <w:p w14:paraId="4EC98AAA" w14:textId="77777777" w:rsidR="009C5883" w:rsidRPr="00C74E5F" w:rsidRDefault="009C5883" w:rsidP="00FA273F">
            <w:pPr>
              <w:jc w:val="center"/>
              <w:rPr>
                <w:rFonts w:asciiTheme="minorHAnsi" w:hAnsiTheme="minorHAnsi" w:cs="Calibri"/>
                <w:color w:val="FFFFFF"/>
                <w:sz w:val="22"/>
                <w:szCs w:val="22"/>
              </w:rPr>
            </w:pPr>
            <w:r w:rsidRPr="00C74E5F">
              <w:rPr>
                <w:rFonts w:asciiTheme="minorHAnsi" w:hAnsiTheme="minorHAnsi" w:cs="Calibri"/>
                <w:color w:val="FFFFFF"/>
                <w:sz w:val="22"/>
                <w:szCs w:val="22"/>
              </w:rPr>
              <w:t>2010</w:t>
            </w:r>
          </w:p>
        </w:tc>
        <w:tc>
          <w:tcPr>
            <w:tcW w:w="1019" w:type="pct"/>
            <w:tcBorders>
              <w:top w:val="nil"/>
              <w:left w:val="nil"/>
              <w:bottom w:val="single" w:sz="4" w:space="0" w:color="006666"/>
              <w:right w:val="single" w:sz="4" w:space="0" w:color="006666"/>
            </w:tcBorders>
            <w:shd w:val="clear" w:color="auto" w:fill="009999"/>
            <w:noWrap/>
            <w:vAlign w:val="bottom"/>
          </w:tcPr>
          <w:p w14:paraId="24D980B0" w14:textId="11C8251C" w:rsidR="009C5883" w:rsidRPr="00C74E5F" w:rsidRDefault="009C5883" w:rsidP="00FA273F">
            <w:pPr>
              <w:jc w:val="center"/>
              <w:rPr>
                <w:rFonts w:asciiTheme="minorHAnsi" w:hAnsiTheme="minorHAnsi" w:cs="Calibri"/>
                <w:color w:val="FFFFFF"/>
                <w:sz w:val="22"/>
                <w:szCs w:val="22"/>
              </w:rPr>
            </w:pPr>
            <w:r w:rsidRPr="00C74E5F">
              <w:rPr>
                <w:rFonts w:asciiTheme="minorHAnsi" w:hAnsiTheme="minorHAnsi" w:cs="Calibri"/>
                <w:color w:val="FFFFFF"/>
                <w:sz w:val="22"/>
                <w:szCs w:val="22"/>
              </w:rPr>
              <w:t>201</w:t>
            </w:r>
            <w:r w:rsidR="00C74E5F" w:rsidRPr="00C74E5F">
              <w:rPr>
                <w:rFonts w:asciiTheme="minorHAnsi" w:hAnsiTheme="minorHAnsi" w:cs="Calibri"/>
                <w:color w:val="FFFFFF"/>
                <w:sz w:val="22"/>
                <w:szCs w:val="22"/>
              </w:rPr>
              <w:t>8</w:t>
            </w:r>
          </w:p>
        </w:tc>
        <w:tc>
          <w:tcPr>
            <w:tcW w:w="1328" w:type="pct"/>
            <w:vMerge/>
            <w:tcBorders>
              <w:top w:val="nil"/>
              <w:left w:val="nil"/>
              <w:bottom w:val="single" w:sz="4" w:space="0" w:color="006666"/>
              <w:right w:val="single" w:sz="4" w:space="0" w:color="006666"/>
            </w:tcBorders>
            <w:shd w:val="clear" w:color="auto" w:fill="009999"/>
            <w:vAlign w:val="center"/>
          </w:tcPr>
          <w:p w14:paraId="472AAD1D" w14:textId="77777777" w:rsidR="009C5883" w:rsidRPr="00C74E5F" w:rsidRDefault="009C5883" w:rsidP="00FA273F">
            <w:pPr>
              <w:rPr>
                <w:rFonts w:asciiTheme="minorHAnsi" w:hAnsiTheme="minorHAnsi" w:cs="Calibri"/>
                <w:color w:val="FFFFFF"/>
                <w:sz w:val="22"/>
                <w:szCs w:val="22"/>
              </w:rPr>
            </w:pPr>
          </w:p>
        </w:tc>
      </w:tr>
      <w:tr w:rsidR="009C5883" w:rsidRPr="00C74E5F" w14:paraId="1BE76C78" w14:textId="77777777" w:rsidTr="00C74E5F">
        <w:trPr>
          <w:gridAfter w:val="1"/>
          <w:wAfter w:w="13" w:type="pct"/>
          <w:trHeight w:val="300"/>
        </w:trPr>
        <w:tc>
          <w:tcPr>
            <w:tcW w:w="1433" w:type="pct"/>
            <w:tcBorders>
              <w:top w:val="nil"/>
              <w:left w:val="single" w:sz="4" w:space="0" w:color="006666"/>
              <w:bottom w:val="single" w:sz="4" w:space="0" w:color="006666"/>
              <w:right w:val="single" w:sz="4" w:space="0" w:color="006666"/>
            </w:tcBorders>
            <w:shd w:val="clear" w:color="auto" w:fill="FFFFFF"/>
            <w:noWrap/>
          </w:tcPr>
          <w:p w14:paraId="73856D98" w14:textId="77777777" w:rsidR="009C5883" w:rsidRPr="00C74E5F" w:rsidRDefault="00786D9B" w:rsidP="00FA273F">
            <w:pPr>
              <w:rPr>
                <w:rFonts w:asciiTheme="minorHAnsi" w:hAnsiTheme="minorHAnsi" w:cs="Calibri"/>
                <w:color w:val="000000"/>
                <w:sz w:val="22"/>
                <w:szCs w:val="22"/>
              </w:rPr>
            </w:pPr>
            <w:r w:rsidRPr="00C74E5F">
              <w:rPr>
                <w:rFonts w:asciiTheme="minorHAnsi" w:hAnsiTheme="minorHAnsi" w:cs="Calibri"/>
                <w:color w:val="000000"/>
                <w:sz w:val="22"/>
                <w:szCs w:val="22"/>
              </w:rPr>
              <w:t xml:space="preserve">Borough of </w:t>
            </w:r>
            <w:r w:rsidR="00706C9B" w:rsidRPr="00C74E5F">
              <w:rPr>
                <w:rFonts w:asciiTheme="minorHAnsi" w:hAnsiTheme="minorHAnsi" w:cs="Calibri"/>
                <w:color w:val="000000"/>
                <w:sz w:val="22"/>
                <w:szCs w:val="22"/>
              </w:rPr>
              <w:t>Lewisham</w:t>
            </w:r>
          </w:p>
        </w:tc>
        <w:tc>
          <w:tcPr>
            <w:tcW w:w="1207" w:type="pct"/>
            <w:tcBorders>
              <w:top w:val="nil"/>
              <w:left w:val="nil"/>
              <w:bottom w:val="single" w:sz="4" w:space="0" w:color="006666"/>
              <w:right w:val="single" w:sz="4" w:space="0" w:color="006666"/>
            </w:tcBorders>
            <w:shd w:val="clear" w:color="auto" w:fill="FFFFFF"/>
            <w:noWrap/>
          </w:tcPr>
          <w:p w14:paraId="60CA6238" w14:textId="77777777" w:rsidR="009C5883" w:rsidRPr="00C74E5F" w:rsidRDefault="006F2024"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797</w:t>
            </w:r>
          </w:p>
        </w:tc>
        <w:tc>
          <w:tcPr>
            <w:tcW w:w="1019" w:type="pct"/>
            <w:tcBorders>
              <w:top w:val="nil"/>
              <w:left w:val="nil"/>
              <w:bottom w:val="single" w:sz="4" w:space="0" w:color="006666"/>
              <w:right w:val="single" w:sz="4" w:space="0" w:color="006666"/>
            </w:tcBorders>
            <w:shd w:val="clear" w:color="auto" w:fill="FFFFFF"/>
            <w:noWrap/>
          </w:tcPr>
          <w:p w14:paraId="4F26DDE0" w14:textId="77777777" w:rsidR="009C5883" w:rsidRPr="00C74E5F" w:rsidRDefault="006F2024"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1,001</w:t>
            </w:r>
          </w:p>
        </w:tc>
        <w:tc>
          <w:tcPr>
            <w:tcW w:w="1328" w:type="pct"/>
            <w:tcBorders>
              <w:top w:val="nil"/>
              <w:left w:val="nil"/>
              <w:bottom w:val="single" w:sz="4" w:space="0" w:color="006666"/>
              <w:right w:val="single" w:sz="4" w:space="0" w:color="006666"/>
            </w:tcBorders>
            <w:shd w:val="clear" w:color="auto" w:fill="FFFFFF"/>
            <w:noWrap/>
          </w:tcPr>
          <w:p w14:paraId="211ACAEB" w14:textId="0EAEA68D" w:rsidR="009C5883" w:rsidRPr="00C74E5F" w:rsidRDefault="00C74E5F"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25.6</w:t>
            </w:r>
          </w:p>
        </w:tc>
      </w:tr>
      <w:tr w:rsidR="009C5883" w:rsidRPr="00C74E5F" w14:paraId="3BFDC06B" w14:textId="77777777" w:rsidTr="00C74E5F">
        <w:trPr>
          <w:gridAfter w:val="1"/>
          <w:wAfter w:w="13" w:type="pct"/>
          <w:trHeight w:val="300"/>
        </w:trPr>
        <w:tc>
          <w:tcPr>
            <w:tcW w:w="1433" w:type="pct"/>
            <w:tcBorders>
              <w:top w:val="nil"/>
              <w:left w:val="single" w:sz="4" w:space="0" w:color="006666"/>
              <w:bottom w:val="single" w:sz="4" w:space="0" w:color="006666"/>
              <w:right w:val="single" w:sz="4" w:space="0" w:color="006666"/>
            </w:tcBorders>
            <w:shd w:val="clear" w:color="auto" w:fill="FFFFFF"/>
            <w:noWrap/>
          </w:tcPr>
          <w:p w14:paraId="1838FBEE" w14:textId="77777777" w:rsidR="009C5883" w:rsidRPr="00C74E5F" w:rsidRDefault="009C5883" w:rsidP="00FA273F">
            <w:pPr>
              <w:rPr>
                <w:rFonts w:asciiTheme="minorHAnsi" w:hAnsiTheme="minorHAnsi" w:cs="Calibri"/>
                <w:color w:val="000000"/>
                <w:sz w:val="22"/>
                <w:szCs w:val="22"/>
              </w:rPr>
            </w:pPr>
            <w:r w:rsidRPr="00C74E5F">
              <w:rPr>
                <w:rFonts w:asciiTheme="minorHAnsi" w:hAnsiTheme="minorHAnsi" w:cs="Calibri"/>
                <w:color w:val="000000"/>
                <w:sz w:val="22"/>
                <w:szCs w:val="22"/>
              </w:rPr>
              <w:t>London</w:t>
            </w:r>
          </w:p>
        </w:tc>
        <w:tc>
          <w:tcPr>
            <w:tcW w:w="1207" w:type="pct"/>
            <w:tcBorders>
              <w:top w:val="nil"/>
              <w:left w:val="nil"/>
              <w:bottom w:val="single" w:sz="4" w:space="0" w:color="006666"/>
              <w:right w:val="single" w:sz="4" w:space="0" w:color="006666"/>
            </w:tcBorders>
            <w:shd w:val="clear" w:color="auto" w:fill="FFFFFF"/>
            <w:noWrap/>
          </w:tcPr>
          <w:p w14:paraId="5D25A61C" w14:textId="77777777" w:rsidR="009C5883" w:rsidRPr="00C74E5F" w:rsidRDefault="009C384D"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1,036</w:t>
            </w:r>
          </w:p>
        </w:tc>
        <w:tc>
          <w:tcPr>
            <w:tcW w:w="1019" w:type="pct"/>
            <w:tcBorders>
              <w:top w:val="nil"/>
              <w:left w:val="nil"/>
              <w:bottom w:val="single" w:sz="4" w:space="0" w:color="006666"/>
              <w:right w:val="single" w:sz="4" w:space="0" w:color="006666"/>
            </w:tcBorders>
            <w:shd w:val="clear" w:color="auto" w:fill="FFFFFF"/>
            <w:noWrap/>
          </w:tcPr>
          <w:p w14:paraId="08627969" w14:textId="77777777" w:rsidR="009C5883" w:rsidRPr="00C74E5F" w:rsidRDefault="009C384D"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1,248</w:t>
            </w:r>
          </w:p>
        </w:tc>
        <w:tc>
          <w:tcPr>
            <w:tcW w:w="1328" w:type="pct"/>
            <w:tcBorders>
              <w:top w:val="nil"/>
              <w:left w:val="nil"/>
              <w:bottom w:val="single" w:sz="4" w:space="0" w:color="006666"/>
              <w:right w:val="single" w:sz="4" w:space="0" w:color="006666"/>
            </w:tcBorders>
            <w:shd w:val="clear" w:color="auto" w:fill="FFFFFF"/>
            <w:noWrap/>
          </w:tcPr>
          <w:p w14:paraId="44D86093" w14:textId="367B34EA" w:rsidR="009C5883" w:rsidRPr="00C74E5F" w:rsidRDefault="00C74E5F"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20.5</w:t>
            </w:r>
          </w:p>
        </w:tc>
      </w:tr>
      <w:tr w:rsidR="009C5883" w:rsidRPr="00C74E5F" w14:paraId="3AF3634E" w14:textId="77777777" w:rsidTr="00C74E5F">
        <w:trPr>
          <w:gridAfter w:val="1"/>
          <w:wAfter w:w="13" w:type="pct"/>
          <w:trHeight w:val="300"/>
        </w:trPr>
        <w:tc>
          <w:tcPr>
            <w:tcW w:w="1433" w:type="pct"/>
            <w:tcBorders>
              <w:top w:val="nil"/>
              <w:left w:val="single" w:sz="4" w:space="0" w:color="006666"/>
              <w:bottom w:val="single" w:sz="4" w:space="0" w:color="006666"/>
              <w:right w:val="single" w:sz="4" w:space="0" w:color="006666"/>
            </w:tcBorders>
            <w:shd w:val="clear" w:color="auto" w:fill="FFFFFF"/>
            <w:noWrap/>
          </w:tcPr>
          <w:p w14:paraId="10CB9A9F" w14:textId="77777777" w:rsidR="009C5883" w:rsidRPr="00C74E5F" w:rsidRDefault="009C5883" w:rsidP="00FA273F">
            <w:pPr>
              <w:rPr>
                <w:rFonts w:asciiTheme="minorHAnsi" w:hAnsiTheme="minorHAnsi" w:cs="Calibri"/>
                <w:color w:val="000000"/>
                <w:sz w:val="22"/>
                <w:szCs w:val="22"/>
              </w:rPr>
            </w:pPr>
            <w:r w:rsidRPr="00C74E5F">
              <w:rPr>
                <w:rFonts w:asciiTheme="minorHAnsi" w:hAnsiTheme="minorHAnsi" w:cs="Calibri"/>
                <w:sz w:val="22"/>
                <w:szCs w:val="22"/>
              </w:rPr>
              <w:t>South East</w:t>
            </w:r>
          </w:p>
        </w:tc>
        <w:tc>
          <w:tcPr>
            <w:tcW w:w="1207" w:type="pct"/>
            <w:tcBorders>
              <w:top w:val="nil"/>
              <w:left w:val="nil"/>
              <w:bottom w:val="single" w:sz="4" w:space="0" w:color="006666"/>
              <w:right w:val="single" w:sz="4" w:space="0" w:color="006666"/>
            </w:tcBorders>
            <w:shd w:val="clear" w:color="auto" w:fill="FFFFFF"/>
            <w:noWrap/>
          </w:tcPr>
          <w:p w14:paraId="6DF77FC1" w14:textId="77777777" w:rsidR="009C5883" w:rsidRPr="00C74E5F" w:rsidRDefault="009C384D"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646</w:t>
            </w:r>
          </w:p>
        </w:tc>
        <w:tc>
          <w:tcPr>
            <w:tcW w:w="1019" w:type="pct"/>
            <w:tcBorders>
              <w:top w:val="nil"/>
              <w:left w:val="nil"/>
              <w:bottom w:val="single" w:sz="4" w:space="0" w:color="006666"/>
              <w:right w:val="single" w:sz="4" w:space="0" w:color="006666"/>
            </w:tcBorders>
            <w:shd w:val="clear" w:color="auto" w:fill="FFFFFF"/>
            <w:noWrap/>
          </w:tcPr>
          <w:p w14:paraId="4AECFF95" w14:textId="77777777" w:rsidR="009C5883" w:rsidRPr="00C74E5F" w:rsidRDefault="009C384D"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776</w:t>
            </w:r>
          </w:p>
        </w:tc>
        <w:tc>
          <w:tcPr>
            <w:tcW w:w="1328" w:type="pct"/>
            <w:tcBorders>
              <w:top w:val="nil"/>
              <w:left w:val="nil"/>
              <w:bottom w:val="single" w:sz="4" w:space="0" w:color="006666"/>
              <w:right w:val="single" w:sz="4" w:space="0" w:color="006666"/>
            </w:tcBorders>
            <w:shd w:val="clear" w:color="auto" w:fill="FFFFFF"/>
            <w:noWrap/>
          </w:tcPr>
          <w:p w14:paraId="0115C356" w14:textId="1889AEFC" w:rsidR="009C5883" w:rsidRPr="00C74E5F" w:rsidRDefault="00C74E5F"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20.1</w:t>
            </w:r>
          </w:p>
        </w:tc>
      </w:tr>
      <w:tr w:rsidR="009C5883" w:rsidRPr="00C74E5F" w14:paraId="29770332" w14:textId="77777777" w:rsidTr="00C74E5F">
        <w:trPr>
          <w:gridAfter w:val="1"/>
          <w:wAfter w:w="13" w:type="pct"/>
          <w:trHeight w:val="300"/>
        </w:trPr>
        <w:tc>
          <w:tcPr>
            <w:tcW w:w="1433" w:type="pct"/>
            <w:tcBorders>
              <w:top w:val="nil"/>
              <w:left w:val="single" w:sz="4" w:space="0" w:color="006666"/>
              <w:bottom w:val="single" w:sz="4" w:space="0" w:color="006666"/>
              <w:right w:val="single" w:sz="4" w:space="0" w:color="006666"/>
            </w:tcBorders>
            <w:shd w:val="clear" w:color="auto" w:fill="FFFFFF"/>
            <w:noWrap/>
          </w:tcPr>
          <w:p w14:paraId="26356F7F" w14:textId="77777777" w:rsidR="009C5883" w:rsidRPr="00C74E5F" w:rsidRDefault="009C5883" w:rsidP="00FA273F">
            <w:pPr>
              <w:rPr>
                <w:rFonts w:asciiTheme="minorHAnsi" w:hAnsiTheme="minorHAnsi" w:cs="Calibri"/>
                <w:b/>
                <w:bCs/>
                <w:color w:val="000000"/>
                <w:sz w:val="22"/>
                <w:szCs w:val="22"/>
              </w:rPr>
            </w:pPr>
            <w:r w:rsidRPr="00C74E5F">
              <w:rPr>
                <w:rFonts w:asciiTheme="minorHAnsi" w:hAnsiTheme="minorHAnsi" w:cs="Calibri"/>
                <w:sz w:val="22"/>
                <w:szCs w:val="22"/>
              </w:rPr>
              <w:t>England</w:t>
            </w:r>
          </w:p>
        </w:tc>
        <w:tc>
          <w:tcPr>
            <w:tcW w:w="1207" w:type="pct"/>
            <w:tcBorders>
              <w:top w:val="nil"/>
              <w:left w:val="nil"/>
              <w:bottom w:val="single" w:sz="4" w:space="0" w:color="006666"/>
              <w:right w:val="single" w:sz="4" w:space="0" w:color="006666"/>
            </w:tcBorders>
            <w:shd w:val="clear" w:color="auto" w:fill="FFFFFF"/>
            <w:noWrap/>
          </w:tcPr>
          <w:p w14:paraId="6B031701" w14:textId="77777777" w:rsidR="009C5883" w:rsidRPr="00C74E5F" w:rsidRDefault="009C384D" w:rsidP="00A406E8">
            <w:pPr>
              <w:jc w:val="right"/>
              <w:rPr>
                <w:rFonts w:asciiTheme="minorHAnsi" w:hAnsiTheme="minorHAnsi" w:cs="Calibri"/>
                <w:bCs/>
                <w:color w:val="000000"/>
                <w:sz w:val="22"/>
                <w:szCs w:val="22"/>
              </w:rPr>
            </w:pPr>
            <w:r w:rsidRPr="00C74E5F">
              <w:rPr>
                <w:rFonts w:asciiTheme="minorHAnsi" w:hAnsiTheme="minorHAnsi" w:cs="Calibri"/>
                <w:bCs/>
                <w:color w:val="000000"/>
                <w:sz w:val="22"/>
                <w:szCs w:val="22"/>
              </w:rPr>
              <w:t>598</w:t>
            </w:r>
          </w:p>
        </w:tc>
        <w:tc>
          <w:tcPr>
            <w:tcW w:w="1019" w:type="pct"/>
            <w:tcBorders>
              <w:top w:val="nil"/>
              <w:left w:val="nil"/>
              <w:bottom w:val="single" w:sz="4" w:space="0" w:color="006666"/>
              <w:right w:val="single" w:sz="4" w:space="0" w:color="006666"/>
            </w:tcBorders>
            <w:shd w:val="clear" w:color="auto" w:fill="FFFFFF"/>
            <w:noWrap/>
          </w:tcPr>
          <w:p w14:paraId="70966038" w14:textId="77777777" w:rsidR="009C5883" w:rsidRPr="00C74E5F" w:rsidRDefault="009C384D" w:rsidP="00A406E8">
            <w:pPr>
              <w:jc w:val="right"/>
              <w:rPr>
                <w:rFonts w:asciiTheme="minorHAnsi" w:hAnsiTheme="minorHAnsi" w:cs="Calibri"/>
                <w:bCs/>
                <w:color w:val="000000"/>
                <w:sz w:val="22"/>
                <w:szCs w:val="22"/>
              </w:rPr>
            </w:pPr>
            <w:r w:rsidRPr="00C74E5F">
              <w:rPr>
                <w:rFonts w:asciiTheme="minorHAnsi" w:hAnsiTheme="minorHAnsi" w:cs="Calibri"/>
                <w:bCs/>
                <w:color w:val="000000"/>
                <w:sz w:val="22"/>
                <w:szCs w:val="22"/>
              </w:rPr>
              <w:t>676</w:t>
            </w:r>
          </w:p>
        </w:tc>
        <w:tc>
          <w:tcPr>
            <w:tcW w:w="1328" w:type="pct"/>
            <w:tcBorders>
              <w:top w:val="nil"/>
              <w:left w:val="nil"/>
              <w:bottom w:val="single" w:sz="4" w:space="0" w:color="006666"/>
              <w:right w:val="single" w:sz="4" w:space="0" w:color="006666"/>
            </w:tcBorders>
            <w:shd w:val="clear" w:color="auto" w:fill="FFFFFF"/>
            <w:noWrap/>
          </w:tcPr>
          <w:p w14:paraId="53F6430C" w14:textId="2CF1F5D8" w:rsidR="009C5883" w:rsidRPr="00C74E5F" w:rsidRDefault="00C74E5F" w:rsidP="00A406E8">
            <w:pPr>
              <w:jc w:val="right"/>
              <w:rPr>
                <w:rFonts w:asciiTheme="minorHAnsi" w:hAnsiTheme="minorHAnsi" w:cs="Calibri"/>
                <w:bCs/>
                <w:color w:val="000000"/>
                <w:sz w:val="22"/>
                <w:szCs w:val="22"/>
              </w:rPr>
            </w:pPr>
            <w:r w:rsidRPr="00C74E5F">
              <w:rPr>
                <w:rFonts w:asciiTheme="minorHAnsi" w:hAnsiTheme="minorHAnsi" w:cs="Calibri"/>
                <w:bCs/>
                <w:color w:val="000000"/>
                <w:sz w:val="22"/>
                <w:szCs w:val="22"/>
              </w:rPr>
              <w:t>13.0</w:t>
            </w:r>
          </w:p>
        </w:tc>
      </w:tr>
    </w:tbl>
    <w:p w14:paraId="55C254DA" w14:textId="77777777" w:rsidR="009C5883" w:rsidRPr="00C74E5F" w:rsidRDefault="009C5883" w:rsidP="00543A76">
      <w:pPr>
        <w:ind w:firstLine="709"/>
        <w:rPr>
          <w:rFonts w:asciiTheme="minorHAnsi" w:hAnsiTheme="minorHAnsi" w:cs="Calibri"/>
          <w:sz w:val="20"/>
          <w:szCs w:val="20"/>
        </w:rPr>
      </w:pPr>
      <w:r w:rsidRPr="00C74E5F">
        <w:rPr>
          <w:rFonts w:asciiTheme="minorHAnsi" w:hAnsiTheme="minorHAnsi" w:cs="Calibri"/>
          <w:sz w:val="20"/>
          <w:szCs w:val="20"/>
        </w:rPr>
        <w:t>Source: Zoopla PPD 2018</w:t>
      </w:r>
    </w:p>
    <w:p w14:paraId="1B3E182C" w14:textId="448B40D0" w:rsidR="009C5883" w:rsidRPr="00C74E5F" w:rsidRDefault="009C5883" w:rsidP="00FA273F">
      <w:pPr>
        <w:pStyle w:val="Reporttext"/>
        <w:numPr>
          <w:ilvl w:val="0"/>
          <w:numId w:val="0"/>
        </w:numPr>
        <w:ind w:left="709" w:hanging="709"/>
        <w:rPr>
          <w:rFonts w:asciiTheme="minorHAnsi" w:hAnsiTheme="minorHAnsi" w:cs="Calibri"/>
          <w:lang w:val="en-GB"/>
        </w:rPr>
      </w:pPr>
    </w:p>
    <w:tbl>
      <w:tblPr>
        <w:tblW w:w="4308" w:type="pct"/>
        <w:jc w:val="center"/>
        <w:tblLook w:val="00A0" w:firstRow="1" w:lastRow="0" w:firstColumn="1" w:lastColumn="0" w:noHBand="0" w:noVBand="0"/>
      </w:tblPr>
      <w:tblGrid>
        <w:gridCol w:w="2314"/>
        <w:gridCol w:w="1816"/>
        <w:gridCol w:w="1640"/>
        <w:gridCol w:w="2128"/>
        <w:gridCol w:w="11"/>
      </w:tblGrid>
      <w:tr w:rsidR="00C74E5F" w:rsidRPr="00C74E5F" w14:paraId="20758A11" w14:textId="77777777" w:rsidTr="00FF4E2D">
        <w:trPr>
          <w:trHeight w:val="300"/>
          <w:tblHeader/>
          <w:jc w:val="center"/>
        </w:trPr>
        <w:tc>
          <w:tcPr>
            <w:tcW w:w="5000" w:type="pct"/>
            <w:gridSpan w:val="5"/>
            <w:tcBorders>
              <w:top w:val="single" w:sz="4" w:space="0" w:color="006666"/>
              <w:left w:val="single" w:sz="4" w:space="0" w:color="006666"/>
              <w:bottom w:val="single" w:sz="4" w:space="0" w:color="006666"/>
              <w:right w:val="single" w:sz="4" w:space="0" w:color="006666"/>
            </w:tcBorders>
            <w:shd w:val="clear" w:color="auto" w:fill="009999"/>
            <w:vAlign w:val="bottom"/>
          </w:tcPr>
          <w:p w14:paraId="6472BACF" w14:textId="05FAFBED" w:rsidR="00C74E5F" w:rsidRPr="00C74E5F" w:rsidRDefault="00C74E5F" w:rsidP="001E4840">
            <w:pPr>
              <w:pStyle w:val="tableheading"/>
              <w:rPr>
                <w:rFonts w:asciiTheme="minorHAnsi" w:hAnsiTheme="minorHAnsi"/>
                <w:lang w:val="en-US"/>
              </w:rPr>
            </w:pPr>
            <w:bookmarkStart w:id="258" w:name="_Toc23151160"/>
            <w:r w:rsidRPr="00C74E5F">
              <w:rPr>
                <w:rFonts w:asciiTheme="minorHAnsi" w:hAnsiTheme="minorHAnsi"/>
              </w:rPr>
              <w:t>Table 4.</w:t>
            </w:r>
            <w:r w:rsidR="001E4840" w:rsidRPr="00C74E5F">
              <w:rPr>
                <w:rFonts w:asciiTheme="minorHAnsi" w:hAnsiTheme="minorHAnsi"/>
              </w:rPr>
              <w:t>1</w:t>
            </w:r>
            <w:r w:rsidR="001E4840">
              <w:rPr>
                <w:rFonts w:asciiTheme="minorHAnsi" w:hAnsiTheme="minorHAnsi"/>
                <w:lang w:val="en-US"/>
              </w:rPr>
              <w:t>1</w:t>
            </w:r>
            <w:r w:rsidRPr="00C74E5F">
              <w:rPr>
                <w:rFonts w:asciiTheme="minorHAnsi" w:hAnsiTheme="minorHAnsi"/>
              </w:rPr>
              <w:tab/>
              <w:t>Comparative median rental price 2010-201</w:t>
            </w:r>
            <w:r>
              <w:rPr>
                <w:rFonts w:asciiTheme="minorHAnsi" w:hAnsiTheme="minorHAnsi"/>
                <w:lang w:val="en-US"/>
              </w:rPr>
              <w:t>8</w:t>
            </w:r>
            <w:bookmarkEnd w:id="258"/>
          </w:p>
        </w:tc>
      </w:tr>
      <w:tr w:rsidR="00C74E5F" w:rsidRPr="00C74E5F" w14:paraId="7D55FDC0" w14:textId="77777777" w:rsidTr="00715936">
        <w:trPr>
          <w:gridAfter w:val="1"/>
          <w:wAfter w:w="7" w:type="pct"/>
          <w:trHeight w:val="300"/>
          <w:jc w:val="center"/>
        </w:trPr>
        <w:tc>
          <w:tcPr>
            <w:tcW w:w="1463" w:type="pct"/>
            <w:vMerge w:val="restart"/>
            <w:tcBorders>
              <w:top w:val="nil"/>
              <w:left w:val="single" w:sz="4" w:space="0" w:color="006666"/>
              <w:bottom w:val="single" w:sz="4" w:space="0" w:color="006666"/>
              <w:right w:val="single" w:sz="4" w:space="0" w:color="006666"/>
            </w:tcBorders>
            <w:shd w:val="clear" w:color="auto" w:fill="009999"/>
            <w:noWrap/>
            <w:vAlign w:val="bottom"/>
          </w:tcPr>
          <w:p w14:paraId="583E731C" w14:textId="77777777" w:rsidR="00C74E5F" w:rsidRPr="00CE19D0" w:rsidRDefault="00C74E5F" w:rsidP="00715936">
            <w:pPr>
              <w:rPr>
                <w:rFonts w:asciiTheme="minorHAnsi" w:hAnsiTheme="minorHAnsi" w:cs="Calibri"/>
                <w:b/>
                <w:bCs/>
                <w:color w:val="FFFFFF"/>
                <w:sz w:val="22"/>
                <w:szCs w:val="22"/>
              </w:rPr>
            </w:pPr>
            <w:r w:rsidRPr="00CE19D0">
              <w:rPr>
                <w:rFonts w:asciiTheme="minorHAnsi" w:hAnsiTheme="minorHAnsi" w:cs="Calibri"/>
                <w:b/>
                <w:bCs/>
                <w:color w:val="FFFFFF"/>
                <w:sz w:val="22"/>
                <w:szCs w:val="22"/>
              </w:rPr>
              <w:t>Location</w:t>
            </w:r>
          </w:p>
        </w:tc>
        <w:tc>
          <w:tcPr>
            <w:tcW w:w="2185" w:type="pct"/>
            <w:gridSpan w:val="2"/>
            <w:tcBorders>
              <w:top w:val="nil"/>
              <w:left w:val="nil"/>
              <w:bottom w:val="single" w:sz="4" w:space="0" w:color="006666"/>
              <w:right w:val="single" w:sz="4" w:space="0" w:color="006666"/>
            </w:tcBorders>
            <w:shd w:val="clear" w:color="auto" w:fill="009999"/>
            <w:noWrap/>
            <w:vAlign w:val="bottom"/>
          </w:tcPr>
          <w:p w14:paraId="6ED2D734" w14:textId="77777777" w:rsidR="00C74E5F" w:rsidRPr="00C74E5F" w:rsidRDefault="00C74E5F" w:rsidP="00715936">
            <w:pPr>
              <w:jc w:val="center"/>
              <w:rPr>
                <w:rFonts w:asciiTheme="minorHAnsi" w:hAnsiTheme="minorHAnsi" w:cs="Calibri"/>
                <w:b/>
                <w:color w:val="FFFFFF"/>
                <w:sz w:val="22"/>
                <w:szCs w:val="22"/>
              </w:rPr>
            </w:pPr>
            <w:r w:rsidRPr="00C74E5F">
              <w:rPr>
                <w:rFonts w:asciiTheme="minorHAnsi" w:hAnsiTheme="minorHAnsi" w:cs="Calibri"/>
                <w:b/>
                <w:color w:val="FFFFFF"/>
                <w:sz w:val="22"/>
                <w:szCs w:val="22"/>
              </w:rPr>
              <w:t>Median price by year (£)</w:t>
            </w:r>
          </w:p>
        </w:tc>
        <w:tc>
          <w:tcPr>
            <w:tcW w:w="1345" w:type="pct"/>
            <w:vMerge w:val="restart"/>
            <w:tcBorders>
              <w:top w:val="nil"/>
              <w:left w:val="nil"/>
              <w:bottom w:val="single" w:sz="4" w:space="0" w:color="006666"/>
              <w:right w:val="single" w:sz="4" w:space="0" w:color="006666"/>
            </w:tcBorders>
            <w:shd w:val="clear" w:color="auto" w:fill="009999"/>
            <w:noWrap/>
            <w:vAlign w:val="bottom"/>
          </w:tcPr>
          <w:p w14:paraId="2996E485" w14:textId="77777777" w:rsidR="00C74E5F" w:rsidRPr="00CE19D0" w:rsidRDefault="00C74E5F" w:rsidP="00715936">
            <w:pPr>
              <w:jc w:val="center"/>
              <w:rPr>
                <w:rFonts w:asciiTheme="minorHAnsi" w:hAnsiTheme="minorHAnsi" w:cs="Calibri"/>
                <w:b/>
                <w:bCs/>
                <w:color w:val="FFFFFF"/>
                <w:sz w:val="22"/>
                <w:szCs w:val="22"/>
              </w:rPr>
            </w:pPr>
            <w:r w:rsidRPr="00CE19D0">
              <w:rPr>
                <w:rFonts w:asciiTheme="minorHAnsi" w:hAnsiTheme="minorHAnsi" w:cs="Calibri"/>
                <w:b/>
                <w:bCs/>
                <w:color w:val="FFFFFF"/>
                <w:sz w:val="22"/>
                <w:szCs w:val="22"/>
              </w:rPr>
              <w:t xml:space="preserve">% change </w:t>
            </w:r>
          </w:p>
          <w:p w14:paraId="1CC99B42" w14:textId="38651230" w:rsidR="00C74E5F" w:rsidRPr="00CE19D0" w:rsidRDefault="00C74E5F" w:rsidP="00715936">
            <w:pPr>
              <w:jc w:val="center"/>
              <w:rPr>
                <w:rFonts w:asciiTheme="minorHAnsi" w:hAnsiTheme="minorHAnsi" w:cs="Calibri"/>
                <w:b/>
                <w:bCs/>
                <w:color w:val="FFFFFF"/>
                <w:sz w:val="22"/>
                <w:szCs w:val="22"/>
              </w:rPr>
            </w:pPr>
            <w:r w:rsidRPr="00CE19D0">
              <w:rPr>
                <w:rFonts w:asciiTheme="minorHAnsi" w:hAnsiTheme="minorHAnsi" w:cs="Calibri"/>
                <w:b/>
                <w:bCs/>
                <w:color w:val="FFFFFF"/>
                <w:sz w:val="22"/>
                <w:szCs w:val="22"/>
              </w:rPr>
              <w:t>2010-2018</w:t>
            </w:r>
          </w:p>
        </w:tc>
      </w:tr>
      <w:tr w:rsidR="00C74E5F" w:rsidRPr="00C74E5F" w14:paraId="097F1681" w14:textId="77777777" w:rsidTr="00715936">
        <w:trPr>
          <w:gridAfter w:val="1"/>
          <w:wAfter w:w="7" w:type="pct"/>
          <w:trHeight w:val="300"/>
          <w:jc w:val="center"/>
        </w:trPr>
        <w:tc>
          <w:tcPr>
            <w:tcW w:w="1463" w:type="pct"/>
            <w:vMerge/>
            <w:tcBorders>
              <w:top w:val="nil"/>
              <w:left w:val="single" w:sz="4" w:space="0" w:color="006666"/>
              <w:bottom w:val="single" w:sz="4" w:space="0" w:color="006666"/>
              <w:right w:val="single" w:sz="4" w:space="0" w:color="006666"/>
            </w:tcBorders>
            <w:shd w:val="clear" w:color="auto" w:fill="009999"/>
            <w:vAlign w:val="center"/>
          </w:tcPr>
          <w:p w14:paraId="66F4B997" w14:textId="77777777" w:rsidR="00C74E5F" w:rsidRPr="00C74E5F" w:rsidRDefault="00C74E5F" w:rsidP="00715936">
            <w:pPr>
              <w:rPr>
                <w:rFonts w:asciiTheme="minorHAnsi" w:hAnsiTheme="minorHAnsi" w:cs="Calibri"/>
                <w:color w:val="FFFFFF"/>
                <w:sz w:val="22"/>
                <w:szCs w:val="22"/>
              </w:rPr>
            </w:pPr>
          </w:p>
        </w:tc>
        <w:tc>
          <w:tcPr>
            <w:tcW w:w="1148" w:type="pct"/>
            <w:tcBorders>
              <w:top w:val="nil"/>
              <w:left w:val="nil"/>
              <w:bottom w:val="single" w:sz="4" w:space="0" w:color="006666"/>
              <w:right w:val="single" w:sz="4" w:space="0" w:color="006666"/>
            </w:tcBorders>
            <w:shd w:val="clear" w:color="auto" w:fill="009999"/>
            <w:noWrap/>
            <w:vAlign w:val="bottom"/>
          </w:tcPr>
          <w:p w14:paraId="5580C606" w14:textId="77777777" w:rsidR="00C74E5F" w:rsidRPr="00C74E5F" w:rsidRDefault="00C74E5F" w:rsidP="00715936">
            <w:pPr>
              <w:jc w:val="center"/>
              <w:rPr>
                <w:rFonts w:asciiTheme="minorHAnsi" w:hAnsiTheme="minorHAnsi" w:cs="Calibri"/>
                <w:color w:val="FFFFFF"/>
                <w:sz w:val="22"/>
                <w:szCs w:val="22"/>
              </w:rPr>
            </w:pPr>
            <w:r w:rsidRPr="00C74E5F">
              <w:rPr>
                <w:rFonts w:asciiTheme="minorHAnsi" w:hAnsiTheme="minorHAnsi" w:cs="Calibri"/>
                <w:color w:val="FFFFFF"/>
                <w:sz w:val="22"/>
                <w:szCs w:val="22"/>
              </w:rPr>
              <w:t>2010</w:t>
            </w:r>
          </w:p>
        </w:tc>
        <w:tc>
          <w:tcPr>
            <w:tcW w:w="1037" w:type="pct"/>
            <w:tcBorders>
              <w:top w:val="nil"/>
              <w:left w:val="nil"/>
              <w:bottom w:val="single" w:sz="4" w:space="0" w:color="006666"/>
              <w:right w:val="single" w:sz="4" w:space="0" w:color="006666"/>
            </w:tcBorders>
            <w:shd w:val="clear" w:color="auto" w:fill="009999"/>
            <w:noWrap/>
            <w:vAlign w:val="bottom"/>
          </w:tcPr>
          <w:p w14:paraId="4839AACC" w14:textId="5FBB2304" w:rsidR="00C74E5F" w:rsidRPr="00C74E5F" w:rsidRDefault="00C74E5F" w:rsidP="00715936">
            <w:pPr>
              <w:jc w:val="center"/>
              <w:rPr>
                <w:rFonts w:asciiTheme="minorHAnsi" w:hAnsiTheme="minorHAnsi" w:cs="Calibri"/>
                <w:color w:val="FFFFFF"/>
                <w:sz w:val="22"/>
                <w:szCs w:val="22"/>
              </w:rPr>
            </w:pPr>
            <w:r w:rsidRPr="00C74E5F">
              <w:rPr>
                <w:rFonts w:asciiTheme="minorHAnsi" w:hAnsiTheme="minorHAnsi" w:cs="Calibri"/>
                <w:color w:val="FFFFFF"/>
                <w:sz w:val="22"/>
                <w:szCs w:val="22"/>
              </w:rPr>
              <w:t>2018</w:t>
            </w:r>
          </w:p>
        </w:tc>
        <w:tc>
          <w:tcPr>
            <w:tcW w:w="1345" w:type="pct"/>
            <w:vMerge/>
            <w:tcBorders>
              <w:top w:val="nil"/>
              <w:left w:val="nil"/>
              <w:bottom w:val="single" w:sz="4" w:space="0" w:color="006666"/>
              <w:right w:val="single" w:sz="4" w:space="0" w:color="006666"/>
            </w:tcBorders>
            <w:shd w:val="clear" w:color="auto" w:fill="009999"/>
            <w:vAlign w:val="center"/>
          </w:tcPr>
          <w:p w14:paraId="675A2D0C" w14:textId="77777777" w:rsidR="00C74E5F" w:rsidRPr="00C74E5F" w:rsidRDefault="00C74E5F" w:rsidP="00715936">
            <w:pPr>
              <w:rPr>
                <w:rFonts w:asciiTheme="minorHAnsi" w:hAnsiTheme="minorHAnsi" w:cs="Calibri"/>
                <w:color w:val="FFFFFF"/>
                <w:sz w:val="22"/>
                <w:szCs w:val="22"/>
              </w:rPr>
            </w:pPr>
          </w:p>
        </w:tc>
      </w:tr>
      <w:tr w:rsidR="00C74E5F" w:rsidRPr="00C74E5F" w14:paraId="473CF346" w14:textId="77777777" w:rsidTr="00715936">
        <w:trPr>
          <w:gridAfter w:val="1"/>
          <w:wAfter w:w="7" w:type="pct"/>
          <w:trHeight w:val="300"/>
          <w:jc w:val="center"/>
        </w:trPr>
        <w:tc>
          <w:tcPr>
            <w:tcW w:w="1463" w:type="pct"/>
            <w:tcBorders>
              <w:top w:val="nil"/>
              <w:left w:val="single" w:sz="4" w:space="0" w:color="006666"/>
              <w:bottom w:val="single" w:sz="4" w:space="0" w:color="006666"/>
              <w:right w:val="single" w:sz="4" w:space="0" w:color="006666"/>
            </w:tcBorders>
            <w:shd w:val="clear" w:color="auto" w:fill="FFFFFF"/>
            <w:noWrap/>
          </w:tcPr>
          <w:p w14:paraId="6B8F10FA" w14:textId="77777777" w:rsidR="00C74E5F" w:rsidRPr="00C74E5F" w:rsidRDefault="00C74E5F" w:rsidP="00C74E5F">
            <w:pPr>
              <w:rPr>
                <w:rFonts w:asciiTheme="minorHAnsi" w:hAnsiTheme="minorHAnsi" w:cs="Calibri"/>
                <w:color w:val="000000"/>
                <w:sz w:val="22"/>
                <w:szCs w:val="22"/>
              </w:rPr>
            </w:pPr>
            <w:r w:rsidRPr="00C74E5F">
              <w:rPr>
                <w:rFonts w:asciiTheme="minorHAnsi" w:hAnsiTheme="minorHAnsi" w:cs="Calibri"/>
                <w:sz w:val="22"/>
                <w:szCs w:val="22"/>
              </w:rPr>
              <w:t xml:space="preserve">Borough of Lewisham </w:t>
            </w:r>
          </w:p>
        </w:tc>
        <w:tc>
          <w:tcPr>
            <w:tcW w:w="1148" w:type="pct"/>
            <w:tcBorders>
              <w:top w:val="nil"/>
              <w:left w:val="nil"/>
              <w:bottom w:val="single" w:sz="4" w:space="0" w:color="006666"/>
              <w:right w:val="single" w:sz="4" w:space="0" w:color="006666"/>
            </w:tcBorders>
            <w:shd w:val="clear" w:color="auto" w:fill="FFFFFF"/>
            <w:noWrap/>
          </w:tcPr>
          <w:p w14:paraId="6A8B36E9" w14:textId="77777777" w:rsidR="00C74E5F" w:rsidRPr="00C74E5F" w:rsidRDefault="00C74E5F"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927</w:t>
            </w:r>
          </w:p>
        </w:tc>
        <w:tc>
          <w:tcPr>
            <w:tcW w:w="1037" w:type="pct"/>
            <w:tcBorders>
              <w:top w:val="nil"/>
              <w:left w:val="nil"/>
              <w:bottom w:val="single" w:sz="4" w:space="0" w:color="006666"/>
              <w:right w:val="single" w:sz="4" w:space="0" w:color="006666"/>
            </w:tcBorders>
            <w:shd w:val="clear" w:color="auto" w:fill="FFFFFF"/>
            <w:noWrap/>
          </w:tcPr>
          <w:p w14:paraId="79C67EA7" w14:textId="06C54F49" w:rsidR="00C74E5F" w:rsidRPr="00C74E5F" w:rsidRDefault="00C74E5F"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1,301</w:t>
            </w:r>
          </w:p>
        </w:tc>
        <w:tc>
          <w:tcPr>
            <w:tcW w:w="1345" w:type="pct"/>
            <w:tcBorders>
              <w:top w:val="nil"/>
              <w:left w:val="nil"/>
              <w:bottom w:val="single" w:sz="4" w:space="0" w:color="006666"/>
              <w:right w:val="single" w:sz="4" w:space="0" w:color="006666"/>
            </w:tcBorders>
            <w:shd w:val="clear" w:color="auto" w:fill="FFFFFF"/>
            <w:noWrap/>
            <w:vAlign w:val="center"/>
          </w:tcPr>
          <w:p w14:paraId="4EF5D017" w14:textId="399706C7" w:rsidR="00C74E5F" w:rsidRPr="00C74E5F" w:rsidRDefault="00C74E5F" w:rsidP="00A406E8">
            <w:pPr>
              <w:jc w:val="right"/>
              <w:rPr>
                <w:rFonts w:asciiTheme="minorHAnsi" w:hAnsiTheme="minorHAnsi" w:cs="Calibri"/>
                <w:color w:val="000000"/>
                <w:sz w:val="22"/>
                <w:szCs w:val="22"/>
              </w:rPr>
            </w:pPr>
            <w:r w:rsidRPr="00C74E5F">
              <w:rPr>
                <w:color w:val="000000"/>
                <w:sz w:val="22"/>
                <w:szCs w:val="22"/>
              </w:rPr>
              <w:t>40.3</w:t>
            </w:r>
          </w:p>
        </w:tc>
      </w:tr>
      <w:tr w:rsidR="00C74E5F" w:rsidRPr="00C74E5F" w14:paraId="796D0679" w14:textId="77777777" w:rsidTr="00715936">
        <w:trPr>
          <w:gridAfter w:val="1"/>
          <w:wAfter w:w="7" w:type="pct"/>
          <w:trHeight w:val="300"/>
          <w:jc w:val="center"/>
        </w:trPr>
        <w:tc>
          <w:tcPr>
            <w:tcW w:w="1463" w:type="pct"/>
            <w:tcBorders>
              <w:top w:val="nil"/>
              <w:left w:val="single" w:sz="4" w:space="0" w:color="006666"/>
              <w:bottom w:val="single" w:sz="4" w:space="0" w:color="006666"/>
              <w:right w:val="single" w:sz="4" w:space="0" w:color="006666"/>
            </w:tcBorders>
            <w:shd w:val="clear" w:color="auto" w:fill="FFFFFF"/>
            <w:noWrap/>
          </w:tcPr>
          <w:p w14:paraId="084D9402" w14:textId="77777777" w:rsidR="00C74E5F" w:rsidRPr="00C74E5F" w:rsidRDefault="00C74E5F" w:rsidP="00C74E5F">
            <w:pPr>
              <w:rPr>
                <w:rFonts w:asciiTheme="minorHAnsi" w:hAnsiTheme="minorHAnsi" w:cs="Calibri"/>
                <w:color w:val="000000"/>
                <w:sz w:val="22"/>
                <w:szCs w:val="22"/>
              </w:rPr>
            </w:pPr>
            <w:r w:rsidRPr="00C74E5F">
              <w:rPr>
                <w:rFonts w:asciiTheme="minorHAnsi" w:hAnsiTheme="minorHAnsi" w:cs="Calibri"/>
                <w:sz w:val="22"/>
                <w:szCs w:val="22"/>
              </w:rPr>
              <w:t>London</w:t>
            </w:r>
          </w:p>
        </w:tc>
        <w:tc>
          <w:tcPr>
            <w:tcW w:w="1148" w:type="pct"/>
            <w:tcBorders>
              <w:top w:val="nil"/>
              <w:left w:val="nil"/>
              <w:bottom w:val="single" w:sz="4" w:space="0" w:color="006666"/>
              <w:right w:val="single" w:sz="4" w:space="0" w:color="006666"/>
            </w:tcBorders>
            <w:shd w:val="clear" w:color="auto" w:fill="FFFFFF"/>
            <w:noWrap/>
          </w:tcPr>
          <w:p w14:paraId="2333C075" w14:textId="77777777" w:rsidR="00C74E5F" w:rsidRPr="00C74E5F" w:rsidRDefault="00C74E5F"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1,408</w:t>
            </w:r>
          </w:p>
        </w:tc>
        <w:tc>
          <w:tcPr>
            <w:tcW w:w="1037" w:type="pct"/>
            <w:tcBorders>
              <w:top w:val="nil"/>
              <w:left w:val="nil"/>
              <w:bottom w:val="single" w:sz="4" w:space="0" w:color="006666"/>
              <w:right w:val="single" w:sz="4" w:space="0" w:color="006666"/>
            </w:tcBorders>
            <w:shd w:val="clear" w:color="auto" w:fill="FFFFFF"/>
            <w:noWrap/>
          </w:tcPr>
          <w:p w14:paraId="136B1708" w14:textId="57E6C755" w:rsidR="00C74E5F" w:rsidRPr="00C74E5F" w:rsidRDefault="00C74E5F"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1,643</w:t>
            </w:r>
          </w:p>
        </w:tc>
        <w:tc>
          <w:tcPr>
            <w:tcW w:w="1345" w:type="pct"/>
            <w:tcBorders>
              <w:top w:val="nil"/>
              <w:left w:val="nil"/>
              <w:bottom w:val="single" w:sz="4" w:space="0" w:color="006666"/>
              <w:right w:val="single" w:sz="4" w:space="0" w:color="006666"/>
            </w:tcBorders>
            <w:shd w:val="clear" w:color="auto" w:fill="FFFFFF"/>
            <w:noWrap/>
            <w:vAlign w:val="center"/>
          </w:tcPr>
          <w:p w14:paraId="0E5F4F2C" w14:textId="6AE1991A" w:rsidR="00C74E5F" w:rsidRPr="00C74E5F" w:rsidRDefault="00C74E5F" w:rsidP="00A406E8">
            <w:pPr>
              <w:jc w:val="right"/>
              <w:rPr>
                <w:rFonts w:asciiTheme="minorHAnsi" w:hAnsiTheme="minorHAnsi" w:cs="Calibri"/>
                <w:color w:val="000000"/>
                <w:sz w:val="22"/>
                <w:szCs w:val="22"/>
              </w:rPr>
            </w:pPr>
            <w:r w:rsidRPr="00C74E5F">
              <w:rPr>
                <w:color w:val="000000"/>
                <w:sz w:val="22"/>
                <w:szCs w:val="22"/>
              </w:rPr>
              <w:t>16.7</w:t>
            </w:r>
          </w:p>
        </w:tc>
      </w:tr>
      <w:tr w:rsidR="00C74E5F" w:rsidRPr="00C74E5F" w14:paraId="02607772" w14:textId="77777777" w:rsidTr="00715936">
        <w:trPr>
          <w:gridAfter w:val="1"/>
          <w:wAfter w:w="7" w:type="pct"/>
          <w:trHeight w:val="300"/>
          <w:jc w:val="center"/>
        </w:trPr>
        <w:tc>
          <w:tcPr>
            <w:tcW w:w="1463" w:type="pct"/>
            <w:tcBorders>
              <w:top w:val="nil"/>
              <w:left w:val="single" w:sz="4" w:space="0" w:color="006666"/>
              <w:bottom w:val="single" w:sz="4" w:space="0" w:color="006666"/>
              <w:right w:val="single" w:sz="4" w:space="0" w:color="006666"/>
            </w:tcBorders>
            <w:shd w:val="clear" w:color="auto" w:fill="FFFFFF"/>
            <w:noWrap/>
          </w:tcPr>
          <w:p w14:paraId="669E58B3" w14:textId="77777777" w:rsidR="00C74E5F" w:rsidRPr="00C74E5F" w:rsidRDefault="00C74E5F" w:rsidP="00C74E5F">
            <w:pPr>
              <w:rPr>
                <w:rFonts w:asciiTheme="minorHAnsi" w:hAnsiTheme="minorHAnsi" w:cs="Calibri"/>
                <w:color w:val="000000"/>
                <w:sz w:val="22"/>
                <w:szCs w:val="22"/>
              </w:rPr>
            </w:pPr>
            <w:r w:rsidRPr="00C74E5F">
              <w:rPr>
                <w:rFonts w:asciiTheme="minorHAnsi" w:hAnsiTheme="minorHAnsi" w:cs="Calibri"/>
                <w:color w:val="000000" w:themeColor="text1"/>
                <w:sz w:val="22"/>
                <w:szCs w:val="22"/>
              </w:rPr>
              <w:t>South East</w:t>
            </w:r>
          </w:p>
        </w:tc>
        <w:tc>
          <w:tcPr>
            <w:tcW w:w="1148" w:type="pct"/>
            <w:tcBorders>
              <w:top w:val="nil"/>
              <w:left w:val="nil"/>
              <w:bottom w:val="single" w:sz="4" w:space="0" w:color="006666"/>
              <w:right w:val="single" w:sz="4" w:space="0" w:color="006666"/>
            </w:tcBorders>
            <w:shd w:val="clear" w:color="auto" w:fill="FFFFFF"/>
            <w:noWrap/>
          </w:tcPr>
          <w:p w14:paraId="63BDB7E5" w14:textId="77777777" w:rsidR="00C74E5F" w:rsidRPr="00C74E5F" w:rsidRDefault="00C74E5F"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797</w:t>
            </w:r>
          </w:p>
        </w:tc>
        <w:tc>
          <w:tcPr>
            <w:tcW w:w="1037" w:type="pct"/>
            <w:tcBorders>
              <w:top w:val="nil"/>
              <w:left w:val="nil"/>
              <w:bottom w:val="single" w:sz="4" w:space="0" w:color="006666"/>
              <w:right w:val="single" w:sz="4" w:space="0" w:color="006666"/>
            </w:tcBorders>
            <w:shd w:val="clear" w:color="auto" w:fill="FFFFFF"/>
            <w:noWrap/>
          </w:tcPr>
          <w:p w14:paraId="0044C97A" w14:textId="57760E55" w:rsidR="00C74E5F" w:rsidRPr="00C74E5F" w:rsidRDefault="00C74E5F" w:rsidP="00A406E8">
            <w:pPr>
              <w:jc w:val="right"/>
              <w:rPr>
                <w:rFonts w:asciiTheme="minorHAnsi" w:hAnsiTheme="minorHAnsi" w:cs="Calibri"/>
                <w:color w:val="000000"/>
                <w:sz w:val="22"/>
                <w:szCs w:val="22"/>
              </w:rPr>
            </w:pPr>
            <w:r w:rsidRPr="00C74E5F">
              <w:rPr>
                <w:rFonts w:asciiTheme="minorHAnsi" w:hAnsiTheme="minorHAnsi" w:cs="Calibri"/>
                <w:color w:val="000000"/>
                <w:sz w:val="22"/>
                <w:szCs w:val="22"/>
              </w:rPr>
              <w:t>975</w:t>
            </w:r>
          </w:p>
        </w:tc>
        <w:tc>
          <w:tcPr>
            <w:tcW w:w="1345" w:type="pct"/>
            <w:tcBorders>
              <w:top w:val="nil"/>
              <w:left w:val="nil"/>
              <w:bottom w:val="single" w:sz="4" w:space="0" w:color="006666"/>
              <w:right w:val="single" w:sz="4" w:space="0" w:color="006666"/>
            </w:tcBorders>
            <w:shd w:val="clear" w:color="auto" w:fill="FFFFFF"/>
            <w:noWrap/>
            <w:vAlign w:val="center"/>
          </w:tcPr>
          <w:p w14:paraId="69F1F568" w14:textId="6BBB6BEC" w:rsidR="00C74E5F" w:rsidRPr="00C74E5F" w:rsidRDefault="00C74E5F" w:rsidP="00A406E8">
            <w:pPr>
              <w:jc w:val="right"/>
              <w:rPr>
                <w:rFonts w:asciiTheme="minorHAnsi" w:hAnsiTheme="minorHAnsi" w:cs="Calibri"/>
                <w:color w:val="000000"/>
                <w:sz w:val="22"/>
                <w:szCs w:val="22"/>
              </w:rPr>
            </w:pPr>
            <w:r w:rsidRPr="00C74E5F">
              <w:rPr>
                <w:color w:val="000000"/>
                <w:sz w:val="22"/>
                <w:szCs w:val="22"/>
              </w:rPr>
              <w:t>22.3</w:t>
            </w:r>
          </w:p>
        </w:tc>
      </w:tr>
      <w:tr w:rsidR="00C74E5F" w:rsidRPr="00C74E5F" w14:paraId="41D747F9" w14:textId="77777777" w:rsidTr="00715936">
        <w:trPr>
          <w:gridAfter w:val="1"/>
          <w:wAfter w:w="7" w:type="pct"/>
          <w:trHeight w:val="300"/>
          <w:jc w:val="center"/>
        </w:trPr>
        <w:tc>
          <w:tcPr>
            <w:tcW w:w="1463" w:type="pct"/>
            <w:tcBorders>
              <w:top w:val="nil"/>
              <w:left w:val="single" w:sz="4" w:space="0" w:color="006666"/>
              <w:bottom w:val="single" w:sz="4" w:space="0" w:color="006666"/>
              <w:right w:val="single" w:sz="4" w:space="0" w:color="006666"/>
            </w:tcBorders>
            <w:shd w:val="clear" w:color="auto" w:fill="FFFFFF"/>
            <w:noWrap/>
          </w:tcPr>
          <w:p w14:paraId="49D2F80D" w14:textId="77777777" w:rsidR="00C74E5F" w:rsidRPr="00C74E5F" w:rsidRDefault="00C74E5F" w:rsidP="00C74E5F">
            <w:pPr>
              <w:rPr>
                <w:rFonts w:asciiTheme="minorHAnsi" w:hAnsiTheme="minorHAnsi" w:cs="Calibri"/>
                <w:b/>
                <w:bCs/>
                <w:color w:val="000000"/>
                <w:sz w:val="22"/>
                <w:szCs w:val="22"/>
              </w:rPr>
            </w:pPr>
            <w:r w:rsidRPr="00C74E5F">
              <w:rPr>
                <w:rFonts w:asciiTheme="minorHAnsi" w:hAnsiTheme="minorHAnsi" w:cs="Calibri"/>
                <w:sz w:val="22"/>
                <w:szCs w:val="22"/>
              </w:rPr>
              <w:t>England</w:t>
            </w:r>
          </w:p>
        </w:tc>
        <w:tc>
          <w:tcPr>
            <w:tcW w:w="1148" w:type="pct"/>
            <w:tcBorders>
              <w:top w:val="nil"/>
              <w:left w:val="nil"/>
              <w:bottom w:val="single" w:sz="4" w:space="0" w:color="006666"/>
              <w:right w:val="single" w:sz="4" w:space="0" w:color="006666"/>
            </w:tcBorders>
            <w:shd w:val="clear" w:color="auto" w:fill="FFFFFF"/>
            <w:noWrap/>
          </w:tcPr>
          <w:p w14:paraId="3D82E7F0" w14:textId="77777777" w:rsidR="00C74E5F" w:rsidRPr="00C74E5F" w:rsidRDefault="00C74E5F" w:rsidP="00A406E8">
            <w:pPr>
              <w:jc w:val="right"/>
              <w:rPr>
                <w:rFonts w:asciiTheme="minorHAnsi" w:hAnsiTheme="minorHAnsi" w:cs="Calibri"/>
                <w:bCs/>
                <w:color w:val="000000"/>
                <w:sz w:val="22"/>
                <w:szCs w:val="22"/>
              </w:rPr>
            </w:pPr>
            <w:r w:rsidRPr="00C74E5F">
              <w:rPr>
                <w:rFonts w:asciiTheme="minorHAnsi" w:hAnsiTheme="minorHAnsi" w:cs="Calibri"/>
                <w:bCs/>
                <w:color w:val="000000"/>
                <w:sz w:val="22"/>
                <w:szCs w:val="22"/>
              </w:rPr>
              <w:t>893</w:t>
            </w:r>
          </w:p>
        </w:tc>
        <w:tc>
          <w:tcPr>
            <w:tcW w:w="1037" w:type="pct"/>
            <w:tcBorders>
              <w:top w:val="nil"/>
              <w:left w:val="nil"/>
              <w:bottom w:val="single" w:sz="4" w:space="0" w:color="006666"/>
              <w:right w:val="single" w:sz="4" w:space="0" w:color="006666"/>
            </w:tcBorders>
            <w:shd w:val="clear" w:color="auto" w:fill="FFFFFF"/>
            <w:noWrap/>
          </w:tcPr>
          <w:p w14:paraId="6208AB2A" w14:textId="5C7CC6CA" w:rsidR="00C74E5F" w:rsidRPr="00C74E5F" w:rsidRDefault="00C74E5F" w:rsidP="00A406E8">
            <w:pPr>
              <w:jc w:val="right"/>
              <w:rPr>
                <w:rFonts w:asciiTheme="minorHAnsi" w:hAnsiTheme="minorHAnsi" w:cs="Calibri"/>
                <w:bCs/>
                <w:color w:val="000000"/>
                <w:sz w:val="22"/>
                <w:szCs w:val="22"/>
              </w:rPr>
            </w:pPr>
            <w:r w:rsidRPr="00C74E5F">
              <w:rPr>
                <w:rFonts w:asciiTheme="minorHAnsi" w:hAnsiTheme="minorHAnsi" w:cs="Calibri"/>
                <w:bCs/>
                <w:color w:val="000000"/>
                <w:sz w:val="22"/>
                <w:szCs w:val="22"/>
              </w:rPr>
              <w:t>1,075</w:t>
            </w:r>
          </w:p>
        </w:tc>
        <w:tc>
          <w:tcPr>
            <w:tcW w:w="1345" w:type="pct"/>
            <w:tcBorders>
              <w:top w:val="nil"/>
              <w:left w:val="nil"/>
              <w:bottom w:val="single" w:sz="4" w:space="0" w:color="006666"/>
              <w:right w:val="single" w:sz="4" w:space="0" w:color="006666"/>
            </w:tcBorders>
            <w:shd w:val="clear" w:color="auto" w:fill="FFFFFF"/>
            <w:noWrap/>
            <w:vAlign w:val="center"/>
          </w:tcPr>
          <w:p w14:paraId="019B6751" w14:textId="10282D81" w:rsidR="00C74E5F" w:rsidRPr="00C74E5F" w:rsidRDefault="00C74E5F" w:rsidP="00A406E8">
            <w:pPr>
              <w:jc w:val="right"/>
              <w:rPr>
                <w:rFonts w:asciiTheme="minorHAnsi" w:hAnsiTheme="minorHAnsi" w:cs="Calibri"/>
                <w:bCs/>
                <w:color w:val="000000"/>
                <w:sz w:val="22"/>
                <w:szCs w:val="22"/>
              </w:rPr>
            </w:pPr>
            <w:r w:rsidRPr="00C74E5F">
              <w:rPr>
                <w:color w:val="000000"/>
                <w:sz w:val="22"/>
                <w:szCs w:val="22"/>
              </w:rPr>
              <w:t>20.4</w:t>
            </w:r>
          </w:p>
        </w:tc>
      </w:tr>
    </w:tbl>
    <w:p w14:paraId="2D4252E4" w14:textId="77777777" w:rsidR="00C74E5F" w:rsidRPr="00C74E5F" w:rsidRDefault="00C74E5F" w:rsidP="00FA273F">
      <w:pPr>
        <w:pStyle w:val="Reporttext"/>
        <w:numPr>
          <w:ilvl w:val="0"/>
          <w:numId w:val="0"/>
        </w:numPr>
        <w:ind w:left="709" w:hanging="709"/>
        <w:rPr>
          <w:rFonts w:asciiTheme="minorHAnsi" w:hAnsiTheme="minorHAnsi" w:cs="Calibri"/>
          <w:lang w:val="en-GB"/>
        </w:rPr>
      </w:pPr>
    </w:p>
    <w:p w14:paraId="383215D1" w14:textId="4058A2F0" w:rsidR="00A83CBA" w:rsidRPr="00C74E5F" w:rsidRDefault="00A83CBA" w:rsidP="00543A76">
      <w:pPr>
        <w:pStyle w:val="Reporttext"/>
        <w:rPr>
          <w:rFonts w:asciiTheme="minorHAnsi" w:hAnsiTheme="minorHAnsi" w:cs="Calibri"/>
          <w:lang w:val="en-GB"/>
        </w:rPr>
      </w:pPr>
      <w:r w:rsidRPr="00C74E5F">
        <w:rPr>
          <w:rFonts w:asciiTheme="minorHAnsi" w:hAnsiTheme="minorHAnsi" w:cs="Calibri"/>
          <w:lang w:val="en-GB"/>
        </w:rPr>
        <w:t>In terms of spatial variation, Map 4.</w:t>
      </w:r>
      <w:r w:rsidR="00CB5F44" w:rsidRPr="00C74E5F">
        <w:rPr>
          <w:rFonts w:asciiTheme="minorHAnsi" w:hAnsiTheme="minorHAnsi" w:cs="Calibri"/>
          <w:lang w:val="en-GB"/>
        </w:rPr>
        <w:t>2</w:t>
      </w:r>
      <w:r w:rsidRPr="00C74E5F">
        <w:rPr>
          <w:rFonts w:asciiTheme="minorHAnsi" w:hAnsiTheme="minorHAnsi" w:cs="Calibri"/>
          <w:lang w:val="en-GB"/>
        </w:rPr>
        <w:t xml:space="preserve"> shows 201</w:t>
      </w:r>
      <w:r w:rsidR="00C74E5F">
        <w:rPr>
          <w:rFonts w:asciiTheme="minorHAnsi" w:hAnsiTheme="minorHAnsi" w:cs="Calibri"/>
          <w:lang w:val="en-GB"/>
        </w:rPr>
        <w:t>8</w:t>
      </w:r>
      <w:r w:rsidRPr="00C74E5F">
        <w:rPr>
          <w:rFonts w:asciiTheme="minorHAnsi" w:hAnsiTheme="minorHAnsi" w:cs="Calibri"/>
          <w:lang w:val="en-GB"/>
        </w:rPr>
        <w:t xml:space="preserve"> median rents across the wards. This indicates that private rents tend to be highest in </w:t>
      </w:r>
      <w:r w:rsidR="003F794A" w:rsidRPr="00C74E5F">
        <w:rPr>
          <w:rFonts w:asciiTheme="minorHAnsi" w:hAnsiTheme="minorHAnsi" w:cs="Calibri"/>
          <w:lang w:val="en-GB"/>
        </w:rPr>
        <w:t>Evelyn ward</w:t>
      </w:r>
      <w:r w:rsidRPr="00C74E5F">
        <w:rPr>
          <w:rFonts w:asciiTheme="minorHAnsi" w:hAnsiTheme="minorHAnsi" w:cs="Calibri"/>
          <w:lang w:val="en-GB"/>
        </w:rPr>
        <w:t xml:space="preserve">, and lowest in the </w:t>
      </w:r>
      <w:r w:rsidR="003F794A" w:rsidRPr="00C74E5F">
        <w:rPr>
          <w:rFonts w:asciiTheme="minorHAnsi" w:hAnsiTheme="minorHAnsi" w:cs="Calibri"/>
          <w:lang w:val="en-GB"/>
        </w:rPr>
        <w:t>wards towards the south of the borough</w:t>
      </w:r>
      <w:r w:rsidRPr="00C74E5F">
        <w:rPr>
          <w:rFonts w:asciiTheme="minorHAnsi" w:hAnsiTheme="minorHAnsi" w:cs="Calibri"/>
          <w:lang w:val="en-GB"/>
        </w:rPr>
        <w:t>.</w:t>
      </w:r>
    </w:p>
    <w:p w14:paraId="34DDE3F0" w14:textId="77777777" w:rsidR="00D47664" w:rsidRPr="0067297E" w:rsidRDefault="00D47664" w:rsidP="006C722F">
      <w:pPr>
        <w:rPr>
          <w:rFonts w:asciiTheme="minorHAnsi" w:hAnsiTheme="minorHAnsi" w:cs="Calibri"/>
          <w:highlight w:val="yellow"/>
        </w:rPr>
      </w:pPr>
    </w:p>
    <w:p w14:paraId="3F7E2AF4" w14:textId="34278E2D" w:rsidR="00312B87" w:rsidRPr="0067297E" w:rsidRDefault="00312B87">
      <w:pPr>
        <w:rPr>
          <w:rFonts w:asciiTheme="minorHAnsi" w:hAnsiTheme="minorHAnsi" w:cs="Calibri"/>
          <w:b/>
          <w:color w:val="009999"/>
          <w:sz w:val="22"/>
          <w:highlight w:val="yellow"/>
          <w:lang w:val="x-none"/>
        </w:rPr>
      </w:pPr>
    </w:p>
    <w:p w14:paraId="62A58C7F" w14:textId="77777777" w:rsidR="00C74E5F" w:rsidRDefault="00C74E5F" w:rsidP="006C722F">
      <w:pPr>
        <w:pStyle w:val="mapheading"/>
        <w:rPr>
          <w:rFonts w:asciiTheme="minorHAnsi" w:hAnsiTheme="minorHAnsi" w:cs="Calibri"/>
          <w:highlight w:val="yellow"/>
          <w:lang w:val="en-GB"/>
        </w:rPr>
        <w:sectPr w:rsidR="00C74E5F" w:rsidSect="00E40456">
          <w:headerReference w:type="default" r:id="rId53"/>
          <w:footerReference w:type="default" r:id="rId54"/>
          <w:type w:val="continuous"/>
          <w:pgSz w:w="11906" w:h="16838"/>
          <w:pgMar w:top="1440" w:right="1276" w:bottom="1134" w:left="1440" w:header="708" w:footer="708" w:gutter="0"/>
          <w:cols w:space="708"/>
          <w:docGrid w:linePitch="360"/>
        </w:sectPr>
      </w:pPr>
    </w:p>
    <w:p w14:paraId="632AFF8C" w14:textId="3F6A0DF0" w:rsidR="00A83CBA" w:rsidRPr="00C74E5F" w:rsidRDefault="00A83CBA" w:rsidP="006C722F">
      <w:pPr>
        <w:pStyle w:val="mapheading"/>
        <w:rPr>
          <w:rFonts w:asciiTheme="minorHAnsi" w:hAnsiTheme="minorHAnsi" w:cs="Calibri"/>
          <w:lang w:val="en-GB"/>
        </w:rPr>
      </w:pPr>
      <w:bookmarkStart w:id="259" w:name="_Toc23151245"/>
      <w:r w:rsidRPr="00C74E5F">
        <w:rPr>
          <w:rFonts w:asciiTheme="minorHAnsi" w:hAnsiTheme="minorHAnsi" w:cs="Calibri"/>
          <w:lang w:val="en-GB"/>
        </w:rPr>
        <w:t>Map 4.</w:t>
      </w:r>
      <w:r w:rsidR="00CB5F44" w:rsidRPr="00C74E5F">
        <w:rPr>
          <w:rFonts w:asciiTheme="minorHAnsi" w:hAnsiTheme="minorHAnsi" w:cs="Calibri"/>
          <w:lang w:val="en-GB"/>
        </w:rPr>
        <w:t>2</w:t>
      </w:r>
      <w:r w:rsidRPr="00C74E5F">
        <w:rPr>
          <w:rFonts w:asciiTheme="minorHAnsi" w:hAnsiTheme="minorHAnsi" w:cs="Calibri"/>
          <w:lang w:val="en-GB"/>
        </w:rPr>
        <w:tab/>
        <w:t xml:space="preserve">2017 median rents across </w:t>
      </w:r>
      <w:r w:rsidR="00706C9B" w:rsidRPr="00C74E5F">
        <w:rPr>
          <w:rFonts w:asciiTheme="minorHAnsi" w:hAnsiTheme="minorHAnsi" w:cs="Calibri"/>
          <w:lang w:val="en-GB"/>
        </w:rPr>
        <w:t>Lewisham</w:t>
      </w:r>
      <w:r w:rsidRPr="00C74E5F">
        <w:rPr>
          <w:rFonts w:asciiTheme="minorHAnsi" w:hAnsiTheme="minorHAnsi" w:cs="Calibri"/>
          <w:lang w:val="en-GB"/>
        </w:rPr>
        <w:t xml:space="preserve"> by ward</w:t>
      </w:r>
      <w:bookmarkEnd w:id="259"/>
    </w:p>
    <w:p w14:paraId="039A76E1" w14:textId="19C80230" w:rsidR="003F794A" w:rsidRPr="00C74E5F" w:rsidRDefault="00C74E5F" w:rsidP="00C74E5F">
      <w:pPr>
        <w:rPr>
          <w:rFonts w:asciiTheme="minorHAnsi" w:hAnsiTheme="minorHAnsi" w:cs="Calibri"/>
          <w:color w:val="FF0000"/>
        </w:rPr>
      </w:pPr>
      <w:r w:rsidRPr="00C74E5F">
        <w:rPr>
          <w:noProof/>
          <w:lang w:eastAsia="en-GB"/>
        </w:rPr>
        <w:drawing>
          <wp:inline distT="0" distB="0" distL="0" distR="0" wp14:anchorId="2908B5B1" wp14:editId="1965496F">
            <wp:extent cx="7198468" cy="5095325"/>
            <wp:effectExtent l="0" t="0" r="2540" b="0"/>
            <wp:docPr id="58" name="Picture 58" descr="Map showing median rents (colour coded) across Lewisham with labeled Wards. " title="Map 4.2 2017 median rents across Lewisham by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204816" cy="5099818"/>
                    </a:xfrm>
                    <a:prstGeom prst="rect">
                      <a:avLst/>
                    </a:prstGeom>
                  </pic:spPr>
                </pic:pic>
              </a:graphicData>
            </a:graphic>
          </wp:inline>
        </w:drawing>
      </w:r>
    </w:p>
    <w:p w14:paraId="57CF411F" w14:textId="77777777" w:rsidR="00A83CBA" w:rsidRPr="0067297E" w:rsidRDefault="00A83CBA" w:rsidP="00A406E8">
      <w:pPr>
        <w:pStyle w:val="Reporttext"/>
        <w:numPr>
          <w:ilvl w:val="0"/>
          <w:numId w:val="0"/>
        </w:numPr>
        <w:ind w:left="1418" w:hanging="709"/>
        <w:rPr>
          <w:rFonts w:asciiTheme="minorHAnsi" w:hAnsiTheme="minorHAnsi" w:cs="Calibri"/>
          <w:sz w:val="20"/>
          <w:szCs w:val="20"/>
          <w:lang w:val="en-GB"/>
        </w:rPr>
      </w:pPr>
      <w:r w:rsidRPr="00C74E5F">
        <w:rPr>
          <w:rFonts w:asciiTheme="minorHAnsi" w:hAnsiTheme="minorHAnsi" w:cs="Calibri"/>
          <w:sz w:val="20"/>
          <w:szCs w:val="20"/>
          <w:lang w:val="en-GB"/>
        </w:rPr>
        <w:t>Source: Zoopla PPD 2018</w:t>
      </w:r>
    </w:p>
    <w:p w14:paraId="5601BDC3" w14:textId="77777777" w:rsidR="00C74E5F" w:rsidRDefault="00C74E5F" w:rsidP="00FA273F">
      <w:pPr>
        <w:pStyle w:val="Reporttext"/>
        <w:numPr>
          <w:ilvl w:val="0"/>
          <w:numId w:val="0"/>
        </w:numPr>
        <w:ind w:left="709" w:hanging="709"/>
        <w:rPr>
          <w:rFonts w:asciiTheme="minorHAnsi" w:hAnsiTheme="minorHAnsi" w:cs="Calibri"/>
          <w:sz w:val="20"/>
          <w:szCs w:val="20"/>
          <w:lang w:val="en-GB"/>
        </w:rPr>
        <w:sectPr w:rsidR="00C74E5F" w:rsidSect="00C74E5F">
          <w:headerReference w:type="default" r:id="rId56"/>
          <w:footerReference w:type="default" r:id="rId57"/>
          <w:pgSz w:w="16838" w:h="11906" w:orient="landscape"/>
          <w:pgMar w:top="1276" w:right="1134" w:bottom="1440" w:left="1440" w:header="708" w:footer="708" w:gutter="0"/>
          <w:cols w:space="708"/>
          <w:docGrid w:linePitch="360"/>
        </w:sectPr>
      </w:pPr>
    </w:p>
    <w:p w14:paraId="7DF6F7DD" w14:textId="77777777" w:rsidR="009C5883" w:rsidRPr="0067297E" w:rsidRDefault="00786D9B" w:rsidP="00543A76">
      <w:pPr>
        <w:pStyle w:val="Reporttext"/>
        <w:rPr>
          <w:rFonts w:asciiTheme="minorHAnsi" w:hAnsiTheme="minorHAnsi" w:cs="Calibri"/>
          <w:lang w:val="en-GB"/>
        </w:rPr>
      </w:pPr>
      <w:r w:rsidRPr="0067297E">
        <w:rPr>
          <w:rFonts w:asciiTheme="minorHAnsi" w:hAnsiTheme="minorHAnsi" w:cs="Calibri"/>
          <w:lang w:val="en-GB"/>
        </w:rPr>
        <w:t xml:space="preserve">Regarding </w:t>
      </w:r>
      <w:r w:rsidR="009C5883" w:rsidRPr="0067297E">
        <w:rPr>
          <w:rFonts w:asciiTheme="minorHAnsi" w:hAnsiTheme="minorHAnsi" w:cs="Calibri"/>
          <w:lang w:val="en-GB"/>
        </w:rPr>
        <w:t>Local Housing Allowance rates</w:t>
      </w:r>
      <w:r w:rsidRPr="0067297E">
        <w:rPr>
          <w:rFonts w:asciiTheme="minorHAnsi" w:hAnsiTheme="minorHAnsi" w:cs="Calibri"/>
          <w:lang w:val="en-GB"/>
        </w:rPr>
        <w:t>, the borough</w:t>
      </w:r>
      <w:r w:rsidR="009C5883" w:rsidRPr="0067297E">
        <w:rPr>
          <w:rFonts w:asciiTheme="minorHAnsi" w:hAnsiTheme="minorHAnsi" w:cs="Calibri"/>
          <w:lang w:val="en-GB"/>
        </w:rPr>
        <w:t xml:space="preserve"> is within the </w:t>
      </w:r>
      <w:r w:rsidR="00CD0FDE" w:rsidRPr="0067297E">
        <w:rPr>
          <w:rFonts w:asciiTheme="minorHAnsi" w:hAnsiTheme="minorHAnsi" w:cs="Calibri"/>
          <w:lang w:val="en-GB"/>
        </w:rPr>
        <w:t>Inner South East</w:t>
      </w:r>
      <w:r w:rsidR="00706C9B" w:rsidRPr="0067297E">
        <w:rPr>
          <w:rFonts w:asciiTheme="minorHAnsi" w:hAnsiTheme="minorHAnsi" w:cs="Calibri"/>
          <w:lang w:val="en-GB"/>
        </w:rPr>
        <w:t xml:space="preserve"> L</w:t>
      </w:r>
      <w:r w:rsidR="009C5883" w:rsidRPr="0067297E">
        <w:rPr>
          <w:rFonts w:asciiTheme="minorHAnsi" w:hAnsiTheme="minorHAnsi" w:cs="Calibri"/>
          <w:lang w:val="en-GB"/>
        </w:rPr>
        <w:t xml:space="preserve">ondon </w:t>
      </w:r>
      <w:r w:rsidR="00CD0FDE" w:rsidRPr="0067297E">
        <w:rPr>
          <w:rFonts w:asciiTheme="minorHAnsi" w:hAnsiTheme="minorHAnsi" w:cs="Calibri"/>
          <w:lang w:val="en-GB"/>
        </w:rPr>
        <w:t xml:space="preserve">and Outer South East London </w:t>
      </w:r>
      <w:r w:rsidR="009C5883" w:rsidRPr="0067297E">
        <w:rPr>
          <w:rFonts w:asciiTheme="minorHAnsi" w:hAnsiTheme="minorHAnsi" w:cs="Calibri"/>
          <w:lang w:val="en-GB"/>
        </w:rPr>
        <w:t>Broad Rental Market Area</w:t>
      </w:r>
      <w:r w:rsidR="00CD0FDE" w:rsidRPr="0067297E">
        <w:rPr>
          <w:rFonts w:asciiTheme="minorHAnsi" w:hAnsiTheme="minorHAnsi" w:cs="Calibri"/>
          <w:lang w:val="en-GB"/>
        </w:rPr>
        <w:t>s</w:t>
      </w:r>
      <w:r w:rsidR="009C5883" w:rsidRPr="0067297E">
        <w:rPr>
          <w:rFonts w:asciiTheme="minorHAnsi" w:hAnsiTheme="minorHAnsi" w:cs="Calibri"/>
          <w:lang w:val="en-GB"/>
        </w:rPr>
        <w:t xml:space="preserve"> (BRMA)</w:t>
      </w:r>
      <w:r w:rsidR="009C5883" w:rsidRPr="0067297E">
        <w:rPr>
          <w:rStyle w:val="FootnoteReference"/>
          <w:rFonts w:asciiTheme="minorHAnsi" w:hAnsiTheme="minorHAnsi" w:cs="Calibri"/>
          <w:lang w:val="en-GB"/>
        </w:rPr>
        <w:footnoteReference w:id="21"/>
      </w:r>
      <w:r w:rsidR="00CD0FDE" w:rsidRPr="0067297E">
        <w:rPr>
          <w:rFonts w:asciiTheme="minorHAnsi" w:hAnsiTheme="minorHAnsi" w:cs="Calibri"/>
          <w:lang w:val="en-GB"/>
        </w:rPr>
        <w:t>.</w:t>
      </w:r>
    </w:p>
    <w:p w14:paraId="068FCBC8" w14:textId="77777777" w:rsidR="00CD0FDE" w:rsidRPr="0067297E" w:rsidRDefault="00CD0FDE" w:rsidP="00543A76">
      <w:pPr>
        <w:pStyle w:val="Reporttext"/>
        <w:rPr>
          <w:rFonts w:asciiTheme="minorHAnsi" w:hAnsiTheme="minorHAnsi" w:cs="Calibri"/>
          <w:lang w:val="en-GB"/>
        </w:rPr>
      </w:pPr>
      <w:r w:rsidRPr="0067297E">
        <w:rPr>
          <w:rFonts w:asciiTheme="minorHAnsi" w:hAnsiTheme="minorHAnsi" w:cs="Calibri"/>
          <w:lang w:val="en-GB"/>
        </w:rPr>
        <w:t>The weekly LHA rates for Inner South East London in August 2018 are: -</w:t>
      </w:r>
    </w:p>
    <w:p w14:paraId="558959BF" w14:textId="77777777" w:rsidR="009C5883" w:rsidRPr="0067297E" w:rsidRDefault="009C5883" w:rsidP="00312B87">
      <w:pPr>
        <w:pStyle w:val="bullet"/>
        <w:rPr>
          <w:rFonts w:asciiTheme="minorHAnsi" w:hAnsiTheme="minorHAnsi"/>
        </w:rPr>
      </w:pPr>
      <w:r w:rsidRPr="0067297E">
        <w:rPr>
          <w:rFonts w:asciiTheme="minorHAnsi" w:hAnsiTheme="minorHAnsi"/>
        </w:rPr>
        <w:t>Shared accommodation rate - £</w:t>
      </w:r>
      <w:r w:rsidR="00CD0FDE" w:rsidRPr="0067297E">
        <w:rPr>
          <w:rFonts w:asciiTheme="minorHAnsi" w:hAnsiTheme="minorHAnsi"/>
        </w:rPr>
        <w:t>98.04</w:t>
      </w:r>
      <w:r w:rsidRPr="0067297E">
        <w:rPr>
          <w:rFonts w:asciiTheme="minorHAnsi" w:hAnsiTheme="minorHAnsi"/>
        </w:rPr>
        <w:t xml:space="preserve"> per week</w:t>
      </w:r>
    </w:p>
    <w:p w14:paraId="1144E708" w14:textId="77777777" w:rsidR="009C5883" w:rsidRPr="0067297E" w:rsidRDefault="009C5883" w:rsidP="00312B87">
      <w:pPr>
        <w:pStyle w:val="bullet"/>
        <w:rPr>
          <w:rFonts w:asciiTheme="minorHAnsi" w:hAnsiTheme="minorHAnsi"/>
        </w:rPr>
      </w:pPr>
      <w:r w:rsidRPr="0067297E">
        <w:rPr>
          <w:rFonts w:asciiTheme="minorHAnsi" w:hAnsiTheme="minorHAnsi"/>
        </w:rPr>
        <w:t>1-bedroom rate - £</w:t>
      </w:r>
      <w:r w:rsidR="00CD0FDE" w:rsidRPr="0067297E">
        <w:rPr>
          <w:rFonts w:asciiTheme="minorHAnsi" w:hAnsiTheme="minorHAnsi"/>
        </w:rPr>
        <w:t>210.20</w:t>
      </w:r>
      <w:r w:rsidRPr="0067297E">
        <w:rPr>
          <w:rFonts w:asciiTheme="minorHAnsi" w:hAnsiTheme="minorHAnsi"/>
        </w:rPr>
        <w:t xml:space="preserve"> per week</w:t>
      </w:r>
    </w:p>
    <w:p w14:paraId="1B5FCDF0" w14:textId="77777777" w:rsidR="009C5883" w:rsidRPr="0067297E" w:rsidRDefault="009C5883" w:rsidP="00312B87">
      <w:pPr>
        <w:pStyle w:val="bullet"/>
        <w:rPr>
          <w:rFonts w:asciiTheme="minorHAnsi" w:hAnsiTheme="minorHAnsi"/>
        </w:rPr>
      </w:pPr>
      <w:r w:rsidRPr="0067297E">
        <w:rPr>
          <w:rFonts w:asciiTheme="minorHAnsi" w:hAnsiTheme="minorHAnsi"/>
        </w:rPr>
        <w:t>2-bedroom rate - £</w:t>
      </w:r>
      <w:r w:rsidR="00CD0FDE" w:rsidRPr="0067297E">
        <w:rPr>
          <w:rFonts w:asciiTheme="minorHAnsi" w:hAnsiTheme="minorHAnsi"/>
        </w:rPr>
        <w:t>273.25</w:t>
      </w:r>
      <w:r w:rsidRPr="0067297E">
        <w:rPr>
          <w:rFonts w:asciiTheme="minorHAnsi" w:hAnsiTheme="minorHAnsi"/>
        </w:rPr>
        <w:t xml:space="preserve"> per week</w:t>
      </w:r>
    </w:p>
    <w:p w14:paraId="456C3439" w14:textId="77777777" w:rsidR="009C5883" w:rsidRPr="0067297E" w:rsidRDefault="009C5883" w:rsidP="00312B87">
      <w:pPr>
        <w:pStyle w:val="bullet"/>
        <w:rPr>
          <w:rFonts w:asciiTheme="minorHAnsi" w:hAnsiTheme="minorHAnsi"/>
        </w:rPr>
      </w:pPr>
      <w:r w:rsidRPr="0067297E">
        <w:rPr>
          <w:rFonts w:asciiTheme="minorHAnsi" w:hAnsiTheme="minorHAnsi"/>
        </w:rPr>
        <w:t xml:space="preserve">3-bedroom rate - </w:t>
      </w:r>
      <w:r w:rsidR="00CD0FDE" w:rsidRPr="0067297E">
        <w:rPr>
          <w:rFonts w:asciiTheme="minorHAnsi" w:hAnsiTheme="minorHAnsi"/>
        </w:rPr>
        <w:t>£330.72</w:t>
      </w:r>
      <w:r w:rsidRPr="0067297E">
        <w:rPr>
          <w:rFonts w:asciiTheme="minorHAnsi" w:hAnsiTheme="minorHAnsi"/>
        </w:rPr>
        <w:t xml:space="preserve"> per week</w:t>
      </w:r>
    </w:p>
    <w:p w14:paraId="631C45D9" w14:textId="77777777" w:rsidR="009C5883" w:rsidRPr="0067297E" w:rsidRDefault="009C5883" w:rsidP="00312B87">
      <w:pPr>
        <w:pStyle w:val="bullet"/>
        <w:rPr>
          <w:rFonts w:asciiTheme="minorHAnsi" w:hAnsiTheme="minorHAnsi"/>
        </w:rPr>
      </w:pPr>
      <w:r w:rsidRPr="0067297E">
        <w:rPr>
          <w:rFonts w:asciiTheme="minorHAnsi" w:hAnsiTheme="minorHAnsi"/>
        </w:rPr>
        <w:t>4-bedroom rate - £</w:t>
      </w:r>
      <w:r w:rsidR="00CD0FDE" w:rsidRPr="0067297E">
        <w:rPr>
          <w:rFonts w:asciiTheme="minorHAnsi" w:hAnsiTheme="minorHAnsi"/>
        </w:rPr>
        <w:t>417.02</w:t>
      </w:r>
      <w:r w:rsidRPr="0067297E">
        <w:rPr>
          <w:rFonts w:asciiTheme="minorHAnsi" w:hAnsiTheme="minorHAnsi"/>
        </w:rPr>
        <w:t xml:space="preserve"> per week</w:t>
      </w:r>
    </w:p>
    <w:p w14:paraId="6325FABB" w14:textId="77777777" w:rsidR="00CD0FDE" w:rsidRPr="0067297E" w:rsidRDefault="00CD0FDE" w:rsidP="00543A76">
      <w:pPr>
        <w:pStyle w:val="Reporttext"/>
        <w:rPr>
          <w:rFonts w:asciiTheme="minorHAnsi" w:hAnsiTheme="minorHAnsi" w:cs="Calibri"/>
          <w:lang w:val="en-GB"/>
        </w:rPr>
      </w:pPr>
      <w:r w:rsidRPr="0067297E">
        <w:rPr>
          <w:rFonts w:asciiTheme="minorHAnsi" w:hAnsiTheme="minorHAnsi" w:cs="Calibri"/>
          <w:lang w:val="en-GB"/>
        </w:rPr>
        <w:t>The weekly LHA rates for Outer South East London in August 2018 are: -</w:t>
      </w:r>
    </w:p>
    <w:p w14:paraId="4310BF09" w14:textId="77777777" w:rsidR="00CD0FDE" w:rsidRPr="0067297E" w:rsidRDefault="00CD0FDE" w:rsidP="00312B87">
      <w:pPr>
        <w:pStyle w:val="bullet"/>
        <w:rPr>
          <w:rFonts w:asciiTheme="minorHAnsi" w:hAnsiTheme="minorHAnsi"/>
        </w:rPr>
      </w:pPr>
      <w:r w:rsidRPr="0067297E">
        <w:rPr>
          <w:rFonts w:asciiTheme="minorHAnsi" w:hAnsiTheme="minorHAnsi"/>
        </w:rPr>
        <w:t>Shared accommodation rate - £84.27 per week</w:t>
      </w:r>
    </w:p>
    <w:p w14:paraId="747D93B5" w14:textId="77777777" w:rsidR="00CD0FDE" w:rsidRPr="0067297E" w:rsidRDefault="00CD0FDE" w:rsidP="00312B87">
      <w:pPr>
        <w:pStyle w:val="bullet"/>
        <w:rPr>
          <w:rFonts w:asciiTheme="minorHAnsi" w:hAnsiTheme="minorHAnsi"/>
        </w:rPr>
      </w:pPr>
      <w:r w:rsidRPr="0067297E">
        <w:rPr>
          <w:rFonts w:asciiTheme="minorHAnsi" w:hAnsiTheme="minorHAnsi"/>
        </w:rPr>
        <w:t>1-bedroom rate - £165.85 per week</w:t>
      </w:r>
    </w:p>
    <w:p w14:paraId="109885FC" w14:textId="77777777" w:rsidR="00CD0FDE" w:rsidRPr="0067297E" w:rsidRDefault="00CD0FDE" w:rsidP="00312B87">
      <w:pPr>
        <w:pStyle w:val="bullet"/>
        <w:rPr>
          <w:rFonts w:asciiTheme="minorHAnsi" w:hAnsiTheme="minorHAnsi"/>
        </w:rPr>
      </w:pPr>
      <w:r w:rsidRPr="0067297E">
        <w:rPr>
          <w:rFonts w:asciiTheme="minorHAnsi" w:hAnsiTheme="minorHAnsi"/>
        </w:rPr>
        <w:t>2-bedroom rate - £204.05 per week</w:t>
      </w:r>
    </w:p>
    <w:p w14:paraId="4658D882" w14:textId="77777777" w:rsidR="00CD0FDE" w:rsidRPr="0067297E" w:rsidRDefault="00CD0FDE" w:rsidP="00312B87">
      <w:pPr>
        <w:pStyle w:val="bullet"/>
        <w:rPr>
          <w:rFonts w:asciiTheme="minorHAnsi" w:hAnsiTheme="minorHAnsi"/>
        </w:rPr>
      </w:pPr>
      <w:r w:rsidRPr="0067297E">
        <w:rPr>
          <w:rFonts w:asciiTheme="minorHAnsi" w:hAnsiTheme="minorHAnsi"/>
        </w:rPr>
        <w:t>3-bedroom rate - £249.67 per week</w:t>
      </w:r>
    </w:p>
    <w:p w14:paraId="5976C366" w14:textId="77777777" w:rsidR="00CD0FDE" w:rsidRPr="0067297E" w:rsidRDefault="00CD0FDE" w:rsidP="00312B87">
      <w:pPr>
        <w:pStyle w:val="bullet"/>
        <w:rPr>
          <w:rFonts w:asciiTheme="minorHAnsi" w:hAnsiTheme="minorHAnsi"/>
        </w:rPr>
      </w:pPr>
      <w:r w:rsidRPr="0067297E">
        <w:rPr>
          <w:rFonts w:asciiTheme="minorHAnsi" w:hAnsiTheme="minorHAnsi"/>
        </w:rPr>
        <w:t>4-bedroom rate - £312.77 per week</w:t>
      </w:r>
    </w:p>
    <w:p w14:paraId="0CB4C054" w14:textId="682962D9" w:rsidR="00F6633F" w:rsidRPr="0067297E" w:rsidRDefault="009C5883" w:rsidP="006C722F">
      <w:pPr>
        <w:pStyle w:val="Reporttext"/>
        <w:rPr>
          <w:rFonts w:asciiTheme="minorHAnsi" w:hAnsiTheme="minorHAnsi" w:cs="Calibri"/>
          <w:lang w:val="en-GB"/>
        </w:rPr>
      </w:pPr>
      <w:r w:rsidRPr="0067297E">
        <w:rPr>
          <w:rFonts w:asciiTheme="minorHAnsi" w:hAnsiTheme="minorHAnsi" w:cs="Calibri"/>
          <w:color w:val="000000" w:themeColor="text1"/>
          <w:lang w:val="en-GB"/>
        </w:rPr>
        <w:t>Table 4.</w:t>
      </w:r>
      <w:r w:rsidR="00BC6D95" w:rsidRPr="0067297E">
        <w:rPr>
          <w:rFonts w:asciiTheme="minorHAnsi" w:hAnsiTheme="minorHAnsi" w:cs="Calibri"/>
          <w:color w:val="000000" w:themeColor="text1"/>
          <w:lang w:val="en-GB"/>
        </w:rPr>
        <w:t>7</w:t>
      </w:r>
      <w:r w:rsidRPr="0067297E">
        <w:rPr>
          <w:rFonts w:asciiTheme="minorHAnsi" w:hAnsiTheme="minorHAnsi" w:cs="Calibri"/>
          <w:color w:val="000000" w:themeColor="text1"/>
        </w:rPr>
        <w:t xml:space="preserve"> </w:t>
      </w:r>
      <w:r w:rsidRPr="0067297E">
        <w:rPr>
          <w:rFonts w:asciiTheme="minorHAnsi" w:hAnsiTheme="minorHAnsi" w:cs="Calibri"/>
          <w:color w:val="000000" w:themeColor="text1"/>
          <w:lang w:val="en-GB"/>
        </w:rPr>
        <w:t>(above</w:t>
      </w:r>
      <w:r w:rsidRPr="0067297E">
        <w:rPr>
          <w:rFonts w:asciiTheme="minorHAnsi" w:hAnsiTheme="minorHAnsi" w:cs="Calibri"/>
          <w:lang w:val="en-GB"/>
        </w:rPr>
        <w:t>) indicates</w:t>
      </w:r>
      <w:r w:rsidRPr="0067297E">
        <w:rPr>
          <w:rFonts w:asciiTheme="minorHAnsi" w:hAnsiTheme="minorHAnsi" w:cs="Calibri"/>
        </w:rPr>
        <w:t xml:space="preserve"> the </w:t>
      </w:r>
      <w:r w:rsidRPr="0067297E">
        <w:rPr>
          <w:rFonts w:asciiTheme="minorHAnsi" w:hAnsiTheme="minorHAnsi" w:cs="Calibri"/>
          <w:lang w:val="en-GB"/>
        </w:rPr>
        <w:t>proportion of stock made up</w:t>
      </w:r>
      <w:r w:rsidRPr="0067297E">
        <w:rPr>
          <w:rFonts w:asciiTheme="minorHAnsi" w:hAnsiTheme="minorHAnsi" w:cs="Calibri"/>
        </w:rPr>
        <w:t xml:space="preserve"> of private rented dwellings by </w:t>
      </w:r>
      <w:r w:rsidR="00BD6A44" w:rsidRPr="0067297E">
        <w:rPr>
          <w:rFonts w:asciiTheme="minorHAnsi" w:hAnsiTheme="minorHAnsi" w:cs="Calibri"/>
          <w:lang w:val="en-GB"/>
        </w:rPr>
        <w:t>ward</w:t>
      </w:r>
      <w:r w:rsidRPr="0067297E">
        <w:rPr>
          <w:rFonts w:asciiTheme="minorHAnsi" w:hAnsiTheme="minorHAnsi" w:cs="Calibri"/>
          <w:lang w:val="en-GB"/>
        </w:rPr>
        <w:t>. This indicates</w:t>
      </w:r>
      <w:r w:rsidRPr="0067297E">
        <w:rPr>
          <w:rFonts w:asciiTheme="minorHAnsi" w:hAnsiTheme="minorHAnsi" w:cs="Calibri"/>
        </w:rPr>
        <w:t xml:space="preserve"> that </w:t>
      </w:r>
      <w:r w:rsidRPr="0067297E">
        <w:rPr>
          <w:rFonts w:asciiTheme="minorHAnsi" w:hAnsiTheme="minorHAnsi" w:cs="Calibri"/>
          <w:lang w:val="en-GB"/>
        </w:rPr>
        <w:t xml:space="preserve">the highest proportions of private rented stock are found in </w:t>
      </w:r>
      <w:r w:rsidR="0027585B" w:rsidRPr="0067297E">
        <w:rPr>
          <w:rFonts w:asciiTheme="minorHAnsi" w:hAnsiTheme="minorHAnsi" w:cs="Calibri"/>
          <w:lang w:val="en-GB"/>
        </w:rPr>
        <w:t>Brockley ward.</w:t>
      </w:r>
    </w:p>
    <w:p w14:paraId="0D431AC7" w14:textId="77777777" w:rsidR="00F6633F" w:rsidRPr="0067297E" w:rsidRDefault="00F6633F" w:rsidP="006C722F">
      <w:pPr>
        <w:pStyle w:val="Reporttext"/>
        <w:rPr>
          <w:rFonts w:asciiTheme="minorHAnsi" w:hAnsiTheme="minorHAnsi" w:cs="Calibri"/>
          <w:lang w:val="en-GB"/>
        </w:rPr>
      </w:pPr>
      <w:r w:rsidRPr="0067297E">
        <w:rPr>
          <w:rFonts w:asciiTheme="minorHAnsi" w:hAnsiTheme="minorHAnsi"/>
        </w:rPr>
        <w:t>Census</w:t>
      </w:r>
      <w:r w:rsidRPr="0067297E">
        <w:rPr>
          <w:rFonts w:asciiTheme="minorHAnsi" w:hAnsiTheme="minorHAnsi" w:cs="Calibri"/>
          <w:color w:val="000000" w:themeColor="text1"/>
        </w:rPr>
        <w:t xml:space="preserve"> 2011 data on private rented tenants</w:t>
      </w:r>
      <w:r w:rsidR="00BD6A44" w:rsidRPr="0067297E">
        <w:rPr>
          <w:rFonts w:asciiTheme="minorHAnsi" w:hAnsiTheme="minorHAnsi" w:cs="Calibri"/>
          <w:color w:val="000000" w:themeColor="text1"/>
        </w:rPr>
        <w:t xml:space="preserve"> indicates </w:t>
      </w:r>
      <w:r w:rsidRPr="0067297E">
        <w:rPr>
          <w:rFonts w:asciiTheme="minorHAnsi" w:hAnsiTheme="minorHAnsi" w:cs="Calibri"/>
          <w:color w:val="000000" w:themeColor="text1"/>
        </w:rPr>
        <w:t xml:space="preserve"> that: -</w:t>
      </w:r>
    </w:p>
    <w:p w14:paraId="626709F9" w14:textId="2E22457B" w:rsidR="00D47664" w:rsidRPr="0067297E" w:rsidRDefault="00D47664" w:rsidP="006C722F">
      <w:pPr>
        <w:pStyle w:val="bullet"/>
        <w:rPr>
          <w:rFonts w:asciiTheme="minorHAnsi" w:hAnsiTheme="minorHAnsi"/>
        </w:rPr>
      </w:pPr>
      <w:r w:rsidRPr="0067297E">
        <w:rPr>
          <w:rFonts w:asciiTheme="minorHAnsi" w:hAnsiTheme="minorHAnsi"/>
        </w:rPr>
        <w:t>27.2% of households living in the private rented sector are singles aged under 65, 16.2% are couples with no children, 14.3% are couples with children, 12.3% are lone parents, 3.4% are older (65 and over) single and couples, 2.2% are students and 24.5% are other households (for instance friends sharing)</w:t>
      </w:r>
      <w:r w:rsidR="00BC6D95" w:rsidRPr="0067297E">
        <w:rPr>
          <w:rFonts w:asciiTheme="minorHAnsi" w:hAnsiTheme="minorHAnsi"/>
          <w:lang w:val="en-GB"/>
        </w:rPr>
        <w:t>;</w:t>
      </w:r>
    </w:p>
    <w:p w14:paraId="25F692D0" w14:textId="77777777" w:rsidR="000C127B" w:rsidRPr="0067297E" w:rsidRDefault="00D47664" w:rsidP="00944242">
      <w:pPr>
        <w:pStyle w:val="bullet"/>
        <w:rPr>
          <w:rFonts w:asciiTheme="minorHAnsi" w:hAnsiTheme="minorHAnsi"/>
        </w:rPr>
      </w:pPr>
      <w:r w:rsidRPr="0067297E">
        <w:rPr>
          <w:rFonts w:asciiTheme="minorHAnsi" w:hAnsiTheme="minorHAnsi"/>
        </w:rPr>
        <w:t>78.1</w:t>
      </w:r>
      <w:r w:rsidR="00F6633F" w:rsidRPr="0067297E">
        <w:rPr>
          <w:rFonts w:asciiTheme="minorHAnsi" w:hAnsiTheme="minorHAnsi"/>
        </w:rPr>
        <w:t>% of Household Reference People (Heads of Household) living in</w:t>
      </w:r>
      <w:r w:rsidRPr="0067297E">
        <w:rPr>
          <w:rFonts w:asciiTheme="minorHAnsi" w:hAnsiTheme="minorHAnsi"/>
        </w:rPr>
        <w:t xml:space="preserve"> private rent are in employment</w:t>
      </w:r>
      <w:r w:rsidR="00F6633F" w:rsidRPr="0067297E">
        <w:rPr>
          <w:rFonts w:asciiTheme="minorHAnsi" w:hAnsiTheme="minorHAnsi"/>
        </w:rPr>
        <w:t>.</w:t>
      </w:r>
      <w:r w:rsidRPr="0067297E">
        <w:rPr>
          <w:rFonts w:asciiTheme="minorHAnsi" w:hAnsiTheme="minorHAnsi"/>
        </w:rPr>
        <w:t xml:space="preserve"> Of the remainder, 6.1% are unemployed, 2.9% are students, 4.4% a</w:t>
      </w:r>
      <w:r w:rsidR="000C127B" w:rsidRPr="0067297E">
        <w:rPr>
          <w:rFonts w:asciiTheme="minorHAnsi" w:hAnsiTheme="minorHAnsi"/>
        </w:rPr>
        <w:t>re retired and 8.5% are other economically inactive;</w:t>
      </w:r>
    </w:p>
    <w:p w14:paraId="7F6B0AFA" w14:textId="5C42C33C" w:rsidR="00706C9B" w:rsidRPr="0067297E" w:rsidRDefault="000C127B" w:rsidP="006B6473">
      <w:pPr>
        <w:pStyle w:val="bullet"/>
        <w:rPr>
          <w:rFonts w:asciiTheme="minorHAnsi" w:hAnsiTheme="minorHAnsi"/>
        </w:rPr>
      </w:pPr>
      <w:r w:rsidRPr="0067297E">
        <w:rPr>
          <w:rFonts w:asciiTheme="minorHAnsi" w:hAnsiTheme="minorHAnsi"/>
        </w:rPr>
        <w:t>51.4</w:t>
      </w:r>
      <w:r w:rsidR="00F6633F" w:rsidRPr="0067297E">
        <w:rPr>
          <w:rFonts w:asciiTheme="minorHAnsi" w:hAnsiTheme="minorHAnsi"/>
        </w:rPr>
        <w:t xml:space="preserve">% of households in private rent </w:t>
      </w:r>
      <w:r w:rsidRPr="0067297E">
        <w:rPr>
          <w:rFonts w:asciiTheme="minorHAnsi" w:hAnsiTheme="minorHAnsi"/>
        </w:rPr>
        <w:t>are aged between 16 and 34, 34.9</w:t>
      </w:r>
      <w:r w:rsidR="00F6633F" w:rsidRPr="0067297E">
        <w:rPr>
          <w:rFonts w:asciiTheme="minorHAnsi" w:hAnsiTheme="minorHAnsi"/>
        </w:rPr>
        <w:t>% are aged between 35 and 49</w:t>
      </w:r>
      <w:r w:rsidR="00BD6A44" w:rsidRPr="0067297E">
        <w:rPr>
          <w:rFonts w:asciiTheme="minorHAnsi" w:hAnsiTheme="minorHAnsi"/>
        </w:rPr>
        <w:t xml:space="preserve">, 9.1% are aged </w:t>
      </w:r>
      <w:r w:rsidR="005B2517" w:rsidRPr="0067297E">
        <w:rPr>
          <w:rFonts w:asciiTheme="minorHAnsi" w:hAnsiTheme="minorHAnsi"/>
        </w:rPr>
        <w:t>between</w:t>
      </w:r>
      <w:r w:rsidR="00BD6A44" w:rsidRPr="0067297E">
        <w:rPr>
          <w:rFonts w:asciiTheme="minorHAnsi" w:hAnsiTheme="minorHAnsi"/>
        </w:rPr>
        <w:t xml:space="preserve"> 50 and 64 and 4.6% are aged over 65. </w:t>
      </w:r>
    </w:p>
    <w:p w14:paraId="48911BB8" w14:textId="3E64308C" w:rsidR="0091437D" w:rsidRPr="0067297E" w:rsidRDefault="0091437D" w:rsidP="002C70BC">
      <w:pPr>
        <w:pStyle w:val="Reporttext"/>
        <w:numPr>
          <w:ilvl w:val="1"/>
          <w:numId w:val="23"/>
        </w:numPr>
        <w:rPr>
          <w:rFonts w:asciiTheme="minorHAnsi" w:hAnsiTheme="minorHAnsi" w:cs="Calibri"/>
        </w:rPr>
      </w:pPr>
      <w:r w:rsidRPr="0067297E">
        <w:rPr>
          <w:rFonts w:asciiTheme="minorHAnsi" w:hAnsiTheme="minorHAnsi" w:cs="Calibri"/>
          <w:lang w:val="en-GB"/>
        </w:rPr>
        <w:t xml:space="preserve">The online stakeholder survey (Appendix </w:t>
      </w:r>
      <w:r w:rsidR="00BC6D95" w:rsidRPr="0067297E">
        <w:rPr>
          <w:rFonts w:asciiTheme="minorHAnsi" w:hAnsiTheme="minorHAnsi" w:cs="Calibri"/>
          <w:lang w:val="en-GB"/>
        </w:rPr>
        <w:t>C</w:t>
      </w:r>
      <w:r w:rsidRPr="0067297E">
        <w:rPr>
          <w:rFonts w:asciiTheme="minorHAnsi" w:hAnsiTheme="minorHAnsi" w:cs="Calibri"/>
          <w:lang w:val="en-GB"/>
        </w:rPr>
        <w:t xml:space="preserve">) asked stakeholders what they felt about the size of the private rented sector (PRS) in the </w:t>
      </w:r>
      <w:r w:rsidR="00786D9B" w:rsidRPr="0067297E">
        <w:rPr>
          <w:rFonts w:asciiTheme="minorHAnsi" w:hAnsiTheme="minorHAnsi" w:cs="Calibri"/>
          <w:lang w:val="en-GB"/>
        </w:rPr>
        <w:t>borough</w:t>
      </w:r>
      <w:r w:rsidRPr="0067297E">
        <w:rPr>
          <w:rFonts w:asciiTheme="minorHAnsi" w:hAnsiTheme="minorHAnsi" w:cs="Calibri"/>
          <w:lang w:val="en-GB"/>
        </w:rPr>
        <w:t xml:space="preserve">. </w:t>
      </w:r>
      <w:r w:rsidRPr="0067297E">
        <w:rPr>
          <w:rFonts w:asciiTheme="minorHAnsi" w:hAnsiTheme="minorHAnsi" w:cs="Calibri"/>
        </w:rPr>
        <w:t xml:space="preserve">One stakeholder felt that the PRS must be too small because of the continued high level of demand; others expressed the view that the PRS appears to currently be in line with demand and is </w:t>
      </w:r>
      <w:r w:rsidRPr="0067297E">
        <w:rPr>
          <w:rFonts w:asciiTheme="minorHAnsi" w:hAnsiTheme="minorHAnsi" w:cs="Calibri"/>
          <w:i/>
        </w:rPr>
        <w:t>‘OK’</w:t>
      </w:r>
      <w:r w:rsidRPr="0067297E">
        <w:rPr>
          <w:rFonts w:asciiTheme="minorHAnsi" w:hAnsiTheme="minorHAnsi" w:cs="Calibri"/>
        </w:rPr>
        <w:t xml:space="preserve">. One respondent stated that quality is a bigger issue, rather than size of the sector. </w:t>
      </w:r>
    </w:p>
    <w:p w14:paraId="01E14846" w14:textId="77777777" w:rsidR="0091437D" w:rsidRPr="0067297E" w:rsidRDefault="0091437D" w:rsidP="002C70BC">
      <w:pPr>
        <w:pStyle w:val="Reporttext"/>
        <w:numPr>
          <w:ilvl w:val="1"/>
          <w:numId w:val="23"/>
        </w:numPr>
        <w:rPr>
          <w:rFonts w:asciiTheme="minorHAnsi" w:hAnsiTheme="minorHAnsi" w:cs="Calibri"/>
        </w:rPr>
      </w:pPr>
      <w:r w:rsidRPr="0067297E">
        <w:rPr>
          <w:rFonts w:asciiTheme="minorHAnsi" w:hAnsiTheme="minorHAnsi" w:cs="Calibri"/>
        </w:rPr>
        <w:t xml:space="preserve">The characteristics of the PRS in Lewisham were considered to include private landlords who have invested for the purposes of their own pension: these buy-to-let </w:t>
      </w:r>
      <w:r w:rsidRPr="0067297E">
        <w:rPr>
          <w:rFonts w:asciiTheme="minorHAnsi" w:hAnsiTheme="minorHAnsi" w:cs="Calibri"/>
          <w:lang w:val="en-GB"/>
        </w:rPr>
        <w:t xml:space="preserve">(BTL) </w:t>
      </w:r>
      <w:r w:rsidRPr="0067297E">
        <w:rPr>
          <w:rFonts w:asciiTheme="minorHAnsi" w:hAnsiTheme="minorHAnsi" w:cs="Calibri"/>
        </w:rPr>
        <w:t xml:space="preserve">landlords typically hold a small number of units and are unregulated. These PRS properties are </w:t>
      </w:r>
      <w:r w:rsidRPr="0067297E">
        <w:rPr>
          <w:rFonts w:asciiTheme="minorHAnsi" w:hAnsiTheme="minorHAnsi" w:cs="Calibri"/>
          <w:lang w:val="en-GB"/>
        </w:rPr>
        <w:t xml:space="preserve">located </w:t>
      </w:r>
      <w:r w:rsidR="00786D9B" w:rsidRPr="0067297E">
        <w:rPr>
          <w:rFonts w:asciiTheme="minorHAnsi" w:hAnsiTheme="minorHAnsi" w:cs="Calibri"/>
        </w:rPr>
        <w:t>across the b</w:t>
      </w:r>
      <w:r w:rsidRPr="0067297E">
        <w:rPr>
          <w:rFonts w:asciiTheme="minorHAnsi" w:hAnsiTheme="minorHAnsi" w:cs="Calibri"/>
        </w:rPr>
        <w:t xml:space="preserve">orough, </w:t>
      </w:r>
      <w:r w:rsidRPr="0067297E">
        <w:rPr>
          <w:rFonts w:asciiTheme="minorHAnsi" w:hAnsiTheme="minorHAnsi" w:cs="Calibri"/>
          <w:lang w:val="en-GB"/>
        </w:rPr>
        <w:t xml:space="preserve">although </w:t>
      </w:r>
      <w:r w:rsidRPr="0067297E">
        <w:rPr>
          <w:rFonts w:asciiTheme="minorHAnsi" w:hAnsiTheme="minorHAnsi" w:cs="Calibri"/>
        </w:rPr>
        <w:t xml:space="preserve">often focused in areas that were formerly Housing Action areas or in ex-council houses. In addition, an increasing number of major </w:t>
      </w:r>
      <w:r w:rsidRPr="0067297E">
        <w:rPr>
          <w:rFonts w:asciiTheme="minorHAnsi" w:hAnsiTheme="minorHAnsi" w:cs="Calibri"/>
          <w:lang w:val="en-GB"/>
        </w:rPr>
        <w:t xml:space="preserve">build-to-rent (BTR) </w:t>
      </w:r>
      <w:r w:rsidRPr="0067297E">
        <w:rPr>
          <w:rFonts w:asciiTheme="minorHAnsi" w:hAnsiTheme="minorHAnsi" w:cs="Calibri"/>
        </w:rPr>
        <w:t xml:space="preserve">developers were reported, providing private rented properties through new-build schemes </w:t>
      </w:r>
      <w:r w:rsidRPr="0067297E">
        <w:rPr>
          <w:rFonts w:asciiTheme="minorHAnsi" w:hAnsiTheme="minorHAnsi" w:cs="Calibri"/>
          <w:lang w:val="en-GB"/>
        </w:rPr>
        <w:t>which often</w:t>
      </w:r>
      <w:r w:rsidRPr="0067297E">
        <w:rPr>
          <w:rFonts w:asciiTheme="minorHAnsi" w:hAnsiTheme="minorHAnsi" w:cs="Calibri"/>
        </w:rPr>
        <w:t xml:space="preserve"> compris</w:t>
      </w:r>
      <w:r w:rsidRPr="0067297E">
        <w:rPr>
          <w:rFonts w:asciiTheme="minorHAnsi" w:hAnsiTheme="minorHAnsi" w:cs="Calibri"/>
          <w:lang w:val="en-GB"/>
        </w:rPr>
        <w:t>e</w:t>
      </w:r>
      <w:r w:rsidRPr="0067297E">
        <w:rPr>
          <w:rFonts w:asciiTheme="minorHAnsi" w:hAnsiTheme="minorHAnsi" w:cs="Calibri"/>
        </w:rPr>
        <w:t xml:space="preserve"> of flat/apartment </w:t>
      </w:r>
      <w:r w:rsidRPr="0067297E">
        <w:rPr>
          <w:rFonts w:asciiTheme="minorHAnsi" w:hAnsiTheme="minorHAnsi" w:cs="Calibri"/>
          <w:lang w:val="en-GB"/>
        </w:rPr>
        <w:t>blocks</w:t>
      </w:r>
      <w:r w:rsidRPr="0067297E">
        <w:rPr>
          <w:rFonts w:asciiTheme="minorHAnsi" w:hAnsiTheme="minorHAnsi" w:cs="Calibri"/>
        </w:rPr>
        <w:t xml:space="preserve"> with property managers, concierge and wi-fi. </w:t>
      </w:r>
      <w:r w:rsidRPr="0067297E">
        <w:rPr>
          <w:rFonts w:asciiTheme="minorHAnsi" w:hAnsiTheme="minorHAnsi" w:cs="Calibri"/>
          <w:lang w:val="en-GB"/>
        </w:rPr>
        <w:t>It was noted that t</w:t>
      </w:r>
      <w:r w:rsidRPr="0067297E">
        <w:rPr>
          <w:rFonts w:asciiTheme="minorHAnsi" w:hAnsiTheme="minorHAnsi" w:cs="Calibri"/>
        </w:rPr>
        <w:t xml:space="preserve">he larger London-based PRS operators tend to focus on high density schemes that are located in town centres or close to mainline train stations. </w:t>
      </w:r>
    </w:p>
    <w:p w14:paraId="3A9E6485" w14:textId="77777777" w:rsidR="0091437D" w:rsidRPr="0067297E" w:rsidRDefault="0091437D" w:rsidP="002C70BC">
      <w:pPr>
        <w:pStyle w:val="Reporttext"/>
        <w:numPr>
          <w:ilvl w:val="1"/>
          <w:numId w:val="23"/>
        </w:numPr>
        <w:rPr>
          <w:rFonts w:asciiTheme="minorHAnsi" w:hAnsiTheme="minorHAnsi" w:cs="Calibri"/>
        </w:rPr>
      </w:pPr>
      <w:r w:rsidRPr="0067297E">
        <w:rPr>
          <w:rFonts w:asciiTheme="minorHAnsi" w:hAnsiTheme="minorHAnsi" w:cs="Calibri"/>
        </w:rPr>
        <w:t>Demand for PRS was cons</w:t>
      </w:r>
      <w:r w:rsidR="00786D9B" w:rsidRPr="0067297E">
        <w:rPr>
          <w:rFonts w:asciiTheme="minorHAnsi" w:hAnsiTheme="minorHAnsi" w:cs="Calibri"/>
        </w:rPr>
        <w:t>idered to be strong across the b</w:t>
      </w:r>
      <w:r w:rsidRPr="0067297E">
        <w:rPr>
          <w:rFonts w:asciiTheme="minorHAnsi" w:hAnsiTheme="minorHAnsi" w:cs="Calibri"/>
        </w:rPr>
        <w:t xml:space="preserve">orough, with some of this attributed to the lack of other housing options for people who cannot afford to buy and are not eligible for social rented housing. One stakeholder reported that close to the </w:t>
      </w:r>
      <w:r w:rsidR="00877986" w:rsidRPr="0067297E">
        <w:rPr>
          <w:rFonts w:asciiTheme="minorHAnsi" w:hAnsiTheme="minorHAnsi" w:cs="Calibri"/>
          <w:lang w:val="en-GB"/>
        </w:rPr>
        <w:t xml:space="preserve">town </w:t>
      </w:r>
      <w:r w:rsidRPr="0067297E">
        <w:rPr>
          <w:rFonts w:asciiTheme="minorHAnsi" w:hAnsiTheme="minorHAnsi" w:cs="Calibri"/>
        </w:rPr>
        <w:t>centre</w:t>
      </w:r>
      <w:r w:rsidR="00877986" w:rsidRPr="0067297E">
        <w:rPr>
          <w:rFonts w:asciiTheme="minorHAnsi" w:hAnsiTheme="minorHAnsi" w:cs="Calibri"/>
          <w:lang w:val="en-GB"/>
        </w:rPr>
        <w:t>s</w:t>
      </w:r>
      <w:r w:rsidRPr="0067297E">
        <w:rPr>
          <w:rFonts w:asciiTheme="minorHAnsi" w:hAnsiTheme="minorHAnsi" w:cs="Calibri"/>
        </w:rPr>
        <w:t xml:space="preserve"> the PRS demographic is mainly young professional couples or sharers, with a split of approximately 60/40 between UK nationals and people from abroad coming to find work in London. </w:t>
      </w:r>
      <w:r w:rsidR="00877986" w:rsidRPr="0067297E">
        <w:rPr>
          <w:rFonts w:asciiTheme="minorHAnsi" w:hAnsiTheme="minorHAnsi" w:cs="Calibri"/>
          <w:lang w:val="en-GB"/>
        </w:rPr>
        <w:t>However, s</w:t>
      </w:r>
      <w:r w:rsidRPr="0067297E">
        <w:rPr>
          <w:rFonts w:asciiTheme="minorHAnsi" w:hAnsiTheme="minorHAnsi" w:cs="Calibri"/>
        </w:rPr>
        <w:t>takeholders reported that there is demand for PRS from a wide range of tenants</w:t>
      </w:r>
      <w:r w:rsidR="00877986" w:rsidRPr="0067297E">
        <w:rPr>
          <w:rFonts w:asciiTheme="minorHAnsi" w:hAnsiTheme="minorHAnsi" w:cs="Calibri"/>
          <w:lang w:val="en-GB"/>
        </w:rPr>
        <w:t xml:space="preserve"> overall</w:t>
      </w:r>
      <w:r w:rsidRPr="0067297E">
        <w:rPr>
          <w:rFonts w:asciiTheme="minorHAnsi" w:hAnsiTheme="minorHAnsi" w:cs="Calibri"/>
        </w:rPr>
        <w:t>, with the profile varying depending upon p</w:t>
      </w:r>
      <w:r w:rsidR="00786D9B" w:rsidRPr="0067297E">
        <w:rPr>
          <w:rFonts w:asciiTheme="minorHAnsi" w:hAnsiTheme="minorHAnsi" w:cs="Calibri"/>
        </w:rPr>
        <w:t>ricing and location within the b</w:t>
      </w:r>
      <w:r w:rsidRPr="0067297E">
        <w:rPr>
          <w:rFonts w:asciiTheme="minorHAnsi" w:hAnsiTheme="minorHAnsi" w:cs="Calibri"/>
        </w:rPr>
        <w:t xml:space="preserve">orough. For example, larger landlords with flagship schemes in central locations may have strict criteria for prospective tenants which results in predominantly young professional sharers and a small number of mainly foreign students. Less restrictive landlords attract a wider range of tenants, and families and lower income households often live in the PRS as a default because there are no other </w:t>
      </w:r>
      <w:r w:rsidR="00877986" w:rsidRPr="0067297E">
        <w:rPr>
          <w:rFonts w:asciiTheme="minorHAnsi" w:hAnsiTheme="minorHAnsi" w:cs="Calibri"/>
          <w:lang w:val="en-GB"/>
        </w:rPr>
        <w:t xml:space="preserve">tenure </w:t>
      </w:r>
      <w:r w:rsidRPr="0067297E">
        <w:rPr>
          <w:rFonts w:asciiTheme="minorHAnsi" w:hAnsiTheme="minorHAnsi" w:cs="Calibri"/>
        </w:rPr>
        <w:t xml:space="preserve">options </w:t>
      </w:r>
      <w:r w:rsidR="00877986" w:rsidRPr="0067297E">
        <w:rPr>
          <w:rFonts w:asciiTheme="minorHAnsi" w:hAnsiTheme="minorHAnsi" w:cs="Calibri"/>
          <w:lang w:val="en-GB"/>
        </w:rPr>
        <w:t>available to them.</w:t>
      </w:r>
      <w:r w:rsidRPr="0067297E">
        <w:rPr>
          <w:rFonts w:asciiTheme="minorHAnsi" w:hAnsiTheme="minorHAnsi" w:cs="Calibri"/>
        </w:rPr>
        <w:t xml:space="preserve"> In addition, some single people live in the PRS following relationship breakdown, often middle-aged men who have been asked to leave their family home.</w:t>
      </w:r>
      <w:r w:rsidR="00877986" w:rsidRPr="0067297E">
        <w:rPr>
          <w:rFonts w:asciiTheme="minorHAnsi" w:hAnsiTheme="minorHAnsi" w:cs="Calibri"/>
          <w:lang w:val="en-GB"/>
        </w:rPr>
        <w:t xml:space="preserve"> In terms of movement between tenures, it was noted that some households end up ‘trapped’ in the PRS: it is</w:t>
      </w:r>
      <w:r w:rsidR="00877986" w:rsidRPr="0067297E">
        <w:rPr>
          <w:rFonts w:asciiTheme="minorHAnsi" w:hAnsiTheme="minorHAnsi" w:cs="Calibri"/>
        </w:rPr>
        <w:t xml:space="preserve"> very difficult</w:t>
      </w:r>
      <w:r w:rsidR="00877986" w:rsidRPr="0067297E">
        <w:rPr>
          <w:rFonts w:asciiTheme="minorHAnsi" w:hAnsiTheme="minorHAnsi" w:cs="Calibri"/>
          <w:lang w:val="en-GB"/>
        </w:rPr>
        <w:t xml:space="preserve"> for those on lower incomes</w:t>
      </w:r>
      <w:r w:rsidR="00877986" w:rsidRPr="0067297E">
        <w:rPr>
          <w:rFonts w:asciiTheme="minorHAnsi" w:hAnsiTheme="minorHAnsi" w:cs="Calibri"/>
        </w:rPr>
        <w:t xml:space="preserve"> to access social housing </w:t>
      </w:r>
      <w:r w:rsidR="00877986" w:rsidRPr="0067297E">
        <w:rPr>
          <w:rFonts w:asciiTheme="minorHAnsi" w:hAnsiTheme="minorHAnsi" w:cs="Calibri"/>
          <w:lang w:val="en-GB"/>
        </w:rPr>
        <w:t>and rental prices are such that raising</w:t>
      </w:r>
      <w:r w:rsidR="00877986" w:rsidRPr="0067297E">
        <w:rPr>
          <w:rFonts w:asciiTheme="minorHAnsi" w:hAnsiTheme="minorHAnsi" w:cs="Calibri"/>
        </w:rPr>
        <w:t xml:space="preserve"> a deposit and mortgage to access home ownership</w:t>
      </w:r>
      <w:r w:rsidR="00877986" w:rsidRPr="0067297E">
        <w:rPr>
          <w:rFonts w:asciiTheme="minorHAnsi" w:hAnsiTheme="minorHAnsi" w:cs="Calibri"/>
          <w:lang w:val="en-GB"/>
        </w:rPr>
        <w:t xml:space="preserve"> is impossible for many households</w:t>
      </w:r>
      <w:r w:rsidR="00877986" w:rsidRPr="0067297E">
        <w:rPr>
          <w:rFonts w:asciiTheme="minorHAnsi" w:hAnsiTheme="minorHAnsi" w:cs="Calibri"/>
        </w:rPr>
        <w:t>.</w:t>
      </w:r>
    </w:p>
    <w:p w14:paraId="698319E8" w14:textId="180A2AB4" w:rsidR="00706C9B" w:rsidRPr="0067297E" w:rsidRDefault="00877986" w:rsidP="002C70BC">
      <w:pPr>
        <w:pStyle w:val="Reporttext"/>
        <w:numPr>
          <w:ilvl w:val="1"/>
          <w:numId w:val="23"/>
        </w:numPr>
        <w:rPr>
          <w:rFonts w:asciiTheme="minorHAnsi" w:hAnsiTheme="minorHAnsi" w:cs="Calibri"/>
        </w:rPr>
      </w:pPr>
      <w:r w:rsidRPr="0067297E">
        <w:rPr>
          <w:rFonts w:asciiTheme="minorHAnsi" w:hAnsiTheme="minorHAnsi" w:cs="Calibri"/>
          <w:lang w:val="en-GB"/>
        </w:rPr>
        <w:t xml:space="preserve">Whilst buy-to-let (BTL) was considered to have played a significant role in the PRS in Lewisham, stakeholders </w:t>
      </w:r>
      <w:r w:rsidR="0091437D" w:rsidRPr="0067297E">
        <w:rPr>
          <w:rFonts w:asciiTheme="minorHAnsi" w:hAnsiTheme="minorHAnsi" w:cs="Calibri"/>
        </w:rPr>
        <w:t>noted that some landlords are now selling up because of the ‘landlord tax</w:t>
      </w:r>
      <w:r w:rsidR="00C5084D" w:rsidRPr="0067297E">
        <w:rPr>
          <w:rFonts w:asciiTheme="minorHAnsi" w:hAnsiTheme="minorHAnsi" w:cs="Calibri"/>
          <w:lang w:val="en-GB"/>
        </w:rPr>
        <w:t>’,</w:t>
      </w:r>
      <w:r w:rsidRPr="0067297E">
        <w:rPr>
          <w:rFonts w:asciiTheme="minorHAnsi" w:hAnsiTheme="minorHAnsi" w:cs="Calibri"/>
          <w:lang w:val="en-GB"/>
        </w:rPr>
        <w:t xml:space="preserve"> </w:t>
      </w:r>
      <w:r w:rsidR="0091437D" w:rsidRPr="0067297E">
        <w:rPr>
          <w:rFonts w:asciiTheme="minorHAnsi" w:hAnsiTheme="minorHAnsi" w:cs="Calibri"/>
        </w:rPr>
        <w:t>interest rate rises and increases in stamp duty.</w:t>
      </w:r>
      <w:r w:rsidRPr="0067297E">
        <w:rPr>
          <w:rFonts w:asciiTheme="minorHAnsi" w:hAnsiTheme="minorHAnsi" w:cs="Calibri"/>
          <w:lang w:val="en-GB"/>
        </w:rPr>
        <w:t xml:space="preserve"> </w:t>
      </w:r>
      <w:r w:rsidR="0091437D" w:rsidRPr="0067297E">
        <w:rPr>
          <w:rFonts w:asciiTheme="minorHAnsi" w:hAnsiTheme="minorHAnsi" w:cs="Calibri"/>
        </w:rPr>
        <w:t xml:space="preserve">Other </w:t>
      </w:r>
      <w:r w:rsidRPr="0067297E">
        <w:rPr>
          <w:rFonts w:asciiTheme="minorHAnsi" w:hAnsiTheme="minorHAnsi" w:cs="Calibri"/>
          <w:lang w:val="en-GB"/>
        </w:rPr>
        <w:t xml:space="preserve">recent </w:t>
      </w:r>
      <w:r w:rsidR="0091437D" w:rsidRPr="0067297E">
        <w:rPr>
          <w:rFonts w:asciiTheme="minorHAnsi" w:hAnsiTheme="minorHAnsi" w:cs="Calibri"/>
        </w:rPr>
        <w:t xml:space="preserve">changes </w:t>
      </w:r>
      <w:r w:rsidRPr="0067297E">
        <w:rPr>
          <w:rFonts w:asciiTheme="minorHAnsi" w:hAnsiTheme="minorHAnsi" w:cs="Calibri"/>
          <w:lang w:val="en-GB"/>
        </w:rPr>
        <w:t>reported</w:t>
      </w:r>
      <w:r w:rsidR="0091437D" w:rsidRPr="0067297E">
        <w:rPr>
          <w:rFonts w:asciiTheme="minorHAnsi" w:hAnsiTheme="minorHAnsi" w:cs="Calibri"/>
        </w:rPr>
        <w:t xml:space="preserve"> by stakeholders include a drop in the number of tenants coming to work in London from abroad, attributed to uncertainty surrounding Brexit. Welfare changes were </w:t>
      </w:r>
      <w:r w:rsidRPr="0067297E">
        <w:rPr>
          <w:rFonts w:asciiTheme="minorHAnsi" w:hAnsiTheme="minorHAnsi" w:cs="Calibri"/>
          <w:lang w:val="en-GB"/>
        </w:rPr>
        <w:t xml:space="preserve">also </w:t>
      </w:r>
      <w:r w:rsidR="0091437D" w:rsidRPr="0067297E">
        <w:rPr>
          <w:rFonts w:asciiTheme="minorHAnsi" w:hAnsiTheme="minorHAnsi" w:cs="Calibri"/>
        </w:rPr>
        <w:t>considered to have had an impact, with Universal Credit and benefit cuts making it very difficult for some tenants</w:t>
      </w:r>
      <w:r w:rsidRPr="0067297E">
        <w:rPr>
          <w:rFonts w:asciiTheme="minorHAnsi" w:hAnsiTheme="minorHAnsi" w:cs="Calibri"/>
          <w:lang w:val="en-GB"/>
        </w:rPr>
        <w:t xml:space="preserve"> to meet their housing needs through the PRS</w:t>
      </w:r>
      <w:r w:rsidR="0091437D" w:rsidRPr="0067297E">
        <w:rPr>
          <w:rFonts w:asciiTheme="minorHAnsi" w:hAnsiTheme="minorHAnsi" w:cs="Calibri"/>
        </w:rPr>
        <w:t xml:space="preserve">, particularly those who really need social housing. This results in benefit-dependent families being forced into low-quality PRS housing. It was noted that some landlords will not accept </w:t>
      </w:r>
      <w:r w:rsidR="00E07FE1" w:rsidRPr="0067297E">
        <w:rPr>
          <w:rFonts w:asciiTheme="minorHAnsi" w:hAnsiTheme="minorHAnsi" w:cs="Calibri"/>
          <w:lang w:val="en-GB"/>
        </w:rPr>
        <w:t>t</w:t>
      </w:r>
      <w:r w:rsidR="0091437D" w:rsidRPr="0067297E">
        <w:rPr>
          <w:rFonts w:asciiTheme="minorHAnsi" w:hAnsiTheme="minorHAnsi" w:cs="Calibri"/>
        </w:rPr>
        <w:t>enants</w:t>
      </w:r>
      <w:r w:rsidR="00E07FE1" w:rsidRPr="0067297E">
        <w:rPr>
          <w:rFonts w:asciiTheme="minorHAnsi" w:hAnsiTheme="minorHAnsi" w:cs="Calibri"/>
          <w:lang w:val="en-GB"/>
        </w:rPr>
        <w:t xml:space="preserve"> that are claiming benefits</w:t>
      </w:r>
      <w:r w:rsidR="0091437D" w:rsidRPr="0067297E">
        <w:rPr>
          <w:rFonts w:asciiTheme="minorHAnsi" w:hAnsiTheme="minorHAnsi" w:cs="Calibri"/>
        </w:rPr>
        <w:t>. The trend towards landlords selling up is also resulting in a lot of tenants being evicted</w:t>
      </w:r>
      <w:r w:rsidRPr="0067297E">
        <w:rPr>
          <w:rFonts w:asciiTheme="minorHAnsi" w:hAnsiTheme="minorHAnsi" w:cs="Calibri"/>
          <w:lang w:val="en-GB"/>
        </w:rPr>
        <w:t xml:space="preserve"> from their properties. Issues of quality and security therefore remain an ongoing concern in the PRS market overall.</w:t>
      </w:r>
    </w:p>
    <w:p w14:paraId="6585D715" w14:textId="77777777" w:rsidR="008F5A64" w:rsidRPr="0067297E" w:rsidRDefault="008F5A64" w:rsidP="007E2C96">
      <w:pPr>
        <w:pStyle w:val="Reporttext"/>
        <w:numPr>
          <w:ilvl w:val="0"/>
          <w:numId w:val="0"/>
        </w:numPr>
        <w:rPr>
          <w:rFonts w:asciiTheme="minorHAnsi" w:hAnsiTheme="minorHAnsi" w:cs="Calibri"/>
        </w:rPr>
      </w:pPr>
    </w:p>
    <w:p w14:paraId="5A993FDB" w14:textId="664D7B1B" w:rsidR="00C81E1C" w:rsidRPr="0067297E" w:rsidRDefault="00C81E1C" w:rsidP="00516B53">
      <w:pPr>
        <w:pStyle w:val="Heading3"/>
        <w:rPr>
          <w:rFonts w:asciiTheme="minorHAnsi" w:hAnsiTheme="minorHAnsi"/>
        </w:rPr>
      </w:pPr>
      <w:r w:rsidRPr="0067297E">
        <w:rPr>
          <w:rFonts w:asciiTheme="minorHAnsi" w:hAnsiTheme="minorHAnsi"/>
          <w:lang w:val="en-GB"/>
        </w:rPr>
        <w:t>Specially commissioned i</w:t>
      </w:r>
      <w:r w:rsidRPr="0067297E">
        <w:rPr>
          <w:rFonts w:asciiTheme="minorHAnsi" w:hAnsiTheme="minorHAnsi"/>
        </w:rPr>
        <w:t>n</w:t>
      </w:r>
      <w:r w:rsidR="00BC6D95" w:rsidRPr="0067297E">
        <w:rPr>
          <w:rFonts w:asciiTheme="minorHAnsi" w:hAnsiTheme="minorHAnsi"/>
          <w:lang w:val="en-GB"/>
        </w:rPr>
        <w:t xml:space="preserve"> </w:t>
      </w:r>
      <w:r w:rsidRPr="0067297E">
        <w:rPr>
          <w:rFonts w:asciiTheme="minorHAnsi" w:hAnsiTheme="minorHAnsi"/>
        </w:rPr>
        <w:t>depth analysis of the private rented sector in Lewisham</w:t>
      </w:r>
    </w:p>
    <w:p w14:paraId="44339EBB" w14:textId="195F7EBF" w:rsidR="00C81E1C" w:rsidRPr="0067297E" w:rsidRDefault="00C81E1C" w:rsidP="002C70BC">
      <w:pPr>
        <w:pStyle w:val="Reporttext"/>
        <w:numPr>
          <w:ilvl w:val="1"/>
          <w:numId w:val="23"/>
        </w:numPr>
        <w:rPr>
          <w:rFonts w:asciiTheme="minorHAnsi" w:hAnsiTheme="minorHAnsi" w:cs="Calibri"/>
          <w:lang w:val="en-GB"/>
        </w:rPr>
      </w:pPr>
      <w:r w:rsidRPr="0067297E">
        <w:rPr>
          <w:rFonts w:asciiTheme="minorHAnsi" w:hAnsiTheme="minorHAnsi" w:cs="Calibri"/>
          <w:lang w:val="en-GB"/>
        </w:rPr>
        <w:t xml:space="preserve">Technical </w:t>
      </w:r>
      <w:r w:rsidR="00AF17D0" w:rsidRPr="0067297E">
        <w:rPr>
          <w:rFonts w:asciiTheme="minorHAnsi" w:hAnsiTheme="minorHAnsi" w:cs="Calibri"/>
          <w:lang w:val="en-GB"/>
        </w:rPr>
        <w:t>A</w:t>
      </w:r>
      <w:r w:rsidRPr="0067297E">
        <w:rPr>
          <w:rFonts w:asciiTheme="minorHAnsi" w:hAnsiTheme="minorHAnsi" w:cs="Calibri"/>
          <w:lang w:val="en-GB"/>
        </w:rPr>
        <w:t xml:space="preserve">ppendix </w:t>
      </w:r>
      <w:r w:rsidR="00AF17D0" w:rsidRPr="0067297E">
        <w:rPr>
          <w:rFonts w:asciiTheme="minorHAnsi" w:hAnsiTheme="minorHAnsi" w:cs="Calibri"/>
          <w:lang w:val="en-GB"/>
        </w:rPr>
        <w:t>D</w:t>
      </w:r>
      <w:r w:rsidRPr="0067297E">
        <w:rPr>
          <w:rFonts w:asciiTheme="minorHAnsi" w:hAnsiTheme="minorHAnsi" w:cs="Calibri"/>
          <w:lang w:val="en-GB"/>
        </w:rPr>
        <w:t xml:space="preserve"> contains an in-depth study of the characteristics and performance of Lewisham’s private rented sector market.</w:t>
      </w:r>
    </w:p>
    <w:p w14:paraId="0B5D5489" w14:textId="77777777" w:rsidR="00C81E1C" w:rsidRPr="0067297E" w:rsidRDefault="00C81E1C" w:rsidP="002C70BC">
      <w:pPr>
        <w:pStyle w:val="Reporttext"/>
        <w:numPr>
          <w:ilvl w:val="1"/>
          <w:numId w:val="23"/>
        </w:numPr>
        <w:rPr>
          <w:rFonts w:asciiTheme="minorHAnsi" w:hAnsiTheme="minorHAnsi" w:cs="Calibri"/>
          <w:lang w:val="en-GB"/>
        </w:rPr>
      </w:pPr>
      <w:r w:rsidRPr="0067297E">
        <w:rPr>
          <w:rFonts w:asciiTheme="minorHAnsi" w:hAnsiTheme="minorHAnsi" w:cs="Calibri"/>
          <w:lang w:val="en-GB"/>
        </w:rPr>
        <w:t>The key findings are as follows.</w:t>
      </w:r>
    </w:p>
    <w:p w14:paraId="1680D521" w14:textId="26989091" w:rsidR="00C81E1C" w:rsidRPr="0067297E" w:rsidRDefault="00450566" w:rsidP="002C70BC">
      <w:pPr>
        <w:pStyle w:val="Reporttext"/>
        <w:numPr>
          <w:ilvl w:val="1"/>
          <w:numId w:val="23"/>
        </w:numPr>
        <w:rPr>
          <w:rFonts w:asciiTheme="minorHAnsi" w:hAnsiTheme="minorHAnsi" w:cs="Calibri"/>
          <w:lang w:val="en-GB"/>
        </w:rPr>
      </w:pPr>
      <w:r w:rsidRPr="0067297E">
        <w:rPr>
          <w:rFonts w:asciiTheme="minorHAnsi" w:hAnsiTheme="minorHAnsi" w:cs="Calibri"/>
          <w:lang w:val="en-GB"/>
        </w:rPr>
        <w:t xml:space="preserve">According to the </w:t>
      </w:r>
      <w:r w:rsidR="00BC6D95" w:rsidRPr="0067297E">
        <w:rPr>
          <w:rFonts w:asciiTheme="minorHAnsi" w:hAnsiTheme="minorHAnsi" w:cs="Calibri"/>
          <w:lang w:val="en-GB"/>
        </w:rPr>
        <w:t>C</w:t>
      </w:r>
      <w:r w:rsidRPr="0067297E">
        <w:rPr>
          <w:rFonts w:asciiTheme="minorHAnsi" w:hAnsiTheme="minorHAnsi" w:cs="Calibri"/>
          <w:lang w:val="en-GB"/>
        </w:rPr>
        <w:t>ensus 2011, Lewisham, at 25.3% had the highest levels of PRS in the sub region, above Southwark</w:t>
      </w:r>
      <w:r w:rsidR="00BC6D95" w:rsidRPr="0067297E">
        <w:rPr>
          <w:rFonts w:asciiTheme="minorHAnsi" w:hAnsiTheme="minorHAnsi" w:cs="Calibri"/>
          <w:lang w:val="en-GB"/>
        </w:rPr>
        <w:t>’s</w:t>
      </w:r>
      <w:r w:rsidRPr="0067297E">
        <w:rPr>
          <w:rFonts w:asciiTheme="minorHAnsi" w:hAnsiTheme="minorHAnsi" w:cs="Calibri"/>
          <w:lang w:val="en-GB"/>
        </w:rPr>
        <w:t xml:space="preserve"> 22.2%, Greenwich</w:t>
      </w:r>
      <w:r w:rsidR="00BC6D95" w:rsidRPr="0067297E">
        <w:rPr>
          <w:rFonts w:asciiTheme="minorHAnsi" w:hAnsiTheme="minorHAnsi" w:cs="Calibri"/>
          <w:lang w:val="en-GB"/>
        </w:rPr>
        <w:t>’s</w:t>
      </w:r>
      <w:r w:rsidRPr="0067297E">
        <w:rPr>
          <w:rFonts w:asciiTheme="minorHAnsi" w:hAnsiTheme="minorHAnsi" w:cs="Calibri"/>
          <w:lang w:val="en-GB"/>
        </w:rPr>
        <w:t xml:space="preserve"> 18.5%, Bromley’s 14.2% and Bexley’s 12.2%. </w:t>
      </w:r>
      <w:r w:rsidR="00C81E1C" w:rsidRPr="0067297E">
        <w:rPr>
          <w:rFonts w:asciiTheme="minorHAnsi" w:hAnsiTheme="minorHAnsi" w:cs="Calibri"/>
          <w:lang w:val="en-GB"/>
        </w:rPr>
        <w:t>However, this masks geographical diversity and there are locations where over a third of the stock is focused on the private rented sector. The stock is very much focused around urban centres and is providing an offer as an extension of the social rented sector and supporting those on lower income as well as providing an offer to economically active, higher income households. Whilst most locations are buoyant and experiencing rent increases where rents are already high, Catford stands out as a lower value stock offer.</w:t>
      </w:r>
    </w:p>
    <w:p w14:paraId="677CFFCB" w14:textId="1E689825" w:rsidR="00C81E1C" w:rsidRPr="0067297E" w:rsidRDefault="00C81E1C" w:rsidP="002C70BC">
      <w:pPr>
        <w:pStyle w:val="Reporttext"/>
        <w:numPr>
          <w:ilvl w:val="1"/>
          <w:numId w:val="23"/>
        </w:numPr>
        <w:rPr>
          <w:rFonts w:asciiTheme="minorHAnsi" w:hAnsiTheme="minorHAnsi" w:cs="Calibri"/>
          <w:lang w:val="en-GB"/>
        </w:rPr>
      </w:pPr>
      <w:r w:rsidRPr="0067297E">
        <w:rPr>
          <w:rFonts w:asciiTheme="minorHAnsi" w:hAnsiTheme="minorHAnsi" w:cs="Calibri"/>
          <w:lang w:val="en-GB"/>
        </w:rPr>
        <w:t xml:space="preserve">Between 8-10,000 units are being advertised through Zoopla each year; this is a significant market; </w:t>
      </w:r>
      <w:r w:rsidR="007F721A" w:rsidRPr="0067297E">
        <w:rPr>
          <w:rFonts w:asciiTheme="minorHAnsi" w:hAnsiTheme="minorHAnsi" w:cs="Calibri"/>
          <w:lang w:val="en-GB"/>
        </w:rPr>
        <w:t xml:space="preserve">build </w:t>
      </w:r>
      <w:r w:rsidRPr="0067297E">
        <w:rPr>
          <w:rFonts w:asciiTheme="minorHAnsi" w:hAnsiTheme="minorHAnsi" w:cs="Calibri"/>
          <w:lang w:val="en-GB"/>
        </w:rPr>
        <w:t xml:space="preserve">is completely skewed toward apartments. Apartments/flats make up </w:t>
      </w:r>
      <w:r w:rsidR="00E07FE1" w:rsidRPr="0067297E">
        <w:rPr>
          <w:rFonts w:asciiTheme="minorHAnsi" w:hAnsiTheme="minorHAnsi" w:cs="Calibri"/>
          <w:lang w:val="en-GB"/>
        </w:rPr>
        <w:t>70% o</w:t>
      </w:r>
      <w:r w:rsidRPr="0067297E">
        <w:rPr>
          <w:rFonts w:asciiTheme="minorHAnsi" w:hAnsiTheme="minorHAnsi" w:cs="Calibri"/>
          <w:lang w:val="en-GB"/>
        </w:rPr>
        <w:t xml:space="preserve">f the </w:t>
      </w:r>
      <w:r w:rsidR="00E07FE1" w:rsidRPr="0067297E">
        <w:rPr>
          <w:rFonts w:asciiTheme="minorHAnsi" w:hAnsiTheme="minorHAnsi" w:cs="Calibri"/>
          <w:lang w:val="en-GB"/>
        </w:rPr>
        <w:t xml:space="preserve">residential lettings </w:t>
      </w:r>
      <w:r w:rsidRPr="0067297E">
        <w:rPr>
          <w:rFonts w:asciiTheme="minorHAnsi" w:hAnsiTheme="minorHAnsi" w:cs="Calibri"/>
          <w:lang w:val="en-GB"/>
        </w:rPr>
        <w:t>that come onto the market; houses</w:t>
      </w:r>
      <w:r w:rsidR="00E07FE1" w:rsidRPr="0067297E">
        <w:rPr>
          <w:rFonts w:asciiTheme="minorHAnsi" w:hAnsiTheme="minorHAnsi" w:cs="Calibri"/>
          <w:lang w:val="en-GB"/>
        </w:rPr>
        <w:t xml:space="preserve"> 30%.</w:t>
      </w:r>
      <w:r w:rsidRPr="0067297E">
        <w:rPr>
          <w:rFonts w:asciiTheme="minorHAnsi" w:hAnsiTheme="minorHAnsi" w:cs="Calibri"/>
          <w:lang w:val="en-GB"/>
        </w:rPr>
        <w:t xml:space="preserve"> This will be a challenging market for growing families living in the private rented sector to access appropriate housing.</w:t>
      </w:r>
    </w:p>
    <w:p w14:paraId="416E006A" w14:textId="75B7D0B9" w:rsidR="00C81E1C" w:rsidRPr="0067297E" w:rsidRDefault="00C81E1C" w:rsidP="002C70BC">
      <w:pPr>
        <w:pStyle w:val="Reporttext"/>
        <w:numPr>
          <w:ilvl w:val="1"/>
          <w:numId w:val="23"/>
        </w:numPr>
        <w:rPr>
          <w:rFonts w:asciiTheme="minorHAnsi" w:hAnsiTheme="minorHAnsi" w:cs="Calibri"/>
          <w:lang w:val="en-GB"/>
        </w:rPr>
      </w:pPr>
      <w:r w:rsidRPr="0067297E">
        <w:rPr>
          <w:rFonts w:asciiTheme="minorHAnsi" w:hAnsiTheme="minorHAnsi" w:cs="Calibri"/>
          <w:lang w:val="en-GB"/>
        </w:rPr>
        <w:t>The market is dominated by 1 and 2</w:t>
      </w:r>
      <w:r w:rsidR="00E07FE1" w:rsidRPr="0067297E">
        <w:rPr>
          <w:rFonts w:asciiTheme="minorHAnsi" w:hAnsiTheme="minorHAnsi" w:cs="Calibri"/>
          <w:lang w:val="en-GB"/>
        </w:rPr>
        <w:t>-</w:t>
      </w:r>
      <w:r w:rsidRPr="0067297E">
        <w:rPr>
          <w:rFonts w:asciiTheme="minorHAnsi" w:hAnsiTheme="minorHAnsi" w:cs="Calibri"/>
          <w:lang w:val="en-GB"/>
        </w:rPr>
        <w:t>bed</w:t>
      </w:r>
      <w:r w:rsidR="00E07FE1" w:rsidRPr="0067297E">
        <w:rPr>
          <w:rFonts w:asciiTheme="minorHAnsi" w:hAnsiTheme="minorHAnsi" w:cs="Calibri"/>
          <w:lang w:val="en-GB"/>
        </w:rPr>
        <w:t>room</w:t>
      </w:r>
      <w:r w:rsidRPr="0067297E">
        <w:rPr>
          <w:rFonts w:asciiTheme="minorHAnsi" w:hAnsiTheme="minorHAnsi" w:cs="Calibri"/>
          <w:lang w:val="en-GB"/>
        </w:rPr>
        <w:t xml:space="preserve"> properties with consistently low percentage of properties in smaller or larger categories.</w:t>
      </w:r>
    </w:p>
    <w:p w14:paraId="3412AB0A" w14:textId="15E28C61" w:rsidR="00C81E1C" w:rsidRPr="0067297E" w:rsidRDefault="00E07FE1" w:rsidP="002C70BC">
      <w:pPr>
        <w:pStyle w:val="Reporttext"/>
        <w:numPr>
          <w:ilvl w:val="1"/>
          <w:numId w:val="23"/>
        </w:numPr>
        <w:rPr>
          <w:rFonts w:asciiTheme="minorHAnsi" w:hAnsiTheme="minorHAnsi" w:cs="Calibri"/>
          <w:lang w:val="en-GB"/>
        </w:rPr>
      </w:pPr>
      <w:r w:rsidRPr="0067297E">
        <w:rPr>
          <w:rFonts w:asciiTheme="minorHAnsi" w:hAnsiTheme="minorHAnsi" w:cs="Calibri"/>
          <w:lang w:val="en-GB"/>
        </w:rPr>
        <w:t xml:space="preserve">The small supply </w:t>
      </w:r>
      <w:r w:rsidR="00C81E1C" w:rsidRPr="0067297E">
        <w:rPr>
          <w:rFonts w:asciiTheme="minorHAnsi" w:hAnsiTheme="minorHAnsi" w:cs="Calibri"/>
          <w:lang w:val="en-GB"/>
        </w:rPr>
        <w:t xml:space="preserve">of larger homes will have an impact on families and also on the ability for households to share property and share the rent; a growing trend to tackle affordability. Only 18.2% of properties have been 3+-beds in the past 3 years, the remainder being smaller properties. </w:t>
      </w:r>
    </w:p>
    <w:p w14:paraId="4B3871E1" w14:textId="73830A04" w:rsidR="00C81E1C" w:rsidRPr="0067297E" w:rsidRDefault="00C81E1C" w:rsidP="002C70BC">
      <w:pPr>
        <w:pStyle w:val="Reporttext"/>
        <w:numPr>
          <w:ilvl w:val="1"/>
          <w:numId w:val="23"/>
        </w:numPr>
        <w:rPr>
          <w:rFonts w:asciiTheme="minorHAnsi" w:hAnsiTheme="minorHAnsi" w:cs="Calibri"/>
          <w:lang w:val="en-GB"/>
        </w:rPr>
      </w:pPr>
      <w:r w:rsidRPr="0067297E">
        <w:rPr>
          <w:rFonts w:asciiTheme="minorHAnsi" w:hAnsiTheme="minorHAnsi" w:cs="Calibri"/>
          <w:lang w:val="en-GB"/>
        </w:rPr>
        <w:t>The median rent for property let in Lewisham in 2017 was £1,248pcm. The largest increases are in Downham, followed by Grove Park, and Lee Green. Two of those location</w:t>
      </w:r>
      <w:r w:rsidR="00BC6D95" w:rsidRPr="0067297E">
        <w:rPr>
          <w:rFonts w:asciiTheme="minorHAnsi" w:hAnsiTheme="minorHAnsi" w:cs="Calibri"/>
          <w:lang w:val="en-GB"/>
        </w:rPr>
        <w:t>s</w:t>
      </w:r>
      <w:r w:rsidRPr="0067297E">
        <w:rPr>
          <w:rFonts w:asciiTheme="minorHAnsi" w:hAnsiTheme="minorHAnsi" w:cs="Calibri"/>
          <w:lang w:val="en-GB"/>
        </w:rPr>
        <w:t>, Downham and Grove Park</w:t>
      </w:r>
      <w:r w:rsidR="00BC6D95" w:rsidRPr="0067297E">
        <w:rPr>
          <w:rFonts w:asciiTheme="minorHAnsi" w:hAnsiTheme="minorHAnsi" w:cs="Calibri"/>
          <w:lang w:val="en-GB"/>
        </w:rPr>
        <w:t>,</w:t>
      </w:r>
      <w:r w:rsidRPr="0067297E">
        <w:rPr>
          <w:rFonts w:asciiTheme="minorHAnsi" w:hAnsiTheme="minorHAnsi" w:cs="Calibri"/>
          <w:lang w:val="en-GB"/>
        </w:rPr>
        <w:t xml:space="preserve"> have markets where houses are offered onto the market in larger proportions and could be pressured through family markets.</w:t>
      </w:r>
    </w:p>
    <w:p w14:paraId="4F759702" w14:textId="05244194" w:rsidR="00C81E1C" w:rsidRPr="0067297E" w:rsidRDefault="00C81E1C" w:rsidP="002C70BC">
      <w:pPr>
        <w:pStyle w:val="Reporttext"/>
        <w:numPr>
          <w:ilvl w:val="1"/>
          <w:numId w:val="23"/>
        </w:numPr>
        <w:rPr>
          <w:rFonts w:asciiTheme="minorHAnsi" w:hAnsiTheme="minorHAnsi" w:cs="Calibri"/>
          <w:lang w:val="en-GB"/>
        </w:rPr>
      </w:pPr>
      <w:r w:rsidRPr="0067297E">
        <w:rPr>
          <w:rFonts w:asciiTheme="minorHAnsi" w:hAnsiTheme="minorHAnsi" w:cs="Calibri"/>
          <w:lang w:val="en-GB"/>
        </w:rPr>
        <w:t>The median rent for apartments let in Lewisham in 2017 was £1,200pcm, slightly lower than the borough median. Over the past 3 years, apartment median rent levels have remained static</w:t>
      </w:r>
      <w:r w:rsidR="00BC6D95" w:rsidRPr="0067297E">
        <w:rPr>
          <w:rFonts w:asciiTheme="minorHAnsi" w:hAnsiTheme="minorHAnsi" w:cs="Calibri"/>
          <w:lang w:val="en-GB"/>
        </w:rPr>
        <w:t>.</w:t>
      </w:r>
    </w:p>
    <w:p w14:paraId="6D2F127F" w14:textId="77777777" w:rsidR="00C81E1C" w:rsidRPr="0067297E" w:rsidRDefault="00C81E1C" w:rsidP="002C70BC">
      <w:pPr>
        <w:pStyle w:val="Reporttext"/>
        <w:numPr>
          <w:ilvl w:val="1"/>
          <w:numId w:val="23"/>
        </w:numPr>
        <w:rPr>
          <w:rFonts w:asciiTheme="minorHAnsi" w:hAnsiTheme="minorHAnsi" w:cs="Calibri"/>
          <w:lang w:val="en-GB"/>
        </w:rPr>
      </w:pPr>
      <w:r w:rsidRPr="0067297E">
        <w:rPr>
          <w:rFonts w:asciiTheme="minorHAnsi" w:hAnsiTheme="minorHAnsi" w:cs="Calibri"/>
          <w:lang w:val="en-GB"/>
        </w:rPr>
        <w:t>The mean rent for houses let in Lewisham in 2017 was £1,452pcm and has reduced by 3.1% over the past 3 years.</w:t>
      </w:r>
    </w:p>
    <w:p w14:paraId="41E58C1F" w14:textId="77777777" w:rsidR="00C81E1C" w:rsidRPr="0067297E" w:rsidRDefault="00C81E1C" w:rsidP="002C70BC">
      <w:pPr>
        <w:pStyle w:val="Reporttext"/>
        <w:numPr>
          <w:ilvl w:val="1"/>
          <w:numId w:val="23"/>
        </w:numPr>
        <w:rPr>
          <w:rFonts w:asciiTheme="minorHAnsi" w:hAnsiTheme="minorHAnsi" w:cs="Calibri"/>
          <w:lang w:val="en-GB"/>
        </w:rPr>
      </w:pPr>
      <w:r w:rsidRPr="0067297E">
        <w:rPr>
          <w:rFonts w:asciiTheme="minorHAnsi" w:hAnsiTheme="minorHAnsi" w:cs="Calibri"/>
          <w:lang w:val="en-GB"/>
        </w:rPr>
        <w:t>The market is not affordable. There were no areas where households on lower quartile or median quartile gross incomes could afford median rent levels unless that used over 30% of their household income.</w:t>
      </w:r>
    </w:p>
    <w:p w14:paraId="1E3D5004" w14:textId="77777777" w:rsidR="00C81E1C" w:rsidRPr="0067297E" w:rsidRDefault="00C81E1C" w:rsidP="002C70BC">
      <w:pPr>
        <w:pStyle w:val="Reporttext"/>
        <w:numPr>
          <w:ilvl w:val="1"/>
          <w:numId w:val="23"/>
        </w:numPr>
        <w:rPr>
          <w:rFonts w:asciiTheme="minorHAnsi" w:hAnsiTheme="minorHAnsi" w:cs="Calibri"/>
          <w:lang w:val="en-GB"/>
        </w:rPr>
      </w:pPr>
      <w:r w:rsidRPr="0067297E">
        <w:rPr>
          <w:rFonts w:asciiTheme="minorHAnsi" w:hAnsiTheme="minorHAnsi" w:cs="Calibri"/>
          <w:lang w:val="en-GB"/>
        </w:rPr>
        <w:t>Since 2015, 15% of all properties coming to the market and recorded through Zoopla have been within the Local Housing Allowance caps and in 2017 this figure was 15.8%.</w:t>
      </w:r>
    </w:p>
    <w:p w14:paraId="31335942" w14:textId="7597978F" w:rsidR="00C81E1C" w:rsidRPr="0067297E" w:rsidRDefault="00C81E1C" w:rsidP="002C70BC">
      <w:pPr>
        <w:pStyle w:val="Reporttext"/>
        <w:numPr>
          <w:ilvl w:val="1"/>
          <w:numId w:val="23"/>
        </w:numPr>
        <w:rPr>
          <w:rFonts w:asciiTheme="minorHAnsi" w:hAnsiTheme="minorHAnsi" w:cs="Calibri"/>
          <w:lang w:val="en-GB"/>
        </w:rPr>
      </w:pPr>
      <w:r w:rsidRPr="0067297E">
        <w:rPr>
          <w:rFonts w:asciiTheme="minorHAnsi" w:hAnsiTheme="minorHAnsi" w:cs="Calibri"/>
          <w:lang w:val="en-GB"/>
        </w:rPr>
        <w:t xml:space="preserve">This confirms the problems of affordability in the market and the lack of choice for households reliant on </w:t>
      </w:r>
      <w:r w:rsidR="00BC6D95" w:rsidRPr="0067297E">
        <w:rPr>
          <w:rFonts w:asciiTheme="minorHAnsi" w:hAnsiTheme="minorHAnsi" w:cs="Calibri"/>
          <w:lang w:val="en-GB"/>
        </w:rPr>
        <w:t>L</w:t>
      </w:r>
      <w:r w:rsidRPr="0067297E">
        <w:rPr>
          <w:rFonts w:asciiTheme="minorHAnsi" w:hAnsiTheme="minorHAnsi" w:cs="Calibri"/>
          <w:lang w:val="en-GB"/>
        </w:rPr>
        <w:t xml:space="preserve">ocal </w:t>
      </w:r>
      <w:r w:rsidR="00BC6D95" w:rsidRPr="0067297E">
        <w:rPr>
          <w:rFonts w:asciiTheme="minorHAnsi" w:hAnsiTheme="minorHAnsi" w:cs="Calibri"/>
          <w:lang w:val="en-GB"/>
        </w:rPr>
        <w:t>H</w:t>
      </w:r>
      <w:r w:rsidRPr="0067297E">
        <w:rPr>
          <w:rFonts w:asciiTheme="minorHAnsi" w:hAnsiTheme="minorHAnsi" w:cs="Calibri"/>
          <w:lang w:val="en-GB"/>
        </w:rPr>
        <w:t xml:space="preserve">ousing </w:t>
      </w:r>
      <w:r w:rsidR="00BC6D95" w:rsidRPr="0067297E">
        <w:rPr>
          <w:rFonts w:asciiTheme="minorHAnsi" w:hAnsiTheme="minorHAnsi" w:cs="Calibri"/>
          <w:lang w:val="en-GB"/>
        </w:rPr>
        <w:t>A</w:t>
      </w:r>
      <w:r w:rsidRPr="0067297E">
        <w:rPr>
          <w:rFonts w:asciiTheme="minorHAnsi" w:hAnsiTheme="minorHAnsi" w:cs="Calibri"/>
          <w:lang w:val="en-GB"/>
        </w:rPr>
        <w:t>llowance. This has reduced since 2014 but stabilised over the past few years, given the relatively static movement in rents.</w:t>
      </w:r>
    </w:p>
    <w:p w14:paraId="19F40E79" w14:textId="550F6099" w:rsidR="00C81E1C" w:rsidRPr="0067297E" w:rsidRDefault="00C81E1C" w:rsidP="002C70BC">
      <w:pPr>
        <w:pStyle w:val="Reporttext"/>
        <w:numPr>
          <w:ilvl w:val="1"/>
          <w:numId w:val="23"/>
        </w:numPr>
        <w:rPr>
          <w:rFonts w:asciiTheme="minorHAnsi" w:hAnsiTheme="minorHAnsi" w:cs="Calibri"/>
          <w:lang w:val="en-GB"/>
        </w:rPr>
      </w:pPr>
      <w:r w:rsidRPr="0067297E">
        <w:rPr>
          <w:rFonts w:asciiTheme="minorHAnsi" w:hAnsiTheme="minorHAnsi" w:cs="Calibri"/>
          <w:lang w:val="en-GB"/>
        </w:rPr>
        <w:t>It is very likely that additional properties are available but that these are advertised locally through ‘word of mouth’ or directly through windows in properties etc. The difficulty with this is that those households that need to access properties with rents that are within Local Housing Allowance levels may struggle to find them as they are not widely advertised.</w:t>
      </w:r>
    </w:p>
    <w:p w14:paraId="42DBF519" w14:textId="539E2EA0" w:rsidR="00C81E1C" w:rsidRPr="0067297E" w:rsidRDefault="00C81E1C" w:rsidP="002C70BC">
      <w:pPr>
        <w:pStyle w:val="Reporttext"/>
        <w:numPr>
          <w:ilvl w:val="1"/>
          <w:numId w:val="23"/>
        </w:numPr>
        <w:rPr>
          <w:rFonts w:asciiTheme="minorHAnsi" w:hAnsiTheme="minorHAnsi" w:cs="Calibri"/>
          <w:lang w:val="en-GB"/>
        </w:rPr>
      </w:pPr>
      <w:r w:rsidRPr="0067297E">
        <w:rPr>
          <w:rFonts w:asciiTheme="minorHAnsi" w:hAnsiTheme="minorHAnsi" w:cs="Calibri"/>
          <w:lang w:val="en-GB"/>
        </w:rPr>
        <w:t>The time to let a property can indicate how popular a property type is, how popular an area is or whether a property is in good condition. It can also indicate an undersupply/oversupply of a particular property type. This timescale includes notice periods, which we assume to be four weeks or one calendar month. These timescales are higher than usually seen for urban areas where it is common place to see figures as low as 4-5 weeks</w:t>
      </w:r>
      <w:r w:rsidR="00BC6D95" w:rsidRPr="0067297E">
        <w:rPr>
          <w:rFonts w:asciiTheme="minorHAnsi" w:hAnsiTheme="minorHAnsi" w:cs="Calibri"/>
          <w:lang w:val="en-GB"/>
        </w:rPr>
        <w:t>.</w:t>
      </w:r>
    </w:p>
    <w:p w14:paraId="0B56A251" w14:textId="77777777" w:rsidR="00C81E1C" w:rsidRPr="0067297E" w:rsidRDefault="00C81E1C" w:rsidP="003F4875">
      <w:pPr>
        <w:pStyle w:val="Reporttext"/>
        <w:numPr>
          <w:ilvl w:val="0"/>
          <w:numId w:val="0"/>
        </w:numPr>
        <w:rPr>
          <w:rFonts w:asciiTheme="minorHAnsi" w:hAnsiTheme="minorHAnsi" w:cs="Calibri"/>
        </w:rPr>
      </w:pPr>
    </w:p>
    <w:p w14:paraId="159DB5ED" w14:textId="77777777" w:rsidR="00680561" w:rsidRPr="0067297E" w:rsidRDefault="00680561" w:rsidP="00B32E87">
      <w:pPr>
        <w:pStyle w:val="Heading2"/>
        <w:rPr>
          <w:rFonts w:asciiTheme="minorHAnsi" w:hAnsiTheme="minorHAnsi" w:cs="Calibri"/>
        </w:rPr>
      </w:pPr>
      <w:bookmarkStart w:id="260" w:name="_Toc1385757"/>
      <w:bookmarkStart w:id="261" w:name="_Toc23151072"/>
      <w:r w:rsidRPr="0067297E">
        <w:rPr>
          <w:rFonts w:asciiTheme="minorHAnsi" w:hAnsiTheme="minorHAnsi" w:cs="Calibri"/>
        </w:rPr>
        <w:t>Affordable sector</w:t>
      </w:r>
      <w:bookmarkEnd w:id="260"/>
      <w:bookmarkEnd w:id="261"/>
    </w:p>
    <w:p w14:paraId="5E58F6EC" w14:textId="766F9CB1" w:rsidR="00680561" w:rsidRPr="0067297E" w:rsidRDefault="00680561" w:rsidP="00B32E87">
      <w:pPr>
        <w:pStyle w:val="Reporttext"/>
        <w:rPr>
          <w:rFonts w:asciiTheme="minorHAnsi" w:hAnsiTheme="minorHAnsi" w:cs="Calibri"/>
        </w:rPr>
      </w:pPr>
      <w:r w:rsidRPr="0067297E">
        <w:rPr>
          <w:rFonts w:asciiTheme="minorHAnsi" w:hAnsiTheme="minorHAnsi" w:cs="Calibri"/>
        </w:rPr>
        <w:t>T</w:t>
      </w:r>
      <w:r w:rsidR="0085395E" w:rsidRPr="0067297E">
        <w:rPr>
          <w:rFonts w:asciiTheme="minorHAnsi" w:hAnsiTheme="minorHAnsi" w:cs="Calibri"/>
          <w:lang w:val="en-GB"/>
        </w:rPr>
        <w:t xml:space="preserve">he </w:t>
      </w:r>
      <w:r w:rsidR="00706C9B" w:rsidRPr="0067297E">
        <w:rPr>
          <w:rFonts w:asciiTheme="minorHAnsi" w:hAnsiTheme="minorHAnsi" w:cs="Calibri"/>
          <w:lang w:val="en-GB"/>
        </w:rPr>
        <w:t>2011 Census</w:t>
      </w:r>
      <w:r w:rsidR="0085395E" w:rsidRPr="0067297E">
        <w:rPr>
          <w:rFonts w:asciiTheme="minorHAnsi" w:hAnsiTheme="minorHAnsi" w:cs="Calibri"/>
          <w:lang w:val="en-GB"/>
        </w:rPr>
        <w:t xml:space="preserve"> found that t</w:t>
      </w:r>
      <w:r w:rsidRPr="0067297E">
        <w:rPr>
          <w:rFonts w:asciiTheme="minorHAnsi" w:hAnsiTheme="minorHAnsi" w:cs="Calibri"/>
        </w:rPr>
        <w:t xml:space="preserve">here are around </w:t>
      </w:r>
      <w:r w:rsidR="00786D9B" w:rsidRPr="0067297E">
        <w:rPr>
          <w:rFonts w:asciiTheme="minorHAnsi" w:hAnsiTheme="minorHAnsi" w:cs="Calibri"/>
          <w:lang w:val="en-GB"/>
        </w:rPr>
        <w:t>36,000</w:t>
      </w:r>
      <w:r w:rsidR="009A5C56" w:rsidRPr="0067297E">
        <w:rPr>
          <w:rFonts w:asciiTheme="minorHAnsi" w:hAnsiTheme="minorHAnsi" w:cs="Calibri"/>
          <w:lang w:val="en-GB"/>
        </w:rPr>
        <w:t xml:space="preserve"> </w:t>
      </w:r>
      <w:r w:rsidR="007F255F" w:rsidRPr="0067297E">
        <w:rPr>
          <w:rFonts w:asciiTheme="minorHAnsi" w:hAnsiTheme="minorHAnsi" w:cs="Calibri"/>
        </w:rPr>
        <w:t xml:space="preserve">households </w:t>
      </w:r>
      <w:r w:rsidR="00786D9B" w:rsidRPr="0067297E">
        <w:rPr>
          <w:rFonts w:asciiTheme="minorHAnsi" w:hAnsiTheme="minorHAnsi" w:cs="Calibri"/>
        </w:rPr>
        <w:t xml:space="preserve">living in </w:t>
      </w:r>
      <w:r w:rsidR="007F255F" w:rsidRPr="0067297E">
        <w:rPr>
          <w:rFonts w:asciiTheme="minorHAnsi" w:hAnsiTheme="minorHAnsi" w:cs="Calibri"/>
          <w:lang w:val="en-GB"/>
        </w:rPr>
        <w:t xml:space="preserve">social rented (affordable) housing </w:t>
      </w:r>
      <w:r w:rsidRPr="0067297E">
        <w:rPr>
          <w:rFonts w:asciiTheme="minorHAnsi" w:hAnsiTheme="minorHAnsi" w:cs="Calibri"/>
        </w:rPr>
        <w:t xml:space="preserve">across </w:t>
      </w:r>
      <w:r w:rsidR="009B18F3" w:rsidRPr="0067297E">
        <w:rPr>
          <w:rFonts w:asciiTheme="minorHAnsi" w:hAnsiTheme="minorHAnsi" w:cs="Calibri"/>
        </w:rPr>
        <w:t xml:space="preserve">the </w:t>
      </w:r>
      <w:r w:rsidR="00786D9B" w:rsidRPr="0067297E">
        <w:rPr>
          <w:rFonts w:asciiTheme="minorHAnsi" w:hAnsiTheme="minorHAnsi" w:cs="Calibri"/>
          <w:lang w:val="en-GB"/>
        </w:rPr>
        <w:t>borough</w:t>
      </w:r>
      <w:r w:rsidRPr="0067297E">
        <w:rPr>
          <w:rFonts w:asciiTheme="minorHAnsi" w:hAnsiTheme="minorHAnsi" w:cs="Calibri"/>
        </w:rPr>
        <w:t xml:space="preserve">, accounting for </w:t>
      </w:r>
      <w:r w:rsidR="00786D9B" w:rsidRPr="0067297E">
        <w:rPr>
          <w:rFonts w:asciiTheme="minorHAnsi" w:hAnsiTheme="minorHAnsi" w:cs="Calibri"/>
          <w:lang w:val="en-GB"/>
        </w:rPr>
        <w:t>31</w:t>
      </w:r>
      <w:r w:rsidRPr="0067297E">
        <w:rPr>
          <w:rFonts w:asciiTheme="minorHAnsi" w:hAnsiTheme="minorHAnsi" w:cs="Calibri"/>
        </w:rPr>
        <w:t>% of all occupied dwellings.</w:t>
      </w:r>
      <w:r w:rsidR="0020119D" w:rsidRPr="0067297E">
        <w:rPr>
          <w:rFonts w:asciiTheme="minorHAnsi" w:hAnsiTheme="minorHAnsi" w:cs="Calibri"/>
          <w:lang w:val="en-GB"/>
        </w:rPr>
        <w:t xml:space="preserve"> </w:t>
      </w:r>
      <w:r w:rsidR="007F255F" w:rsidRPr="0067297E">
        <w:rPr>
          <w:rFonts w:asciiTheme="minorHAnsi" w:hAnsiTheme="minorHAnsi" w:cs="Calibri"/>
          <w:lang w:val="en-GB"/>
        </w:rPr>
        <w:t>This is slightly higher than the GLA data (Annual Population Survey) estimate of 33,000 households (27.6%).</w:t>
      </w:r>
    </w:p>
    <w:p w14:paraId="1605B3EC" w14:textId="089F6D3F" w:rsidR="00706C9B" w:rsidRPr="0067297E" w:rsidRDefault="007F255F" w:rsidP="005965E1">
      <w:pPr>
        <w:pStyle w:val="Reporttext"/>
        <w:rPr>
          <w:rFonts w:asciiTheme="minorHAnsi" w:hAnsiTheme="minorHAnsi" w:cs="Calibri"/>
        </w:rPr>
      </w:pPr>
      <w:r w:rsidRPr="0067297E">
        <w:rPr>
          <w:rFonts w:asciiTheme="minorHAnsi" w:hAnsiTheme="minorHAnsi" w:cs="Calibri"/>
          <w:lang w:val="en-GB"/>
        </w:rPr>
        <w:t xml:space="preserve">Census data indicates that 71.4% of the affordable stock comprises of flats/apartments and 28.6% of the stock is houses, of which 17.8% are terraced, 8.0% semi-detached and 2.8% detached. </w:t>
      </w:r>
      <w:r w:rsidR="00856DA5">
        <w:rPr>
          <w:rFonts w:asciiTheme="minorHAnsi" w:hAnsiTheme="minorHAnsi" w:cs="Calibri"/>
          <w:lang w:val="en-GB"/>
        </w:rPr>
        <w:t>71.5</w:t>
      </w:r>
      <w:r w:rsidRPr="0067297E">
        <w:rPr>
          <w:rFonts w:asciiTheme="minorHAnsi" w:hAnsiTheme="minorHAnsi" w:cs="Calibri"/>
          <w:lang w:val="en-GB"/>
        </w:rPr>
        <w:t>% of affordable dwellings are smaller properties with one or two bedrooms (32.8% one bedroom and 38.7% two bedrooms); 23.3% of affordable dwellings have three bedrooms and 5.3% have four or more bedrooms.</w:t>
      </w:r>
    </w:p>
    <w:p w14:paraId="73D425B2" w14:textId="77777777" w:rsidR="00BD6A44" w:rsidRPr="0067297E" w:rsidRDefault="00BD6A44" w:rsidP="005965E1">
      <w:pPr>
        <w:pStyle w:val="Reporttext"/>
        <w:rPr>
          <w:rFonts w:asciiTheme="minorHAnsi" w:hAnsiTheme="minorHAnsi" w:cs="Calibri"/>
          <w:lang w:val="en-GB"/>
        </w:rPr>
      </w:pPr>
      <w:r w:rsidRPr="0067297E">
        <w:rPr>
          <w:rFonts w:asciiTheme="minorHAnsi" w:hAnsiTheme="minorHAnsi"/>
        </w:rPr>
        <w:t>Census</w:t>
      </w:r>
      <w:r w:rsidRPr="0067297E">
        <w:rPr>
          <w:rFonts w:asciiTheme="minorHAnsi" w:hAnsiTheme="minorHAnsi" w:cs="Calibri"/>
          <w:color w:val="000000" w:themeColor="text1"/>
        </w:rPr>
        <w:t xml:space="preserve"> 2011 data on residents living in affordable housing indicates that:</w:t>
      </w:r>
    </w:p>
    <w:p w14:paraId="2CB70A03" w14:textId="77777777" w:rsidR="00BD6A44" w:rsidRPr="0067297E" w:rsidRDefault="00BD6A44" w:rsidP="00FA273F">
      <w:pPr>
        <w:pStyle w:val="bullet"/>
        <w:rPr>
          <w:rFonts w:asciiTheme="minorHAnsi" w:hAnsiTheme="minorHAnsi"/>
        </w:rPr>
      </w:pPr>
      <w:r w:rsidRPr="0067297E">
        <w:rPr>
          <w:rFonts w:asciiTheme="minorHAnsi" w:hAnsiTheme="minorHAnsi"/>
        </w:rPr>
        <w:t>Around 22.2% of household reference people are aged under 35, 34.5% are aged between 35 and 49, 23.6% are aged between 50 and 64 and 19.7% are aged 65 and over;</w:t>
      </w:r>
    </w:p>
    <w:p w14:paraId="0507E1BF" w14:textId="71221F67" w:rsidR="00BD6A44" w:rsidRPr="0067297E" w:rsidRDefault="00BD6A44" w:rsidP="00FA273F">
      <w:pPr>
        <w:pStyle w:val="bullet"/>
        <w:rPr>
          <w:rFonts w:asciiTheme="minorHAnsi" w:hAnsiTheme="minorHAnsi"/>
        </w:rPr>
      </w:pPr>
      <w:r w:rsidRPr="0067297E">
        <w:rPr>
          <w:rFonts w:asciiTheme="minorHAnsi" w:hAnsiTheme="minorHAnsi"/>
        </w:rPr>
        <w:t>Around 48.6</w:t>
      </w:r>
      <w:r w:rsidR="00F6633F" w:rsidRPr="0067297E">
        <w:rPr>
          <w:rFonts w:asciiTheme="minorHAnsi" w:hAnsiTheme="minorHAnsi"/>
        </w:rPr>
        <w:t xml:space="preserve">% of </w:t>
      </w:r>
      <w:r w:rsidRPr="0067297E">
        <w:rPr>
          <w:rFonts w:asciiTheme="minorHAnsi" w:hAnsiTheme="minorHAnsi"/>
        </w:rPr>
        <w:t>household reference people</w:t>
      </w:r>
      <w:r w:rsidR="00F6633F" w:rsidRPr="0067297E">
        <w:rPr>
          <w:rFonts w:asciiTheme="minorHAnsi" w:hAnsiTheme="minorHAnsi"/>
        </w:rPr>
        <w:t xml:space="preserve"> within the affordabl</w:t>
      </w:r>
      <w:r w:rsidRPr="0067297E">
        <w:rPr>
          <w:rFonts w:asciiTheme="minorHAnsi" w:hAnsiTheme="minorHAnsi"/>
        </w:rPr>
        <w:t>e sector are in employment.  9.3% are unemployed, 19.7</w:t>
      </w:r>
      <w:r w:rsidR="00F6633F" w:rsidRPr="0067297E">
        <w:rPr>
          <w:rFonts w:asciiTheme="minorHAnsi" w:hAnsiTheme="minorHAnsi"/>
        </w:rPr>
        <w:t>% are w</w:t>
      </w:r>
      <w:r w:rsidRPr="0067297E">
        <w:rPr>
          <w:rFonts w:asciiTheme="minorHAnsi" w:hAnsiTheme="minorHAnsi"/>
        </w:rPr>
        <w:t>holly retired from work, 11.2</w:t>
      </w:r>
      <w:r w:rsidR="00F6633F" w:rsidRPr="0067297E">
        <w:rPr>
          <w:rFonts w:asciiTheme="minorHAnsi" w:hAnsiTheme="minorHAnsi"/>
        </w:rPr>
        <w:t>%</w:t>
      </w:r>
      <w:r w:rsidRPr="0067297E">
        <w:rPr>
          <w:rFonts w:asciiTheme="minorHAnsi" w:hAnsiTheme="minorHAnsi"/>
        </w:rPr>
        <w:t xml:space="preserve"> are long-term sick or disabled and 11.8% are other economically inactive;</w:t>
      </w:r>
      <w:r w:rsidR="00531AE6" w:rsidRPr="0067297E">
        <w:rPr>
          <w:rFonts w:asciiTheme="minorHAnsi" w:hAnsiTheme="minorHAnsi"/>
          <w:lang w:val="en-GB"/>
        </w:rPr>
        <w:t xml:space="preserve"> and</w:t>
      </w:r>
    </w:p>
    <w:p w14:paraId="1A6C08E6" w14:textId="66917E32" w:rsidR="00F6633F" w:rsidRPr="0067297E" w:rsidRDefault="00F6633F" w:rsidP="00FA273F">
      <w:pPr>
        <w:pStyle w:val="bullet"/>
        <w:rPr>
          <w:rFonts w:asciiTheme="minorHAnsi" w:hAnsiTheme="minorHAnsi"/>
        </w:rPr>
      </w:pPr>
      <w:r w:rsidRPr="0067297E">
        <w:rPr>
          <w:rFonts w:asciiTheme="minorHAnsi" w:hAnsiTheme="minorHAnsi"/>
        </w:rPr>
        <w:t xml:space="preserve">Around </w:t>
      </w:r>
      <w:r w:rsidR="00BD6A44" w:rsidRPr="0067297E">
        <w:rPr>
          <w:rFonts w:asciiTheme="minorHAnsi" w:hAnsiTheme="minorHAnsi"/>
        </w:rPr>
        <w:t>28.4% of households were singles under 65, 21.1% lone parents, 12.2% couples with children, 5% couples with no children, 14.8% older (65+ singles/couples). Notably 3.1% were couples with non-</w:t>
      </w:r>
      <w:r w:rsidR="005B2517" w:rsidRPr="0067297E">
        <w:rPr>
          <w:rFonts w:asciiTheme="minorHAnsi" w:hAnsiTheme="minorHAnsi"/>
        </w:rPr>
        <w:t>dependent</w:t>
      </w:r>
      <w:r w:rsidR="00BD6A44" w:rsidRPr="0067297E">
        <w:rPr>
          <w:rFonts w:asciiTheme="minorHAnsi" w:hAnsiTheme="minorHAnsi"/>
        </w:rPr>
        <w:t xml:space="preserve"> children and 6.9% were lone parents with non-dependent children </w:t>
      </w:r>
      <w:r w:rsidR="000A27CE" w:rsidRPr="0067297E">
        <w:rPr>
          <w:rFonts w:asciiTheme="minorHAnsi" w:hAnsiTheme="minorHAnsi"/>
        </w:rPr>
        <w:t>and 8.5% were other household types.</w:t>
      </w:r>
    </w:p>
    <w:p w14:paraId="3D9E0EFC" w14:textId="2F302A2C" w:rsidR="00877986" w:rsidRPr="0067297E" w:rsidRDefault="00877986" w:rsidP="002C70BC">
      <w:pPr>
        <w:pStyle w:val="Reporttext"/>
        <w:numPr>
          <w:ilvl w:val="1"/>
          <w:numId w:val="23"/>
        </w:numPr>
        <w:rPr>
          <w:rFonts w:asciiTheme="minorHAnsi" w:hAnsiTheme="minorHAnsi" w:cs="Calibri"/>
        </w:rPr>
      </w:pPr>
      <w:r w:rsidRPr="0067297E">
        <w:rPr>
          <w:rFonts w:asciiTheme="minorHAnsi" w:hAnsiTheme="minorHAnsi" w:cs="Calibri"/>
          <w:lang w:val="en-GB"/>
        </w:rPr>
        <w:t xml:space="preserve">The online survey of stakeholders (Appendix </w:t>
      </w:r>
      <w:r w:rsidR="00036FB2" w:rsidRPr="0067297E">
        <w:rPr>
          <w:rFonts w:asciiTheme="minorHAnsi" w:hAnsiTheme="minorHAnsi" w:cs="Calibri"/>
          <w:lang w:val="en-GB"/>
        </w:rPr>
        <w:t>C</w:t>
      </w:r>
      <w:r w:rsidRPr="0067297E">
        <w:rPr>
          <w:rFonts w:asciiTheme="minorHAnsi" w:hAnsiTheme="minorHAnsi" w:cs="Calibri"/>
          <w:lang w:val="en-GB"/>
        </w:rPr>
        <w:t xml:space="preserve">) </w:t>
      </w:r>
      <w:r w:rsidRPr="0067297E">
        <w:rPr>
          <w:rFonts w:asciiTheme="minorHAnsi" w:hAnsiTheme="minorHAnsi" w:cs="Calibri"/>
        </w:rPr>
        <w:t xml:space="preserve">included a number of registered providers and housing associations who work within </w:t>
      </w:r>
      <w:r w:rsidR="00786D9B" w:rsidRPr="0067297E">
        <w:rPr>
          <w:rFonts w:asciiTheme="minorHAnsi" w:hAnsiTheme="minorHAnsi" w:cs="Calibri"/>
          <w:lang w:val="en-GB"/>
        </w:rPr>
        <w:t>the borough</w:t>
      </w:r>
      <w:r w:rsidRPr="0067297E">
        <w:rPr>
          <w:rFonts w:asciiTheme="minorHAnsi" w:hAnsiTheme="minorHAnsi" w:cs="Calibri"/>
        </w:rPr>
        <w:t>. They reported managing a range of affordable ho</w:t>
      </w:r>
      <w:r w:rsidR="00786D9B" w:rsidRPr="0067297E">
        <w:rPr>
          <w:rFonts w:asciiTheme="minorHAnsi" w:hAnsiTheme="minorHAnsi" w:cs="Calibri"/>
        </w:rPr>
        <w:t>using accommodation within the b</w:t>
      </w:r>
      <w:r w:rsidRPr="0067297E">
        <w:rPr>
          <w:rFonts w:asciiTheme="minorHAnsi" w:hAnsiTheme="minorHAnsi" w:cs="Calibri"/>
        </w:rPr>
        <w:t xml:space="preserve">orough, including houses, flats and shared accommodation. </w:t>
      </w:r>
    </w:p>
    <w:p w14:paraId="73B1B28F" w14:textId="77777777" w:rsidR="00877986" w:rsidRPr="0067297E" w:rsidRDefault="00877986" w:rsidP="002C70BC">
      <w:pPr>
        <w:pStyle w:val="Reporttext"/>
        <w:numPr>
          <w:ilvl w:val="1"/>
          <w:numId w:val="23"/>
        </w:numPr>
        <w:rPr>
          <w:rFonts w:asciiTheme="minorHAnsi" w:hAnsiTheme="minorHAnsi" w:cs="Calibri"/>
        </w:rPr>
      </w:pPr>
      <w:r w:rsidRPr="0067297E">
        <w:rPr>
          <w:rFonts w:asciiTheme="minorHAnsi" w:hAnsiTheme="minorHAnsi" w:cs="Calibri"/>
        </w:rPr>
        <w:t>High demand for social rented and affordable h</w:t>
      </w:r>
      <w:r w:rsidR="00786D9B" w:rsidRPr="0067297E">
        <w:rPr>
          <w:rFonts w:asciiTheme="minorHAnsi" w:hAnsiTheme="minorHAnsi" w:cs="Calibri"/>
        </w:rPr>
        <w:t>ousing was reported across the b</w:t>
      </w:r>
      <w:r w:rsidRPr="0067297E">
        <w:rPr>
          <w:rFonts w:asciiTheme="minorHAnsi" w:hAnsiTheme="minorHAnsi" w:cs="Calibri"/>
        </w:rPr>
        <w:t xml:space="preserve">orough. No areas of particular high or low demand were identified by stakeholders. Three of the respondents identified that their organisations have been involved in building affordable housing within the </w:t>
      </w:r>
      <w:r w:rsidR="00786D9B" w:rsidRPr="0067297E">
        <w:rPr>
          <w:rFonts w:asciiTheme="minorHAnsi" w:hAnsiTheme="minorHAnsi" w:cs="Calibri"/>
        </w:rPr>
        <w:t>borough</w:t>
      </w:r>
      <w:r w:rsidRPr="0067297E">
        <w:rPr>
          <w:rFonts w:asciiTheme="minorHAnsi" w:hAnsiTheme="minorHAnsi" w:cs="Calibri"/>
        </w:rPr>
        <w:t>. However, barriers to development</w:t>
      </w:r>
      <w:r w:rsidR="008878DB" w:rsidRPr="0067297E">
        <w:rPr>
          <w:rFonts w:asciiTheme="minorHAnsi" w:hAnsiTheme="minorHAnsi" w:cs="Calibri"/>
          <w:lang w:val="en-GB"/>
        </w:rPr>
        <w:t xml:space="preserve"> were identified</w:t>
      </w:r>
      <w:r w:rsidRPr="0067297E">
        <w:rPr>
          <w:rFonts w:asciiTheme="minorHAnsi" w:hAnsiTheme="minorHAnsi" w:cs="Calibri"/>
        </w:rPr>
        <w:t>, particularly including site availability and costs, the costs of building and financial viability.</w:t>
      </w:r>
    </w:p>
    <w:p w14:paraId="031C1010" w14:textId="77777777" w:rsidR="00877986" w:rsidRPr="0067297E" w:rsidRDefault="00877986" w:rsidP="002C70BC">
      <w:pPr>
        <w:pStyle w:val="Reporttext"/>
        <w:numPr>
          <w:ilvl w:val="1"/>
          <w:numId w:val="23"/>
        </w:numPr>
        <w:rPr>
          <w:rFonts w:asciiTheme="minorHAnsi" w:hAnsiTheme="minorHAnsi" w:cs="Calibri"/>
        </w:rPr>
      </w:pPr>
      <w:r w:rsidRPr="0067297E">
        <w:rPr>
          <w:rFonts w:asciiTheme="minorHAnsi" w:hAnsiTheme="minorHAnsi" w:cs="Calibri"/>
        </w:rPr>
        <w:t xml:space="preserve">The survey asked stakeholders whether they felt that the reductions in rental income imposed by the Government in July 2015 have had an effect on the number and type of affordable housing developed since. </w:t>
      </w:r>
      <w:r w:rsidR="008878DB" w:rsidRPr="0067297E">
        <w:rPr>
          <w:rFonts w:asciiTheme="minorHAnsi" w:hAnsiTheme="minorHAnsi" w:cs="Calibri"/>
          <w:lang w:val="en-GB"/>
        </w:rPr>
        <w:t>S</w:t>
      </w:r>
      <w:r w:rsidRPr="0067297E">
        <w:rPr>
          <w:rFonts w:asciiTheme="minorHAnsi" w:hAnsiTheme="minorHAnsi" w:cs="Calibri"/>
        </w:rPr>
        <w:t xml:space="preserve">takeholders reported that this has had an impact upon their development activity, having negatively affected their financial modelling and the investment value of rented stock. One respondent stated that their organisation has had to increase the amount of subsidy they put into their rented developments in order to offset the reductions caused by the policy; another stated that the policy has caused them to build less rented and </w:t>
      </w:r>
      <w:r w:rsidR="008878DB" w:rsidRPr="0067297E">
        <w:rPr>
          <w:rFonts w:asciiTheme="minorHAnsi" w:hAnsiTheme="minorHAnsi" w:cs="Calibri"/>
          <w:lang w:val="en-GB"/>
        </w:rPr>
        <w:t>a higher proportion of</w:t>
      </w:r>
      <w:r w:rsidRPr="0067297E">
        <w:rPr>
          <w:rFonts w:asciiTheme="minorHAnsi" w:hAnsiTheme="minorHAnsi" w:cs="Calibri"/>
        </w:rPr>
        <w:t xml:space="preserve"> shared ownership accommodation.</w:t>
      </w:r>
    </w:p>
    <w:p w14:paraId="66A0EFE1" w14:textId="77777777" w:rsidR="00877986" w:rsidRPr="0067297E" w:rsidRDefault="00877986" w:rsidP="002C70BC">
      <w:pPr>
        <w:pStyle w:val="Reporttext"/>
        <w:numPr>
          <w:ilvl w:val="1"/>
          <w:numId w:val="23"/>
        </w:numPr>
        <w:rPr>
          <w:rFonts w:asciiTheme="minorHAnsi" w:hAnsiTheme="minorHAnsi" w:cs="Calibri"/>
        </w:rPr>
      </w:pPr>
      <w:r w:rsidRPr="0067297E">
        <w:rPr>
          <w:rFonts w:asciiTheme="minorHAnsi" w:hAnsiTheme="minorHAnsi" w:cs="Calibri"/>
        </w:rPr>
        <w:t xml:space="preserve">When asked whether they consider that the reinstated rent settlement (Consumer Price Index plus 1% from 2020) will encourage organisations to develop further social housing one stakeholder felt that this may be possible, but noted that it would be dependent upon the availability of small sites. Another stakeholder </w:t>
      </w:r>
      <w:r w:rsidR="008878DB" w:rsidRPr="0067297E">
        <w:rPr>
          <w:rFonts w:asciiTheme="minorHAnsi" w:hAnsiTheme="minorHAnsi" w:cs="Calibri"/>
          <w:lang w:val="en-GB"/>
        </w:rPr>
        <w:t>felt that</w:t>
      </w:r>
      <w:r w:rsidRPr="0067297E">
        <w:rPr>
          <w:rFonts w:asciiTheme="minorHAnsi" w:hAnsiTheme="minorHAnsi" w:cs="Calibri"/>
        </w:rPr>
        <w:t xml:space="preserve"> this change increases the scope of opportunities to bring schemes forward and the quantum of rented accommodation that is deliverable.</w:t>
      </w:r>
    </w:p>
    <w:p w14:paraId="471F822D" w14:textId="32DB3A12" w:rsidR="008878DB" w:rsidRPr="0067297E" w:rsidRDefault="00877986" w:rsidP="002C70BC">
      <w:pPr>
        <w:pStyle w:val="Reporttext"/>
        <w:numPr>
          <w:ilvl w:val="1"/>
          <w:numId w:val="23"/>
        </w:numPr>
        <w:rPr>
          <w:rFonts w:asciiTheme="minorHAnsi" w:hAnsiTheme="minorHAnsi" w:cs="Calibri"/>
        </w:rPr>
      </w:pPr>
      <w:r w:rsidRPr="0067297E">
        <w:rPr>
          <w:rFonts w:asciiTheme="minorHAnsi" w:hAnsiTheme="minorHAnsi" w:cs="Calibri"/>
        </w:rPr>
        <w:t>Three of the stakeholders reported that their organisation is developing affordable housing products</w:t>
      </w:r>
      <w:r w:rsidR="008878DB" w:rsidRPr="0067297E">
        <w:rPr>
          <w:rFonts w:asciiTheme="minorHAnsi" w:hAnsiTheme="minorHAnsi" w:cs="Calibri"/>
          <w:lang w:val="en-GB"/>
        </w:rPr>
        <w:t xml:space="preserve"> including</w:t>
      </w:r>
      <w:r w:rsidRPr="0067297E">
        <w:rPr>
          <w:rFonts w:asciiTheme="minorHAnsi" w:hAnsiTheme="minorHAnsi" w:cs="Calibri"/>
        </w:rPr>
        <w:t xml:space="preserve"> social rent, affordable ren</w:t>
      </w:r>
      <w:r w:rsidR="00DE6A36" w:rsidRPr="0067297E">
        <w:rPr>
          <w:rFonts w:asciiTheme="minorHAnsi" w:hAnsiTheme="minorHAnsi" w:cs="Calibri"/>
          <w:lang w:val="en-US"/>
        </w:rPr>
        <w:t>t</w:t>
      </w:r>
      <w:r w:rsidR="00DF121C" w:rsidRPr="0067297E">
        <w:rPr>
          <w:rFonts w:asciiTheme="minorHAnsi" w:hAnsiTheme="minorHAnsi" w:cs="Calibri"/>
          <w:lang w:val="en-US"/>
        </w:rPr>
        <w:t xml:space="preserve"> and </w:t>
      </w:r>
      <w:r w:rsidRPr="0067297E">
        <w:rPr>
          <w:rFonts w:asciiTheme="minorHAnsi" w:hAnsiTheme="minorHAnsi" w:cs="Calibri"/>
        </w:rPr>
        <w:t>London Living Rent.</w:t>
      </w:r>
      <w:r w:rsidR="008878DB" w:rsidRPr="0067297E">
        <w:rPr>
          <w:rFonts w:asciiTheme="minorHAnsi" w:hAnsiTheme="minorHAnsi" w:cs="Calibri"/>
          <w:lang w:val="en-GB"/>
        </w:rPr>
        <w:t xml:space="preserve"> </w:t>
      </w:r>
      <w:r w:rsidRPr="0067297E">
        <w:rPr>
          <w:rFonts w:asciiTheme="minorHAnsi" w:hAnsiTheme="minorHAnsi" w:cs="Calibri"/>
        </w:rPr>
        <w:t>Two stakeholders identified that their organisation is developing home ownership products; both stated shared ownership. In addition, one of the stakeholders said that they have developed some Help to Buy</w:t>
      </w:r>
      <w:r w:rsidR="008878DB" w:rsidRPr="0067297E">
        <w:rPr>
          <w:rFonts w:asciiTheme="minorHAnsi" w:hAnsiTheme="minorHAnsi" w:cs="Calibri"/>
          <w:lang w:val="en-GB"/>
        </w:rPr>
        <w:t xml:space="preserve"> products</w:t>
      </w:r>
      <w:r w:rsidRPr="0067297E">
        <w:rPr>
          <w:rFonts w:asciiTheme="minorHAnsi" w:hAnsiTheme="minorHAnsi" w:cs="Calibri"/>
        </w:rPr>
        <w:t xml:space="preserve">. </w:t>
      </w:r>
    </w:p>
    <w:p w14:paraId="1ED1D75C" w14:textId="77777777" w:rsidR="00877986" w:rsidRPr="0067297E" w:rsidRDefault="00877986" w:rsidP="002C70BC">
      <w:pPr>
        <w:pStyle w:val="Reporttext"/>
        <w:numPr>
          <w:ilvl w:val="1"/>
          <w:numId w:val="23"/>
        </w:numPr>
        <w:rPr>
          <w:rFonts w:asciiTheme="minorHAnsi" w:hAnsiTheme="minorHAnsi" w:cs="Calibri"/>
        </w:rPr>
      </w:pPr>
      <w:r w:rsidRPr="0067297E">
        <w:rPr>
          <w:rFonts w:asciiTheme="minorHAnsi" w:hAnsiTheme="minorHAnsi" w:cs="Calibri"/>
        </w:rPr>
        <w:t>Households purchasing affordable home ownership products were identified as predominantly young singles and couples. One respondent reported that across London boroughs, one-bedroom properties always sell the quickest and those with three or more bedrooms take the longest to sell.</w:t>
      </w:r>
    </w:p>
    <w:p w14:paraId="733FA42F" w14:textId="77777777" w:rsidR="00706C9B" w:rsidRPr="0067297E" w:rsidRDefault="00877986" w:rsidP="002C70BC">
      <w:pPr>
        <w:pStyle w:val="Reporttext"/>
        <w:numPr>
          <w:ilvl w:val="1"/>
          <w:numId w:val="23"/>
        </w:numPr>
        <w:rPr>
          <w:rFonts w:asciiTheme="minorHAnsi" w:hAnsiTheme="minorHAnsi" w:cs="Calibri"/>
        </w:rPr>
      </w:pPr>
      <w:r w:rsidRPr="0067297E">
        <w:rPr>
          <w:rFonts w:asciiTheme="minorHAnsi" w:hAnsiTheme="minorHAnsi" w:cs="Calibri"/>
        </w:rPr>
        <w:t>Two stakeholders were aware of anti-social behaviour</w:t>
      </w:r>
      <w:r w:rsidR="00B657F5" w:rsidRPr="0067297E">
        <w:rPr>
          <w:rFonts w:asciiTheme="minorHAnsi" w:hAnsiTheme="minorHAnsi" w:cs="Calibri"/>
          <w:lang w:val="en-GB"/>
        </w:rPr>
        <w:t xml:space="preserve"> (ASB)</w:t>
      </w:r>
      <w:r w:rsidRPr="0067297E">
        <w:rPr>
          <w:rFonts w:asciiTheme="minorHAnsi" w:hAnsiTheme="minorHAnsi" w:cs="Calibri"/>
        </w:rPr>
        <w:t xml:space="preserve"> issues within the affordable stock in the Borough of Lewisham</w:t>
      </w:r>
      <w:r w:rsidR="00B657F5" w:rsidRPr="0067297E">
        <w:rPr>
          <w:rFonts w:asciiTheme="minorHAnsi" w:hAnsiTheme="minorHAnsi" w:cs="Calibri"/>
          <w:lang w:val="en-GB"/>
        </w:rPr>
        <w:t>. Parts of Deptford, New Cross and Downham were mentioned, but on</w:t>
      </w:r>
      <w:r w:rsidRPr="0067297E">
        <w:rPr>
          <w:rFonts w:asciiTheme="minorHAnsi" w:hAnsiTheme="minorHAnsi" w:cs="Calibri"/>
        </w:rPr>
        <w:t xml:space="preserve">e of the stakeholders noted that these </w:t>
      </w:r>
      <w:r w:rsidR="00B657F5" w:rsidRPr="0067297E">
        <w:rPr>
          <w:rFonts w:asciiTheme="minorHAnsi" w:hAnsiTheme="minorHAnsi" w:cs="Calibri"/>
          <w:lang w:val="en-GB"/>
        </w:rPr>
        <w:t xml:space="preserve">incidents </w:t>
      </w:r>
      <w:r w:rsidRPr="0067297E">
        <w:rPr>
          <w:rFonts w:asciiTheme="minorHAnsi" w:hAnsiTheme="minorHAnsi" w:cs="Calibri"/>
        </w:rPr>
        <w:t>are very localised, with good processes in place and well-trained staff to deal promptly with reports. Stakeholders reported good levels of customer satisfaction</w:t>
      </w:r>
      <w:r w:rsidR="00A23680" w:rsidRPr="0067297E">
        <w:rPr>
          <w:rFonts w:asciiTheme="minorHAnsi" w:hAnsiTheme="minorHAnsi" w:cs="Calibri"/>
          <w:lang w:val="en-GB"/>
        </w:rPr>
        <w:t xml:space="preserve"> amongst affordable housing tenants</w:t>
      </w:r>
      <w:r w:rsidRPr="0067297E">
        <w:rPr>
          <w:rFonts w:asciiTheme="minorHAnsi" w:hAnsiTheme="minorHAnsi" w:cs="Calibri"/>
        </w:rPr>
        <w:t>.</w:t>
      </w:r>
    </w:p>
    <w:p w14:paraId="6B8A8F04" w14:textId="77777777" w:rsidR="00D6354D" w:rsidRPr="0067297E" w:rsidRDefault="00D6354D" w:rsidP="00A04CC5">
      <w:pPr>
        <w:pStyle w:val="Maintext"/>
        <w:numPr>
          <w:ilvl w:val="0"/>
          <w:numId w:val="0"/>
        </w:numPr>
        <w:rPr>
          <w:rFonts w:asciiTheme="minorHAnsi" w:eastAsia="Arial" w:hAnsiTheme="minorHAnsi" w:cs="Calibri"/>
          <w:color w:val="000000"/>
          <w:szCs w:val="20"/>
        </w:rPr>
      </w:pPr>
    </w:p>
    <w:p w14:paraId="3D9D74AE" w14:textId="1E6A5E93" w:rsidR="008F5C86" w:rsidRPr="00DD5741" w:rsidRDefault="008F5C86" w:rsidP="007E2C96">
      <w:pPr>
        <w:pStyle w:val="Heading2"/>
        <w:ind w:left="720" w:hanging="11"/>
        <w:rPr>
          <w:rFonts w:asciiTheme="minorHAnsi" w:hAnsiTheme="minorHAnsi" w:cs="Calibri"/>
          <w:lang w:val="en-US"/>
        </w:rPr>
      </w:pPr>
      <w:bookmarkStart w:id="262" w:name="_Toc442260210"/>
      <w:bookmarkStart w:id="263" w:name="_Toc1385758"/>
      <w:bookmarkStart w:id="264" w:name="_Toc23151073"/>
      <w:r w:rsidRPr="0067297E">
        <w:rPr>
          <w:rFonts w:asciiTheme="minorHAnsi" w:hAnsiTheme="minorHAnsi" w:cs="Calibri"/>
        </w:rPr>
        <w:t xml:space="preserve">Relative affordability of housing </w:t>
      </w:r>
      <w:r w:rsidR="006C37F9" w:rsidRPr="0067297E">
        <w:rPr>
          <w:rFonts w:asciiTheme="minorHAnsi" w:hAnsiTheme="minorHAnsi" w:cs="Calibri"/>
          <w:lang w:val="en-GB"/>
        </w:rPr>
        <w:t xml:space="preserve">tenure </w:t>
      </w:r>
      <w:r w:rsidRPr="0067297E">
        <w:rPr>
          <w:rFonts w:asciiTheme="minorHAnsi" w:hAnsiTheme="minorHAnsi" w:cs="Calibri"/>
        </w:rPr>
        <w:t>options</w:t>
      </w:r>
      <w:bookmarkEnd w:id="262"/>
      <w:bookmarkEnd w:id="263"/>
      <w:r w:rsidR="00FD2958" w:rsidRPr="0067297E">
        <w:rPr>
          <w:rFonts w:asciiTheme="minorHAnsi" w:hAnsiTheme="minorHAnsi" w:cs="Calibri"/>
          <w:lang w:val="en-US"/>
        </w:rPr>
        <w:t xml:space="preserve"> and defining genuinely affordable housing</w:t>
      </w:r>
      <w:bookmarkEnd w:id="264"/>
    </w:p>
    <w:p w14:paraId="2E3A3F31" w14:textId="1B5DF1F1" w:rsidR="003E2306" w:rsidRPr="00DD5741" w:rsidRDefault="0015553B" w:rsidP="003E2306">
      <w:pPr>
        <w:pStyle w:val="Reporttext"/>
        <w:rPr>
          <w:rFonts w:asciiTheme="minorHAnsi" w:hAnsiTheme="minorHAnsi" w:cs="Calibri"/>
        </w:rPr>
      </w:pPr>
      <w:r>
        <w:rPr>
          <w:rFonts w:cs="Arial"/>
        </w:rPr>
        <w:t xml:space="preserve">The SHMA </w:t>
      </w:r>
      <w:r>
        <w:rPr>
          <w:rFonts w:cs="Arial"/>
          <w:lang w:val="en-GB"/>
        </w:rPr>
        <w:t>seek</w:t>
      </w:r>
      <w:r>
        <w:rPr>
          <w:rFonts w:cs="Arial"/>
        </w:rPr>
        <w:t>s to identify what is genuinely affordable in the Lewisham context</w:t>
      </w:r>
      <w:r>
        <w:rPr>
          <w:rFonts w:cs="Arial"/>
          <w:lang w:val="en-GB"/>
        </w:rPr>
        <w:t xml:space="preserve"> (see paragraph 2.18 for a definition)</w:t>
      </w:r>
      <w:r w:rsidR="00856DA5">
        <w:rPr>
          <w:rFonts w:cs="Arial"/>
          <w:lang w:val="en-GB"/>
        </w:rPr>
        <w:t xml:space="preserve"> and this section builds upon the findings relating to affordability outlined  in paragraphs 3.9-3.11.  </w:t>
      </w:r>
      <w:r w:rsidR="008F5C86" w:rsidRPr="0067297E">
        <w:rPr>
          <w:rFonts w:asciiTheme="minorHAnsi" w:hAnsiTheme="minorHAnsi" w:cs="Calibri"/>
        </w:rPr>
        <w:t xml:space="preserve">The relative cost of alternative housing options across </w:t>
      </w:r>
      <w:r w:rsidR="009A5C56" w:rsidRPr="0067297E">
        <w:rPr>
          <w:rFonts w:asciiTheme="minorHAnsi" w:hAnsiTheme="minorHAnsi" w:cs="Calibri"/>
          <w:lang w:val="en-GB"/>
        </w:rPr>
        <w:t xml:space="preserve">the </w:t>
      </w:r>
      <w:r w:rsidR="00786D9B" w:rsidRPr="0067297E">
        <w:rPr>
          <w:rFonts w:asciiTheme="minorHAnsi" w:hAnsiTheme="minorHAnsi" w:cs="Calibri"/>
          <w:lang w:val="en-GB"/>
        </w:rPr>
        <w:t>borough</w:t>
      </w:r>
      <w:r w:rsidR="00FC386C" w:rsidRPr="0067297E">
        <w:rPr>
          <w:rFonts w:asciiTheme="minorHAnsi" w:hAnsiTheme="minorHAnsi" w:cs="Calibri"/>
        </w:rPr>
        <w:t xml:space="preserve"> </w:t>
      </w:r>
      <w:r w:rsidR="009A5C56" w:rsidRPr="0067297E">
        <w:rPr>
          <w:rFonts w:asciiTheme="minorHAnsi" w:hAnsiTheme="minorHAnsi" w:cs="Calibri"/>
          <w:lang w:val="en-GB"/>
        </w:rPr>
        <w:t xml:space="preserve">and the </w:t>
      </w:r>
      <w:r w:rsidR="00112F07" w:rsidRPr="0067297E">
        <w:rPr>
          <w:rFonts w:asciiTheme="minorHAnsi" w:hAnsiTheme="minorHAnsi" w:cs="Calibri"/>
          <w:lang w:val="en-GB"/>
        </w:rPr>
        <w:t>ward</w:t>
      </w:r>
      <w:r w:rsidR="009A5C56" w:rsidRPr="0067297E">
        <w:rPr>
          <w:rFonts w:asciiTheme="minorHAnsi" w:hAnsiTheme="minorHAnsi" w:cs="Calibri"/>
          <w:lang w:val="en-GB"/>
        </w:rPr>
        <w:t xml:space="preserve"> areas</w:t>
      </w:r>
      <w:r w:rsidR="00CB5F44" w:rsidRPr="0067297E">
        <w:rPr>
          <w:rFonts w:asciiTheme="minorHAnsi" w:hAnsiTheme="minorHAnsi" w:cs="Calibri"/>
          <w:lang w:val="en-GB"/>
        </w:rPr>
        <w:t xml:space="preserve"> is</w:t>
      </w:r>
      <w:r w:rsidR="009A5C56" w:rsidRPr="0067297E">
        <w:rPr>
          <w:rFonts w:asciiTheme="minorHAnsi" w:hAnsiTheme="minorHAnsi" w:cs="Calibri"/>
          <w:lang w:val="en-GB"/>
        </w:rPr>
        <w:t xml:space="preserve"> </w:t>
      </w:r>
      <w:r w:rsidR="00FD2958" w:rsidRPr="0067297E">
        <w:rPr>
          <w:rFonts w:asciiTheme="minorHAnsi" w:hAnsiTheme="minorHAnsi" w:cs="Calibri"/>
          <w:lang w:val="en-GB"/>
        </w:rPr>
        <w:t xml:space="preserve">considered in the SHMA from two perspectives. Firstly, analysis considers prevailing prices at ward level across a range of market and affordable tenures and the incomes required to afford these properties. Secondly, analysis considers what is </w:t>
      </w:r>
      <w:r w:rsidR="00FD2958" w:rsidRPr="00DD5741">
        <w:rPr>
          <w:rFonts w:asciiTheme="minorHAnsi" w:hAnsiTheme="minorHAnsi" w:cs="Calibri"/>
          <w:u w:val="single"/>
          <w:lang w:val="en-GB"/>
        </w:rPr>
        <w:t>genuinely affordable</w:t>
      </w:r>
      <w:r w:rsidR="00FD2958" w:rsidRPr="0067297E">
        <w:rPr>
          <w:rFonts w:asciiTheme="minorHAnsi" w:hAnsiTheme="minorHAnsi" w:cs="Calibri"/>
          <w:lang w:val="en-GB"/>
        </w:rPr>
        <w:t xml:space="preserve"> to households based on local incomes and assumptions around the proportion of income that should be spent on renting and the multiples of income for buying. The analysis of what is genuinely affordable also considers the incomes of selected key workers and those on minimum and London living wages.</w:t>
      </w:r>
    </w:p>
    <w:p w14:paraId="6A99B6B8" w14:textId="26039C25" w:rsidR="00FD2958" w:rsidRPr="0067297E" w:rsidRDefault="00FD2958" w:rsidP="00FD2958">
      <w:pPr>
        <w:pStyle w:val="Reporttext"/>
        <w:numPr>
          <w:ilvl w:val="0"/>
          <w:numId w:val="0"/>
        </w:numPr>
        <w:ind w:left="709"/>
        <w:rPr>
          <w:rFonts w:asciiTheme="minorHAnsi" w:hAnsiTheme="minorHAnsi" w:cs="Calibri"/>
        </w:rPr>
      </w:pPr>
    </w:p>
    <w:p w14:paraId="7389EF1C" w14:textId="1E0D82D9" w:rsidR="00FD2958" w:rsidRPr="00DD5741" w:rsidRDefault="00FD2958" w:rsidP="00DD5741">
      <w:pPr>
        <w:pStyle w:val="Heading3"/>
        <w:rPr>
          <w:rFonts w:asciiTheme="minorHAnsi" w:hAnsiTheme="minorHAnsi"/>
        </w:rPr>
      </w:pPr>
      <w:r w:rsidRPr="00DD5741">
        <w:rPr>
          <w:rFonts w:asciiTheme="minorHAnsi" w:hAnsiTheme="minorHAnsi"/>
        </w:rPr>
        <w:t>Range</w:t>
      </w:r>
      <w:r w:rsidRPr="0067297E">
        <w:rPr>
          <w:rFonts w:asciiTheme="minorHAnsi" w:hAnsiTheme="minorHAnsi"/>
        </w:rPr>
        <w:t xml:space="preserve"> of tenure options</w:t>
      </w:r>
    </w:p>
    <w:p w14:paraId="0C0BEF2A" w14:textId="009FC820" w:rsidR="00FD2958" w:rsidRPr="00DD5741" w:rsidRDefault="00FD2958" w:rsidP="003E2306">
      <w:pPr>
        <w:pStyle w:val="Reporttext"/>
        <w:rPr>
          <w:rFonts w:asciiTheme="minorHAnsi" w:hAnsiTheme="minorHAnsi" w:cs="Calibri"/>
        </w:rPr>
      </w:pPr>
      <w:r w:rsidRPr="0067297E">
        <w:rPr>
          <w:rFonts w:asciiTheme="minorHAnsi" w:hAnsiTheme="minorHAnsi" w:cs="Calibri"/>
          <w:lang w:val="en-US"/>
        </w:rPr>
        <w:t>Table 4.1</w:t>
      </w:r>
      <w:r w:rsidR="00CB5F44" w:rsidRPr="0067297E">
        <w:rPr>
          <w:rFonts w:asciiTheme="minorHAnsi" w:hAnsiTheme="minorHAnsi" w:cs="Calibri"/>
          <w:lang w:val="en-US"/>
        </w:rPr>
        <w:t>2</w:t>
      </w:r>
      <w:r w:rsidRPr="0067297E">
        <w:rPr>
          <w:rFonts w:asciiTheme="minorHAnsi" w:hAnsiTheme="minorHAnsi" w:cs="Calibri"/>
          <w:lang w:val="en-US"/>
        </w:rPr>
        <w:t xml:space="preserve"> sets out the range of </w:t>
      </w:r>
      <w:r w:rsidR="00B10DEC" w:rsidRPr="0067297E">
        <w:rPr>
          <w:rFonts w:asciiTheme="minorHAnsi" w:hAnsiTheme="minorHAnsi" w:cs="Calibri"/>
          <w:lang w:val="en-US"/>
        </w:rPr>
        <w:t xml:space="preserve">market and affordable </w:t>
      </w:r>
      <w:r w:rsidRPr="0067297E">
        <w:rPr>
          <w:rFonts w:asciiTheme="minorHAnsi" w:hAnsiTheme="minorHAnsi" w:cs="Calibri"/>
          <w:lang w:val="en-US"/>
        </w:rPr>
        <w:t>tenures considered in analysis</w:t>
      </w:r>
      <w:r w:rsidR="00E40456" w:rsidRPr="0067297E">
        <w:rPr>
          <w:rFonts w:asciiTheme="minorHAnsi" w:hAnsiTheme="minorHAnsi" w:cs="Calibri"/>
          <w:lang w:val="en-US"/>
        </w:rPr>
        <w:t xml:space="preserve"> and any assumptions relating to the cost of </w:t>
      </w:r>
      <w:r w:rsidR="00B10DEC" w:rsidRPr="0067297E">
        <w:rPr>
          <w:rFonts w:asciiTheme="minorHAnsi" w:hAnsiTheme="minorHAnsi" w:cs="Calibri"/>
          <w:lang w:val="en-US"/>
        </w:rPr>
        <w:t xml:space="preserve">properties. </w:t>
      </w:r>
    </w:p>
    <w:p w14:paraId="6E18702B" w14:textId="1ECBA085" w:rsidR="00FD2958" w:rsidRPr="0067297E" w:rsidRDefault="00FD2958" w:rsidP="00FD2958">
      <w:pPr>
        <w:pStyle w:val="Reporttext"/>
        <w:numPr>
          <w:ilvl w:val="0"/>
          <w:numId w:val="0"/>
        </w:numPr>
        <w:ind w:left="709"/>
        <w:rPr>
          <w:rFonts w:asciiTheme="minorHAnsi" w:hAnsiTheme="minorHAnsi" w:cs="Calibri"/>
        </w:rPr>
      </w:pPr>
    </w:p>
    <w:p w14:paraId="11A4AF64" w14:textId="77777777" w:rsidR="005C5038" w:rsidRPr="0067297E" w:rsidRDefault="005C5038" w:rsidP="005C5038">
      <w:pPr>
        <w:pStyle w:val="Heading3"/>
        <w:rPr>
          <w:rFonts w:asciiTheme="minorHAnsi" w:hAnsiTheme="minorHAnsi"/>
          <w:lang w:val="en-US"/>
        </w:rPr>
      </w:pPr>
      <w:r w:rsidRPr="0067297E">
        <w:rPr>
          <w:rFonts w:asciiTheme="minorHAnsi" w:hAnsiTheme="minorHAnsi"/>
          <w:lang w:val="en-US"/>
        </w:rPr>
        <w:t>Cost of alternative tenure options</w:t>
      </w:r>
    </w:p>
    <w:p w14:paraId="75E93FA7" w14:textId="356D619A" w:rsidR="005C5038" w:rsidRPr="0067297E" w:rsidRDefault="005C5038" w:rsidP="00DD5741">
      <w:pPr>
        <w:pStyle w:val="Reporttext"/>
        <w:rPr>
          <w:rFonts w:asciiTheme="minorHAnsi" w:hAnsiTheme="minorHAnsi" w:cs="Calibri"/>
          <w:lang w:val="en-US"/>
        </w:rPr>
      </w:pPr>
      <w:r w:rsidRPr="0067297E">
        <w:rPr>
          <w:rFonts w:asciiTheme="minorHAnsi" w:hAnsiTheme="minorHAnsi" w:cs="Calibri"/>
          <w:lang w:val="en-US"/>
        </w:rPr>
        <w:t>Table 4.1</w:t>
      </w:r>
      <w:r w:rsidR="00CB5F44" w:rsidRPr="0067297E">
        <w:rPr>
          <w:rFonts w:asciiTheme="minorHAnsi" w:hAnsiTheme="minorHAnsi" w:cs="Calibri"/>
          <w:lang w:val="en-US"/>
        </w:rPr>
        <w:t>3</w:t>
      </w:r>
      <w:r w:rsidRPr="0067297E">
        <w:rPr>
          <w:rFonts w:asciiTheme="minorHAnsi" w:hAnsiTheme="minorHAnsi" w:cs="Calibri"/>
          <w:lang w:val="en-US"/>
        </w:rPr>
        <w:t xml:space="preserve"> sets out the cost of alternative tenure options by ward. </w:t>
      </w:r>
    </w:p>
    <w:p w14:paraId="04D9D44E" w14:textId="33B25A7A" w:rsidR="00E40456" w:rsidRPr="0067297E" w:rsidRDefault="00E40456" w:rsidP="00FD2958">
      <w:pPr>
        <w:pStyle w:val="Reporttext"/>
        <w:numPr>
          <w:ilvl w:val="0"/>
          <w:numId w:val="0"/>
        </w:numPr>
        <w:ind w:left="709"/>
        <w:rPr>
          <w:rFonts w:asciiTheme="minorHAnsi" w:hAnsiTheme="minorHAnsi" w:cs="Calibri"/>
        </w:rPr>
      </w:pPr>
    </w:p>
    <w:p w14:paraId="289B1BA6" w14:textId="77BF108D" w:rsidR="005C5038" w:rsidRPr="0067297E" w:rsidRDefault="005C5038" w:rsidP="005C5038">
      <w:pPr>
        <w:pStyle w:val="Heading3"/>
        <w:rPr>
          <w:rFonts w:asciiTheme="minorHAnsi" w:hAnsiTheme="minorHAnsi"/>
          <w:lang w:val="en-US"/>
        </w:rPr>
      </w:pPr>
      <w:r w:rsidRPr="0067297E">
        <w:rPr>
          <w:rFonts w:asciiTheme="minorHAnsi" w:hAnsiTheme="minorHAnsi"/>
          <w:lang w:val="en-US"/>
        </w:rPr>
        <w:t>Income required for tenure options</w:t>
      </w:r>
    </w:p>
    <w:p w14:paraId="23281175" w14:textId="0C9A9B41" w:rsidR="00B10DEC" w:rsidRPr="0067297E" w:rsidRDefault="005C5038" w:rsidP="00B10DEC">
      <w:pPr>
        <w:pStyle w:val="Reporttext"/>
        <w:rPr>
          <w:rFonts w:asciiTheme="minorHAnsi" w:hAnsiTheme="minorHAnsi" w:cs="Calibri"/>
          <w:lang w:val="en-US"/>
        </w:rPr>
      </w:pPr>
      <w:r w:rsidRPr="0067297E">
        <w:rPr>
          <w:rFonts w:asciiTheme="minorHAnsi" w:hAnsiTheme="minorHAnsi" w:cs="Calibri"/>
          <w:lang w:val="en-US"/>
        </w:rPr>
        <w:t>Table 4.1</w:t>
      </w:r>
      <w:r w:rsidR="00CB5F44" w:rsidRPr="0067297E">
        <w:rPr>
          <w:rFonts w:asciiTheme="minorHAnsi" w:hAnsiTheme="minorHAnsi" w:cs="Calibri"/>
          <w:lang w:val="en-US"/>
        </w:rPr>
        <w:t>4</w:t>
      </w:r>
      <w:r w:rsidRPr="0067297E">
        <w:rPr>
          <w:rFonts w:asciiTheme="minorHAnsi" w:hAnsiTheme="minorHAnsi" w:cs="Calibri"/>
          <w:lang w:val="en-US"/>
        </w:rPr>
        <w:t xml:space="preserve"> sets out the indicative incomes required</w:t>
      </w:r>
      <w:r w:rsidR="00061CF9" w:rsidRPr="0067297E">
        <w:rPr>
          <w:rFonts w:asciiTheme="minorHAnsi" w:hAnsiTheme="minorHAnsi" w:cs="Calibri"/>
          <w:lang w:val="en-US"/>
        </w:rPr>
        <w:t xml:space="preserve"> based on rental property being affordable if up to 35% of household income</w:t>
      </w:r>
      <w:r w:rsidRPr="0067297E">
        <w:rPr>
          <w:rFonts w:asciiTheme="minorHAnsi" w:hAnsiTheme="minorHAnsi" w:cs="Calibri"/>
          <w:lang w:val="en-US"/>
        </w:rPr>
        <w:t xml:space="preserve"> </w:t>
      </w:r>
      <w:r w:rsidR="00061CF9" w:rsidRPr="0067297E">
        <w:rPr>
          <w:rFonts w:asciiTheme="minorHAnsi" w:hAnsiTheme="minorHAnsi" w:cs="Calibri"/>
          <w:lang w:val="en-US"/>
        </w:rPr>
        <w:t>is spent on rent; and owning is affordable based on a 3.5x household income multiple. Table 4.1</w:t>
      </w:r>
      <w:r w:rsidR="00CB5F44" w:rsidRPr="0067297E">
        <w:rPr>
          <w:rFonts w:asciiTheme="minorHAnsi" w:hAnsiTheme="minorHAnsi" w:cs="Calibri"/>
          <w:lang w:val="en-US"/>
        </w:rPr>
        <w:t>5</w:t>
      </w:r>
      <w:r w:rsidR="00061CF9" w:rsidRPr="0067297E">
        <w:rPr>
          <w:rFonts w:asciiTheme="minorHAnsi" w:hAnsiTheme="minorHAnsi" w:cs="Calibri"/>
          <w:lang w:val="en-US"/>
        </w:rPr>
        <w:t xml:space="preserve"> uses a higher 5x household income multiple to illustrate the considerable impact this</w:t>
      </w:r>
      <w:r w:rsidR="00CB5F44" w:rsidRPr="0067297E">
        <w:rPr>
          <w:rFonts w:asciiTheme="minorHAnsi" w:hAnsiTheme="minorHAnsi" w:cs="Calibri"/>
          <w:lang w:val="en-US"/>
        </w:rPr>
        <w:t xml:space="preserve"> has</w:t>
      </w:r>
      <w:r w:rsidR="00061CF9" w:rsidRPr="0067297E">
        <w:rPr>
          <w:rFonts w:asciiTheme="minorHAnsi" w:hAnsiTheme="minorHAnsi" w:cs="Calibri"/>
          <w:lang w:val="en-US"/>
        </w:rPr>
        <w:t xml:space="preserve"> on income required for a property to be affordable (for instance the household income required for a lower quartile property reduces from £82,286 to £57,600). Analysis also assumes deposits of up to 10%. The impact of higher deposits on </w:t>
      </w:r>
      <w:r w:rsidR="00FD3B64" w:rsidRPr="0067297E">
        <w:rPr>
          <w:rFonts w:asciiTheme="minorHAnsi" w:hAnsiTheme="minorHAnsi" w:cs="Calibri"/>
          <w:lang w:val="en-US"/>
        </w:rPr>
        <w:t>the income required to service a mortgage are summarised in Table 4.1</w:t>
      </w:r>
      <w:r w:rsidR="00CB5F44" w:rsidRPr="0067297E">
        <w:rPr>
          <w:rFonts w:asciiTheme="minorHAnsi" w:hAnsiTheme="minorHAnsi" w:cs="Calibri"/>
          <w:lang w:val="en-US"/>
        </w:rPr>
        <w:t>6</w:t>
      </w:r>
      <w:r w:rsidR="00061CF9" w:rsidRPr="0067297E">
        <w:rPr>
          <w:rFonts w:asciiTheme="minorHAnsi" w:hAnsiTheme="minorHAnsi" w:cs="Calibri"/>
          <w:lang w:val="en-US"/>
        </w:rPr>
        <w:t xml:space="preserve"> </w:t>
      </w:r>
      <w:r w:rsidR="00B10DEC" w:rsidRPr="0067297E">
        <w:rPr>
          <w:rFonts w:asciiTheme="minorHAnsi" w:hAnsiTheme="minorHAnsi" w:cs="Calibri"/>
          <w:lang w:val="en-US"/>
        </w:rPr>
        <w:t xml:space="preserve">based on borough prices; this demonstrates the considerable reduction on income requirements for a property to be affordable through higher deposits. </w:t>
      </w:r>
    </w:p>
    <w:p w14:paraId="6EDF4FEB" w14:textId="77777777" w:rsidR="003C469F" w:rsidRPr="0067297E" w:rsidRDefault="003C469F">
      <w:pPr>
        <w:pStyle w:val="Reporttext"/>
        <w:numPr>
          <w:ilvl w:val="0"/>
          <w:numId w:val="0"/>
        </w:numPr>
        <w:ind w:left="709"/>
        <w:rPr>
          <w:rFonts w:asciiTheme="minorHAnsi" w:hAnsiTheme="minorHAnsi" w:cs="Calibri"/>
          <w:lang w:val="en-US"/>
        </w:rPr>
        <w:sectPr w:rsidR="003C469F" w:rsidRPr="0067297E" w:rsidSect="00C74E5F">
          <w:headerReference w:type="default" r:id="rId58"/>
          <w:footerReference w:type="default" r:id="rId59"/>
          <w:pgSz w:w="11906" w:h="16838"/>
          <w:pgMar w:top="1440" w:right="1276" w:bottom="1134" w:left="1440" w:header="708" w:footer="708" w:gutter="0"/>
          <w:cols w:space="708"/>
          <w:docGrid w:linePitch="360"/>
        </w:sect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2833"/>
        <w:gridCol w:w="6667"/>
        <w:gridCol w:w="4612"/>
      </w:tblGrid>
      <w:tr w:rsidR="00E40456" w:rsidRPr="00A406E8" w14:paraId="5C074AC7" w14:textId="77777777" w:rsidTr="00E77F9A">
        <w:trPr>
          <w:trHeight w:val="300"/>
          <w:tblHeader/>
        </w:trPr>
        <w:tc>
          <w:tcPr>
            <w:tcW w:w="5000" w:type="pct"/>
            <w:gridSpan w:val="3"/>
            <w:shd w:val="clear" w:color="auto" w:fill="009999"/>
            <w:noWrap/>
            <w:vAlign w:val="bottom"/>
            <w:hideMark/>
          </w:tcPr>
          <w:p w14:paraId="1081BB9E" w14:textId="030C07E4" w:rsidR="00E40456" w:rsidRPr="00A406E8" w:rsidDel="00FD2958" w:rsidRDefault="00E40456" w:rsidP="003915F8">
            <w:pPr>
              <w:pStyle w:val="tableheading"/>
              <w:rPr>
                <w:rFonts w:asciiTheme="minorHAnsi" w:hAnsiTheme="minorHAnsi"/>
                <w:szCs w:val="22"/>
              </w:rPr>
            </w:pPr>
            <w:bookmarkStart w:id="265" w:name="_Toc23151161"/>
            <w:r w:rsidRPr="00A406E8">
              <w:rPr>
                <w:rFonts w:asciiTheme="minorHAnsi" w:hAnsiTheme="minorHAnsi"/>
                <w:szCs w:val="22"/>
                <w:lang w:val="en-US"/>
              </w:rPr>
              <w:t>Table 4.</w:t>
            </w:r>
            <w:r w:rsidR="00BE3A87" w:rsidRPr="00A406E8">
              <w:rPr>
                <w:rFonts w:asciiTheme="minorHAnsi" w:hAnsiTheme="minorHAnsi"/>
                <w:szCs w:val="22"/>
                <w:lang w:val="en-US"/>
              </w:rPr>
              <w:t>1</w:t>
            </w:r>
            <w:r w:rsidR="00CB5F44" w:rsidRPr="00A406E8">
              <w:rPr>
                <w:rFonts w:asciiTheme="minorHAnsi" w:hAnsiTheme="minorHAnsi"/>
                <w:szCs w:val="22"/>
                <w:lang w:val="en-US"/>
              </w:rPr>
              <w:t>2</w:t>
            </w:r>
            <w:r w:rsidR="00CB5F44" w:rsidRPr="00A406E8">
              <w:rPr>
                <w:rFonts w:asciiTheme="minorHAnsi" w:hAnsiTheme="minorHAnsi"/>
                <w:szCs w:val="22"/>
                <w:lang w:val="en-US"/>
              </w:rPr>
              <w:tab/>
            </w:r>
            <w:r w:rsidRPr="00A406E8">
              <w:rPr>
                <w:rFonts w:asciiTheme="minorHAnsi" w:hAnsiTheme="minorHAnsi"/>
                <w:szCs w:val="22"/>
                <w:lang w:val="en-US"/>
              </w:rPr>
              <w:t>Summary of tenure, price assumptions and data sources</w:t>
            </w:r>
            <w:bookmarkEnd w:id="265"/>
          </w:p>
        </w:tc>
      </w:tr>
      <w:tr w:rsidR="00E40456" w:rsidRPr="00A406E8" w14:paraId="5CB66F7B" w14:textId="77777777" w:rsidTr="00E77F9A">
        <w:trPr>
          <w:trHeight w:val="300"/>
        </w:trPr>
        <w:tc>
          <w:tcPr>
            <w:tcW w:w="1004" w:type="pct"/>
            <w:shd w:val="clear" w:color="auto" w:fill="009999"/>
            <w:noWrap/>
            <w:vAlign w:val="bottom"/>
            <w:hideMark/>
          </w:tcPr>
          <w:p w14:paraId="1ECC9ED8" w14:textId="77777777" w:rsidR="00E40456" w:rsidRPr="00A406E8" w:rsidRDefault="00E40456" w:rsidP="003915F8">
            <w:pPr>
              <w:spacing w:beforeLines="20" w:before="48" w:afterLines="20" w:after="48"/>
              <w:rPr>
                <w:rFonts w:asciiTheme="minorHAnsi" w:hAnsiTheme="minorHAnsi" w:cs="Calibri"/>
                <w:b/>
                <w:bCs/>
                <w:color w:val="FFFFFF"/>
                <w:sz w:val="22"/>
                <w:szCs w:val="22"/>
              </w:rPr>
            </w:pPr>
            <w:r w:rsidRPr="00A406E8">
              <w:rPr>
                <w:rFonts w:asciiTheme="minorHAnsi" w:hAnsiTheme="minorHAnsi" w:cs="Calibri"/>
                <w:b/>
                <w:bCs/>
                <w:color w:val="FFFFFF"/>
                <w:sz w:val="22"/>
                <w:szCs w:val="22"/>
              </w:rPr>
              <w:t>Tenure</w:t>
            </w:r>
          </w:p>
        </w:tc>
        <w:tc>
          <w:tcPr>
            <w:tcW w:w="2362" w:type="pct"/>
            <w:shd w:val="clear" w:color="auto" w:fill="009999"/>
            <w:vAlign w:val="bottom"/>
            <w:hideMark/>
          </w:tcPr>
          <w:p w14:paraId="2AF6832F" w14:textId="77777777" w:rsidR="00E40456" w:rsidRPr="00A406E8" w:rsidRDefault="00E40456" w:rsidP="003915F8">
            <w:pPr>
              <w:spacing w:beforeLines="20" w:before="48" w:afterLines="20" w:after="48"/>
              <w:rPr>
                <w:rFonts w:asciiTheme="minorHAnsi" w:hAnsiTheme="minorHAnsi" w:cs="Calibri"/>
                <w:b/>
                <w:bCs/>
                <w:color w:val="FFFFFF"/>
                <w:sz w:val="22"/>
                <w:szCs w:val="22"/>
              </w:rPr>
            </w:pPr>
            <w:r w:rsidRPr="00A406E8">
              <w:rPr>
                <w:rFonts w:asciiTheme="minorHAnsi" w:hAnsiTheme="minorHAnsi" w:cs="Calibri"/>
                <w:b/>
                <w:bCs/>
                <w:color w:val="FFFFFF"/>
                <w:sz w:val="22"/>
                <w:szCs w:val="22"/>
              </w:rPr>
              <w:t>Tenure price assumptions</w:t>
            </w:r>
          </w:p>
        </w:tc>
        <w:tc>
          <w:tcPr>
            <w:tcW w:w="1631" w:type="pct"/>
            <w:shd w:val="clear" w:color="auto" w:fill="009999"/>
          </w:tcPr>
          <w:p w14:paraId="4E137D30" w14:textId="77777777" w:rsidR="00E40456" w:rsidRPr="00A406E8" w:rsidRDefault="00E40456" w:rsidP="003915F8">
            <w:pPr>
              <w:spacing w:beforeLines="20" w:before="48" w:afterLines="20" w:after="48"/>
              <w:rPr>
                <w:rFonts w:asciiTheme="minorHAnsi" w:hAnsiTheme="minorHAnsi" w:cs="Calibri"/>
                <w:b/>
                <w:bCs/>
                <w:color w:val="FFFFFF"/>
                <w:sz w:val="22"/>
                <w:szCs w:val="22"/>
              </w:rPr>
            </w:pPr>
            <w:r w:rsidRPr="00A406E8">
              <w:rPr>
                <w:rFonts w:asciiTheme="minorHAnsi" w:hAnsiTheme="minorHAnsi" w:cs="Calibri"/>
                <w:b/>
                <w:bCs/>
                <w:color w:val="FFFFFF"/>
                <w:sz w:val="22"/>
                <w:szCs w:val="22"/>
              </w:rPr>
              <w:t>Data Source</w:t>
            </w:r>
          </w:p>
        </w:tc>
      </w:tr>
      <w:tr w:rsidR="00E40456" w:rsidRPr="00A406E8" w14:paraId="663BF60C" w14:textId="77777777" w:rsidTr="00E77F9A">
        <w:trPr>
          <w:trHeight w:val="300"/>
        </w:trPr>
        <w:tc>
          <w:tcPr>
            <w:tcW w:w="1004" w:type="pct"/>
            <w:shd w:val="clear" w:color="auto" w:fill="auto"/>
            <w:noWrap/>
            <w:hideMark/>
          </w:tcPr>
          <w:p w14:paraId="5DDFA1BD"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 xml:space="preserve">Social rent </w:t>
            </w:r>
          </w:p>
        </w:tc>
        <w:tc>
          <w:tcPr>
            <w:tcW w:w="2362" w:type="pct"/>
            <w:shd w:val="clear" w:color="auto" w:fill="auto"/>
            <w:hideMark/>
          </w:tcPr>
          <w:p w14:paraId="674CCA9E" w14:textId="7C12778E"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 xml:space="preserve">2018 prices </w:t>
            </w:r>
          </w:p>
        </w:tc>
        <w:tc>
          <w:tcPr>
            <w:tcW w:w="1631" w:type="pct"/>
          </w:tcPr>
          <w:p w14:paraId="0805EC03" w14:textId="77777777" w:rsidR="00E40456" w:rsidRPr="00A406E8" w:rsidDel="002558A6"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Regulator of Social Housing Statistical Data Return 2018</w:t>
            </w:r>
          </w:p>
        </w:tc>
      </w:tr>
      <w:tr w:rsidR="00E40456" w:rsidRPr="00A406E8" w14:paraId="1D5B5A05" w14:textId="77777777" w:rsidTr="00E77F9A">
        <w:trPr>
          <w:trHeight w:val="300"/>
        </w:trPr>
        <w:tc>
          <w:tcPr>
            <w:tcW w:w="1004" w:type="pct"/>
            <w:shd w:val="clear" w:color="auto" w:fill="auto"/>
            <w:noWrap/>
            <w:hideMark/>
          </w:tcPr>
          <w:p w14:paraId="255B04BA"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London Affordable Rent</w:t>
            </w:r>
          </w:p>
        </w:tc>
        <w:tc>
          <w:tcPr>
            <w:tcW w:w="2362" w:type="pct"/>
            <w:shd w:val="clear" w:color="auto" w:fill="auto"/>
            <w:hideMark/>
          </w:tcPr>
          <w:p w14:paraId="2FD1094C"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Affordable homes based on social rent levels for low income households</w:t>
            </w:r>
          </w:p>
        </w:tc>
        <w:tc>
          <w:tcPr>
            <w:tcW w:w="1631" w:type="pct"/>
          </w:tcPr>
          <w:p w14:paraId="015E6528"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Regulator of Social Housing Statistical Data Return 2018</w:t>
            </w:r>
          </w:p>
        </w:tc>
      </w:tr>
      <w:tr w:rsidR="00E40456" w:rsidRPr="00A406E8" w14:paraId="63B924FD" w14:textId="77777777" w:rsidTr="00E77F9A">
        <w:trPr>
          <w:trHeight w:val="300"/>
        </w:trPr>
        <w:tc>
          <w:tcPr>
            <w:tcW w:w="1004" w:type="pct"/>
            <w:shd w:val="clear" w:color="auto" w:fill="auto"/>
            <w:noWrap/>
          </w:tcPr>
          <w:p w14:paraId="549924EB"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 xml:space="preserve">London Intermediate Rent </w:t>
            </w:r>
          </w:p>
          <w:p w14:paraId="122A2C12"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(‘London Living Rent’)</w:t>
            </w:r>
          </w:p>
        </w:tc>
        <w:tc>
          <w:tcPr>
            <w:tcW w:w="2362" w:type="pct"/>
            <w:shd w:val="clear" w:color="auto" w:fill="auto"/>
          </w:tcPr>
          <w:p w14:paraId="76E95E7D"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Homes for middle-income households struggling to save for a deposit based on a third of average local household incomes and adjusted for the number of bedrooms – a significant discount on market rent in most London boroughs. Indicative prices for 2 bed and 3 bed homes (10 % higher) are shown. The GLA has set the following weekly rental benchmarks for 2019/20:</w:t>
            </w:r>
          </w:p>
          <w:p w14:paraId="71DAEB33"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Bedsit/One bedroom £155,13; Two Bedrooms £164.24; Three Bedrooms £173,37; Four Bedrooms £182.49, Five Bedrooms £191.61; Six or more £200.73</w:t>
            </w:r>
          </w:p>
        </w:tc>
        <w:tc>
          <w:tcPr>
            <w:tcW w:w="1631" w:type="pct"/>
          </w:tcPr>
          <w:p w14:paraId="767E053A" w14:textId="77777777" w:rsidR="00E40456" w:rsidRPr="00A406E8" w:rsidRDefault="00E40456" w:rsidP="003915F8">
            <w:pPr>
              <w:spacing w:beforeLines="20" w:before="48" w:afterLines="20" w:after="48"/>
              <w:rPr>
                <w:rFonts w:asciiTheme="minorHAnsi" w:hAnsiTheme="minorHAnsi" w:cs="Calibri"/>
                <w:color w:val="000000"/>
                <w:sz w:val="22"/>
                <w:szCs w:val="22"/>
                <w:lang w:val="it-IT"/>
              </w:rPr>
            </w:pPr>
            <w:r w:rsidRPr="00A406E8">
              <w:rPr>
                <w:rFonts w:asciiTheme="minorHAnsi" w:hAnsiTheme="minorHAnsi" w:cs="Calibri"/>
                <w:color w:val="000000"/>
                <w:sz w:val="22"/>
                <w:szCs w:val="22"/>
                <w:lang w:val="it-IT"/>
              </w:rPr>
              <w:t xml:space="preserve">CAMEO income data; </w:t>
            </w:r>
          </w:p>
          <w:p w14:paraId="5B9B6C18" w14:textId="77777777" w:rsidR="00E40456" w:rsidRPr="00A406E8" w:rsidRDefault="00E40456" w:rsidP="003915F8">
            <w:pPr>
              <w:pStyle w:val="Reporttext"/>
              <w:numPr>
                <w:ilvl w:val="0"/>
                <w:numId w:val="0"/>
              </w:numPr>
              <w:rPr>
                <w:rFonts w:asciiTheme="minorHAnsi" w:hAnsiTheme="minorHAnsi" w:cs="Calibri"/>
                <w:sz w:val="22"/>
                <w:szCs w:val="22"/>
                <w:lang w:val="it-IT"/>
              </w:rPr>
            </w:pPr>
            <w:r w:rsidRPr="00A406E8">
              <w:rPr>
                <w:rFonts w:asciiTheme="minorHAnsi" w:hAnsiTheme="minorHAnsi" w:cs="Calibri"/>
                <w:sz w:val="22"/>
                <w:szCs w:val="22"/>
                <w:lang w:val="it-IT"/>
              </w:rPr>
              <w:t>https://www.london.gov.uk/what-we-do/housing-and-land/homes-londoners-affordable-homes-programme-2016-21</w:t>
            </w:r>
          </w:p>
          <w:p w14:paraId="748EAF74" w14:textId="77777777" w:rsidR="00E40456" w:rsidRPr="00A406E8" w:rsidRDefault="00E40456" w:rsidP="003915F8">
            <w:pPr>
              <w:spacing w:beforeLines="20" w:before="48" w:afterLines="20" w:after="48"/>
              <w:rPr>
                <w:rFonts w:asciiTheme="minorHAnsi" w:hAnsiTheme="minorHAnsi" w:cs="Calibri"/>
                <w:color w:val="000000"/>
                <w:sz w:val="22"/>
                <w:szCs w:val="22"/>
                <w:lang w:val="it-IT"/>
              </w:rPr>
            </w:pPr>
          </w:p>
          <w:p w14:paraId="20EDF412" w14:textId="77777777" w:rsidR="00E40456" w:rsidRPr="00A406E8" w:rsidRDefault="00E40456" w:rsidP="003915F8">
            <w:pPr>
              <w:spacing w:beforeLines="20" w:before="48" w:afterLines="20" w:after="48"/>
              <w:rPr>
                <w:rFonts w:asciiTheme="minorHAnsi" w:hAnsiTheme="minorHAnsi" w:cs="Calibri"/>
                <w:color w:val="000000"/>
                <w:sz w:val="22"/>
                <w:szCs w:val="22"/>
                <w:lang w:val="it-IT"/>
              </w:rPr>
            </w:pPr>
          </w:p>
        </w:tc>
      </w:tr>
      <w:tr w:rsidR="00E40456" w:rsidRPr="00A406E8" w14:paraId="721BF4CD" w14:textId="77777777" w:rsidTr="00E77F9A">
        <w:trPr>
          <w:trHeight w:val="300"/>
        </w:trPr>
        <w:tc>
          <w:tcPr>
            <w:tcW w:w="1004" w:type="pct"/>
            <w:shd w:val="clear" w:color="auto" w:fill="auto"/>
            <w:noWrap/>
            <w:hideMark/>
          </w:tcPr>
          <w:p w14:paraId="50CCDE91"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Market Rent – lower quartile</w:t>
            </w:r>
          </w:p>
        </w:tc>
        <w:tc>
          <w:tcPr>
            <w:tcW w:w="2362" w:type="pct"/>
            <w:shd w:val="clear" w:color="auto" w:fill="auto"/>
            <w:hideMark/>
          </w:tcPr>
          <w:p w14:paraId="5E8346A7"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2018 prices</w:t>
            </w:r>
          </w:p>
        </w:tc>
        <w:tc>
          <w:tcPr>
            <w:tcW w:w="1631" w:type="pct"/>
          </w:tcPr>
          <w:p w14:paraId="6D3A56AC" w14:textId="77777777" w:rsidR="00E40456" w:rsidRPr="00A406E8" w:rsidDel="002558A6"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sz w:val="22"/>
                <w:szCs w:val="22"/>
              </w:rPr>
              <w:t>Zoopla 2019</w:t>
            </w:r>
          </w:p>
        </w:tc>
      </w:tr>
      <w:tr w:rsidR="00E40456" w:rsidRPr="00A406E8" w14:paraId="71775240" w14:textId="77777777" w:rsidTr="00E77F9A">
        <w:trPr>
          <w:trHeight w:val="300"/>
        </w:trPr>
        <w:tc>
          <w:tcPr>
            <w:tcW w:w="1004" w:type="pct"/>
            <w:shd w:val="clear" w:color="auto" w:fill="auto"/>
            <w:noWrap/>
            <w:hideMark/>
          </w:tcPr>
          <w:p w14:paraId="358B411A"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Market Rent – median</w:t>
            </w:r>
          </w:p>
        </w:tc>
        <w:tc>
          <w:tcPr>
            <w:tcW w:w="2362" w:type="pct"/>
            <w:shd w:val="clear" w:color="auto" w:fill="auto"/>
            <w:hideMark/>
          </w:tcPr>
          <w:p w14:paraId="3A4D5A30"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2018 prices</w:t>
            </w:r>
          </w:p>
        </w:tc>
        <w:tc>
          <w:tcPr>
            <w:tcW w:w="1631" w:type="pct"/>
          </w:tcPr>
          <w:p w14:paraId="4489B1D0"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sz w:val="22"/>
                <w:szCs w:val="22"/>
              </w:rPr>
              <w:t>Zoopla 2019</w:t>
            </w:r>
          </w:p>
        </w:tc>
      </w:tr>
      <w:tr w:rsidR="00E40456" w:rsidRPr="00A406E8" w14:paraId="6004570C" w14:textId="77777777" w:rsidTr="00E77F9A">
        <w:trPr>
          <w:trHeight w:val="300"/>
        </w:trPr>
        <w:tc>
          <w:tcPr>
            <w:tcW w:w="1004" w:type="pct"/>
            <w:shd w:val="clear" w:color="auto" w:fill="auto"/>
            <w:noWrap/>
            <w:hideMark/>
          </w:tcPr>
          <w:p w14:paraId="099B4B5A"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Market Rent – upper quartile</w:t>
            </w:r>
          </w:p>
        </w:tc>
        <w:tc>
          <w:tcPr>
            <w:tcW w:w="2362" w:type="pct"/>
            <w:shd w:val="clear" w:color="auto" w:fill="auto"/>
            <w:hideMark/>
          </w:tcPr>
          <w:p w14:paraId="25A676F7"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2018 prices</w:t>
            </w:r>
          </w:p>
        </w:tc>
        <w:tc>
          <w:tcPr>
            <w:tcW w:w="1631" w:type="pct"/>
          </w:tcPr>
          <w:p w14:paraId="7E2EAF34"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sz w:val="22"/>
                <w:szCs w:val="22"/>
              </w:rPr>
              <w:t>Zoopla 2019</w:t>
            </w:r>
          </w:p>
        </w:tc>
      </w:tr>
      <w:tr w:rsidR="00E40456" w:rsidRPr="00A406E8" w14:paraId="68FE03CE" w14:textId="77777777" w:rsidTr="00E77F9A">
        <w:trPr>
          <w:trHeight w:val="300"/>
        </w:trPr>
        <w:tc>
          <w:tcPr>
            <w:tcW w:w="1004" w:type="pct"/>
            <w:shd w:val="clear" w:color="auto" w:fill="auto"/>
            <w:noWrap/>
            <w:hideMark/>
          </w:tcPr>
          <w:p w14:paraId="218C5CA0"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Market Sale – lower quartile</w:t>
            </w:r>
          </w:p>
        </w:tc>
        <w:tc>
          <w:tcPr>
            <w:tcW w:w="2362" w:type="pct"/>
            <w:shd w:val="clear" w:color="auto" w:fill="auto"/>
            <w:hideMark/>
          </w:tcPr>
          <w:p w14:paraId="20CA23DE"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2018 prices</w:t>
            </w:r>
          </w:p>
        </w:tc>
        <w:tc>
          <w:tcPr>
            <w:tcW w:w="1631" w:type="pct"/>
          </w:tcPr>
          <w:p w14:paraId="05CEC8E7"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Land Registry Price Paid</w:t>
            </w:r>
          </w:p>
        </w:tc>
      </w:tr>
      <w:tr w:rsidR="00E40456" w:rsidRPr="00A406E8" w14:paraId="77797D71" w14:textId="77777777" w:rsidTr="00E77F9A">
        <w:trPr>
          <w:trHeight w:val="300"/>
        </w:trPr>
        <w:tc>
          <w:tcPr>
            <w:tcW w:w="1004" w:type="pct"/>
            <w:shd w:val="clear" w:color="auto" w:fill="auto"/>
            <w:noWrap/>
            <w:hideMark/>
          </w:tcPr>
          <w:p w14:paraId="73E4F762"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Market Sale – median</w:t>
            </w:r>
          </w:p>
        </w:tc>
        <w:tc>
          <w:tcPr>
            <w:tcW w:w="2362" w:type="pct"/>
            <w:shd w:val="clear" w:color="auto" w:fill="auto"/>
            <w:hideMark/>
          </w:tcPr>
          <w:p w14:paraId="31F36CFA"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2018 prices</w:t>
            </w:r>
          </w:p>
        </w:tc>
        <w:tc>
          <w:tcPr>
            <w:tcW w:w="1631" w:type="pct"/>
          </w:tcPr>
          <w:p w14:paraId="62A88EC1"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Land Registry Price Paid</w:t>
            </w:r>
          </w:p>
        </w:tc>
      </w:tr>
      <w:tr w:rsidR="00E40456" w:rsidRPr="00A406E8" w14:paraId="580604BB" w14:textId="77777777" w:rsidTr="00E77F9A">
        <w:trPr>
          <w:trHeight w:val="300"/>
        </w:trPr>
        <w:tc>
          <w:tcPr>
            <w:tcW w:w="1004" w:type="pct"/>
            <w:shd w:val="clear" w:color="auto" w:fill="auto"/>
            <w:noWrap/>
            <w:hideMark/>
          </w:tcPr>
          <w:p w14:paraId="0ACE5782"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Market Sale – average</w:t>
            </w:r>
          </w:p>
        </w:tc>
        <w:tc>
          <w:tcPr>
            <w:tcW w:w="2362" w:type="pct"/>
            <w:shd w:val="clear" w:color="auto" w:fill="auto"/>
            <w:hideMark/>
          </w:tcPr>
          <w:p w14:paraId="28FFC8A8"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2018 prices</w:t>
            </w:r>
          </w:p>
        </w:tc>
        <w:tc>
          <w:tcPr>
            <w:tcW w:w="1631" w:type="pct"/>
          </w:tcPr>
          <w:p w14:paraId="77C191DF"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Land Registry Price Paid</w:t>
            </w:r>
          </w:p>
        </w:tc>
      </w:tr>
      <w:tr w:rsidR="00E40456" w:rsidRPr="00A406E8" w14:paraId="0363889C" w14:textId="77777777" w:rsidTr="00E77F9A">
        <w:trPr>
          <w:trHeight w:val="613"/>
        </w:trPr>
        <w:tc>
          <w:tcPr>
            <w:tcW w:w="1004" w:type="pct"/>
            <w:shd w:val="clear" w:color="auto" w:fill="auto"/>
            <w:noWrap/>
            <w:hideMark/>
          </w:tcPr>
          <w:p w14:paraId="79F06959"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Starter Home</w:t>
            </w:r>
          </w:p>
        </w:tc>
        <w:tc>
          <w:tcPr>
            <w:tcW w:w="2362" w:type="pct"/>
            <w:shd w:val="clear" w:color="auto" w:fill="auto"/>
            <w:hideMark/>
          </w:tcPr>
          <w:p w14:paraId="17067F5C"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20% discount on full value (assumed to be median), 10% deposit on discounted portion, remainder mortgage based on 3.5x income</w:t>
            </w:r>
          </w:p>
        </w:tc>
        <w:tc>
          <w:tcPr>
            <w:tcW w:w="1631" w:type="pct"/>
          </w:tcPr>
          <w:p w14:paraId="6F50A1FE"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Assumptions applied to Land Registry Price Paid data</w:t>
            </w:r>
          </w:p>
        </w:tc>
      </w:tr>
      <w:tr w:rsidR="00E40456" w:rsidRPr="00A406E8" w14:paraId="2688D6CC" w14:textId="77777777" w:rsidTr="00E77F9A">
        <w:trPr>
          <w:trHeight w:val="590"/>
        </w:trPr>
        <w:tc>
          <w:tcPr>
            <w:tcW w:w="1004" w:type="pct"/>
            <w:shd w:val="clear" w:color="auto" w:fill="auto"/>
            <w:noWrap/>
            <w:hideMark/>
          </w:tcPr>
          <w:p w14:paraId="1C7C7B8D"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London Shared ownership (50%)</w:t>
            </w:r>
          </w:p>
        </w:tc>
        <w:tc>
          <w:tcPr>
            <w:tcW w:w="2362" w:type="pct"/>
            <w:shd w:val="clear" w:color="auto" w:fill="auto"/>
            <w:hideMark/>
          </w:tcPr>
          <w:p w14:paraId="6E9C9082"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Total price based on median price and 50% ownership. Mortgage based on 40%. 10% deposit required, annual service change £395, Annual rent based on 2.75% of remaining equity</w:t>
            </w:r>
          </w:p>
        </w:tc>
        <w:tc>
          <w:tcPr>
            <w:tcW w:w="1631" w:type="pct"/>
          </w:tcPr>
          <w:p w14:paraId="0760C597"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Assumptions applied to Land Registry Price Paid data</w:t>
            </w:r>
          </w:p>
        </w:tc>
      </w:tr>
      <w:tr w:rsidR="00E40456" w:rsidRPr="00A406E8" w14:paraId="71998681" w14:textId="77777777" w:rsidTr="00E77F9A">
        <w:trPr>
          <w:trHeight w:val="604"/>
        </w:trPr>
        <w:tc>
          <w:tcPr>
            <w:tcW w:w="1004" w:type="pct"/>
            <w:shd w:val="clear" w:color="auto" w:fill="auto"/>
            <w:noWrap/>
            <w:hideMark/>
          </w:tcPr>
          <w:p w14:paraId="6AA518A3"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London Shared ownership (25%)</w:t>
            </w:r>
          </w:p>
        </w:tc>
        <w:tc>
          <w:tcPr>
            <w:tcW w:w="2362" w:type="pct"/>
            <w:shd w:val="clear" w:color="auto" w:fill="auto"/>
            <w:hideMark/>
          </w:tcPr>
          <w:p w14:paraId="5AAF1ED2"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Total price based on median price and 25% ownership. Mortgage based on 20%. 5% deposit required, annual service change £395, Annual rent based on 2.75% of remaining equity</w:t>
            </w:r>
          </w:p>
        </w:tc>
        <w:tc>
          <w:tcPr>
            <w:tcW w:w="1631" w:type="pct"/>
          </w:tcPr>
          <w:p w14:paraId="0B3E56ED"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Assumptions applied to Land Registry Price Paid data</w:t>
            </w:r>
          </w:p>
        </w:tc>
      </w:tr>
      <w:tr w:rsidR="00E40456" w:rsidRPr="00A406E8" w14:paraId="3AC9921A" w14:textId="77777777" w:rsidTr="00E77F9A">
        <w:trPr>
          <w:trHeight w:val="699"/>
        </w:trPr>
        <w:tc>
          <w:tcPr>
            <w:tcW w:w="1004" w:type="pct"/>
            <w:shd w:val="clear" w:color="auto" w:fill="auto"/>
            <w:noWrap/>
            <w:hideMark/>
          </w:tcPr>
          <w:p w14:paraId="29C9FCD9"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Help to buy</w:t>
            </w:r>
          </w:p>
        </w:tc>
        <w:tc>
          <w:tcPr>
            <w:tcW w:w="2362" w:type="pct"/>
            <w:shd w:val="clear" w:color="auto" w:fill="auto"/>
            <w:hideMark/>
          </w:tcPr>
          <w:p w14:paraId="44F5DF95"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Total price based on median price. Mortgage based on 75% equity. 20% loan and deposit of 5%. Loan fee of 1.75% in year 6 of outstanding equity loan increasing annually from yr7 at RPI+1%</w:t>
            </w:r>
          </w:p>
        </w:tc>
        <w:tc>
          <w:tcPr>
            <w:tcW w:w="1631" w:type="pct"/>
          </w:tcPr>
          <w:p w14:paraId="278F2D4C"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Assumptions applied to Land Registry Price Paid data</w:t>
            </w:r>
          </w:p>
        </w:tc>
      </w:tr>
      <w:tr w:rsidR="00E40456" w:rsidRPr="00A406E8" w14:paraId="09DF9C30" w14:textId="77777777" w:rsidTr="00E77F9A">
        <w:trPr>
          <w:trHeight w:val="293"/>
        </w:trPr>
        <w:tc>
          <w:tcPr>
            <w:tcW w:w="1004" w:type="pct"/>
            <w:shd w:val="clear" w:color="auto" w:fill="auto"/>
            <w:noWrap/>
          </w:tcPr>
          <w:p w14:paraId="61F6D2F3"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Calibri"/>
                <w:color w:val="000000"/>
                <w:sz w:val="22"/>
                <w:szCs w:val="22"/>
              </w:rPr>
              <w:t>Discounted home ownership</w:t>
            </w:r>
          </w:p>
        </w:tc>
        <w:tc>
          <w:tcPr>
            <w:tcW w:w="2362" w:type="pct"/>
            <w:shd w:val="clear" w:color="auto" w:fill="auto"/>
            <w:vAlign w:val="center"/>
          </w:tcPr>
          <w:p w14:paraId="55079682" w14:textId="77777777" w:rsidR="00E40456" w:rsidRPr="00A406E8" w:rsidRDefault="00E40456" w:rsidP="003915F8">
            <w:pPr>
              <w:spacing w:beforeLines="20" w:before="48" w:afterLines="20" w:after="48"/>
              <w:rPr>
                <w:rFonts w:asciiTheme="minorHAnsi" w:hAnsiTheme="minorHAnsi" w:cs="Calibri"/>
                <w:color w:val="000000"/>
                <w:sz w:val="22"/>
                <w:szCs w:val="22"/>
              </w:rPr>
            </w:pPr>
            <w:r w:rsidRPr="00A406E8">
              <w:rPr>
                <w:rFonts w:asciiTheme="minorHAnsi" w:hAnsiTheme="minorHAnsi" w:cstheme="minorHAnsi"/>
                <w:color w:val="000000"/>
                <w:sz w:val="22"/>
                <w:szCs w:val="22"/>
              </w:rPr>
              <w:t>70% of Average Price</w:t>
            </w:r>
          </w:p>
        </w:tc>
        <w:tc>
          <w:tcPr>
            <w:tcW w:w="1631" w:type="pct"/>
          </w:tcPr>
          <w:p w14:paraId="1F25D817" w14:textId="77777777" w:rsidR="00E40456" w:rsidRPr="00A406E8" w:rsidRDefault="00E40456" w:rsidP="003915F8">
            <w:pPr>
              <w:spacing w:beforeLines="20" w:before="48" w:afterLines="20" w:after="48"/>
              <w:rPr>
                <w:rFonts w:asciiTheme="minorHAnsi" w:hAnsiTheme="minorHAnsi" w:cstheme="minorHAnsi"/>
                <w:color w:val="000000"/>
                <w:sz w:val="22"/>
                <w:szCs w:val="22"/>
              </w:rPr>
            </w:pPr>
            <w:r w:rsidRPr="00A406E8">
              <w:rPr>
                <w:rFonts w:asciiTheme="minorHAnsi" w:hAnsiTheme="minorHAnsi" w:cs="Calibri"/>
                <w:color w:val="000000"/>
                <w:sz w:val="22"/>
                <w:szCs w:val="22"/>
              </w:rPr>
              <w:t>Assumptions applied to Land Registry Price Paid data</w:t>
            </w:r>
          </w:p>
        </w:tc>
      </w:tr>
    </w:tbl>
    <w:p w14:paraId="4554BB85" w14:textId="391505BC" w:rsidR="002558A6" w:rsidRPr="0067297E" w:rsidRDefault="002558A6">
      <w:pPr>
        <w:pStyle w:val="Reporttext"/>
        <w:numPr>
          <w:ilvl w:val="0"/>
          <w:numId w:val="0"/>
        </w:numPr>
        <w:rPr>
          <w:rFonts w:asciiTheme="minorHAnsi" w:hAnsiTheme="minorHAnsi" w:cs="Calibri"/>
        </w:rPr>
      </w:pPr>
    </w:p>
    <w:p w14:paraId="7FBDE2DF" w14:textId="77777777" w:rsidR="003C469F" w:rsidRPr="0067297E" w:rsidRDefault="003C469F">
      <w:pPr>
        <w:rPr>
          <w:rFonts w:asciiTheme="minorHAnsi" w:hAnsiTheme="minorHAnsi" w:cs="Arial"/>
          <w:b/>
          <w:color w:val="009999"/>
          <w:sz w:val="22"/>
          <w:lang w:val="x-none"/>
        </w:rPr>
      </w:pPr>
      <w:r w:rsidRPr="0067297E">
        <w:rPr>
          <w:rFonts w:asciiTheme="minorHAnsi" w:hAnsiTheme="minorHAnsi"/>
          <w:color w:val="009999"/>
        </w:rPr>
        <w:br w:type="page"/>
      </w:r>
    </w:p>
    <w:p w14:paraId="74425B4E" w14:textId="5E806C0C" w:rsidR="00E40456" w:rsidRPr="00DD5741" w:rsidRDefault="00E40456" w:rsidP="00DD5741">
      <w:pPr>
        <w:pStyle w:val="tableheading"/>
        <w:jc w:val="left"/>
        <w:rPr>
          <w:rFonts w:asciiTheme="minorHAnsi" w:hAnsiTheme="minorHAnsi"/>
          <w:color w:val="009999"/>
          <w:lang w:val="en-US"/>
        </w:rPr>
      </w:pPr>
      <w:bookmarkStart w:id="266" w:name="_Toc23151162"/>
      <w:r w:rsidRPr="0067297E">
        <w:rPr>
          <w:rFonts w:asciiTheme="minorHAnsi" w:hAnsiTheme="minorHAnsi"/>
          <w:color w:val="009999"/>
        </w:rPr>
        <w:t>Table 4.1</w:t>
      </w:r>
      <w:r w:rsidR="00CB5F44" w:rsidRPr="0067297E">
        <w:rPr>
          <w:rFonts w:asciiTheme="minorHAnsi" w:hAnsiTheme="minorHAnsi"/>
          <w:color w:val="009999"/>
          <w:lang w:val="en-GB"/>
        </w:rPr>
        <w:t>3</w:t>
      </w:r>
      <w:r w:rsidRPr="0067297E">
        <w:rPr>
          <w:rFonts w:asciiTheme="minorHAnsi" w:hAnsiTheme="minorHAnsi"/>
          <w:color w:val="009999"/>
        </w:rPr>
        <w:tab/>
      </w:r>
      <w:r w:rsidRPr="0067297E">
        <w:rPr>
          <w:rFonts w:asciiTheme="minorHAnsi" w:hAnsiTheme="minorHAnsi"/>
          <w:color w:val="009999"/>
          <w:lang w:val="en-US"/>
        </w:rPr>
        <w:t>Cost of alternative tenures by ward</w:t>
      </w:r>
      <w:bookmarkEnd w:id="266"/>
    </w:p>
    <w:p w14:paraId="589FCFEA" w14:textId="58B37D9C" w:rsidR="002558A6" w:rsidRPr="0067297E" w:rsidRDefault="005C5038" w:rsidP="003C469F">
      <w:pPr>
        <w:pStyle w:val="Reporttext"/>
        <w:numPr>
          <w:ilvl w:val="0"/>
          <w:numId w:val="0"/>
        </w:numPr>
        <w:rPr>
          <w:rFonts w:asciiTheme="minorHAnsi" w:hAnsiTheme="minorHAnsi" w:cs="Calibri"/>
        </w:rPr>
      </w:pPr>
      <w:r w:rsidRPr="0067297E">
        <w:rPr>
          <w:rFonts w:asciiTheme="minorHAnsi" w:hAnsiTheme="minorHAnsi" w:cs="Calibri"/>
          <w:noProof/>
          <w:lang w:val="en-GB" w:eastAsia="en-GB"/>
        </w:rPr>
        <w:drawing>
          <wp:inline distT="0" distB="0" distL="0" distR="0" wp14:anchorId="78E6A8AE" wp14:editId="14D27924">
            <wp:extent cx="8175342" cy="5120640"/>
            <wp:effectExtent l="0" t="0" r="0" b="3810"/>
            <wp:docPr id="23" name="Picture 23" descr="Table showing cost of alternative tenures by ward" title="Table 4.13 Cost of alternative tenures by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180789" cy="5124052"/>
                    </a:xfrm>
                    <a:prstGeom prst="rect">
                      <a:avLst/>
                    </a:prstGeom>
                  </pic:spPr>
                </pic:pic>
              </a:graphicData>
            </a:graphic>
          </wp:inline>
        </w:drawing>
      </w:r>
    </w:p>
    <w:p w14:paraId="5E606385" w14:textId="5030751D" w:rsidR="005C5038" w:rsidRPr="0067297E" w:rsidRDefault="005C5038" w:rsidP="005C5038">
      <w:pPr>
        <w:pStyle w:val="Reporttext"/>
        <w:numPr>
          <w:ilvl w:val="0"/>
          <w:numId w:val="0"/>
        </w:numPr>
        <w:rPr>
          <w:rFonts w:asciiTheme="minorHAnsi" w:hAnsiTheme="minorHAnsi" w:cs="Calibri"/>
          <w:sz w:val="18"/>
          <w:szCs w:val="18"/>
          <w:lang w:val="en-GB"/>
        </w:rPr>
      </w:pPr>
      <w:r w:rsidRPr="0067297E">
        <w:rPr>
          <w:rFonts w:asciiTheme="minorHAnsi" w:hAnsiTheme="minorHAnsi" w:cs="Calibri"/>
          <w:sz w:val="18"/>
          <w:szCs w:val="18"/>
          <w:lang w:val="en-GB"/>
        </w:rPr>
        <w:t>Source: Data produced by Land Registry © Crown copyright 2019, Zoopla 2019, MHCLG, RSH SDR 2018</w:t>
      </w:r>
    </w:p>
    <w:p w14:paraId="3BEE2767" w14:textId="2B35A4E8" w:rsidR="006852BE" w:rsidRPr="00FF4E2D" w:rsidRDefault="00361ECB" w:rsidP="00FF4E2D">
      <w:pPr>
        <w:pStyle w:val="tableheading"/>
        <w:rPr>
          <w:rFonts w:asciiTheme="minorHAnsi" w:hAnsiTheme="minorHAnsi"/>
          <w:color w:val="009999"/>
          <w:lang w:val="en-US"/>
        </w:rPr>
      </w:pPr>
      <w:bookmarkStart w:id="267" w:name="_Toc23151163"/>
      <w:r w:rsidRPr="0067297E">
        <w:rPr>
          <w:rFonts w:asciiTheme="minorHAnsi" w:hAnsiTheme="minorHAnsi"/>
          <w:color w:val="009999"/>
        </w:rPr>
        <w:t>Table 4.1</w:t>
      </w:r>
      <w:r w:rsidR="00CB5F44" w:rsidRPr="0067297E">
        <w:rPr>
          <w:rFonts w:asciiTheme="minorHAnsi" w:hAnsiTheme="minorHAnsi"/>
          <w:color w:val="009999"/>
          <w:lang w:val="en-US"/>
        </w:rPr>
        <w:t>4</w:t>
      </w:r>
      <w:r w:rsidRPr="0067297E">
        <w:rPr>
          <w:rFonts w:asciiTheme="minorHAnsi" w:hAnsiTheme="minorHAnsi"/>
          <w:color w:val="009999"/>
        </w:rPr>
        <w:tab/>
      </w:r>
      <w:r w:rsidR="00061CF9" w:rsidRPr="0067297E">
        <w:rPr>
          <w:rFonts w:asciiTheme="minorHAnsi" w:hAnsiTheme="minorHAnsi"/>
          <w:color w:val="009999"/>
          <w:lang w:val="en-US"/>
        </w:rPr>
        <w:t>Household i</w:t>
      </w:r>
      <w:r w:rsidRPr="0067297E">
        <w:rPr>
          <w:rFonts w:asciiTheme="minorHAnsi" w:hAnsiTheme="minorHAnsi"/>
          <w:color w:val="009999"/>
        </w:rPr>
        <w:t>ncome required for alternative tenure options</w:t>
      </w:r>
      <w:r w:rsidR="00061CF9" w:rsidRPr="0067297E">
        <w:rPr>
          <w:rFonts w:asciiTheme="minorHAnsi" w:hAnsiTheme="minorHAnsi"/>
          <w:color w:val="009999"/>
          <w:lang w:val="en-US"/>
        </w:rPr>
        <w:t xml:space="preserve"> (based on 35% for income for rents and 3.5x income multiple for buying)</w:t>
      </w:r>
      <w:bookmarkEnd w:id="267"/>
    </w:p>
    <w:p w14:paraId="3AF6CEBC" w14:textId="75BA146E" w:rsidR="00361ECB" w:rsidRPr="0067297E" w:rsidRDefault="000D4374" w:rsidP="006C722F">
      <w:pPr>
        <w:pStyle w:val="Reporttext"/>
        <w:numPr>
          <w:ilvl w:val="0"/>
          <w:numId w:val="0"/>
        </w:numPr>
        <w:rPr>
          <w:rFonts w:asciiTheme="minorHAnsi" w:hAnsiTheme="minorHAnsi" w:cs="Calibri"/>
          <w:sz w:val="20"/>
          <w:szCs w:val="20"/>
        </w:rPr>
      </w:pPr>
      <w:r w:rsidRPr="0067297E">
        <w:rPr>
          <w:rFonts w:asciiTheme="minorHAnsi" w:hAnsiTheme="minorHAnsi"/>
          <w:noProof/>
        </w:rPr>
        <w:t xml:space="preserve"> </w:t>
      </w:r>
      <w:r w:rsidR="006852BE" w:rsidRPr="006852BE">
        <w:rPr>
          <w:noProof/>
        </w:rPr>
        <w:t xml:space="preserve"> </w:t>
      </w:r>
      <w:r w:rsidR="006852BE" w:rsidRPr="006852BE">
        <w:rPr>
          <w:noProof/>
          <w:lang w:val="en-GB" w:eastAsia="en-GB"/>
        </w:rPr>
        <w:drawing>
          <wp:inline distT="0" distB="0" distL="0" distR="0" wp14:anchorId="3504E5F7" wp14:editId="0E1C6359">
            <wp:extent cx="6940550" cy="5174086"/>
            <wp:effectExtent l="0" t="0" r="0" b="7620"/>
            <wp:docPr id="21" name="Picture 21" descr="Table showing housing income required for alternative tenure options " title="Table 4.14 Household income required for alternative tenure options (based on 35% for income for rents and 3.5x income multiple for bu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945839" cy="5178029"/>
                    </a:xfrm>
                    <a:prstGeom prst="rect">
                      <a:avLst/>
                    </a:prstGeom>
                  </pic:spPr>
                </pic:pic>
              </a:graphicData>
            </a:graphic>
          </wp:inline>
        </w:drawing>
      </w:r>
    </w:p>
    <w:p w14:paraId="6146B0D3" w14:textId="77777777" w:rsidR="00A406E8" w:rsidRDefault="00A406E8">
      <w:pPr>
        <w:rPr>
          <w:rFonts w:asciiTheme="minorHAnsi" w:hAnsiTheme="minorHAnsi" w:cs="Arial"/>
          <w:b/>
          <w:color w:val="009999"/>
          <w:sz w:val="22"/>
          <w:lang w:val="x-none"/>
        </w:rPr>
      </w:pPr>
      <w:r>
        <w:rPr>
          <w:rFonts w:asciiTheme="minorHAnsi" w:hAnsiTheme="minorHAnsi"/>
          <w:color w:val="009999"/>
        </w:rPr>
        <w:br w:type="page"/>
      </w:r>
    </w:p>
    <w:p w14:paraId="50031187" w14:textId="2C555911" w:rsidR="00061CF9" w:rsidRPr="00DD5741" w:rsidRDefault="00061CF9" w:rsidP="00DD5741">
      <w:pPr>
        <w:pStyle w:val="tableheading"/>
        <w:rPr>
          <w:rFonts w:asciiTheme="minorHAnsi" w:hAnsiTheme="minorHAnsi"/>
          <w:color w:val="009999"/>
          <w:lang w:val="en-US"/>
        </w:rPr>
      </w:pPr>
      <w:bookmarkStart w:id="268" w:name="_Toc23151164"/>
      <w:r w:rsidRPr="0067297E">
        <w:rPr>
          <w:rFonts w:asciiTheme="minorHAnsi" w:hAnsiTheme="minorHAnsi"/>
          <w:color w:val="009999"/>
        </w:rPr>
        <w:t>Table 4.1</w:t>
      </w:r>
      <w:r w:rsidR="00CB5F44" w:rsidRPr="0067297E">
        <w:rPr>
          <w:rFonts w:asciiTheme="minorHAnsi" w:hAnsiTheme="minorHAnsi"/>
          <w:color w:val="009999"/>
          <w:lang w:val="en-US"/>
        </w:rPr>
        <w:t>5</w:t>
      </w:r>
      <w:r w:rsidRPr="0067297E">
        <w:rPr>
          <w:rFonts w:asciiTheme="minorHAnsi" w:hAnsiTheme="minorHAnsi"/>
          <w:color w:val="009999"/>
        </w:rPr>
        <w:tab/>
      </w:r>
      <w:r w:rsidRPr="0067297E">
        <w:rPr>
          <w:rFonts w:asciiTheme="minorHAnsi" w:hAnsiTheme="minorHAnsi"/>
          <w:color w:val="009999"/>
          <w:lang w:val="en-US"/>
        </w:rPr>
        <w:t>Household i</w:t>
      </w:r>
      <w:r w:rsidRPr="0067297E">
        <w:rPr>
          <w:rFonts w:asciiTheme="minorHAnsi" w:hAnsiTheme="minorHAnsi"/>
          <w:color w:val="009999"/>
        </w:rPr>
        <w:t>ncome required for alternative tenure options</w:t>
      </w:r>
      <w:r w:rsidRPr="0067297E">
        <w:rPr>
          <w:rFonts w:asciiTheme="minorHAnsi" w:hAnsiTheme="minorHAnsi"/>
          <w:color w:val="009999"/>
          <w:lang w:val="en-US"/>
        </w:rPr>
        <w:t xml:space="preserve"> (based on 35% for income for rents and 5x income multiple for buying)</w:t>
      </w:r>
      <w:bookmarkEnd w:id="268"/>
    </w:p>
    <w:p w14:paraId="57F44244" w14:textId="7EAEA9AE" w:rsidR="00361ECB" w:rsidRPr="0067297E" w:rsidRDefault="006852BE">
      <w:pPr>
        <w:pStyle w:val="Reporttext"/>
        <w:numPr>
          <w:ilvl w:val="0"/>
          <w:numId w:val="0"/>
        </w:numPr>
        <w:rPr>
          <w:rFonts w:asciiTheme="minorHAnsi" w:hAnsiTheme="minorHAnsi" w:cs="Calibri"/>
        </w:rPr>
      </w:pPr>
      <w:r w:rsidRPr="006852BE">
        <w:rPr>
          <w:noProof/>
        </w:rPr>
        <w:t xml:space="preserve"> </w:t>
      </w:r>
      <w:r w:rsidRPr="006852BE">
        <w:rPr>
          <w:rFonts w:asciiTheme="minorHAnsi" w:hAnsiTheme="minorHAnsi" w:cs="Calibri"/>
          <w:noProof/>
          <w:lang w:val="en-GB" w:eastAsia="en-GB"/>
        </w:rPr>
        <w:drawing>
          <wp:inline distT="0" distB="0" distL="0" distR="0" wp14:anchorId="028AACF8" wp14:editId="5DDA8464">
            <wp:extent cx="7226300" cy="5419581"/>
            <wp:effectExtent l="0" t="0" r="0" b="0"/>
            <wp:docPr id="19" name="Picture 19" descr="Table showing househild income required for alternative options" title="Table 4.15 Household income required for alternative tenure options (based on 35% for income for rents and 5x income multiple for bu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240219" cy="5430020"/>
                    </a:xfrm>
                    <a:prstGeom prst="rect">
                      <a:avLst/>
                    </a:prstGeom>
                  </pic:spPr>
                </pic:pic>
              </a:graphicData>
            </a:graphic>
          </wp:inline>
        </w:drawing>
      </w:r>
    </w:p>
    <w:p w14:paraId="0891949C" w14:textId="77777777" w:rsidR="003C469F" w:rsidRPr="0067297E" w:rsidRDefault="003C469F">
      <w:pPr>
        <w:pStyle w:val="Reporttext"/>
        <w:numPr>
          <w:ilvl w:val="0"/>
          <w:numId w:val="0"/>
        </w:numPr>
        <w:rPr>
          <w:rFonts w:asciiTheme="minorHAnsi" w:hAnsiTheme="minorHAnsi" w:cs="Calibri"/>
        </w:rPr>
        <w:sectPr w:rsidR="003C469F" w:rsidRPr="0067297E" w:rsidSect="007F6E31">
          <w:headerReference w:type="default" r:id="rId63"/>
          <w:footerReference w:type="default" r:id="rId64"/>
          <w:pgSz w:w="16838" w:h="11906" w:orient="landscape"/>
          <w:pgMar w:top="1440" w:right="1276" w:bottom="1134" w:left="1440" w:header="708" w:footer="708" w:gutter="0"/>
          <w:cols w:space="708"/>
          <w:docGrid w:linePitch="360"/>
        </w:sectPr>
      </w:pPr>
    </w:p>
    <w:p w14:paraId="3275AE69" w14:textId="17DEE762" w:rsidR="00FD3B64" w:rsidRPr="00DD5741" w:rsidRDefault="00FD3B64" w:rsidP="00DD5741">
      <w:pPr>
        <w:pStyle w:val="tableheading"/>
        <w:rPr>
          <w:rFonts w:asciiTheme="minorHAnsi" w:hAnsiTheme="minorHAnsi"/>
          <w:color w:val="009999"/>
          <w:lang w:val="en-US"/>
        </w:rPr>
      </w:pPr>
      <w:bookmarkStart w:id="269" w:name="_Toc23151165"/>
      <w:r w:rsidRPr="0067297E">
        <w:rPr>
          <w:rFonts w:asciiTheme="minorHAnsi" w:hAnsiTheme="minorHAnsi"/>
          <w:color w:val="009999"/>
        </w:rPr>
        <w:t>Table 4.1</w:t>
      </w:r>
      <w:r w:rsidR="00CB5F44" w:rsidRPr="0067297E">
        <w:rPr>
          <w:rFonts w:asciiTheme="minorHAnsi" w:hAnsiTheme="minorHAnsi"/>
          <w:color w:val="009999"/>
          <w:lang w:val="en-US"/>
        </w:rPr>
        <w:t>6</w:t>
      </w:r>
      <w:r w:rsidR="00B10DEC" w:rsidRPr="0067297E">
        <w:rPr>
          <w:rFonts w:asciiTheme="minorHAnsi" w:hAnsiTheme="minorHAnsi"/>
          <w:color w:val="009999"/>
        </w:rPr>
        <w:tab/>
      </w:r>
      <w:r w:rsidR="00B10DEC" w:rsidRPr="0067297E">
        <w:rPr>
          <w:rFonts w:asciiTheme="minorHAnsi" w:hAnsiTheme="minorHAnsi"/>
          <w:color w:val="009999"/>
          <w:lang w:val="en-US"/>
        </w:rPr>
        <w:t>Impact of alternative deposits on income required for open market properties</w:t>
      </w:r>
      <w:bookmarkEnd w:id="269"/>
    </w:p>
    <w:p w14:paraId="02358F40" w14:textId="0DD88B47" w:rsidR="00FD3B64" w:rsidRPr="0067297E" w:rsidRDefault="00FD3B64">
      <w:pPr>
        <w:pStyle w:val="Reporttext"/>
        <w:numPr>
          <w:ilvl w:val="0"/>
          <w:numId w:val="0"/>
        </w:numPr>
        <w:rPr>
          <w:rFonts w:asciiTheme="minorHAnsi" w:hAnsiTheme="minorHAnsi" w:cs="Calibri"/>
        </w:rPr>
      </w:pPr>
      <w:r w:rsidRPr="0067297E">
        <w:rPr>
          <w:rFonts w:asciiTheme="minorHAnsi" w:hAnsiTheme="minorHAnsi" w:cs="Calibri"/>
          <w:noProof/>
          <w:lang w:val="en-GB" w:eastAsia="en-GB"/>
        </w:rPr>
        <w:drawing>
          <wp:inline distT="0" distB="0" distL="0" distR="0" wp14:anchorId="4763DC43" wp14:editId="0109C174">
            <wp:extent cx="5851953" cy="2049780"/>
            <wp:effectExtent l="0" t="0" r="0" b="7620"/>
            <wp:docPr id="29" name="Picture 29" descr="Table showing deposit sale price, amount of deposit and borough average price" title="Table 4.16 Impact of alternative deposits on income required for open market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73086" cy="2057182"/>
                    </a:xfrm>
                    <a:prstGeom prst="rect">
                      <a:avLst/>
                    </a:prstGeom>
                  </pic:spPr>
                </pic:pic>
              </a:graphicData>
            </a:graphic>
          </wp:inline>
        </w:drawing>
      </w:r>
    </w:p>
    <w:p w14:paraId="3B649D26" w14:textId="77777777" w:rsidR="00FD3B64" w:rsidRPr="0067297E" w:rsidRDefault="00FD3B64">
      <w:pPr>
        <w:pStyle w:val="Reporttext"/>
        <w:numPr>
          <w:ilvl w:val="0"/>
          <w:numId w:val="0"/>
        </w:numPr>
        <w:rPr>
          <w:rFonts w:asciiTheme="minorHAnsi" w:hAnsiTheme="minorHAnsi" w:cs="Calibri"/>
        </w:rPr>
      </w:pPr>
    </w:p>
    <w:p w14:paraId="563DBCD9" w14:textId="24A4B0EF" w:rsidR="00DE435F" w:rsidRPr="0067297E" w:rsidRDefault="00DE435F" w:rsidP="00543A76">
      <w:pPr>
        <w:pStyle w:val="Reporttext"/>
        <w:rPr>
          <w:rFonts w:asciiTheme="minorHAnsi" w:hAnsiTheme="minorHAnsi" w:cs="Calibri"/>
        </w:rPr>
      </w:pPr>
      <w:bookmarkStart w:id="270" w:name="_Toc414279343"/>
      <w:r w:rsidRPr="0067297E">
        <w:rPr>
          <w:rFonts w:asciiTheme="minorHAnsi" w:hAnsiTheme="minorHAnsi" w:cs="Calibri"/>
        </w:rPr>
        <w:t>Figure 4.</w:t>
      </w:r>
      <w:r w:rsidR="00984B19" w:rsidRPr="0067297E">
        <w:rPr>
          <w:rFonts w:asciiTheme="minorHAnsi" w:hAnsiTheme="minorHAnsi" w:cs="Calibri"/>
          <w:lang w:val="en-GB"/>
        </w:rPr>
        <w:t xml:space="preserve">5 </w:t>
      </w:r>
      <w:r w:rsidRPr="0067297E">
        <w:rPr>
          <w:rFonts w:asciiTheme="minorHAnsi" w:hAnsiTheme="minorHAnsi" w:cs="Calibri"/>
        </w:rPr>
        <w:t xml:space="preserve">summarises </w:t>
      </w:r>
      <w:r w:rsidRPr="0067297E">
        <w:rPr>
          <w:rFonts w:asciiTheme="minorHAnsi" w:hAnsiTheme="minorHAnsi" w:cs="Calibri"/>
          <w:lang w:val="en-GB"/>
        </w:rPr>
        <w:t>in graph</w:t>
      </w:r>
      <w:r w:rsidR="00984B19" w:rsidRPr="0067297E">
        <w:rPr>
          <w:rFonts w:asciiTheme="minorHAnsi" w:hAnsiTheme="minorHAnsi" w:cs="Calibri"/>
          <w:lang w:val="en-GB"/>
        </w:rPr>
        <w:t>ical</w:t>
      </w:r>
      <w:r w:rsidRPr="0067297E">
        <w:rPr>
          <w:rFonts w:asciiTheme="minorHAnsi" w:hAnsiTheme="minorHAnsi" w:cs="Calibri"/>
          <w:lang w:val="en-GB"/>
        </w:rPr>
        <w:t xml:space="preserve"> form </w:t>
      </w:r>
      <w:r w:rsidRPr="0067297E">
        <w:rPr>
          <w:rFonts w:asciiTheme="minorHAnsi" w:hAnsiTheme="minorHAnsi" w:cs="Calibri"/>
        </w:rPr>
        <w:t xml:space="preserve">the relative affordability of alternative tenures at the </w:t>
      </w:r>
      <w:r w:rsidR="00786D9B" w:rsidRPr="0067297E">
        <w:rPr>
          <w:rFonts w:asciiTheme="minorHAnsi" w:hAnsiTheme="minorHAnsi" w:cs="Calibri"/>
          <w:lang w:val="en-GB"/>
        </w:rPr>
        <w:t>b</w:t>
      </w:r>
      <w:r w:rsidRPr="0067297E">
        <w:rPr>
          <w:rFonts w:asciiTheme="minorHAnsi" w:hAnsiTheme="minorHAnsi" w:cs="Calibri"/>
          <w:lang w:val="en-GB"/>
        </w:rPr>
        <w:t>orough</w:t>
      </w:r>
      <w:r w:rsidRPr="0067297E">
        <w:rPr>
          <w:rFonts w:asciiTheme="minorHAnsi" w:hAnsiTheme="minorHAnsi" w:cs="Calibri"/>
        </w:rPr>
        <w:t xml:space="preserve"> level</w:t>
      </w:r>
      <w:r w:rsidRPr="0067297E">
        <w:rPr>
          <w:rFonts w:asciiTheme="minorHAnsi" w:hAnsiTheme="minorHAnsi" w:cs="Calibri"/>
          <w:lang w:val="en-GB"/>
        </w:rPr>
        <w:t>, setting out the income and deposit required for different options set against prevailing lower quartile and median earnings</w:t>
      </w:r>
      <w:r w:rsidR="00D8235D" w:rsidRPr="0067297E">
        <w:rPr>
          <w:rFonts w:asciiTheme="minorHAnsi" w:hAnsiTheme="minorHAnsi" w:cs="Calibri"/>
          <w:lang w:val="en-GB"/>
        </w:rPr>
        <w:t xml:space="preserve"> derived from 2018 CAMEO data</w:t>
      </w:r>
      <w:r w:rsidR="004F11C3">
        <w:rPr>
          <w:rFonts w:asciiTheme="minorHAnsi" w:hAnsiTheme="minorHAnsi" w:cs="Calibri"/>
          <w:lang w:val="en-GB"/>
        </w:rPr>
        <w:t>.</w:t>
      </w:r>
      <w:r w:rsidRPr="0067297E">
        <w:rPr>
          <w:rFonts w:asciiTheme="minorHAnsi" w:hAnsiTheme="minorHAnsi" w:cs="Calibri"/>
        </w:rPr>
        <w:t xml:space="preserve"> </w:t>
      </w:r>
    </w:p>
    <w:p w14:paraId="1982B8A5" w14:textId="790C3DDC" w:rsidR="00A3508C" w:rsidRPr="0067297E" w:rsidRDefault="00AD57C4" w:rsidP="00543A76">
      <w:pPr>
        <w:pStyle w:val="Reporttext"/>
        <w:rPr>
          <w:rFonts w:asciiTheme="minorHAnsi" w:hAnsiTheme="minorHAnsi" w:cs="Calibri"/>
        </w:rPr>
      </w:pPr>
      <w:r w:rsidRPr="0067297E">
        <w:rPr>
          <w:rFonts w:asciiTheme="minorHAnsi" w:hAnsiTheme="minorHAnsi" w:cs="Calibri"/>
          <w:lang w:val="en-GB"/>
        </w:rPr>
        <w:t xml:space="preserve">This indicates that only social renting is affordable for households on lower quartile incomes. </w:t>
      </w:r>
      <w:r w:rsidR="00A3508C" w:rsidRPr="0067297E">
        <w:rPr>
          <w:rFonts w:asciiTheme="minorHAnsi" w:hAnsiTheme="minorHAnsi" w:cs="Calibri"/>
          <w:lang w:val="en-GB"/>
        </w:rPr>
        <w:t xml:space="preserve">In addition to social renting, the </w:t>
      </w:r>
      <w:r w:rsidR="00984B19" w:rsidRPr="0067297E">
        <w:rPr>
          <w:rFonts w:asciiTheme="minorHAnsi" w:hAnsiTheme="minorHAnsi" w:cs="Calibri"/>
          <w:lang w:val="en-GB"/>
        </w:rPr>
        <w:t xml:space="preserve">London Affordable Rent </w:t>
      </w:r>
      <w:r w:rsidR="00A3508C" w:rsidRPr="0067297E">
        <w:rPr>
          <w:rFonts w:asciiTheme="minorHAnsi" w:hAnsiTheme="minorHAnsi" w:cs="Calibri"/>
          <w:lang w:val="en-GB"/>
        </w:rPr>
        <w:t xml:space="preserve">in </w:t>
      </w:r>
      <w:r w:rsidR="008845C2" w:rsidRPr="0067297E">
        <w:rPr>
          <w:rFonts w:asciiTheme="minorHAnsi" w:hAnsiTheme="minorHAnsi" w:cs="Calibri"/>
          <w:lang w:val="en-GB"/>
        </w:rPr>
        <w:t>the borough</w:t>
      </w:r>
      <w:r w:rsidR="00A3508C" w:rsidRPr="0067297E">
        <w:rPr>
          <w:rFonts w:asciiTheme="minorHAnsi" w:hAnsiTheme="minorHAnsi" w:cs="Calibri"/>
          <w:lang w:val="en-GB"/>
        </w:rPr>
        <w:t xml:space="preserve"> is almost at an</w:t>
      </w:r>
      <w:r w:rsidR="00984B19" w:rsidRPr="0067297E">
        <w:rPr>
          <w:rFonts w:asciiTheme="minorHAnsi" w:hAnsiTheme="minorHAnsi" w:cs="Calibri"/>
          <w:lang w:val="en-GB"/>
        </w:rPr>
        <w:t xml:space="preserve"> affordable </w:t>
      </w:r>
      <w:r w:rsidR="00A3508C" w:rsidRPr="0067297E">
        <w:rPr>
          <w:rFonts w:asciiTheme="minorHAnsi" w:hAnsiTheme="minorHAnsi" w:cs="Calibri"/>
          <w:lang w:val="en-GB"/>
        </w:rPr>
        <w:t xml:space="preserve">level </w:t>
      </w:r>
      <w:r w:rsidR="00984B19" w:rsidRPr="0067297E">
        <w:rPr>
          <w:rFonts w:asciiTheme="minorHAnsi" w:hAnsiTheme="minorHAnsi" w:cs="Calibri"/>
          <w:lang w:val="en-GB"/>
        </w:rPr>
        <w:t xml:space="preserve">for households on </w:t>
      </w:r>
      <w:r w:rsidR="0063681C" w:rsidRPr="0067297E">
        <w:rPr>
          <w:rFonts w:asciiTheme="minorHAnsi" w:hAnsiTheme="minorHAnsi" w:cs="Calibri"/>
          <w:lang w:val="en-GB"/>
        </w:rPr>
        <w:t xml:space="preserve">lower quartile </w:t>
      </w:r>
      <w:r w:rsidR="00984B19" w:rsidRPr="0067297E">
        <w:rPr>
          <w:rFonts w:asciiTheme="minorHAnsi" w:hAnsiTheme="minorHAnsi" w:cs="Calibri"/>
          <w:lang w:val="en-GB"/>
        </w:rPr>
        <w:t>incomes</w:t>
      </w:r>
      <w:r w:rsidR="00A3508C" w:rsidRPr="0067297E">
        <w:rPr>
          <w:rFonts w:asciiTheme="minorHAnsi" w:hAnsiTheme="minorHAnsi" w:cs="Calibri"/>
          <w:lang w:val="en-GB"/>
        </w:rPr>
        <w:t xml:space="preserve"> (</w:t>
      </w:r>
      <w:r w:rsidR="0063681C" w:rsidRPr="0067297E">
        <w:rPr>
          <w:rFonts w:asciiTheme="minorHAnsi" w:hAnsiTheme="minorHAnsi" w:cs="Calibri"/>
          <w:lang w:val="en-GB"/>
        </w:rPr>
        <w:t>assuming 35% of income is spent on housing)</w:t>
      </w:r>
      <w:r w:rsidR="00DE435F" w:rsidRPr="0067297E">
        <w:rPr>
          <w:rFonts w:asciiTheme="minorHAnsi" w:hAnsiTheme="minorHAnsi" w:cs="Calibri"/>
          <w:lang w:val="en-GB"/>
        </w:rPr>
        <w:t xml:space="preserve">. </w:t>
      </w:r>
      <w:r w:rsidR="00984B19" w:rsidRPr="0067297E">
        <w:rPr>
          <w:rFonts w:asciiTheme="minorHAnsi" w:hAnsiTheme="minorHAnsi" w:cs="Calibri"/>
          <w:lang w:val="en-GB"/>
        </w:rPr>
        <w:t>By comparison,</w:t>
      </w:r>
      <w:r w:rsidR="00A3508C" w:rsidRPr="0067297E">
        <w:rPr>
          <w:rFonts w:asciiTheme="minorHAnsi" w:hAnsiTheme="minorHAnsi" w:cs="Calibri"/>
          <w:lang w:val="en-GB"/>
        </w:rPr>
        <w:t xml:space="preserve"> </w:t>
      </w:r>
      <w:r w:rsidR="0063681C" w:rsidRPr="0067297E">
        <w:rPr>
          <w:rFonts w:asciiTheme="minorHAnsi" w:hAnsiTheme="minorHAnsi" w:cs="Calibri"/>
          <w:lang w:val="en-GB"/>
        </w:rPr>
        <w:t>households on</w:t>
      </w:r>
      <w:r w:rsidR="00DE435F" w:rsidRPr="0067297E">
        <w:rPr>
          <w:rFonts w:asciiTheme="minorHAnsi" w:hAnsiTheme="minorHAnsi" w:cs="Calibri"/>
          <w:lang w:val="en-GB"/>
        </w:rPr>
        <w:t xml:space="preserve"> low</w:t>
      </w:r>
      <w:r w:rsidR="00A3508C" w:rsidRPr="0067297E">
        <w:rPr>
          <w:rFonts w:asciiTheme="minorHAnsi" w:hAnsiTheme="minorHAnsi" w:cs="Calibri"/>
          <w:lang w:val="en-GB"/>
        </w:rPr>
        <w:t xml:space="preserve">er quartile or median incomes </w:t>
      </w:r>
      <w:r w:rsidR="00DE435F" w:rsidRPr="0067297E">
        <w:rPr>
          <w:rFonts w:asciiTheme="minorHAnsi" w:hAnsiTheme="minorHAnsi" w:cs="Calibri"/>
          <w:lang w:val="en-GB"/>
        </w:rPr>
        <w:t xml:space="preserve">could not </w:t>
      </w:r>
      <w:r w:rsidR="00984B19" w:rsidRPr="0067297E">
        <w:rPr>
          <w:rFonts w:asciiTheme="minorHAnsi" w:hAnsiTheme="minorHAnsi" w:cs="Calibri"/>
          <w:lang w:val="en-GB"/>
        </w:rPr>
        <w:t xml:space="preserve">truly </w:t>
      </w:r>
      <w:r w:rsidR="00DE435F" w:rsidRPr="0067297E">
        <w:rPr>
          <w:rFonts w:asciiTheme="minorHAnsi" w:hAnsiTheme="minorHAnsi" w:cs="Calibri"/>
          <w:lang w:val="en-GB"/>
        </w:rPr>
        <w:t xml:space="preserve">afford any of the </w:t>
      </w:r>
      <w:r w:rsidR="00B27930" w:rsidRPr="0067297E">
        <w:rPr>
          <w:rFonts w:asciiTheme="minorHAnsi" w:hAnsiTheme="minorHAnsi" w:cs="Calibri"/>
          <w:lang w:val="en-GB"/>
        </w:rPr>
        <w:t>intermediate tenure affordable</w:t>
      </w:r>
      <w:r w:rsidR="00DE435F" w:rsidRPr="0067297E">
        <w:rPr>
          <w:rFonts w:asciiTheme="minorHAnsi" w:hAnsiTheme="minorHAnsi" w:cs="Calibri"/>
          <w:lang w:val="en-GB"/>
        </w:rPr>
        <w:t xml:space="preserve"> prod</w:t>
      </w:r>
      <w:r w:rsidR="008845C2" w:rsidRPr="0067297E">
        <w:rPr>
          <w:rFonts w:asciiTheme="minorHAnsi" w:hAnsiTheme="minorHAnsi" w:cs="Calibri"/>
          <w:lang w:val="en-GB"/>
        </w:rPr>
        <w:t>ucts at the current b</w:t>
      </w:r>
      <w:r w:rsidR="00DE435F" w:rsidRPr="0067297E">
        <w:rPr>
          <w:rFonts w:asciiTheme="minorHAnsi" w:hAnsiTheme="minorHAnsi" w:cs="Calibri"/>
          <w:lang w:val="en-GB"/>
        </w:rPr>
        <w:t>orough prices</w:t>
      </w:r>
      <w:r w:rsidR="00984B19" w:rsidRPr="0067297E">
        <w:rPr>
          <w:rFonts w:asciiTheme="minorHAnsi" w:hAnsiTheme="minorHAnsi" w:cs="Calibri"/>
          <w:lang w:val="en-GB"/>
        </w:rPr>
        <w:t xml:space="preserve">, including London Intermediate Rent (London </w:t>
      </w:r>
      <w:r w:rsidR="008845C2" w:rsidRPr="0067297E">
        <w:rPr>
          <w:rFonts w:asciiTheme="minorHAnsi" w:hAnsiTheme="minorHAnsi" w:cs="Calibri"/>
          <w:lang w:val="en-GB"/>
        </w:rPr>
        <w:t>Living Rent)</w:t>
      </w:r>
      <w:r w:rsidR="0063681C" w:rsidRPr="0067297E">
        <w:rPr>
          <w:rFonts w:asciiTheme="minorHAnsi" w:hAnsiTheme="minorHAnsi" w:cs="Calibri"/>
          <w:lang w:val="en-GB"/>
        </w:rPr>
        <w:t xml:space="preserve">, </w:t>
      </w:r>
      <w:r w:rsidR="008845C2" w:rsidRPr="0067297E">
        <w:rPr>
          <w:rFonts w:asciiTheme="minorHAnsi" w:hAnsiTheme="minorHAnsi" w:cs="Calibri"/>
          <w:lang w:val="en-GB"/>
        </w:rPr>
        <w:t>shared ownershi</w:t>
      </w:r>
      <w:r w:rsidR="00984B19" w:rsidRPr="0067297E">
        <w:rPr>
          <w:rFonts w:asciiTheme="minorHAnsi" w:hAnsiTheme="minorHAnsi" w:cs="Calibri"/>
          <w:lang w:val="en-GB"/>
        </w:rPr>
        <w:t>p and Help to Buy</w:t>
      </w:r>
      <w:r w:rsidR="00A3508C" w:rsidRPr="0067297E">
        <w:rPr>
          <w:rFonts w:asciiTheme="minorHAnsi" w:hAnsiTheme="minorHAnsi" w:cs="Calibri"/>
          <w:lang w:val="en-GB"/>
        </w:rPr>
        <w:t>.</w:t>
      </w:r>
    </w:p>
    <w:p w14:paraId="46F24411" w14:textId="77777777" w:rsidR="00DE435F" w:rsidRPr="0067297E" w:rsidRDefault="00DE435F" w:rsidP="00543A76">
      <w:pPr>
        <w:pStyle w:val="Reporttext"/>
        <w:rPr>
          <w:rFonts w:asciiTheme="minorHAnsi" w:hAnsiTheme="minorHAnsi" w:cs="Calibri"/>
        </w:rPr>
      </w:pPr>
      <w:r w:rsidRPr="0067297E">
        <w:rPr>
          <w:rFonts w:asciiTheme="minorHAnsi" w:hAnsiTheme="minorHAnsi" w:cs="Calibri"/>
          <w:lang w:val="en-GB"/>
        </w:rPr>
        <w:t xml:space="preserve">This comparison of local incomes with the cost of local house prices and rents illustrates the affordability challenge faced by residents within the </w:t>
      </w:r>
      <w:r w:rsidR="008845C2" w:rsidRPr="0067297E">
        <w:rPr>
          <w:rFonts w:asciiTheme="minorHAnsi" w:hAnsiTheme="minorHAnsi" w:cs="Calibri"/>
          <w:lang w:val="en-GB"/>
        </w:rPr>
        <w:t>b</w:t>
      </w:r>
      <w:r w:rsidR="00984B19" w:rsidRPr="0067297E">
        <w:rPr>
          <w:rFonts w:asciiTheme="minorHAnsi" w:hAnsiTheme="minorHAnsi" w:cs="Calibri"/>
          <w:lang w:val="en-GB"/>
        </w:rPr>
        <w:t>orough</w:t>
      </w:r>
      <w:r w:rsidRPr="0067297E">
        <w:rPr>
          <w:rFonts w:asciiTheme="minorHAnsi" w:hAnsiTheme="minorHAnsi" w:cs="Calibri"/>
          <w:lang w:val="en-GB"/>
        </w:rPr>
        <w:t>. It shows the particular problem faced by households who do not have either existing equity or savings.</w:t>
      </w:r>
    </w:p>
    <w:p w14:paraId="68A80F21" w14:textId="77777777" w:rsidR="00BA6D51" w:rsidRPr="0067297E" w:rsidRDefault="00BA6D51" w:rsidP="00DD7036">
      <w:pPr>
        <w:pStyle w:val="Maintext"/>
        <w:numPr>
          <w:ilvl w:val="0"/>
          <w:numId w:val="0"/>
        </w:numPr>
        <w:rPr>
          <w:rFonts w:asciiTheme="minorHAnsi" w:hAnsiTheme="minorHAnsi" w:cs="Calibri"/>
          <w:sz w:val="20"/>
          <w:szCs w:val="20"/>
        </w:rPr>
      </w:pPr>
    </w:p>
    <w:p w14:paraId="572A2DDF" w14:textId="67EF76A9" w:rsidR="00DD7036" w:rsidRPr="0067297E" w:rsidRDefault="00DD7036">
      <w:pPr>
        <w:pStyle w:val="Maintext"/>
        <w:numPr>
          <w:ilvl w:val="0"/>
          <w:numId w:val="0"/>
        </w:numPr>
        <w:rPr>
          <w:rFonts w:asciiTheme="minorHAnsi" w:hAnsiTheme="minorHAnsi" w:cs="Calibri"/>
          <w:sz w:val="20"/>
          <w:szCs w:val="20"/>
        </w:rPr>
        <w:sectPr w:rsidR="00DD7036" w:rsidRPr="0067297E" w:rsidSect="007F6E31">
          <w:headerReference w:type="default" r:id="rId66"/>
          <w:footerReference w:type="default" r:id="rId67"/>
          <w:pgSz w:w="11906" w:h="16838" w:code="9"/>
          <w:pgMar w:top="1440" w:right="1276" w:bottom="1134" w:left="1440" w:header="709" w:footer="567" w:gutter="0"/>
          <w:cols w:space="708"/>
          <w:docGrid w:linePitch="360"/>
        </w:sectPr>
      </w:pPr>
    </w:p>
    <w:p w14:paraId="082E9ADB" w14:textId="62FFB373" w:rsidR="00BA6D51" w:rsidRPr="0067297E" w:rsidRDefault="00BA6D51">
      <w:pPr>
        <w:pStyle w:val="figureheading"/>
        <w:rPr>
          <w:rFonts w:asciiTheme="minorHAnsi" w:hAnsiTheme="minorHAnsi" w:cs="Calibri"/>
        </w:rPr>
      </w:pPr>
      <w:bookmarkStart w:id="271" w:name="_Toc23151227"/>
      <w:r w:rsidRPr="0067297E">
        <w:rPr>
          <w:rFonts w:asciiTheme="minorHAnsi" w:hAnsiTheme="minorHAnsi" w:cs="Calibri"/>
        </w:rPr>
        <w:t>Figure 4.</w:t>
      </w:r>
      <w:r w:rsidR="00984B19" w:rsidRPr="0067297E">
        <w:rPr>
          <w:rFonts w:asciiTheme="minorHAnsi" w:hAnsiTheme="minorHAnsi" w:cs="Calibri"/>
          <w:lang w:val="en-GB"/>
        </w:rPr>
        <w:t>5</w:t>
      </w:r>
      <w:r w:rsidRPr="0067297E">
        <w:rPr>
          <w:rFonts w:asciiTheme="minorHAnsi" w:hAnsiTheme="minorHAnsi" w:cs="Calibri"/>
        </w:rPr>
        <w:tab/>
      </w:r>
      <w:r w:rsidRPr="0067297E">
        <w:rPr>
          <w:rFonts w:asciiTheme="minorHAnsi" w:hAnsiTheme="minorHAnsi" w:cs="Calibri"/>
          <w:lang w:val="en-GB"/>
        </w:rPr>
        <w:t xml:space="preserve">Borough of </w:t>
      </w:r>
      <w:r w:rsidR="00706C9B" w:rsidRPr="0067297E">
        <w:rPr>
          <w:rFonts w:asciiTheme="minorHAnsi" w:hAnsiTheme="minorHAnsi" w:cs="Calibri"/>
          <w:lang w:val="en-GB"/>
        </w:rPr>
        <w:t>Lewisham</w:t>
      </w:r>
      <w:r w:rsidRPr="0067297E">
        <w:rPr>
          <w:rFonts w:asciiTheme="minorHAnsi" w:hAnsiTheme="minorHAnsi" w:cs="Calibri"/>
        </w:rPr>
        <w:t xml:space="preserve"> household income and housing costs</w:t>
      </w:r>
      <w:bookmarkEnd w:id="271"/>
    </w:p>
    <w:p w14:paraId="06943E0A" w14:textId="65AE0C24" w:rsidR="00996286" w:rsidRPr="0067297E" w:rsidRDefault="00D8235D" w:rsidP="00996286">
      <w:pPr>
        <w:rPr>
          <w:rFonts w:asciiTheme="minorHAnsi" w:hAnsiTheme="minorHAnsi"/>
          <w:lang w:val="x-none"/>
        </w:rPr>
      </w:pPr>
      <w:r w:rsidRPr="0067297E">
        <w:rPr>
          <w:rFonts w:asciiTheme="minorHAnsi" w:hAnsiTheme="minorHAnsi"/>
          <w:noProof/>
        </w:rPr>
        <w:t xml:space="preserve"> </w:t>
      </w:r>
      <w:r w:rsidRPr="0067297E">
        <w:rPr>
          <w:rFonts w:asciiTheme="minorHAnsi" w:hAnsiTheme="minorHAnsi"/>
          <w:noProof/>
          <w:lang w:eastAsia="en-GB"/>
        </w:rPr>
        <w:drawing>
          <wp:inline distT="0" distB="0" distL="0" distR="0" wp14:anchorId="5C95255E" wp14:editId="5D960F14">
            <wp:extent cx="8746327" cy="4797412"/>
            <wp:effectExtent l="0" t="0" r="0" b="3810"/>
            <wp:docPr id="59" name="Picture 59" descr="Chart showing houshold income and housing costs (colour coded), with median income and LQ income curves. " title="Figure 4.5 Borough of Lewisham household income and housing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749264" cy="4799023"/>
                    </a:xfrm>
                    <a:prstGeom prst="rect">
                      <a:avLst/>
                    </a:prstGeom>
                  </pic:spPr>
                </pic:pic>
              </a:graphicData>
            </a:graphic>
          </wp:inline>
        </w:drawing>
      </w:r>
    </w:p>
    <w:p w14:paraId="22F7E20E" w14:textId="7CA39256" w:rsidR="00BF4C2C" w:rsidRPr="0067297E" w:rsidRDefault="00BA6D51" w:rsidP="00A04CC5">
      <w:pPr>
        <w:rPr>
          <w:rFonts w:asciiTheme="minorHAnsi" w:hAnsiTheme="minorHAnsi" w:cs="Calibri"/>
        </w:rPr>
      </w:pPr>
      <w:r w:rsidRPr="0067297E">
        <w:rPr>
          <w:rFonts w:asciiTheme="minorHAnsi" w:hAnsiTheme="minorHAnsi" w:cs="Calibri"/>
          <w:sz w:val="20"/>
          <w:szCs w:val="20"/>
        </w:rPr>
        <w:t>Source: Data produced by Land</w:t>
      </w:r>
      <w:r w:rsidR="00070115" w:rsidRPr="0067297E">
        <w:rPr>
          <w:rFonts w:asciiTheme="minorHAnsi" w:hAnsiTheme="minorHAnsi" w:cs="Calibri"/>
          <w:sz w:val="20"/>
          <w:szCs w:val="20"/>
        </w:rPr>
        <w:t xml:space="preserve"> Registry © Crown copyright 201</w:t>
      </w:r>
      <w:r w:rsidR="00D8235D" w:rsidRPr="0067297E">
        <w:rPr>
          <w:rFonts w:asciiTheme="minorHAnsi" w:hAnsiTheme="minorHAnsi" w:cs="Calibri"/>
          <w:sz w:val="20"/>
          <w:szCs w:val="20"/>
        </w:rPr>
        <w:t>8</w:t>
      </w:r>
      <w:r w:rsidRPr="0067297E">
        <w:rPr>
          <w:rFonts w:asciiTheme="minorHAnsi" w:hAnsiTheme="minorHAnsi" w:cs="Calibri"/>
          <w:sz w:val="20"/>
          <w:szCs w:val="20"/>
        </w:rPr>
        <w:t>, Zoopla</w:t>
      </w:r>
      <w:r w:rsidR="00070115" w:rsidRPr="0067297E">
        <w:rPr>
          <w:rFonts w:asciiTheme="minorHAnsi" w:hAnsiTheme="minorHAnsi" w:cs="Calibri"/>
          <w:sz w:val="20"/>
          <w:szCs w:val="20"/>
        </w:rPr>
        <w:t xml:space="preserve"> 2018</w:t>
      </w:r>
      <w:r w:rsidRPr="0067297E">
        <w:rPr>
          <w:rFonts w:asciiTheme="minorHAnsi" w:hAnsiTheme="minorHAnsi" w:cs="Calibri"/>
          <w:sz w:val="20"/>
          <w:szCs w:val="20"/>
        </w:rPr>
        <w:t xml:space="preserve">, </w:t>
      </w:r>
      <w:r w:rsidR="00D8235D" w:rsidRPr="0067297E">
        <w:rPr>
          <w:rFonts w:asciiTheme="minorHAnsi" w:hAnsiTheme="minorHAnsi" w:cs="Calibri"/>
          <w:sz w:val="20"/>
          <w:szCs w:val="20"/>
        </w:rPr>
        <w:t>CAMEO 2018, RSH SDR 2018</w:t>
      </w:r>
    </w:p>
    <w:p w14:paraId="392A18D3" w14:textId="750315E2" w:rsidR="00BA6D51" w:rsidRPr="0067297E" w:rsidRDefault="00BA6D51" w:rsidP="00DD5741">
      <w:pPr>
        <w:rPr>
          <w:rFonts w:asciiTheme="minorHAnsi" w:hAnsiTheme="minorHAnsi"/>
        </w:rPr>
      </w:pPr>
      <w:r w:rsidRPr="0067297E">
        <w:rPr>
          <w:rFonts w:asciiTheme="minorHAnsi" w:hAnsiTheme="minorHAnsi"/>
        </w:rPr>
        <w:t>Note: The deposit requirements are show</w:t>
      </w:r>
      <w:r w:rsidR="00A406E8">
        <w:rPr>
          <w:rFonts w:asciiTheme="minorHAnsi" w:hAnsiTheme="minorHAnsi"/>
        </w:rPr>
        <w:t>n</w:t>
      </w:r>
      <w:r w:rsidRPr="0067297E">
        <w:rPr>
          <w:rFonts w:asciiTheme="minorHAnsi" w:hAnsiTheme="minorHAnsi"/>
        </w:rPr>
        <w:t xml:space="preserve"> on the table as a negative number  </w:t>
      </w:r>
    </w:p>
    <w:p w14:paraId="1F071CDD" w14:textId="77777777" w:rsidR="00BA6D51" w:rsidRPr="0067297E" w:rsidRDefault="00BA6D51">
      <w:pPr>
        <w:pStyle w:val="Maintext"/>
        <w:numPr>
          <w:ilvl w:val="0"/>
          <w:numId w:val="0"/>
        </w:numPr>
        <w:rPr>
          <w:rFonts w:asciiTheme="minorHAnsi" w:hAnsiTheme="minorHAnsi" w:cs="Calibri"/>
          <w:sz w:val="20"/>
          <w:szCs w:val="20"/>
          <w:lang w:val="en-GB"/>
        </w:rPr>
        <w:sectPr w:rsidR="00BA6D51" w:rsidRPr="0067297E" w:rsidSect="007F6E31">
          <w:headerReference w:type="default" r:id="rId69"/>
          <w:footerReference w:type="default" r:id="rId70"/>
          <w:footerReference w:type="first" r:id="rId71"/>
          <w:pgSz w:w="16838" w:h="11906" w:orient="landscape" w:code="9"/>
          <w:pgMar w:top="1440" w:right="1276" w:bottom="1134" w:left="1440" w:header="709" w:footer="567" w:gutter="0"/>
          <w:cols w:space="708"/>
          <w:docGrid w:linePitch="360"/>
        </w:sectPr>
      </w:pPr>
    </w:p>
    <w:p w14:paraId="1BCC1C6F" w14:textId="499B1C28" w:rsidR="0063681C" w:rsidRPr="00DD5741" w:rsidRDefault="0063681C" w:rsidP="0063681C">
      <w:pPr>
        <w:pStyle w:val="Heading3"/>
        <w:rPr>
          <w:rFonts w:asciiTheme="minorHAnsi" w:hAnsiTheme="minorHAnsi"/>
          <w:lang w:val="en-US"/>
        </w:rPr>
      </w:pPr>
      <w:r w:rsidRPr="0067297E">
        <w:rPr>
          <w:rFonts w:asciiTheme="minorHAnsi" w:hAnsiTheme="minorHAnsi"/>
          <w:lang w:val="en-US"/>
        </w:rPr>
        <w:t>What is genuinely affordable housing in the Lewisham context?</w:t>
      </w:r>
    </w:p>
    <w:p w14:paraId="7C692829" w14:textId="3558BB6D" w:rsidR="00B46735" w:rsidRPr="00DD5741" w:rsidRDefault="0063681C" w:rsidP="00B46735">
      <w:pPr>
        <w:pStyle w:val="Reporttext"/>
        <w:rPr>
          <w:rFonts w:asciiTheme="minorHAnsi" w:hAnsiTheme="minorHAnsi" w:cs="Calibri"/>
        </w:rPr>
      </w:pPr>
      <w:r w:rsidRPr="0067297E">
        <w:rPr>
          <w:rFonts w:asciiTheme="minorHAnsi" w:hAnsiTheme="minorHAnsi" w:cs="Calibri"/>
          <w:lang w:val="en-US"/>
        </w:rPr>
        <w:t>Having considered what a household needs to earn to afford alter</w:t>
      </w:r>
      <w:r w:rsidR="00244DB1" w:rsidRPr="0067297E">
        <w:rPr>
          <w:rFonts w:asciiTheme="minorHAnsi" w:hAnsiTheme="minorHAnsi" w:cs="Calibri"/>
          <w:lang w:val="en-US"/>
        </w:rPr>
        <w:t>native</w:t>
      </w:r>
      <w:r w:rsidRPr="0067297E">
        <w:rPr>
          <w:rFonts w:asciiTheme="minorHAnsi" w:hAnsiTheme="minorHAnsi" w:cs="Calibri"/>
          <w:lang w:val="en-US"/>
        </w:rPr>
        <w:t xml:space="preserve"> tenures, consideration is now given to the actual incomes of households across the borough and how this relates to prevailing prices. This analysis helps to establish what is genuinely affordable based on reasonable income multipliers for renting and buying</w:t>
      </w:r>
      <w:r w:rsidR="00B46735" w:rsidRPr="0067297E">
        <w:rPr>
          <w:rFonts w:asciiTheme="minorHAnsi" w:hAnsiTheme="minorHAnsi" w:cs="Calibri"/>
          <w:lang w:val="en-US"/>
        </w:rPr>
        <w:t xml:space="preserve">. The analysis takes into account: </w:t>
      </w:r>
    </w:p>
    <w:p w14:paraId="23E6E2D1" w14:textId="4518FB85" w:rsidR="00B46735" w:rsidRPr="00DD5741" w:rsidRDefault="00B46735" w:rsidP="00496076">
      <w:pPr>
        <w:pStyle w:val="bullet"/>
        <w:rPr>
          <w:rFonts w:asciiTheme="minorHAnsi" w:hAnsiTheme="minorHAnsi"/>
        </w:rPr>
      </w:pPr>
      <w:r w:rsidRPr="0067297E">
        <w:rPr>
          <w:rFonts w:asciiTheme="minorHAnsi" w:hAnsiTheme="minorHAnsi"/>
        </w:rPr>
        <w:t>Ward-level 2018 lower quartile and median household incomes from CAMEO data</w:t>
      </w:r>
      <w:r w:rsidR="00D90262" w:rsidRPr="0067297E">
        <w:rPr>
          <w:rFonts w:asciiTheme="minorHAnsi" w:hAnsiTheme="minorHAnsi"/>
        </w:rPr>
        <w:t>;</w:t>
      </w:r>
    </w:p>
    <w:p w14:paraId="0C8D3758" w14:textId="4D9D5250" w:rsidR="00B46735" w:rsidRPr="00DD5741" w:rsidRDefault="00B46735" w:rsidP="00496076">
      <w:pPr>
        <w:pStyle w:val="bullet"/>
        <w:rPr>
          <w:rFonts w:asciiTheme="minorHAnsi" w:hAnsiTheme="minorHAnsi"/>
        </w:rPr>
      </w:pPr>
      <w:r w:rsidRPr="0067297E">
        <w:rPr>
          <w:rFonts w:asciiTheme="minorHAnsi" w:hAnsiTheme="minorHAnsi"/>
        </w:rPr>
        <w:t>2018 Entry-level incomes from a range of key worker occupations;</w:t>
      </w:r>
    </w:p>
    <w:p w14:paraId="5A46CD4C" w14:textId="63A86F8D" w:rsidR="00B46735" w:rsidRPr="00DD5741" w:rsidRDefault="00B46735" w:rsidP="00496076">
      <w:pPr>
        <w:pStyle w:val="bullet"/>
        <w:rPr>
          <w:rFonts w:asciiTheme="minorHAnsi" w:hAnsiTheme="minorHAnsi"/>
        </w:rPr>
      </w:pPr>
      <w:r w:rsidRPr="0067297E">
        <w:rPr>
          <w:rFonts w:asciiTheme="minorHAnsi" w:hAnsiTheme="minorHAnsi"/>
        </w:rPr>
        <w:t>Incomes associated with 2018 minimum and living wages (using single, dual income and 1.5x income measures)</w:t>
      </w:r>
      <w:r w:rsidR="00D90262" w:rsidRPr="0067297E">
        <w:rPr>
          <w:rFonts w:asciiTheme="minorHAnsi" w:hAnsiTheme="minorHAnsi"/>
        </w:rPr>
        <w:t>;</w:t>
      </w:r>
    </w:p>
    <w:p w14:paraId="509D25EB" w14:textId="1B018126" w:rsidR="00B46735" w:rsidRPr="00DD5741" w:rsidRDefault="00B46735" w:rsidP="00496076">
      <w:pPr>
        <w:pStyle w:val="bullet"/>
        <w:rPr>
          <w:rFonts w:asciiTheme="minorHAnsi" w:hAnsiTheme="minorHAnsi"/>
        </w:rPr>
      </w:pPr>
      <w:r w:rsidRPr="0067297E">
        <w:rPr>
          <w:rFonts w:asciiTheme="minorHAnsi" w:hAnsiTheme="minorHAnsi"/>
        </w:rPr>
        <w:t xml:space="preserve">How much households could afford to spend on </w:t>
      </w:r>
      <w:r w:rsidR="00410E7D" w:rsidRPr="0067297E">
        <w:rPr>
          <w:rFonts w:asciiTheme="minorHAnsi" w:hAnsiTheme="minorHAnsi"/>
        </w:rPr>
        <w:t xml:space="preserve">market </w:t>
      </w:r>
      <w:r w:rsidRPr="0067297E">
        <w:rPr>
          <w:rFonts w:asciiTheme="minorHAnsi" w:hAnsiTheme="minorHAnsi"/>
        </w:rPr>
        <w:t>rent</w:t>
      </w:r>
      <w:r w:rsidR="00410E7D" w:rsidRPr="0067297E">
        <w:rPr>
          <w:rFonts w:asciiTheme="minorHAnsi" w:hAnsiTheme="minorHAnsi"/>
        </w:rPr>
        <w:t>s</w:t>
      </w:r>
      <w:r w:rsidRPr="0067297E">
        <w:rPr>
          <w:rFonts w:asciiTheme="minorHAnsi" w:hAnsiTheme="minorHAnsi"/>
        </w:rPr>
        <w:t xml:space="preserve"> by considering the percentage of income spent on housing. To do this, analysis considers what </w:t>
      </w:r>
      <w:r w:rsidR="00410E7D" w:rsidRPr="0067297E">
        <w:rPr>
          <w:rFonts w:asciiTheme="minorHAnsi" w:hAnsiTheme="minorHAnsi"/>
        </w:rPr>
        <w:t xml:space="preserve">rent </w:t>
      </w:r>
      <w:r w:rsidRPr="0067297E">
        <w:rPr>
          <w:rFonts w:asciiTheme="minorHAnsi" w:hAnsiTheme="minorHAnsi"/>
        </w:rPr>
        <w:t>a household could afford if it spent 25%</w:t>
      </w:r>
      <w:r w:rsidR="00D90262" w:rsidRPr="0067297E">
        <w:rPr>
          <w:rFonts w:asciiTheme="minorHAnsi" w:hAnsiTheme="minorHAnsi"/>
        </w:rPr>
        <w:t>, 30%, 35%, 40%, 45% and 50%</w:t>
      </w:r>
      <w:r w:rsidRPr="0067297E">
        <w:rPr>
          <w:rFonts w:asciiTheme="minorHAnsi" w:hAnsiTheme="minorHAnsi"/>
        </w:rPr>
        <w:t xml:space="preserve"> of income on rent</w:t>
      </w:r>
      <w:r w:rsidR="00D90262" w:rsidRPr="0067297E">
        <w:rPr>
          <w:rFonts w:asciiTheme="minorHAnsi" w:hAnsiTheme="minorHAnsi"/>
        </w:rPr>
        <w:t>. This is then compared with what lower quartile and median market rents actually were in 2018 to determine what is affordable to households;</w:t>
      </w:r>
    </w:p>
    <w:p w14:paraId="23C44FB2" w14:textId="158F3887" w:rsidR="00410E7D" w:rsidRPr="00DD5741" w:rsidRDefault="00410E7D" w:rsidP="00496076">
      <w:pPr>
        <w:pStyle w:val="bullet"/>
        <w:rPr>
          <w:rFonts w:asciiTheme="minorHAnsi" w:hAnsiTheme="minorHAnsi"/>
        </w:rPr>
      </w:pPr>
      <w:r w:rsidRPr="0067297E">
        <w:rPr>
          <w:rFonts w:asciiTheme="minorHAnsi" w:hAnsiTheme="minorHAnsi"/>
        </w:rPr>
        <w:t>The extent to which affordable rental options are genuinely affordable to households;</w:t>
      </w:r>
    </w:p>
    <w:p w14:paraId="0E0C40FE" w14:textId="061CF6D3" w:rsidR="00D90262" w:rsidRPr="0067297E" w:rsidRDefault="00D90262" w:rsidP="00DD5741">
      <w:pPr>
        <w:pStyle w:val="bullet"/>
        <w:rPr>
          <w:rFonts w:asciiTheme="minorHAnsi" w:hAnsiTheme="minorHAnsi"/>
        </w:rPr>
      </w:pPr>
      <w:r w:rsidRPr="0067297E">
        <w:rPr>
          <w:rFonts w:asciiTheme="minorHAnsi" w:hAnsiTheme="minorHAnsi"/>
        </w:rPr>
        <w:t xml:space="preserve">The extent to which households could afford home ownership based on multiples of household income starting at 3.5x. The analysis does go up to a </w:t>
      </w:r>
      <w:r w:rsidR="005C0EBC" w:rsidRPr="0067297E">
        <w:rPr>
          <w:rFonts w:asciiTheme="minorHAnsi" w:hAnsiTheme="minorHAnsi"/>
        </w:rPr>
        <w:t>1</w:t>
      </w:r>
      <w:r w:rsidRPr="0067297E">
        <w:rPr>
          <w:rFonts w:asciiTheme="minorHAnsi" w:hAnsiTheme="minorHAnsi"/>
        </w:rPr>
        <w:t>5x income multipl</w:t>
      </w:r>
      <w:r w:rsidR="00410E7D" w:rsidRPr="0067297E">
        <w:rPr>
          <w:rFonts w:asciiTheme="minorHAnsi" w:hAnsiTheme="minorHAnsi"/>
        </w:rPr>
        <w:t>e</w:t>
      </w:r>
      <w:r w:rsidRPr="0067297E">
        <w:rPr>
          <w:rFonts w:asciiTheme="minorHAnsi" w:hAnsiTheme="minorHAnsi"/>
        </w:rPr>
        <w:t xml:space="preserve"> (this is to illustrate the affordability challenges of home ownership although it is recognised that obtaining a mortgage would not be possible on such a multiple of income)</w:t>
      </w:r>
      <w:r w:rsidR="00410E7D" w:rsidRPr="0067297E">
        <w:rPr>
          <w:rFonts w:asciiTheme="minorHAnsi" w:hAnsiTheme="minorHAnsi"/>
        </w:rPr>
        <w:t>.</w:t>
      </w:r>
    </w:p>
    <w:p w14:paraId="72537613" w14:textId="06E5A400" w:rsidR="001B4EA4" w:rsidRPr="0067297E" w:rsidRDefault="001B4EA4" w:rsidP="001B4EA4">
      <w:pPr>
        <w:pStyle w:val="Reporttext"/>
        <w:numPr>
          <w:ilvl w:val="0"/>
          <w:numId w:val="0"/>
        </w:numPr>
        <w:ind w:left="709"/>
        <w:rPr>
          <w:rFonts w:asciiTheme="minorHAnsi" w:hAnsiTheme="minorHAnsi" w:cs="Calibri"/>
        </w:rPr>
      </w:pPr>
    </w:p>
    <w:p w14:paraId="32D15976" w14:textId="1E756ED7" w:rsidR="001B4EA4" w:rsidRPr="00DD5741" w:rsidRDefault="001B4EA4" w:rsidP="00DD5741">
      <w:pPr>
        <w:pStyle w:val="Heading4"/>
        <w:rPr>
          <w:rFonts w:asciiTheme="minorHAnsi" w:hAnsiTheme="minorHAnsi"/>
          <w:lang w:val="en-US"/>
        </w:rPr>
      </w:pPr>
      <w:r w:rsidRPr="0067297E">
        <w:rPr>
          <w:rFonts w:asciiTheme="minorHAnsi" w:hAnsiTheme="minorHAnsi"/>
        </w:rPr>
        <w:t>Genuinely affordable rents</w:t>
      </w:r>
      <w:r w:rsidRPr="0067297E">
        <w:rPr>
          <w:rFonts w:asciiTheme="minorHAnsi" w:hAnsiTheme="minorHAnsi"/>
          <w:lang w:val="en-US"/>
        </w:rPr>
        <w:t xml:space="preserve"> </w:t>
      </w:r>
    </w:p>
    <w:p w14:paraId="3479FAF7" w14:textId="446C249A" w:rsidR="005C6B21" w:rsidRPr="00DD5741" w:rsidRDefault="00D90262">
      <w:pPr>
        <w:pStyle w:val="Reporttext"/>
        <w:rPr>
          <w:rFonts w:asciiTheme="minorHAnsi" w:hAnsiTheme="minorHAnsi" w:cs="Calibri"/>
        </w:rPr>
      </w:pPr>
      <w:r w:rsidRPr="0067297E">
        <w:rPr>
          <w:rFonts w:asciiTheme="minorHAnsi" w:hAnsiTheme="minorHAnsi" w:cs="Calibri"/>
          <w:lang w:val="en-US"/>
        </w:rPr>
        <w:t>Table 4.1</w:t>
      </w:r>
      <w:r w:rsidR="00116269" w:rsidRPr="0067297E">
        <w:rPr>
          <w:rFonts w:asciiTheme="minorHAnsi" w:hAnsiTheme="minorHAnsi" w:cs="Calibri"/>
          <w:lang w:val="en-US"/>
        </w:rPr>
        <w:t>7</w:t>
      </w:r>
      <w:r w:rsidRPr="0067297E">
        <w:rPr>
          <w:rFonts w:asciiTheme="minorHAnsi" w:hAnsiTheme="minorHAnsi" w:cs="Calibri"/>
          <w:lang w:val="en-US"/>
        </w:rPr>
        <w:t xml:space="preserve"> sets out</w:t>
      </w:r>
      <w:r w:rsidR="005C6B21" w:rsidRPr="0067297E">
        <w:rPr>
          <w:rFonts w:asciiTheme="minorHAnsi" w:hAnsiTheme="minorHAnsi" w:cs="Calibri"/>
          <w:lang w:val="en-US"/>
        </w:rPr>
        <w:t xml:space="preserve"> the lower quartile rent that could be afforded based on the percentage of income used to pay the rent. For instance, in Bellingham ward, lower quartile rent in 2018 was £750 each month and lower quartile gross household incomes were £1,250 each month. The table shows that if 25% of income was spent on housing, a rent of £313 each month could be afforded and if 50% of income was spent on housing a rent of £625 could be afforded. However, this would still be insufficient to afford a lower quartile </w:t>
      </w:r>
      <w:r w:rsidR="001B4EA4" w:rsidRPr="0067297E">
        <w:rPr>
          <w:rFonts w:asciiTheme="minorHAnsi" w:hAnsiTheme="minorHAnsi" w:cs="Calibri"/>
          <w:lang w:val="en-US"/>
        </w:rPr>
        <w:t xml:space="preserve">market </w:t>
      </w:r>
      <w:r w:rsidR="005C6B21" w:rsidRPr="0067297E">
        <w:rPr>
          <w:rFonts w:asciiTheme="minorHAnsi" w:hAnsiTheme="minorHAnsi" w:cs="Calibri"/>
          <w:lang w:val="en-US"/>
        </w:rPr>
        <w:t xml:space="preserve">rent in the ward. </w:t>
      </w:r>
    </w:p>
    <w:p w14:paraId="5939A51C" w14:textId="3874E719" w:rsidR="00D90262" w:rsidRPr="00DD5741" w:rsidRDefault="005C6B21">
      <w:pPr>
        <w:pStyle w:val="Reporttext"/>
        <w:rPr>
          <w:rFonts w:asciiTheme="minorHAnsi" w:hAnsiTheme="minorHAnsi" w:cs="Calibri"/>
        </w:rPr>
      </w:pPr>
      <w:r w:rsidRPr="0067297E">
        <w:rPr>
          <w:rFonts w:asciiTheme="minorHAnsi" w:hAnsiTheme="minorHAnsi" w:cs="Calibri"/>
          <w:lang w:val="en-US"/>
        </w:rPr>
        <w:t>Table 4.1</w:t>
      </w:r>
      <w:r w:rsidR="00116269" w:rsidRPr="0067297E">
        <w:rPr>
          <w:rFonts w:asciiTheme="minorHAnsi" w:hAnsiTheme="minorHAnsi" w:cs="Calibri"/>
          <w:lang w:val="en-US"/>
        </w:rPr>
        <w:t>7</w:t>
      </w:r>
      <w:r w:rsidRPr="0067297E">
        <w:rPr>
          <w:rFonts w:asciiTheme="minorHAnsi" w:hAnsiTheme="minorHAnsi" w:cs="Calibri"/>
          <w:lang w:val="en-US"/>
        </w:rPr>
        <w:t xml:space="preserve"> </w:t>
      </w:r>
      <w:r w:rsidR="00657F94" w:rsidRPr="0067297E">
        <w:rPr>
          <w:rFonts w:asciiTheme="minorHAnsi" w:hAnsiTheme="minorHAnsi" w:cs="Calibri"/>
          <w:lang w:val="en-US"/>
        </w:rPr>
        <w:t>also shows</w:t>
      </w:r>
      <w:r w:rsidRPr="0067297E">
        <w:rPr>
          <w:rFonts w:asciiTheme="minorHAnsi" w:hAnsiTheme="minorHAnsi" w:cs="Calibri"/>
          <w:lang w:val="en-US"/>
        </w:rPr>
        <w:t xml:space="preserve"> what could be genuinely afforded by households based on local incomes by considering the proportion of income spent on housing costs. If this is assumed to be 35%, then lower quartile market rents in Bellingham for example would be £438 each month. Overall, there are only two wards (Catford South and Ladywell) where lower quartile </w:t>
      </w:r>
      <w:r w:rsidR="001B4EA4" w:rsidRPr="0067297E">
        <w:rPr>
          <w:rFonts w:asciiTheme="minorHAnsi" w:hAnsiTheme="minorHAnsi" w:cs="Calibri"/>
          <w:lang w:val="en-US"/>
        </w:rPr>
        <w:t xml:space="preserve">market </w:t>
      </w:r>
      <w:r w:rsidRPr="0067297E">
        <w:rPr>
          <w:rFonts w:asciiTheme="minorHAnsi" w:hAnsiTheme="minorHAnsi" w:cs="Calibri"/>
          <w:lang w:val="en-US"/>
        </w:rPr>
        <w:t>prices would be affordable to households spending 35% of their income on rent. There are nine wards where, even if 50% of income was spent on rent, the rent would not be affordable.</w:t>
      </w:r>
    </w:p>
    <w:p w14:paraId="23B5B435" w14:textId="5F4A46DE" w:rsidR="00657F94" w:rsidRPr="00DD5741" w:rsidRDefault="00657F94">
      <w:pPr>
        <w:pStyle w:val="Reporttext"/>
        <w:rPr>
          <w:rFonts w:asciiTheme="minorHAnsi" w:hAnsiTheme="minorHAnsi" w:cs="Calibri"/>
        </w:rPr>
      </w:pPr>
      <w:r w:rsidRPr="0067297E">
        <w:rPr>
          <w:rFonts w:asciiTheme="minorHAnsi" w:hAnsiTheme="minorHAnsi" w:cs="Calibri"/>
          <w:lang w:val="en-US"/>
        </w:rPr>
        <w:t>Table 4.1</w:t>
      </w:r>
      <w:r w:rsidR="00116269" w:rsidRPr="0067297E">
        <w:rPr>
          <w:rFonts w:asciiTheme="minorHAnsi" w:hAnsiTheme="minorHAnsi" w:cs="Calibri"/>
          <w:lang w:val="en-US"/>
        </w:rPr>
        <w:t>8</w:t>
      </w:r>
      <w:r w:rsidRPr="0067297E">
        <w:rPr>
          <w:rFonts w:asciiTheme="minorHAnsi" w:hAnsiTheme="minorHAnsi" w:cs="Calibri"/>
          <w:lang w:val="en-US"/>
        </w:rPr>
        <w:t xml:space="preserve"> presents the same analysis based on median rents and incomes. Similar patterns are observed, and it is noted that rents tend to become affordable if 45% to 50% of household income is spent on rental costs. </w:t>
      </w:r>
    </w:p>
    <w:p w14:paraId="394536E5" w14:textId="09A64479" w:rsidR="00FD3A43" w:rsidRPr="00DD5741" w:rsidRDefault="00FD3A43">
      <w:pPr>
        <w:pStyle w:val="Reporttext"/>
        <w:rPr>
          <w:rFonts w:asciiTheme="minorHAnsi" w:hAnsiTheme="minorHAnsi" w:cs="Calibri"/>
        </w:rPr>
      </w:pPr>
      <w:r w:rsidRPr="0067297E">
        <w:rPr>
          <w:rFonts w:asciiTheme="minorHAnsi" w:hAnsiTheme="minorHAnsi" w:cs="Calibri"/>
          <w:lang w:val="en-US"/>
        </w:rPr>
        <w:t xml:space="preserve">This analysis can help establish what would be a reasonable rent based on local incomes. Assuming that 35% of income is spent on housing, across the Borough </w:t>
      </w:r>
      <w:r w:rsidR="001B4EA4" w:rsidRPr="0067297E">
        <w:rPr>
          <w:rFonts w:asciiTheme="minorHAnsi" w:hAnsiTheme="minorHAnsi" w:cs="Calibri"/>
          <w:lang w:val="en-US"/>
        </w:rPr>
        <w:t>a genuinely affordable lower quartile market rent would be £729 based on local incomes and this would range between £438 and £1,313 at a ward level.</w:t>
      </w:r>
    </w:p>
    <w:p w14:paraId="17B3171A" w14:textId="77777777" w:rsidR="005C6B21" w:rsidRPr="0067297E" w:rsidRDefault="005C6B21">
      <w:pPr>
        <w:pStyle w:val="Reporttext"/>
        <w:numPr>
          <w:ilvl w:val="0"/>
          <w:numId w:val="0"/>
        </w:numPr>
        <w:rPr>
          <w:rFonts w:asciiTheme="minorHAnsi" w:hAnsiTheme="minorHAnsi" w:cs="Calibri"/>
        </w:rPr>
      </w:pPr>
    </w:p>
    <w:p w14:paraId="032B0EFD" w14:textId="2486040F" w:rsidR="00D90262" w:rsidRPr="00DD5741" w:rsidRDefault="005C6B21" w:rsidP="00DD5741">
      <w:pPr>
        <w:pStyle w:val="tableheading"/>
        <w:jc w:val="left"/>
        <w:rPr>
          <w:rFonts w:asciiTheme="minorHAnsi" w:hAnsiTheme="minorHAnsi"/>
          <w:color w:val="009999"/>
          <w:lang w:val="en-US"/>
        </w:rPr>
      </w:pPr>
      <w:bookmarkStart w:id="272" w:name="_Toc23151166"/>
      <w:r w:rsidRPr="0067297E">
        <w:rPr>
          <w:rFonts w:asciiTheme="minorHAnsi" w:hAnsiTheme="minorHAnsi"/>
          <w:color w:val="009999"/>
        </w:rPr>
        <w:t>Table 4.1</w:t>
      </w:r>
      <w:r w:rsidR="00116269" w:rsidRPr="0067297E">
        <w:rPr>
          <w:rFonts w:asciiTheme="minorHAnsi" w:hAnsiTheme="minorHAnsi"/>
          <w:color w:val="009999"/>
          <w:lang w:val="en-US"/>
        </w:rPr>
        <w:t>7</w:t>
      </w:r>
      <w:r w:rsidRPr="0067297E">
        <w:rPr>
          <w:rFonts w:asciiTheme="minorHAnsi" w:hAnsiTheme="minorHAnsi"/>
          <w:color w:val="009999"/>
        </w:rPr>
        <w:tab/>
      </w:r>
      <w:r w:rsidRPr="0067297E">
        <w:rPr>
          <w:rFonts w:asciiTheme="minorHAnsi" w:hAnsiTheme="minorHAnsi"/>
          <w:color w:val="009999"/>
          <w:lang w:val="en-US"/>
        </w:rPr>
        <w:t>Lower quartile rents, household incomes and what could be afforded</w:t>
      </w:r>
      <w:bookmarkEnd w:id="272"/>
    </w:p>
    <w:p w14:paraId="350DEFE0" w14:textId="487C0F92" w:rsidR="00D90262" w:rsidRPr="0067297E" w:rsidRDefault="00D90262" w:rsidP="00496076">
      <w:pPr>
        <w:pStyle w:val="Reporttext"/>
        <w:numPr>
          <w:ilvl w:val="0"/>
          <w:numId w:val="0"/>
        </w:numPr>
        <w:rPr>
          <w:rFonts w:asciiTheme="minorHAnsi" w:hAnsiTheme="minorHAnsi" w:cs="Calibri"/>
        </w:rPr>
      </w:pPr>
      <w:r w:rsidRPr="0067297E">
        <w:rPr>
          <w:rFonts w:asciiTheme="minorHAnsi" w:hAnsiTheme="minorHAnsi" w:cs="Calibri"/>
          <w:noProof/>
          <w:lang w:val="en-GB" w:eastAsia="en-GB"/>
        </w:rPr>
        <w:drawing>
          <wp:inline distT="0" distB="0" distL="0" distR="0" wp14:anchorId="5A6E32BF" wp14:editId="3538DEA8">
            <wp:extent cx="5836920" cy="3161665"/>
            <wp:effectExtent l="0" t="0" r="0" b="635"/>
            <wp:docPr id="61" name="Picture 61" descr="Table showing lower quartile rent that could be afforded by percentage of income" title="Table 4.17 Lower quartile rents, household incomes and what could be aff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36920" cy="3161665"/>
                    </a:xfrm>
                    <a:prstGeom prst="rect">
                      <a:avLst/>
                    </a:prstGeom>
                  </pic:spPr>
                </pic:pic>
              </a:graphicData>
            </a:graphic>
          </wp:inline>
        </w:drawing>
      </w:r>
    </w:p>
    <w:p w14:paraId="225708B9" w14:textId="38C28A0D" w:rsidR="00D90262" w:rsidRPr="0067297E" w:rsidRDefault="005C6B21" w:rsidP="00DD5741">
      <w:pPr>
        <w:pStyle w:val="Reporttext"/>
        <w:numPr>
          <w:ilvl w:val="0"/>
          <w:numId w:val="0"/>
        </w:numPr>
        <w:rPr>
          <w:rFonts w:asciiTheme="minorHAnsi" w:hAnsiTheme="minorHAnsi" w:cs="Calibri"/>
          <w:lang w:val="en-US"/>
        </w:rPr>
      </w:pPr>
      <w:r w:rsidRPr="0067297E">
        <w:rPr>
          <w:rFonts w:asciiTheme="minorHAnsi" w:hAnsiTheme="minorHAnsi" w:cs="Calibri"/>
          <w:lang w:val="en-US"/>
        </w:rPr>
        <w:t>Note: Red cells indicate rent is not affordable; Green cells indicate rent is affordable</w:t>
      </w:r>
    </w:p>
    <w:p w14:paraId="6A965431" w14:textId="2428C8E6" w:rsidR="00657F94" w:rsidRPr="0067297E" w:rsidRDefault="00657F94" w:rsidP="00657F94">
      <w:pPr>
        <w:pStyle w:val="Reporttext"/>
        <w:numPr>
          <w:ilvl w:val="0"/>
          <w:numId w:val="0"/>
        </w:numPr>
        <w:ind w:left="709"/>
        <w:rPr>
          <w:rFonts w:asciiTheme="minorHAnsi" w:hAnsiTheme="minorHAnsi" w:cs="Calibri"/>
        </w:rPr>
      </w:pPr>
    </w:p>
    <w:p w14:paraId="4BAFE503" w14:textId="340E6C30" w:rsidR="00657F94" w:rsidRPr="00DD5741" w:rsidRDefault="00657F94" w:rsidP="00DD5741">
      <w:pPr>
        <w:pStyle w:val="tableheading"/>
        <w:jc w:val="left"/>
        <w:rPr>
          <w:rFonts w:asciiTheme="minorHAnsi" w:hAnsiTheme="minorHAnsi"/>
          <w:color w:val="009999"/>
          <w:lang w:val="en-US"/>
        </w:rPr>
      </w:pPr>
      <w:bookmarkStart w:id="273" w:name="_Toc23151167"/>
      <w:r w:rsidRPr="0067297E">
        <w:rPr>
          <w:rFonts w:asciiTheme="minorHAnsi" w:hAnsiTheme="minorHAnsi"/>
          <w:color w:val="009999"/>
        </w:rPr>
        <w:t>Table 4.1</w:t>
      </w:r>
      <w:r w:rsidR="00116269" w:rsidRPr="0067297E">
        <w:rPr>
          <w:rFonts w:asciiTheme="minorHAnsi" w:hAnsiTheme="minorHAnsi"/>
          <w:color w:val="009999"/>
          <w:lang w:val="en-US"/>
        </w:rPr>
        <w:t>8</w:t>
      </w:r>
      <w:r w:rsidRPr="0067297E">
        <w:rPr>
          <w:rFonts w:asciiTheme="minorHAnsi" w:hAnsiTheme="minorHAnsi"/>
          <w:color w:val="009999"/>
        </w:rPr>
        <w:tab/>
        <w:t>Median</w:t>
      </w:r>
      <w:r w:rsidRPr="0067297E">
        <w:rPr>
          <w:rFonts w:asciiTheme="minorHAnsi" w:hAnsiTheme="minorHAnsi"/>
          <w:color w:val="009999"/>
          <w:lang w:val="en-US"/>
        </w:rPr>
        <w:t xml:space="preserve"> rents, household incomes and what could be afforded</w:t>
      </w:r>
      <w:bookmarkEnd w:id="273"/>
    </w:p>
    <w:p w14:paraId="0EA96BEB" w14:textId="73843E2D" w:rsidR="00657F94" w:rsidRPr="0067297E" w:rsidRDefault="00FD3A43" w:rsidP="00496076">
      <w:pPr>
        <w:pStyle w:val="Reporttext"/>
        <w:numPr>
          <w:ilvl w:val="0"/>
          <w:numId w:val="0"/>
        </w:numPr>
        <w:rPr>
          <w:rFonts w:asciiTheme="minorHAnsi" w:hAnsiTheme="minorHAnsi" w:cs="Calibri"/>
        </w:rPr>
      </w:pPr>
      <w:r w:rsidRPr="0067297E">
        <w:rPr>
          <w:rFonts w:asciiTheme="minorHAnsi" w:hAnsiTheme="minorHAnsi" w:cs="Calibri"/>
          <w:noProof/>
          <w:lang w:val="en-GB" w:eastAsia="en-GB"/>
        </w:rPr>
        <w:drawing>
          <wp:inline distT="0" distB="0" distL="0" distR="0" wp14:anchorId="33524513" wp14:editId="7341096F">
            <wp:extent cx="5836920" cy="3152775"/>
            <wp:effectExtent l="0" t="0" r="0" b="9525"/>
            <wp:docPr id="7170" name="Picture 7170" descr="Table showing median rent that could be afforded by percentage of income" title="Table 4.18 Median rents, household incomes and what could be aff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36920" cy="3152775"/>
                    </a:xfrm>
                    <a:prstGeom prst="rect">
                      <a:avLst/>
                    </a:prstGeom>
                  </pic:spPr>
                </pic:pic>
              </a:graphicData>
            </a:graphic>
          </wp:inline>
        </w:drawing>
      </w:r>
    </w:p>
    <w:p w14:paraId="2DFC66A0" w14:textId="77777777" w:rsidR="00657F94" w:rsidRPr="0067297E" w:rsidRDefault="00657F94" w:rsidP="00496076">
      <w:pPr>
        <w:pStyle w:val="Reporttext"/>
        <w:numPr>
          <w:ilvl w:val="0"/>
          <w:numId w:val="0"/>
        </w:numPr>
        <w:rPr>
          <w:rFonts w:asciiTheme="minorHAnsi" w:hAnsiTheme="minorHAnsi" w:cs="Calibri"/>
          <w:lang w:val="en-US"/>
        </w:rPr>
      </w:pPr>
      <w:r w:rsidRPr="0067297E">
        <w:rPr>
          <w:rFonts w:asciiTheme="minorHAnsi" w:hAnsiTheme="minorHAnsi" w:cs="Calibri"/>
          <w:lang w:val="en-US"/>
        </w:rPr>
        <w:t>Note: Red cells indicate rent is not affordable; Green cells indicate rent is affordable</w:t>
      </w:r>
    </w:p>
    <w:p w14:paraId="16527766" w14:textId="179D6587" w:rsidR="001B4EA4" w:rsidRPr="00DD5741" w:rsidRDefault="001B4EA4" w:rsidP="00DD5741">
      <w:pPr>
        <w:pStyle w:val="Heading4"/>
        <w:rPr>
          <w:rFonts w:asciiTheme="minorHAnsi" w:hAnsiTheme="minorHAnsi"/>
          <w:lang w:val="en-US"/>
        </w:rPr>
      </w:pPr>
      <w:r w:rsidRPr="0067297E">
        <w:rPr>
          <w:rFonts w:asciiTheme="minorHAnsi" w:hAnsiTheme="minorHAnsi"/>
        </w:rPr>
        <w:t>Genuinely affordable rents</w:t>
      </w:r>
      <w:r w:rsidRPr="0067297E">
        <w:rPr>
          <w:rFonts w:asciiTheme="minorHAnsi" w:hAnsiTheme="minorHAnsi"/>
          <w:lang w:val="en-US"/>
        </w:rPr>
        <w:t xml:space="preserve"> for selected key workers and those on minimum and living wages</w:t>
      </w:r>
    </w:p>
    <w:p w14:paraId="61B37DBC" w14:textId="16F28AFA" w:rsidR="00657F94" w:rsidRPr="00DD5741" w:rsidRDefault="00657F94">
      <w:pPr>
        <w:pStyle w:val="Reporttext"/>
        <w:rPr>
          <w:rFonts w:asciiTheme="minorHAnsi" w:hAnsiTheme="minorHAnsi" w:cs="Calibri"/>
        </w:rPr>
      </w:pPr>
      <w:r w:rsidRPr="0067297E">
        <w:rPr>
          <w:rFonts w:asciiTheme="minorHAnsi" w:hAnsiTheme="minorHAnsi" w:cs="Calibri"/>
          <w:lang w:val="en-US"/>
        </w:rPr>
        <w:t xml:space="preserve">The extent to which open market rents are affordable to selected key-workers and those on minimum and living wages are explored in </w:t>
      </w:r>
      <w:r w:rsidR="00FD3A43" w:rsidRPr="0067297E">
        <w:rPr>
          <w:rFonts w:asciiTheme="minorHAnsi" w:hAnsiTheme="minorHAnsi" w:cs="Calibri"/>
          <w:lang w:val="en-US"/>
        </w:rPr>
        <w:t>Table 4.</w:t>
      </w:r>
      <w:r w:rsidR="00116269" w:rsidRPr="0067297E">
        <w:rPr>
          <w:rFonts w:asciiTheme="minorHAnsi" w:hAnsiTheme="minorHAnsi" w:cs="Calibri"/>
          <w:lang w:val="en-US"/>
        </w:rPr>
        <w:t>19</w:t>
      </w:r>
      <w:r w:rsidRPr="0067297E">
        <w:rPr>
          <w:rFonts w:asciiTheme="minorHAnsi" w:hAnsiTheme="minorHAnsi" w:cs="Calibri"/>
          <w:lang w:val="en-US"/>
        </w:rPr>
        <w:t>.</w:t>
      </w:r>
      <w:r w:rsidR="00FD3A43" w:rsidRPr="0067297E">
        <w:rPr>
          <w:rFonts w:asciiTheme="minorHAnsi" w:hAnsiTheme="minorHAnsi" w:cs="Calibri"/>
          <w:lang w:val="en-US"/>
        </w:rPr>
        <w:t xml:space="preserve"> This clearly establishes that lower quartile prices are not affordable to households with a single earner on minimum or living wage; and not affordable to selected key workers unless at least 45% of income is spent on rent (although this only applies to fire officers and teachers).</w:t>
      </w:r>
      <w:r w:rsidRPr="0067297E">
        <w:rPr>
          <w:rFonts w:asciiTheme="minorHAnsi" w:hAnsiTheme="minorHAnsi" w:cs="Calibri"/>
          <w:lang w:val="en-US"/>
        </w:rPr>
        <w:t xml:space="preserve"> </w:t>
      </w:r>
      <w:r w:rsidR="00FD3A43" w:rsidRPr="0067297E">
        <w:rPr>
          <w:rFonts w:asciiTheme="minorHAnsi" w:hAnsiTheme="minorHAnsi" w:cs="Calibri"/>
          <w:lang w:val="en-US"/>
        </w:rPr>
        <w:t>Lower quartile rents are affordable to households where there are two full-time living wage incomes and 35% of income is spent on rent. Median rents are unaffordable to all of the selected key worker groups and if 45% of income is spent on rent</w:t>
      </w:r>
      <w:r w:rsidR="001B4EA4" w:rsidRPr="0067297E">
        <w:rPr>
          <w:rFonts w:asciiTheme="minorHAnsi" w:hAnsiTheme="minorHAnsi" w:cs="Calibri"/>
          <w:lang w:val="en-US"/>
        </w:rPr>
        <w:t xml:space="preserve"> it </w:t>
      </w:r>
      <w:r w:rsidR="00FD3A43" w:rsidRPr="0067297E">
        <w:rPr>
          <w:rFonts w:asciiTheme="minorHAnsi" w:hAnsiTheme="minorHAnsi" w:cs="Calibri"/>
          <w:lang w:val="en-US"/>
        </w:rPr>
        <w:t xml:space="preserve">would be affordable to households with two full-time living wage occupants. </w:t>
      </w:r>
    </w:p>
    <w:p w14:paraId="026FE8DE" w14:textId="77777777" w:rsidR="00657F94" w:rsidRPr="0067297E" w:rsidRDefault="00657F94" w:rsidP="00657F94">
      <w:pPr>
        <w:pStyle w:val="Reporttext"/>
        <w:numPr>
          <w:ilvl w:val="0"/>
          <w:numId w:val="0"/>
        </w:numPr>
        <w:rPr>
          <w:rFonts w:asciiTheme="minorHAnsi" w:hAnsiTheme="minorHAnsi" w:cs="Calibri"/>
        </w:rPr>
      </w:pPr>
    </w:p>
    <w:p w14:paraId="6C75AE20" w14:textId="19C8C946" w:rsidR="00657F94" w:rsidRPr="0067297E" w:rsidRDefault="00657F94" w:rsidP="00496076">
      <w:pPr>
        <w:pStyle w:val="tableheading"/>
        <w:rPr>
          <w:rFonts w:asciiTheme="minorHAnsi" w:hAnsiTheme="minorHAnsi"/>
          <w:color w:val="009999"/>
          <w:lang w:val="en-US"/>
        </w:rPr>
      </w:pPr>
      <w:bookmarkStart w:id="274" w:name="_Toc23151168"/>
      <w:r w:rsidRPr="0067297E">
        <w:rPr>
          <w:rFonts w:asciiTheme="minorHAnsi" w:hAnsiTheme="minorHAnsi"/>
          <w:color w:val="009999"/>
        </w:rPr>
        <w:t>Table 4.</w:t>
      </w:r>
      <w:r w:rsidR="00116269" w:rsidRPr="0067297E">
        <w:rPr>
          <w:rFonts w:asciiTheme="minorHAnsi" w:hAnsiTheme="minorHAnsi"/>
          <w:color w:val="009999"/>
          <w:lang w:val="en-US"/>
        </w:rPr>
        <w:t>19</w:t>
      </w:r>
      <w:r w:rsidRPr="0067297E">
        <w:rPr>
          <w:rFonts w:asciiTheme="minorHAnsi" w:hAnsiTheme="minorHAnsi"/>
          <w:color w:val="009999"/>
          <w:lang w:val="en-US"/>
        </w:rPr>
        <w:tab/>
        <w:t xml:space="preserve">Market Rents, </w:t>
      </w:r>
      <w:r w:rsidR="00FD3A43" w:rsidRPr="0067297E">
        <w:rPr>
          <w:rFonts w:asciiTheme="minorHAnsi" w:hAnsiTheme="minorHAnsi"/>
          <w:color w:val="009999"/>
          <w:lang w:val="en-US"/>
        </w:rPr>
        <w:t xml:space="preserve">actual </w:t>
      </w:r>
      <w:r w:rsidRPr="0067297E">
        <w:rPr>
          <w:rFonts w:asciiTheme="minorHAnsi" w:hAnsiTheme="minorHAnsi"/>
          <w:color w:val="009999"/>
          <w:lang w:val="en-US"/>
        </w:rPr>
        <w:t>household incomes and what could be afforded</w:t>
      </w:r>
      <w:bookmarkEnd w:id="274"/>
    </w:p>
    <w:p w14:paraId="6053E8EE" w14:textId="5E0073DD" w:rsidR="00657F94" w:rsidRPr="0067297E" w:rsidRDefault="00FD3A43" w:rsidP="00657F94">
      <w:pPr>
        <w:rPr>
          <w:rFonts w:asciiTheme="minorHAnsi" w:hAnsiTheme="minorHAnsi"/>
          <w:lang w:val="en-US"/>
        </w:rPr>
      </w:pPr>
      <w:r w:rsidRPr="0067297E">
        <w:rPr>
          <w:rFonts w:asciiTheme="minorHAnsi" w:hAnsiTheme="minorHAnsi"/>
          <w:noProof/>
          <w:lang w:eastAsia="en-GB"/>
        </w:rPr>
        <w:drawing>
          <wp:inline distT="0" distB="0" distL="0" distR="0" wp14:anchorId="5269C425" wp14:editId="06EBDF81">
            <wp:extent cx="5897880" cy="3688080"/>
            <wp:effectExtent l="0" t="0" r="7620" b="7620"/>
            <wp:docPr id="7168" name="Picture 7168" descr="Table showing Occupation/ Wage, Gross household income, and what could be afforded. " title="Table 4.19 Market Rents, actual household incomes and what could be aff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97880" cy="3688080"/>
                    </a:xfrm>
                    <a:prstGeom prst="rect">
                      <a:avLst/>
                    </a:prstGeom>
                  </pic:spPr>
                </pic:pic>
              </a:graphicData>
            </a:graphic>
          </wp:inline>
        </w:drawing>
      </w:r>
    </w:p>
    <w:p w14:paraId="283BFB3D" w14:textId="77777777" w:rsidR="00A80E37" w:rsidRPr="0067297E" w:rsidRDefault="00A80E37" w:rsidP="00DD5741">
      <w:pPr>
        <w:pStyle w:val="Reporttext"/>
        <w:numPr>
          <w:ilvl w:val="0"/>
          <w:numId w:val="0"/>
        </w:numPr>
        <w:ind w:left="709" w:hanging="709"/>
        <w:rPr>
          <w:rFonts w:asciiTheme="minorHAnsi" w:hAnsiTheme="minorHAnsi" w:cs="Calibri"/>
          <w:lang w:val="en-US"/>
        </w:rPr>
      </w:pPr>
      <w:r w:rsidRPr="0067297E">
        <w:rPr>
          <w:rFonts w:asciiTheme="minorHAnsi" w:hAnsiTheme="minorHAnsi" w:cs="Calibri"/>
          <w:lang w:val="en-US"/>
        </w:rPr>
        <w:t>Note: Red cells indicate rent is not affordable; Green cells indicate rent is affordable</w:t>
      </w:r>
    </w:p>
    <w:p w14:paraId="5D0BE58A" w14:textId="2C71B706" w:rsidR="00657F94" w:rsidRPr="0067297E" w:rsidRDefault="00657F94" w:rsidP="00657F94">
      <w:pPr>
        <w:rPr>
          <w:rFonts w:asciiTheme="minorHAnsi" w:hAnsiTheme="minorHAnsi"/>
          <w:lang w:val="en-US"/>
        </w:rPr>
      </w:pPr>
    </w:p>
    <w:p w14:paraId="4EDFFFE4" w14:textId="49AE8C53" w:rsidR="001B4EA4" w:rsidRPr="0067297E" w:rsidRDefault="001B4EA4" w:rsidP="001B4EA4">
      <w:pPr>
        <w:pStyle w:val="Heading4"/>
        <w:rPr>
          <w:rFonts w:asciiTheme="minorHAnsi" w:hAnsiTheme="minorHAnsi"/>
          <w:lang w:val="en-US"/>
        </w:rPr>
      </w:pPr>
      <w:r w:rsidRPr="0067297E">
        <w:rPr>
          <w:rFonts w:asciiTheme="minorHAnsi" w:hAnsiTheme="minorHAnsi"/>
          <w:lang w:val="en-US"/>
        </w:rPr>
        <w:t>Buying a property</w:t>
      </w:r>
    </w:p>
    <w:p w14:paraId="21873D7E" w14:textId="6023B4E4" w:rsidR="00657F94" w:rsidRPr="0067297E" w:rsidRDefault="00A17564" w:rsidP="009A5744">
      <w:pPr>
        <w:pStyle w:val="Reporttext"/>
        <w:rPr>
          <w:rFonts w:asciiTheme="minorHAnsi" w:hAnsiTheme="minorHAnsi"/>
          <w:lang w:val="en-US"/>
        </w:rPr>
      </w:pPr>
      <w:r w:rsidRPr="00DD5741">
        <w:rPr>
          <w:rFonts w:asciiTheme="minorHAnsi" w:hAnsiTheme="minorHAnsi" w:cs="Calibri"/>
          <w:lang w:val="en-US"/>
        </w:rPr>
        <w:t>Table</w:t>
      </w:r>
      <w:r w:rsidRPr="0067297E">
        <w:rPr>
          <w:rFonts w:asciiTheme="minorHAnsi" w:hAnsiTheme="minorHAnsi"/>
          <w:lang w:val="en-US"/>
        </w:rPr>
        <w:t xml:space="preserve"> 4.2</w:t>
      </w:r>
      <w:r w:rsidR="00116269" w:rsidRPr="0067297E">
        <w:rPr>
          <w:rFonts w:asciiTheme="minorHAnsi" w:hAnsiTheme="minorHAnsi"/>
          <w:lang w:val="en-US"/>
        </w:rPr>
        <w:t>0</w:t>
      </w:r>
      <w:r w:rsidRPr="0067297E">
        <w:rPr>
          <w:rFonts w:asciiTheme="minorHAnsi" w:hAnsiTheme="minorHAnsi"/>
          <w:lang w:val="en-US"/>
        </w:rPr>
        <w:t xml:space="preserve"> considers </w:t>
      </w:r>
      <w:r w:rsidR="009A5744" w:rsidRPr="0067297E">
        <w:rPr>
          <w:rFonts w:asciiTheme="minorHAnsi" w:hAnsiTheme="minorHAnsi"/>
          <w:lang w:val="en-US"/>
        </w:rPr>
        <w:t xml:space="preserve">lower quartile house prices and incomes. It indicates the buying potential based on multiples of income and excludes deposits. The analysis demonstrates that it is effectively not possible to access lower quartile properties unless income multiples exceed 12.5x and even then properties </w:t>
      </w:r>
      <w:r w:rsidR="00022F16" w:rsidRPr="0067297E">
        <w:rPr>
          <w:rFonts w:asciiTheme="minorHAnsi" w:hAnsiTheme="minorHAnsi"/>
          <w:lang w:val="en-US"/>
        </w:rPr>
        <w:t>in</w:t>
      </w:r>
      <w:r w:rsidR="009A5744" w:rsidRPr="0067297E">
        <w:rPr>
          <w:rFonts w:asciiTheme="minorHAnsi" w:hAnsiTheme="minorHAnsi"/>
          <w:lang w:val="en-US"/>
        </w:rPr>
        <w:t xml:space="preserve"> only 4 wards would be affordable. A similar pattern for median house prices and incomes is shown in Table 4.2</w:t>
      </w:r>
      <w:r w:rsidR="00116269" w:rsidRPr="0067297E">
        <w:rPr>
          <w:rFonts w:asciiTheme="minorHAnsi" w:hAnsiTheme="minorHAnsi"/>
          <w:lang w:val="en-US"/>
        </w:rPr>
        <w:t>1</w:t>
      </w:r>
      <w:r w:rsidR="009A5744" w:rsidRPr="0067297E">
        <w:rPr>
          <w:rFonts w:asciiTheme="minorHAnsi" w:hAnsiTheme="minorHAnsi"/>
          <w:lang w:val="en-US"/>
        </w:rPr>
        <w:t>.</w:t>
      </w:r>
    </w:p>
    <w:p w14:paraId="1C65AB10" w14:textId="03604182" w:rsidR="00A17564" w:rsidRPr="0067297E" w:rsidRDefault="00A17564" w:rsidP="00657F94">
      <w:pPr>
        <w:rPr>
          <w:rFonts w:asciiTheme="minorHAnsi" w:hAnsiTheme="minorHAnsi"/>
          <w:lang w:val="en-US"/>
        </w:rPr>
      </w:pPr>
    </w:p>
    <w:p w14:paraId="5C145371" w14:textId="1B85655D" w:rsidR="00A17564" w:rsidRPr="00DD5741" w:rsidRDefault="00A17564" w:rsidP="00DD5741">
      <w:pPr>
        <w:pStyle w:val="tableheading"/>
        <w:rPr>
          <w:rFonts w:asciiTheme="minorHAnsi" w:hAnsiTheme="minorHAnsi"/>
          <w:color w:val="009999"/>
          <w:lang w:val="en-US"/>
        </w:rPr>
      </w:pPr>
      <w:bookmarkStart w:id="275" w:name="_Toc23151169"/>
      <w:r w:rsidRPr="0067297E">
        <w:rPr>
          <w:rFonts w:asciiTheme="minorHAnsi" w:hAnsiTheme="minorHAnsi"/>
          <w:color w:val="009999"/>
        </w:rPr>
        <w:t>Table 4.</w:t>
      </w:r>
      <w:r w:rsidRPr="0067297E">
        <w:rPr>
          <w:rFonts w:asciiTheme="minorHAnsi" w:hAnsiTheme="minorHAnsi"/>
          <w:color w:val="009999"/>
          <w:lang w:val="en-US"/>
        </w:rPr>
        <w:t>2</w:t>
      </w:r>
      <w:r w:rsidR="00116269" w:rsidRPr="0067297E">
        <w:rPr>
          <w:rFonts w:asciiTheme="minorHAnsi" w:hAnsiTheme="minorHAnsi"/>
          <w:color w:val="009999"/>
          <w:lang w:val="en-US"/>
        </w:rPr>
        <w:t>0</w:t>
      </w:r>
      <w:r w:rsidRPr="0067297E">
        <w:rPr>
          <w:rFonts w:asciiTheme="minorHAnsi" w:hAnsiTheme="minorHAnsi"/>
          <w:color w:val="009999"/>
          <w:lang w:val="en-US"/>
        </w:rPr>
        <w:tab/>
        <w:t xml:space="preserve">Lower quartile house prices compared with lower quartile household </w:t>
      </w:r>
      <w:r w:rsidR="00EE7946" w:rsidRPr="0067297E">
        <w:rPr>
          <w:rFonts w:asciiTheme="minorHAnsi" w:hAnsiTheme="minorHAnsi"/>
          <w:color w:val="009999"/>
          <w:lang w:val="en-US"/>
        </w:rPr>
        <w:t>income buying capacity</w:t>
      </w:r>
      <w:bookmarkEnd w:id="275"/>
    </w:p>
    <w:p w14:paraId="2B50EB74" w14:textId="32C1C752" w:rsidR="00A17564" w:rsidRPr="0067297E" w:rsidRDefault="00900F38" w:rsidP="00657F94">
      <w:pPr>
        <w:rPr>
          <w:rFonts w:asciiTheme="minorHAnsi" w:hAnsiTheme="minorHAnsi"/>
          <w:lang w:val="en-US"/>
        </w:rPr>
      </w:pPr>
      <w:r w:rsidRPr="0067297E">
        <w:rPr>
          <w:rFonts w:asciiTheme="minorHAnsi" w:hAnsiTheme="minorHAnsi"/>
          <w:noProof/>
          <w:lang w:eastAsia="en-GB"/>
        </w:rPr>
        <w:drawing>
          <wp:inline distT="0" distB="0" distL="0" distR="0" wp14:anchorId="4F0867FF" wp14:editId="38FF7169">
            <wp:extent cx="5836920" cy="3459480"/>
            <wp:effectExtent l="0" t="0" r="0" b="7620"/>
            <wp:docPr id="7201" name="Picture 7201" descr="Table showing potential buying capacity of lower quartile price properties based on income multiples" title="Table 4.20 Lower quartile house prices compared with lower quartile household income buying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36920" cy="3459480"/>
                    </a:xfrm>
                    <a:prstGeom prst="rect">
                      <a:avLst/>
                    </a:prstGeom>
                  </pic:spPr>
                </pic:pic>
              </a:graphicData>
            </a:graphic>
          </wp:inline>
        </w:drawing>
      </w:r>
    </w:p>
    <w:p w14:paraId="56A17326" w14:textId="77777777" w:rsidR="00A80E37" w:rsidRPr="0067297E" w:rsidRDefault="00A80E37" w:rsidP="00DD5741">
      <w:pPr>
        <w:pStyle w:val="Reporttext"/>
        <w:numPr>
          <w:ilvl w:val="0"/>
          <w:numId w:val="0"/>
        </w:numPr>
        <w:ind w:left="709" w:hanging="709"/>
        <w:rPr>
          <w:rFonts w:asciiTheme="minorHAnsi" w:hAnsiTheme="minorHAnsi" w:cs="Calibri"/>
          <w:lang w:val="en-US"/>
        </w:rPr>
      </w:pPr>
      <w:r w:rsidRPr="0067297E">
        <w:rPr>
          <w:rFonts w:asciiTheme="minorHAnsi" w:hAnsiTheme="minorHAnsi" w:cs="Calibri"/>
          <w:lang w:val="en-US"/>
        </w:rPr>
        <w:t>Note: Red cells indicate rent is not affordable; Green cells indicate rent is affordable</w:t>
      </w:r>
    </w:p>
    <w:p w14:paraId="58633B31" w14:textId="0C2EBC3F" w:rsidR="00657F94" w:rsidRPr="0067297E" w:rsidRDefault="00657F94" w:rsidP="00657F94">
      <w:pPr>
        <w:rPr>
          <w:rFonts w:asciiTheme="minorHAnsi" w:hAnsiTheme="minorHAnsi"/>
          <w:lang w:val="en-US"/>
        </w:rPr>
      </w:pPr>
    </w:p>
    <w:p w14:paraId="07F7642D" w14:textId="5A5A5EFA" w:rsidR="00EE7946" w:rsidRPr="0067297E" w:rsidRDefault="009A5744">
      <w:pPr>
        <w:pStyle w:val="tableheading"/>
        <w:rPr>
          <w:rFonts w:asciiTheme="minorHAnsi" w:hAnsiTheme="minorHAnsi"/>
          <w:color w:val="009999"/>
          <w:lang w:val="en-US"/>
        </w:rPr>
      </w:pPr>
      <w:bookmarkStart w:id="276" w:name="_Toc23151170"/>
      <w:r w:rsidRPr="0067297E">
        <w:rPr>
          <w:rFonts w:asciiTheme="minorHAnsi" w:hAnsiTheme="minorHAnsi"/>
          <w:color w:val="009999"/>
        </w:rPr>
        <w:t>Table 4.</w:t>
      </w:r>
      <w:r w:rsidRPr="0067297E">
        <w:rPr>
          <w:rFonts w:asciiTheme="minorHAnsi" w:hAnsiTheme="minorHAnsi"/>
          <w:color w:val="009999"/>
          <w:lang w:val="en-US"/>
        </w:rPr>
        <w:t>2</w:t>
      </w:r>
      <w:r w:rsidR="00116269" w:rsidRPr="0067297E">
        <w:rPr>
          <w:rFonts w:asciiTheme="minorHAnsi" w:hAnsiTheme="minorHAnsi"/>
          <w:color w:val="009999"/>
          <w:lang w:val="en-US"/>
        </w:rPr>
        <w:t>1</w:t>
      </w:r>
      <w:r w:rsidRPr="0067297E">
        <w:rPr>
          <w:rFonts w:asciiTheme="minorHAnsi" w:hAnsiTheme="minorHAnsi"/>
          <w:color w:val="009999"/>
          <w:lang w:val="en-US"/>
        </w:rPr>
        <w:tab/>
        <w:t xml:space="preserve">Median house prices compared with </w:t>
      </w:r>
      <w:r w:rsidR="00EE7946" w:rsidRPr="0067297E">
        <w:rPr>
          <w:rFonts w:asciiTheme="minorHAnsi" w:hAnsiTheme="minorHAnsi"/>
          <w:color w:val="009999"/>
          <w:lang w:val="en-US"/>
        </w:rPr>
        <w:t>median</w:t>
      </w:r>
      <w:r w:rsidRPr="0067297E">
        <w:rPr>
          <w:rFonts w:asciiTheme="minorHAnsi" w:hAnsiTheme="minorHAnsi"/>
          <w:color w:val="009999"/>
          <w:lang w:val="en-US"/>
        </w:rPr>
        <w:t xml:space="preserve"> household income</w:t>
      </w:r>
      <w:r w:rsidR="00EE7946" w:rsidRPr="0067297E">
        <w:rPr>
          <w:rFonts w:asciiTheme="minorHAnsi" w:hAnsiTheme="minorHAnsi"/>
          <w:color w:val="009999"/>
          <w:lang w:val="en-US"/>
        </w:rPr>
        <w:t xml:space="preserve"> buying capacity</w:t>
      </w:r>
      <w:bookmarkEnd w:id="276"/>
    </w:p>
    <w:p w14:paraId="7346CD26" w14:textId="38B20D23" w:rsidR="009A5744" w:rsidRPr="0067297E" w:rsidRDefault="00900F38">
      <w:pPr>
        <w:rPr>
          <w:rFonts w:asciiTheme="minorHAnsi" w:hAnsiTheme="minorHAnsi"/>
          <w:lang w:val="en-US"/>
        </w:rPr>
      </w:pPr>
      <w:r w:rsidRPr="0067297E">
        <w:rPr>
          <w:rFonts w:asciiTheme="minorHAnsi" w:hAnsiTheme="minorHAnsi"/>
          <w:noProof/>
          <w:lang w:eastAsia="en-GB"/>
        </w:rPr>
        <w:drawing>
          <wp:inline distT="0" distB="0" distL="0" distR="0" wp14:anchorId="0B7B6005" wp14:editId="6C1DA772">
            <wp:extent cx="5836920" cy="3688080"/>
            <wp:effectExtent l="0" t="0" r="0" b="7620"/>
            <wp:docPr id="7202" name="Picture 7202" descr="Table showing potential buying capacity of median price properties based on income multiples. " title="Table 4.21 Median house prices compared with median household income buying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36920" cy="3688080"/>
                    </a:xfrm>
                    <a:prstGeom prst="rect">
                      <a:avLst/>
                    </a:prstGeom>
                  </pic:spPr>
                </pic:pic>
              </a:graphicData>
            </a:graphic>
          </wp:inline>
        </w:drawing>
      </w:r>
    </w:p>
    <w:p w14:paraId="26EC342A" w14:textId="77777777" w:rsidR="00496076" w:rsidRPr="0067297E" w:rsidRDefault="00A80E37">
      <w:pPr>
        <w:pStyle w:val="Reporttext"/>
        <w:numPr>
          <w:ilvl w:val="0"/>
          <w:numId w:val="0"/>
        </w:numPr>
        <w:ind w:left="709" w:hanging="709"/>
        <w:rPr>
          <w:rFonts w:asciiTheme="minorHAnsi" w:hAnsiTheme="minorHAnsi" w:cs="Calibri"/>
          <w:lang w:val="en-US"/>
        </w:rPr>
        <w:sectPr w:rsidR="00496076" w:rsidRPr="0067297E" w:rsidSect="00DF121C">
          <w:headerReference w:type="default" r:id="rId77"/>
          <w:footerReference w:type="default" r:id="rId78"/>
          <w:pgSz w:w="11907" w:h="16840" w:code="9"/>
          <w:pgMar w:top="1440" w:right="1275" w:bottom="1134" w:left="1440" w:header="720" w:footer="567" w:gutter="0"/>
          <w:cols w:space="708"/>
          <w:noEndnote/>
          <w:docGrid w:linePitch="326"/>
        </w:sectPr>
      </w:pPr>
      <w:r w:rsidRPr="0067297E">
        <w:rPr>
          <w:rFonts w:asciiTheme="minorHAnsi" w:hAnsiTheme="minorHAnsi" w:cs="Calibri"/>
          <w:lang w:val="en-US"/>
        </w:rPr>
        <w:t>Note: Red cells indicate rent is not affordable; Green cells indicate rent is affordable</w:t>
      </w:r>
    </w:p>
    <w:p w14:paraId="25DDF4D4" w14:textId="25AF0820" w:rsidR="009A5744" w:rsidRPr="0067297E" w:rsidRDefault="00725CA5" w:rsidP="00DD5741">
      <w:pPr>
        <w:pStyle w:val="Heading4"/>
        <w:rPr>
          <w:rFonts w:asciiTheme="minorHAnsi" w:hAnsiTheme="minorHAnsi"/>
          <w:lang w:val="en-US"/>
        </w:rPr>
      </w:pPr>
      <w:r w:rsidRPr="0067297E">
        <w:rPr>
          <w:rFonts w:asciiTheme="minorHAnsi" w:hAnsiTheme="minorHAnsi"/>
          <w:lang w:val="en-US"/>
        </w:rPr>
        <w:t>Buying a property: selected key workers and wage earners</w:t>
      </w:r>
    </w:p>
    <w:p w14:paraId="4911B26C" w14:textId="3F64BA88" w:rsidR="00A17564" w:rsidRPr="00DD5741" w:rsidRDefault="00725CA5">
      <w:pPr>
        <w:pStyle w:val="Reporttext"/>
        <w:rPr>
          <w:rFonts w:asciiTheme="minorHAnsi" w:hAnsiTheme="minorHAnsi" w:cs="Calibri"/>
        </w:rPr>
      </w:pPr>
      <w:r w:rsidRPr="0067297E">
        <w:rPr>
          <w:rFonts w:asciiTheme="minorHAnsi" w:hAnsiTheme="minorHAnsi" w:cs="Calibri"/>
          <w:lang w:val="en-US"/>
        </w:rPr>
        <w:t>Table 4.2</w:t>
      </w:r>
      <w:r w:rsidR="00116269" w:rsidRPr="0067297E">
        <w:rPr>
          <w:rFonts w:asciiTheme="minorHAnsi" w:hAnsiTheme="minorHAnsi" w:cs="Calibri"/>
          <w:lang w:val="en-US"/>
        </w:rPr>
        <w:t>2</w:t>
      </w:r>
      <w:r w:rsidRPr="0067297E">
        <w:rPr>
          <w:rFonts w:asciiTheme="minorHAnsi" w:hAnsiTheme="minorHAnsi" w:cs="Calibri"/>
          <w:lang w:val="en-US"/>
        </w:rPr>
        <w:t xml:space="preserve"> shows </w:t>
      </w:r>
      <w:r w:rsidR="00EE7946" w:rsidRPr="0067297E">
        <w:rPr>
          <w:rFonts w:asciiTheme="minorHAnsi" w:hAnsiTheme="minorHAnsi" w:cs="Calibri"/>
          <w:lang w:val="en-US"/>
        </w:rPr>
        <w:t xml:space="preserve">the buying potential (excluding deposits) </w:t>
      </w:r>
      <w:r w:rsidRPr="0067297E">
        <w:rPr>
          <w:rFonts w:asciiTheme="minorHAnsi" w:hAnsiTheme="minorHAnsi" w:cs="Calibri"/>
          <w:lang w:val="en-US"/>
        </w:rPr>
        <w:t xml:space="preserve"> </w:t>
      </w:r>
      <w:r w:rsidR="00EE7946" w:rsidRPr="0067297E">
        <w:rPr>
          <w:rFonts w:asciiTheme="minorHAnsi" w:hAnsiTheme="minorHAnsi" w:cs="Calibri"/>
          <w:lang w:val="en-US"/>
        </w:rPr>
        <w:t xml:space="preserve">for </w:t>
      </w:r>
      <w:r w:rsidR="00900F38" w:rsidRPr="0067297E">
        <w:rPr>
          <w:rFonts w:asciiTheme="minorHAnsi" w:hAnsiTheme="minorHAnsi" w:cs="Calibri"/>
          <w:lang w:val="en-US"/>
        </w:rPr>
        <w:t>selected key-workers and those on minimum and living wages</w:t>
      </w:r>
      <w:r w:rsidR="00EE7946" w:rsidRPr="0067297E">
        <w:rPr>
          <w:rFonts w:asciiTheme="minorHAnsi" w:hAnsiTheme="minorHAnsi" w:cs="Calibri"/>
          <w:lang w:val="en-US"/>
        </w:rPr>
        <w:t xml:space="preserve"> applied to borough-wide figures of £320,000 (lower quartile price) and £412,250 (median price). This shows that selected key workers would require a 12.5x income multiple to buy a lower quartile property and 15x for a median priced property</w:t>
      </w:r>
      <w:r w:rsidR="00EF2BF4" w:rsidRPr="0067297E">
        <w:rPr>
          <w:rFonts w:asciiTheme="minorHAnsi" w:hAnsiTheme="minorHAnsi" w:cs="Calibri"/>
          <w:lang w:val="en-US"/>
        </w:rPr>
        <w:t>.</w:t>
      </w:r>
    </w:p>
    <w:p w14:paraId="131CE0F3" w14:textId="77777777" w:rsidR="00022F16" w:rsidRPr="0067297E" w:rsidRDefault="00022F16">
      <w:pPr>
        <w:pStyle w:val="Reporttext"/>
        <w:numPr>
          <w:ilvl w:val="0"/>
          <w:numId w:val="0"/>
        </w:numPr>
        <w:rPr>
          <w:rFonts w:asciiTheme="minorHAnsi" w:hAnsiTheme="minorHAnsi" w:cs="Calibri"/>
          <w:sz w:val="6"/>
        </w:rPr>
      </w:pPr>
    </w:p>
    <w:p w14:paraId="08F9F1AB" w14:textId="4DBD4248" w:rsidR="00022F16" w:rsidRPr="00DD5741" w:rsidRDefault="00022F16" w:rsidP="00DD5741">
      <w:pPr>
        <w:pStyle w:val="tableheading"/>
        <w:rPr>
          <w:rFonts w:asciiTheme="minorHAnsi" w:hAnsiTheme="minorHAnsi"/>
          <w:color w:val="009999"/>
          <w:lang w:val="en-US"/>
        </w:rPr>
      </w:pPr>
      <w:bookmarkStart w:id="277" w:name="_Toc23151171"/>
      <w:r w:rsidRPr="0067297E">
        <w:rPr>
          <w:rFonts w:asciiTheme="minorHAnsi" w:hAnsiTheme="minorHAnsi"/>
          <w:color w:val="009999"/>
        </w:rPr>
        <w:t>Table 4.</w:t>
      </w:r>
      <w:r w:rsidRPr="0067297E">
        <w:rPr>
          <w:rFonts w:asciiTheme="minorHAnsi" w:hAnsiTheme="minorHAnsi"/>
          <w:color w:val="009999"/>
          <w:lang w:val="en-US"/>
        </w:rPr>
        <w:t>2</w:t>
      </w:r>
      <w:r w:rsidR="00116269" w:rsidRPr="0067297E">
        <w:rPr>
          <w:rFonts w:asciiTheme="minorHAnsi" w:hAnsiTheme="minorHAnsi"/>
          <w:color w:val="009999"/>
          <w:lang w:val="en-US"/>
        </w:rPr>
        <w:t>2</w:t>
      </w:r>
      <w:r w:rsidRPr="0067297E">
        <w:rPr>
          <w:rFonts w:asciiTheme="minorHAnsi" w:hAnsiTheme="minorHAnsi"/>
          <w:color w:val="009999"/>
          <w:lang w:val="en-US"/>
        </w:rPr>
        <w:tab/>
        <w:t>Lower quartile house prices compared with lower quartile household incomes</w:t>
      </w:r>
      <w:bookmarkEnd w:id="277"/>
    </w:p>
    <w:p w14:paraId="65918C9C" w14:textId="4BBA4F34" w:rsidR="0063681C" w:rsidRPr="0067297E" w:rsidRDefault="00022F16" w:rsidP="00213D17">
      <w:pPr>
        <w:rPr>
          <w:rFonts w:asciiTheme="minorHAnsi" w:hAnsiTheme="minorHAnsi"/>
        </w:rPr>
      </w:pPr>
      <w:r w:rsidRPr="0067297E">
        <w:rPr>
          <w:rFonts w:asciiTheme="minorHAnsi" w:hAnsiTheme="minorHAnsi"/>
          <w:noProof/>
          <w:lang w:eastAsia="en-GB"/>
        </w:rPr>
        <w:drawing>
          <wp:inline distT="0" distB="0" distL="0" distR="0" wp14:anchorId="457D5435" wp14:editId="09C2634F">
            <wp:extent cx="8147292" cy="4198620"/>
            <wp:effectExtent l="0" t="0" r="6350" b="0"/>
            <wp:docPr id="7203" name="Picture 7203" descr="Table showing Gross houshold income and buying capacity of lower quartile price propertieas based on income multiples." title="Table 4.22 Lower quartile house prices compared with lower quartile household in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156314" cy="4203270"/>
                    </a:xfrm>
                    <a:prstGeom prst="rect">
                      <a:avLst/>
                    </a:prstGeom>
                  </pic:spPr>
                </pic:pic>
              </a:graphicData>
            </a:graphic>
          </wp:inline>
        </w:drawing>
      </w:r>
    </w:p>
    <w:p w14:paraId="45DD7DDD" w14:textId="77777777" w:rsidR="00496076" w:rsidRPr="0067297E" w:rsidRDefault="00A80E37">
      <w:pPr>
        <w:pStyle w:val="Reporttext"/>
        <w:numPr>
          <w:ilvl w:val="0"/>
          <w:numId w:val="0"/>
        </w:numPr>
        <w:ind w:left="709" w:hanging="709"/>
        <w:rPr>
          <w:rFonts w:asciiTheme="minorHAnsi" w:hAnsiTheme="minorHAnsi" w:cs="Calibri"/>
          <w:lang w:val="en-US"/>
        </w:rPr>
        <w:sectPr w:rsidR="00496076" w:rsidRPr="0067297E" w:rsidSect="00496076">
          <w:headerReference w:type="default" r:id="rId80"/>
          <w:footerReference w:type="default" r:id="rId81"/>
          <w:pgSz w:w="16840" w:h="11907" w:orient="landscape" w:code="9"/>
          <w:pgMar w:top="1275" w:right="1134" w:bottom="1440" w:left="1440" w:header="720" w:footer="567" w:gutter="0"/>
          <w:cols w:space="708"/>
          <w:noEndnote/>
          <w:docGrid w:linePitch="326"/>
        </w:sectPr>
      </w:pPr>
      <w:r w:rsidRPr="0067297E">
        <w:rPr>
          <w:rFonts w:asciiTheme="minorHAnsi" w:hAnsiTheme="minorHAnsi" w:cs="Calibri"/>
          <w:lang w:val="en-US"/>
        </w:rPr>
        <w:t>Note: Red cells indicate rent is not affordable; Green cells indicate rent is affordable</w:t>
      </w:r>
    </w:p>
    <w:p w14:paraId="31237795" w14:textId="1C442920" w:rsidR="00EF2BF4" w:rsidRPr="0067297E" w:rsidRDefault="00EF2BF4" w:rsidP="00EF2BF4">
      <w:pPr>
        <w:pStyle w:val="Heading3"/>
        <w:rPr>
          <w:rFonts w:asciiTheme="minorHAnsi" w:hAnsiTheme="minorHAnsi"/>
          <w:lang w:val="en-US"/>
        </w:rPr>
      </w:pPr>
      <w:r w:rsidRPr="0067297E">
        <w:rPr>
          <w:rFonts w:asciiTheme="minorHAnsi" w:hAnsiTheme="minorHAnsi"/>
          <w:lang w:val="en-US"/>
        </w:rPr>
        <w:t>The affordability of affordable housing options</w:t>
      </w:r>
    </w:p>
    <w:p w14:paraId="49398E78" w14:textId="2E04C2F8" w:rsidR="00634AB2" w:rsidRPr="00DD5741" w:rsidRDefault="00634AB2" w:rsidP="00EF2BF4">
      <w:pPr>
        <w:pStyle w:val="Reporttext"/>
        <w:rPr>
          <w:rFonts w:asciiTheme="minorHAnsi" w:hAnsiTheme="minorHAnsi" w:cs="Calibri"/>
        </w:rPr>
      </w:pPr>
      <w:r w:rsidRPr="0067297E">
        <w:rPr>
          <w:rFonts w:asciiTheme="minorHAnsi" w:hAnsiTheme="minorHAnsi" w:cs="Calibri"/>
          <w:lang w:val="en-US"/>
        </w:rPr>
        <w:t xml:space="preserve">The final section of analysis considers the extent to which affordable housing options are genuinely affordable to households across Lewisham. This uses borough-wide data and is tested against 2018 CAMEO income data, the incomes of selected key workers and households where members are earning minimum and living wages. </w:t>
      </w:r>
      <w:r w:rsidR="00A80E37" w:rsidRPr="0067297E">
        <w:rPr>
          <w:rFonts w:asciiTheme="minorHAnsi" w:hAnsiTheme="minorHAnsi" w:cs="Calibri"/>
          <w:lang w:val="en-US"/>
        </w:rPr>
        <w:t>This analysis does not factor in benefits which may be available to households.</w:t>
      </w:r>
    </w:p>
    <w:p w14:paraId="764D3D72" w14:textId="799B2B49" w:rsidR="00A80E37" w:rsidRPr="00DD5741" w:rsidRDefault="00A80E37" w:rsidP="00EF2BF4">
      <w:pPr>
        <w:pStyle w:val="Reporttext"/>
        <w:rPr>
          <w:rFonts w:asciiTheme="minorHAnsi" w:hAnsiTheme="minorHAnsi" w:cs="Calibri"/>
        </w:rPr>
      </w:pPr>
      <w:r w:rsidRPr="0067297E">
        <w:rPr>
          <w:rFonts w:asciiTheme="minorHAnsi" w:hAnsiTheme="minorHAnsi" w:cs="Calibri"/>
          <w:lang w:val="en-US"/>
        </w:rPr>
        <w:t>For social and affordable rented tenures, Table 4.2</w:t>
      </w:r>
      <w:r w:rsidR="00116269" w:rsidRPr="0067297E">
        <w:rPr>
          <w:rFonts w:asciiTheme="minorHAnsi" w:hAnsiTheme="minorHAnsi" w:cs="Calibri"/>
          <w:lang w:val="en-US"/>
        </w:rPr>
        <w:t>3</w:t>
      </w:r>
      <w:r w:rsidRPr="0067297E">
        <w:rPr>
          <w:rFonts w:asciiTheme="minorHAnsi" w:hAnsiTheme="minorHAnsi" w:cs="Calibri"/>
          <w:lang w:val="en-US"/>
        </w:rPr>
        <w:t xml:space="preserve"> shows that social renting would be affordable to all of the selected key worker households and minimum/living wage earners (except for single minimum wage earners). London Affordable Rent would only be affordable to some of the key workers and dual full-time earning households on minimum and living wages. The London Living Rent based on 1/3 of household income would not be affordable to the selected key workers but would be affordable to dual full-time earning households on minimum and living wages </w:t>
      </w:r>
    </w:p>
    <w:p w14:paraId="45A176F3" w14:textId="1BA4A545" w:rsidR="00A80E37" w:rsidRPr="00DD5741" w:rsidRDefault="00A80E37" w:rsidP="00EF2BF4">
      <w:pPr>
        <w:pStyle w:val="Reporttext"/>
        <w:rPr>
          <w:rFonts w:asciiTheme="minorHAnsi" w:hAnsiTheme="minorHAnsi" w:cs="Calibri"/>
        </w:rPr>
      </w:pPr>
      <w:r w:rsidRPr="0067297E">
        <w:rPr>
          <w:rFonts w:asciiTheme="minorHAnsi" w:hAnsiTheme="minorHAnsi" w:cs="Calibri"/>
          <w:lang w:val="en-US"/>
        </w:rPr>
        <w:t>Table 4.2</w:t>
      </w:r>
      <w:r w:rsidR="00116269" w:rsidRPr="0067297E">
        <w:rPr>
          <w:rFonts w:asciiTheme="minorHAnsi" w:hAnsiTheme="minorHAnsi" w:cs="Calibri"/>
          <w:lang w:val="en-US"/>
        </w:rPr>
        <w:t>3</w:t>
      </w:r>
      <w:r w:rsidRPr="0067297E">
        <w:rPr>
          <w:rFonts w:asciiTheme="minorHAnsi" w:hAnsiTheme="minorHAnsi" w:cs="Calibri"/>
          <w:lang w:val="en-US"/>
        </w:rPr>
        <w:t xml:space="preserve"> also shows the basic income multiples associated with the equity components of alternative affordable purchase options. This does not take into account any rental component but would indicate that starter homes, help to buy and discounted home ownership are not realistic options except where substantial deposits can be made. </w:t>
      </w:r>
    </w:p>
    <w:p w14:paraId="7833E10D" w14:textId="42161DC1" w:rsidR="00E7731B" w:rsidRPr="0067297E" w:rsidRDefault="00E7731B" w:rsidP="00EF2BF4">
      <w:pPr>
        <w:pStyle w:val="Reporttext"/>
        <w:rPr>
          <w:rFonts w:asciiTheme="minorHAnsi" w:hAnsiTheme="minorHAnsi" w:cs="Calibri"/>
        </w:rPr>
      </w:pPr>
      <w:r w:rsidRPr="0067297E">
        <w:rPr>
          <w:rFonts w:asciiTheme="minorHAnsi" w:hAnsiTheme="minorHAnsi" w:cs="Calibri"/>
          <w:lang w:val="en-US"/>
        </w:rPr>
        <w:t xml:space="preserve">This analysis clearly demonstrates that social and affordable renting remains the most affordable tenure option available to households. The affordability of the equity components of  intermediate tenures is highly variable and the ability to access this market is minimal for the selected key workers and wage earners considered in analysis. </w:t>
      </w:r>
    </w:p>
    <w:p w14:paraId="25B877FB" w14:textId="672546D8" w:rsidR="00EF2BF4" w:rsidRPr="0067297E" w:rsidRDefault="00EF2BF4" w:rsidP="00EF2BF4">
      <w:pPr>
        <w:rPr>
          <w:rFonts w:asciiTheme="minorHAnsi" w:hAnsiTheme="minorHAnsi"/>
          <w:lang w:val="x-none"/>
        </w:rPr>
      </w:pPr>
    </w:p>
    <w:p w14:paraId="1C523061" w14:textId="1816B003" w:rsidR="00A80E37" w:rsidRPr="0067297E" w:rsidRDefault="00A80E37" w:rsidP="00EF2BF4">
      <w:pPr>
        <w:rPr>
          <w:rFonts w:asciiTheme="minorHAnsi" w:hAnsiTheme="minorHAnsi"/>
          <w:lang w:val="x-none"/>
        </w:rPr>
      </w:pPr>
    </w:p>
    <w:p w14:paraId="644A8A08" w14:textId="77777777" w:rsidR="00A80E37" w:rsidRPr="0067297E" w:rsidRDefault="00A80E37" w:rsidP="00EF2BF4">
      <w:pPr>
        <w:rPr>
          <w:rFonts w:asciiTheme="minorHAnsi" w:hAnsiTheme="minorHAnsi"/>
          <w:lang w:val="x-none"/>
        </w:rPr>
      </w:pPr>
    </w:p>
    <w:p w14:paraId="0C1D5821" w14:textId="77777777" w:rsidR="00A80E37" w:rsidRPr="0067297E" w:rsidRDefault="00A80E37" w:rsidP="00A80E37">
      <w:pPr>
        <w:pStyle w:val="tableheading"/>
        <w:rPr>
          <w:rFonts w:asciiTheme="minorHAnsi" w:hAnsiTheme="minorHAnsi"/>
          <w:color w:val="009999"/>
        </w:rPr>
        <w:sectPr w:rsidR="00A80E37" w:rsidRPr="0067297E" w:rsidSect="00496076">
          <w:headerReference w:type="default" r:id="rId82"/>
          <w:footerReference w:type="default" r:id="rId83"/>
          <w:pgSz w:w="11907" w:h="16840" w:code="9"/>
          <w:pgMar w:top="1440" w:right="1275" w:bottom="1134" w:left="1440" w:header="720" w:footer="567" w:gutter="0"/>
          <w:cols w:space="708"/>
          <w:noEndnote/>
          <w:docGrid w:linePitch="326"/>
        </w:sectPr>
      </w:pPr>
    </w:p>
    <w:p w14:paraId="4ACF0375" w14:textId="3FD2BE77" w:rsidR="00A80E37" w:rsidRPr="0067297E" w:rsidRDefault="00A80E37" w:rsidP="00A80E37">
      <w:pPr>
        <w:pStyle w:val="tableheading"/>
        <w:rPr>
          <w:rFonts w:asciiTheme="minorHAnsi" w:hAnsiTheme="minorHAnsi"/>
          <w:color w:val="009999"/>
          <w:lang w:val="en-US"/>
        </w:rPr>
      </w:pPr>
      <w:bookmarkStart w:id="278" w:name="_Toc23151172"/>
      <w:r w:rsidRPr="0067297E">
        <w:rPr>
          <w:rFonts w:asciiTheme="minorHAnsi" w:hAnsiTheme="minorHAnsi"/>
          <w:color w:val="009999"/>
        </w:rPr>
        <w:t>Table 4.</w:t>
      </w:r>
      <w:r w:rsidRPr="0067297E">
        <w:rPr>
          <w:rFonts w:asciiTheme="minorHAnsi" w:hAnsiTheme="minorHAnsi"/>
          <w:color w:val="009999"/>
          <w:lang w:val="en-US"/>
        </w:rPr>
        <w:t>2</w:t>
      </w:r>
      <w:r w:rsidR="00116269" w:rsidRPr="0067297E">
        <w:rPr>
          <w:rFonts w:asciiTheme="minorHAnsi" w:hAnsiTheme="minorHAnsi"/>
          <w:color w:val="009999"/>
          <w:lang w:val="en-US"/>
        </w:rPr>
        <w:t>3</w:t>
      </w:r>
      <w:r w:rsidRPr="0067297E">
        <w:rPr>
          <w:rFonts w:asciiTheme="minorHAnsi" w:hAnsiTheme="minorHAnsi"/>
          <w:color w:val="009999"/>
          <w:lang w:val="en-US"/>
        </w:rPr>
        <w:tab/>
        <w:t>Affordability of intermediate tenure options</w:t>
      </w:r>
      <w:bookmarkEnd w:id="278"/>
    </w:p>
    <w:p w14:paraId="4518A658" w14:textId="5EF5CB34" w:rsidR="00EE7946" w:rsidRPr="0067297E" w:rsidRDefault="00A80E37" w:rsidP="00213D17">
      <w:pPr>
        <w:rPr>
          <w:rFonts w:asciiTheme="minorHAnsi" w:hAnsiTheme="minorHAnsi"/>
        </w:rPr>
      </w:pPr>
      <w:r w:rsidRPr="0067297E">
        <w:rPr>
          <w:rFonts w:asciiTheme="minorHAnsi" w:hAnsiTheme="minorHAnsi"/>
          <w:noProof/>
          <w:lang w:eastAsia="en-GB"/>
        </w:rPr>
        <w:drawing>
          <wp:inline distT="0" distB="0" distL="0" distR="0" wp14:anchorId="16817437" wp14:editId="6F9F0E8C">
            <wp:extent cx="9075420" cy="3276600"/>
            <wp:effectExtent l="0" t="0" r="0" b="0"/>
            <wp:docPr id="5" name="Picture 5" descr="Table showing tenure options and affordability" title="Table 4.23 Affordability of intermediate tenu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108998" cy="3288723"/>
                    </a:xfrm>
                    <a:prstGeom prst="rect">
                      <a:avLst/>
                    </a:prstGeom>
                  </pic:spPr>
                </pic:pic>
              </a:graphicData>
            </a:graphic>
          </wp:inline>
        </w:drawing>
      </w:r>
    </w:p>
    <w:p w14:paraId="00CC2CBF" w14:textId="77777777" w:rsidR="00A80E37" w:rsidRPr="0067297E" w:rsidRDefault="00A80E37" w:rsidP="00DD5741">
      <w:pPr>
        <w:pStyle w:val="Reporttext"/>
        <w:numPr>
          <w:ilvl w:val="0"/>
          <w:numId w:val="0"/>
        </w:numPr>
        <w:ind w:left="709" w:hanging="709"/>
        <w:rPr>
          <w:rFonts w:asciiTheme="minorHAnsi" w:hAnsiTheme="minorHAnsi" w:cs="Calibri"/>
          <w:lang w:val="en-US"/>
        </w:rPr>
      </w:pPr>
      <w:r w:rsidRPr="0067297E">
        <w:rPr>
          <w:rFonts w:asciiTheme="minorHAnsi" w:hAnsiTheme="minorHAnsi" w:cs="Calibri"/>
          <w:lang w:val="en-US"/>
        </w:rPr>
        <w:t>Note: Red cells indicate rent is not affordable; Green cells indicate rent is affordable</w:t>
      </w:r>
    </w:p>
    <w:p w14:paraId="66CDBB75" w14:textId="2A31FAC9" w:rsidR="00A80E37" w:rsidRPr="0067297E" w:rsidRDefault="00A80E37" w:rsidP="00496076">
      <w:pPr>
        <w:rPr>
          <w:rFonts w:asciiTheme="minorHAnsi" w:hAnsiTheme="minorHAnsi"/>
        </w:rPr>
      </w:pPr>
      <w:bookmarkStart w:id="279" w:name="_Toc1385759"/>
    </w:p>
    <w:p w14:paraId="403E726A" w14:textId="77777777" w:rsidR="00A80E37" w:rsidRPr="0067297E" w:rsidRDefault="00A80E37" w:rsidP="00496076">
      <w:pPr>
        <w:rPr>
          <w:rFonts w:asciiTheme="minorHAnsi" w:hAnsiTheme="minorHAnsi"/>
        </w:rPr>
      </w:pPr>
    </w:p>
    <w:p w14:paraId="0E9643D8" w14:textId="48C171FA" w:rsidR="00D13CF1" w:rsidRPr="00DD5741" w:rsidRDefault="00D13CF1" w:rsidP="00DD5741">
      <w:pPr>
        <w:rPr>
          <w:rFonts w:asciiTheme="minorHAnsi" w:hAnsiTheme="minorHAnsi"/>
        </w:rPr>
        <w:sectPr w:rsidR="00D13CF1" w:rsidRPr="00DD5741" w:rsidSect="00DD5741">
          <w:headerReference w:type="default" r:id="rId85"/>
          <w:footerReference w:type="default" r:id="rId86"/>
          <w:pgSz w:w="16840" w:h="11907" w:orient="landscape" w:code="9"/>
          <w:pgMar w:top="1275" w:right="1134" w:bottom="1440" w:left="1440" w:header="720" w:footer="567" w:gutter="0"/>
          <w:cols w:space="708"/>
          <w:noEndnote/>
          <w:docGrid w:linePitch="326"/>
        </w:sectPr>
      </w:pPr>
    </w:p>
    <w:p w14:paraId="6EEB0553" w14:textId="4D57F840" w:rsidR="0024639C" w:rsidRPr="0067297E" w:rsidRDefault="00A80E37">
      <w:pPr>
        <w:pStyle w:val="Heading2"/>
        <w:ind w:left="0" w:firstLine="0"/>
        <w:rPr>
          <w:rFonts w:asciiTheme="minorHAnsi" w:hAnsiTheme="minorHAnsi" w:cs="Calibri"/>
        </w:rPr>
      </w:pPr>
      <w:r w:rsidRPr="0067297E">
        <w:rPr>
          <w:rFonts w:asciiTheme="minorHAnsi" w:hAnsiTheme="minorHAnsi" w:cs="Calibri"/>
        </w:rPr>
        <w:tab/>
      </w:r>
      <w:bookmarkStart w:id="280" w:name="_Toc23151074"/>
      <w:r w:rsidR="0024639C" w:rsidRPr="0067297E">
        <w:rPr>
          <w:rFonts w:asciiTheme="minorHAnsi" w:hAnsiTheme="minorHAnsi" w:cs="Calibri"/>
        </w:rPr>
        <w:t>Concluding comments</w:t>
      </w:r>
      <w:bookmarkEnd w:id="279"/>
      <w:bookmarkEnd w:id="280"/>
    </w:p>
    <w:p w14:paraId="49384673" w14:textId="2B2854B1" w:rsidR="0024639C" w:rsidRPr="0067297E" w:rsidRDefault="0024639C">
      <w:pPr>
        <w:pStyle w:val="Reporttext"/>
        <w:rPr>
          <w:rFonts w:asciiTheme="minorHAnsi" w:hAnsiTheme="minorHAnsi" w:cs="Calibri"/>
        </w:rPr>
      </w:pPr>
      <w:r w:rsidRPr="0067297E">
        <w:rPr>
          <w:rFonts w:asciiTheme="minorHAnsi" w:hAnsiTheme="minorHAnsi" w:cs="Calibri"/>
        </w:rPr>
        <w:t xml:space="preserve">The purpose of this chapter has been to </w:t>
      </w:r>
      <w:r w:rsidR="00EF04DF" w:rsidRPr="0067297E">
        <w:rPr>
          <w:rFonts w:asciiTheme="minorHAnsi" w:hAnsiTheme="minorHAnsi" w:cs="Calibri"/>
          <w:lang w:val="en-GB"/>
        </w:rPr>
        <w:t>understand the characteristics of the housing stock and consider how these char</w:t>
      </w:r>
      <w:r w:rsidR="00EF6DAA" w:rsidRPr="0067297E">
        <w:rPr>
          <w:rFonts w:asciiTheme="minorHAnsi" w:hAnsiTheme="minorHAnsi" w:cs="Calibri"/>
          <w:lang w:val="en-GB"/>
        </w:rPr>
        <w:t>ac</w:t>
      </w:r>
      <w:r w:rsidR="00EF04DF" w:rsidRPr="0067297E">
        <w:rPr>
          <w:rFonts w:asciiTheme="minorHAnsi" w:hAnsiTheme="minorHAnsi" w:cs="Calibri"/>
          <w:lang w:val="en-GB"/>
        </w:rPr>
        <w:t xml:space="preserve">teristics influence </w:t>
      </w:r>
      <w:r w:rsidRPr="0067297E">
        <w:rPr>
          <w:rFonts w:asciiTheme="minorHAnsi" w:hAnsiTheme="minorHAnsi" w:cs="Calibri"/>
        </w:rPr>
        <w:t>the current housing market dynamics affecti</w:t>
      </w:r>
      <w:r w:rsidR="00EF04DF" w:rsidRPr="0067297E">
        <w:rPr>
          <w:rFonts w:asciiTheme="minorHAnsi" w:hAnsiTheme="minorHAnsi" w:cs="Calibri"/>
        </w:rPr>
        <w:t xml:space="preserve">ng </w:t>
      </w:r>
      <w:r w:rsidRPr="0067297E">
        <w:rPr>
          <w:rFonts w:asciiTheme="minorHAnsi" w:hAnsiTheme="minorHAnsi" w:cs="Calibri"/>
        </w:rPr>
        <w:t>the housing market within the</w:t>
      </w:r>
      <w:r w:rsidR="00233530" w:rsidRPr="0067297E">
        <w:rPr>
          <w:rFonts w:asciiTheme="minorHAnsi" w:hAnsiTheme="minorHAnsi" w:cs="Calibri"/>
          <w:lang w:val="en-GB"/>
        </w:rPr>
        <w:t xml:space="preserve"> </w:t>
      </w:r>
      <w:r w:rsidR="008845C2" w:rsidRPr="0067297E">
        <w:rPr>
          <w:rFonts w:asciiTheme="minorHAnsi" w:hAnsiTheme="minorHAnsi" w:cs="Calibri"/>
          <w:lang w:val="en-GB"/>
        </w:rPr>
        <w:t>borough</w:t>
      </w:r>
      <w:r w:rsidRPr="0067297E">
        <w:rPr>
          <w:rFonts w:asciiTheme="minorHAnsi" w:hAnsiTheme="minorHAnsi" w:cs="Calibri"/>
        </w:rPr>
        <w:t xml:space="preserve">. This chapter has provided detail on the current profile of dwellings by </w:t>
      </w:r>
      <w:r w:rsidR="001A4B2D" w:rsidRPr="0067297E">
        <w:rPr>
          <w:rFonts w:asciiTheme="minorHAnsi" w:hAnsiTheme="minorHAnsi" w:cs="Calibri"/>
          <w:lang w:val="en-GB"/>
        </w:rPr>
        <w:t>tenure, type</w:t>
      </w:r>
      <w:r w:rsidRPr="0067297E">
        <w:rPr>
          <w:rFonts w:asciiTheme="minorHAnsi" w:hAnsiTheme="minorHAnsi" w:cs="Calibri"/>
        </w:rPr>
        <w:t xml:space="preserve"> and size along with property condition and property prices.</w:t>
      </w:r>
      <w:r w:rsidR="00856DA5">
        <w:rPr>
          <w:rFonts w:asciiTheme="minorHAnsi" w:hAnsiTheme="minorHAnsi" w:cs="Calibri"/>
          <w:lang w:val="en-GB"/>
        </w:rPr>
        <w:t xml:space="preserve"> The stock profile of Lewisham is similar to that of London as a whole, although the proportion of detached and semi-detached properties is slightly lower and terraced housing is slightly higher.</w:t>
      </w:r>
    </w:p>
    <w:p w14:paraId="0EF38904" w14:textId="5FC72420" w:rsidR="001A4B2D" w:rsidRPr="0067297E" w:rsidRDefault="001A4B2D">
      <w:pPr>
        <w:pStyle w:val="Reporttext"/>
        <w:rPr>
          <w:rFonts w:asciiTheme="minorHAnsi" w:hAnsiTheme="minorHAnsi" w:cs="Calibri"/>
          <w:lang w:val="en-GB"/>
        </w:rPr>
      </w:pPr>
      <w:r w:rsidRPr="0067297E">
        <w:rPr>
          <w:rFonts w:asciiTheme="minorHAnsi" w:hAnsiTheme="minorHAnsi" w:cs="Calibri"/>
          <w:lang w:val="en-GB"/>
        </w:rPr>
        <w:t>In terms of the tenure split, the 2011 Census reveals that 43.6% of households live in owner occupation, 25.3% in private rented housing</w:t>
      </w:r>
      <w:r w:rsidR="00856DA5">
        <w:rPr>
          <w:rFonts w:asciiTheme="minorHAnsi" w:hAnsiTheme="minorHAnsi" w:cs="Calibri"/>
          <w:lang w:val="en-GB"/>
        </w:rPr>
        <w:t xml:space="preserve"> (the highest in the South East sub region)</w:t>
      </w:r>
      <w:r w:rsidRPr="0067297E">
        <w:rPr>
          <w:rFonts w:asciiTheme="minorHAnsi" w:hAnsiTheme="minorHAnsi" w:cs="Calibri"/>
          <w:lang w:val="en-GB"/>
        </w:rPr>
        <w:t xml:space="preserve"> and 31.1% in affordable housing</w:t>
      </w:r>
      <w:r w:rsidR="00856DA5">
        <w:rPr>
          <w:rFonts w:asciiTheme="minorHAnsi" w:hAnsiTheme="minorHAnsi" w:cs="Calibri"/>
          <w:lang w:val="en-GB"/>
        </w:rPr>
        <w:t>, although there are variations across the borough</w:t>
      </w:r>
      <w:r w:rsidRPr="0067297E">
        <w:rPr>
          <w:rFonts w:asciiTheme="minorHAnsi" w:hAnsiTheme="minorHAnsi" w:cs="Calibri"/>
          <w:lang w:val="en-GB"/>
        </w:rPr>
        <w:t xml:space="preserve">. GLA </w:t>
      </w:r>
      <w:r w:rsidR="008845C2" w:rsidRPr="0067297E">
        <w:rPr>
          <w:rFonts w:asciiTheme="minorHAnsi" w:hAnsiTheme="minorHAnsi" w:cs="Calibri"/>
          <w:lang w:val="en-GB"/>
        </w:rPr>
        <w:t xml:space="preserve">2016 </w:t>
      </w:r>
      <w:r w:rsidRPr="0067297E">
        <w:rPr>
          <w:rFonts w:asciiTheme="minorHAnsi" w:hAnsiTheme="minorHAnsi" w:cs="Calibri"/>
          <w:lang w:val="en-GB"/>
        </w:rPr>
        <w:t>data based on the Annual Population Survey (APS) estimates that 49.2% of the housing stock in Lewisham is owner occupied, 27.6% social rented and 23.2% private rented.</w:t>
      </w:r>
      <w:r w:rsidR="00856DA5">
        <w:rPr>
          <w:rFonts w:asciiTheme="minorHAnsi" w:hAnsiTheme="minorHAnsi" w:cs="Calibri"/>
          <w:lang w:val="en-GB"/>
        </w:rPr>
        <w:t xml:space="preserve">  This is comparable with the London average, although the proportion living in affordable housing is slightly higher.</w:t>
      </w:r>
    </w:p>
    <w:p w14:paraId="2FDC0CC3" w14:textId="1D50DE69" w:rsidR="00432E16" w:rsidRPr="0067297E" w:rsidRDefault="0024639C">
      <w:pPr>
        <w:pStyle w:val="Reporttext"/>
        <w:rPr>
          <w:rFonts w:asciiTheme="minorHAnsi" w:hAnsiTheme="minorHAnsi" w:cs="Calibri"/>
        </w:rPr>
      </w:pPr>
      <w:r w:rsidRPr="0067297E">
        <w:rPr>
          <w:rFonts w:asciiTheme="minorHAnsi" w:hAnsiTheme="minorHAnsi" w:cs="Calibri"/>
        </w:rPr>
        <w:t xml:space="preserve">The </w:t>
      </w:r>
      <w:r w:rsidR="00DF349E" w:rsidRPr="0067297E">
        <w:rPr>
          <w:rFonts w:asciiTheme="minorHAnsi" w:hAnsiTheme="minorHAnsi" w:cs="Calibri"/>
          <w:lang w:val="en-GB"/>
        </w:rPr>
        <w:t>2011 Census data indicates that</w:t>
      </w:r>
      <w:r w:rsidRPr="0067297E">
        <w:rPr>
          <w:rFonts w:asciiTheme="minorHAnsi" w:hAnsiTheme="minorHAnsi" w:cs="Calibri"/>
          <w:vanish/>
        </w:rPr>
        <w:t xml:space="preserve"> </w:t>
      </w:r>
      <w:r w:rsidR="00DF349E" w:rsidRPr="0067297E">
        <w:rPr>
          <w:rFonts w:asciiTheme="minorHAnsi" w:hAnsiTheme="minorHAnsi" w:cs="Calibri"/>
          <w:vanish/>
          <w:lang w:val="en-GB"/>
        </w:rPr>
        <w:t>a high proportion</w:t>
      </w:r>
      <w:r w:rsidRPr="0067297E">
        <w:rPr>
          <w:rFonts w:asciiTheme="minorHAnsi" w:hAnsiTheme="minorHAnsi" w:cs="Calibri"/>
        </w:rPr>
        <w:t xml:space="preserve"> </w:t>
      </w:r>
      <w:r w:rsidR="008845C2" w:rsidRPr="0067297E">
        <w:rPr>
          <w:rFonts w:asciiTheme="minorHAnsi" w:hAnsiTheme="minorHAnsi" w:cs="Calibri"/>
        </w:rPr>
        <w:t xml:space="preserve">55.3% of all occupied </w:t>
      </w:r>
      <w:r w:rsidRPr="0067297E">
        <w:rPr>
          <w:rFonts w:asciiTheme="minorHAnsi" w:hAnsiTheme="minorHAnsi" w:cs="Calibri"/>
        </w:rPr>
        <w:t xml:space="preserve">properties in </w:t>
      </w:r>
      <w:r w:rsidR="00DF349E" w:rsidRPr="0067297E">
        <w:rPr>
          <w:rFonts w:asciiTheme="minorHAnsi" w:hAnsiTheme="minorHAnsi" w:cs="Calibri"/>
          <w:lang w:val="en-GB"/>
        </w:rPr>
        <w:t xml:space="preserve">the </w:t>
      </w:r>
      <w:r w:rsidR="008845C2" w:rsidRPr="0067297E">
        <w:rPr>
          <w:rFonts w:asciiTheme="minorHAnsi" w:hAnsiTheme="minorHAnsi" w:cs="Calibri"/>
          <w:lang w:val="en-GB"/>
        </w:rPr>
        <w:t>borough</w:t>
      </w:r>
      <w:r w:rsidR="00DF349E" w:rsidRPr="0067297E">
        <w:rPr>
          <w:rFonts w:asciiTheme="minorHAnsi" w:hAnsiTheme="minorHAnsi" w:cs="Calibri"/>
        </w:rPr>
        <w:t xml:space="preserve"> </w:t>
      </w:r>
      <w:r w:rsidRPr="0067297E">
        <w:rPr>
          <w:rFonts w:asciiTheme="minorHAnsi" w:hAnsiTheme="minorHAnsi" w:cs="Calibri"/>
        </w:rPr>
        <w:t>a</w:t>
      </w:r>
      <w:r w:rsidR="00432E16" w:rsidRPr="0067297E">
        <w:rPr>
          <w:rFonts w:asciiTheme="minorHAnsi" w:hAnsiTheme="minorHAnsi" w:cs="Calibri"/>
        </w:rPr>
        <w:t>re flats</w:t>
      </w:r>
      <w:r w:rsidR="00432E16" w:rsidRPr="0067297E">
        <w:rPr>
          <w:rFonts w:asciiTheme="minorHAnsi" w:hAnsiTheme="minorHAnsi" w:cs="Calibri"/>
          <w:lang w:val="en-GB"/>
        </w:rPr>
        <w:t xml:space="preserve"> and apartments. This varies significantly across tenures, with flats accounting for around three-quarters of private rented (73.5%) and social rented (71.4%) stock compared with only around one-third (33.2%) of owner</w:t>
      </w:r>
      <w:r w:rsidR="00C5084D" w:rsidRPr="0067297E">
        <w:rPr>
          <w:rFonts w:asciiTheme="minorHAnsi" w:hAnsiTheme="minorHAnsi" w:cs="Calibri"/>
          <w:lang w:val="en-GB"/>
        </w:rPr>
        <w:t>-</w:t>
      </w:r>
      <w:r w:rsidR="00432E16" w:rsidRPr="0067297E">
        <w:rPr>
          <w:rFonts w:asciiTheme="minorHAnsi" w:hAnsiTheme="minorHAnsi" w:cs="Calibri"/>
          <w:lang w:val="en-GB"/>
        </w:rPr>
        <w:t>occupied properties. Across all properties, 44.7% are houses or bungalows (of which 28.3% are terraced, 13.2% semi-detached and 3.3% detached).</w:t>
      </w:r>
    </w:p>
    <w:p w14:paraId="27E2520F" w14:textId="0A372554" w:rsidR="0024639C" w:rsidRPr="0067297E" w:rsidRDefault="00432E16">
      <w:pPr>
        <w:pStyle w:val="Reporttext"/>
        <w:rPr>
          <w:rFonts w:asciiTheme="minorHAnsi" w:hAnsiTheme="minorHAnsi" w:cs="Calibri"/>
        </w:rPr>
      </w:pPr>
      <w:r w:rsidRPr="0067297E">
        <w:rPr>
          <w:rFonts w:asciiTheme="minorHAnsi" w:hAnsiTheme="minorHAnsi" w:cs="Calibri"/>
          <w:lang w:val="en-GB"/>
        </w:rPr>
        <w:t>Census data indicates similar trends in relation to property size. Whilst 58.5% of all housing stock has one or two bedrooms, this rises to 74.1% of private rented housing and 71.5% of social rented housing compared with only 40.4% of owner</w:t>
      </w:r>
      <w:r w:rsidR="00C5084D" w:rsidRPr="0067297E">
        <w:rPr>
          <w:rFonts w:asciiTheme="minorHAnsi" w:hAnsiTheme="minorHAnsi" w:cs="Calibri"/>
          <w:lang w:val="en-GB"/>
        </w:rPr>
        <w:t>-</w:t>
      </w:r>
      <w:r w:rsidRPr="0067297E">
        <w:rPr>
          <w:rFonts w:asciiTheme="minorHAnsi" w:hAnsiTheme="minorHAnsi" w:cs="Calibri"/>
          <w:lang w:val="en-GB"/>
        </w:rPr>
        <w:t>o</w:t>
      </w:r>
      <w:r w:rsidR="008845C2" w:rsidRPr="0067297E">
        <w:rPr>
          <w:rFonts w:asciiTheme="minorHAnsi" w:hAnsiTheme="minorHAnsi" w:cs="Calibri"/>
          <w:lang w:val="en-GB"/>
        </w:rPr>
        <w:t>ccupied properties. Across the b</w:t>
      </w:r>
      <w:r w:rsidRPr="0067297E">
        <w:rPr>
          <w:rFonts w:asciiTheme="minorHAnsi" w:hAnsiTheme="minorHAnsi" w:cs="Calibri"/>
          <w:lang w:val="en-GB"/>
        </w:rPr>
        <w:t>orough, 30.2% of dwellings have three bedrooms and 11.3% have four or more bedrooms, although a total of 59.6% of owner</w:t>
      </w:r>
      <w:r w:rsidR="00C5084D" w:rsidRPr="0067297E">
        <w:rPr>
          <w:rFonts w:asciiTheme="minorHAnsi" w:hAnsiTheme="minorHAnsi" w:cs="Calibri"/>
          <w:lang w:val="en-GB"/>
        </w:rPr>
        <w:t>-</w:t>
      </w:r>
      <w:r w:rsidRPr="0067297E">
        <w:rPr>
          <w:rFonts w:asciiTheme="minorHAnsi" w:hAnsiTheme="minorHAnsi" w:cs="Calibri"/>
          <w:lang w:val="en-GB"/>
        </w:rPr>
        <w:t>occupied properties have three or more bedrooms (compared with 25.9% of private rented and 28.5% of social rented</w:t>
      </w:r>
      <w:r w:rsidR="001A4B2D" w:rsidRPr="0067297E">
        <w:rPr>
          <w:rFonts w:asciiTheme="minorHAnsi" w:hAnsiTheme="minorHAnsi" w:cs="Calibri"/>
          <w:lang w:val="en-GB"/>
        </w:rPr>
        <w:t xml:space="preserve"> housing</w:t>
      </w:r>
      <w:r w:rsidRPr="0067297E">
        <w:rPr>
          <w:rFonts w:asciiTheme="minorHAnsi" w:hAnsiTheme="minorHAnsi" w:cs="Calibri"/>
          <w:lang w:val="en-GB"/>
        </w:rPr>
        <w:t>).</w:t>
      </w:r>
      <w:r w:rsidR="0024639C" w:rsidRPr="0067297E">
        <w:rPr>
          <w:rFonts w:asciiTheme="minorHAnsi" w:hAnsiTheme="minorHAnsi" w:cs="Calibri"/>
        </w:rPr>
        <w:t xml:space="preserve"> </w:t>
      </w:r>
    </w:p>
    <w:p w14:paraId="3072CC49" w14:textId="77777777" w:rsidR="0024639C" w:rsidRPr="0067297E" w:rsidRDefault="001A4B2D">
      <w:pPr>
        <w:pStyle w:val="Reporttext"/>
        <w:rPr>
          <w:rFonts w:asciiTheme="minorHAnsi" w:hAnsiTheme="minorHAnsi" w:cs="Calibri"/>
        </w:rPr>
      </w:pPr>
      <w:r w:rsidRPr="0067297E">
        <w:rPr>
          <w:rFonts w:asciiTheme="minorHAnsi" w:hAnsiTheme="minorHAnsi" w:cs="Calibri"/>
          <w:lang w:val="en-GB"/>
        </w:rPr>
        <w:t>An</w:t>
      </w:r>
      <w:r w:rsidR="0024639C" w:rsidRPr="0067297E">
        <w:rPr>
          <w:rFonts w:asciiTheme="minorHAnsi" w:hAnsiTheme="minorHAnsi" w:cs="Calibri"/>
        </w:rPr>
        <w:t xml:space="preserve"> analysis of house prices and private rental costs indicates that open market housing has become hugely more expensive in the </w:t>
      </w:r>
      <w:r w:rsidR="008845C2" w:rsidRPr="0067297E">
        <w:rPr>
          <w:rFonts w:asciiTheme="minorHAnsi" w:hAnsiTheme="minorHAnsi" w:cs="Calibri"/>
          <w:lang w:val="en-GB"/>
        </w:rPr>
        <w:t>b</w:t>
      </w:r>
      <w:r w:rsidR="00233530" w:rsidRPr="0067297E">
        <w:rPr>
          <w:rFonts w:asciiTheme="minorHAnsi" w:hAnsiTheme="minorHAnsi" w:cs="Calibri"/>
          <w:lang w:val="en-GB"/>
        </w:rPr>
        <w:t xml:space="preserve">orough </w:t>
      </w:r>
      <w:r w:rsidR="00233530" w:rsidRPr="0067297E">
        <w:rPr>
          <w:rFonts w:asciiTheme="minorHAnsi" w:hAnsiTheme="minorHAnsi" w:cs="Calibri"/>
        </w:rPr>
        <w:t>in recent years</w:t>
      </w:r>
      <w:r w:rsidR="00233530" w:rsidRPr="0067297E">
        <w:rPr>
          <w:rFonts w:asciiTheme="minorHAnsi" w:hAnsiTheme="minorHAnsi" w:cs="Calibri"/>
          <w:lang w:val="en-GB"/>
        </w:rPr>
        <w:t xml:space="preserve"> and remain</w:t>
      </w:r>
      <w:r w:rsidR="0032430E" w:rsidRPr="0067297E">
        <w:rPr>
          <w:rFonts w:asciiTheme="minorHAnsi" w:hAnsiTheme="minorHAnsi" w:cs="Calibri"/>
          <w:lang w:val="en-GB"/>
        </w:rPr>
        <w:t>s</w:t>
      </w:r>
      <w:r w:rsidR="00233530" w:rsidRPr="0067297E">
        <w:rPr>
          <w:rFonts w:asciiTheme="minorHAnsi" w:hAnsiTheme="minorHAnsi" w:cs="Calibri"/>
          <w:lang w:val="en-GB"/>
        </w:rPr>
        <w:t xml:space="preserve"> above the </w:t>
      </w:r>
      <w:r w:rsidR="00CD5674" w:rsidRPr="0067297E">
        <w:rPr>
          <w:rFonts w:asciiTheme="minorHAnsi" w:hAnsiTheme="minorHAnsi" w:cs="Calibri"/>
          <w:lang w:val="en-GB"/>
        </w:rPr>
        <w:t>national</w:t>
      </w:r>
      <w:r w:rsidR="00233530" w:rsidRPr="0067297E">
        <w:rPr>
          <w:rFonts w:asciiTheme="minorHAnsi" w:hAnsiTheme="minorHAnsi" w:cs="Calibri"/>
          <w:lang w:val="en-GB"/>
        </w:rPr>
        <w:t xml:space="preserve"> averages.</w:t>
      </w:r>
    </w:p>
    <w:p w14:paraId="332AD8F2" w14:textId="1EB921C5" w:rsidR="00720FA6" w:rsidRPr="001F7F65" w:rsidRDefault="00720FA6" w:rsidP="001F7F65">
      <w:pPr>
        <w:pStyle w:val="Reporttext"/>
        <w:rPr>
          <w:rFonts w:asciiTheme="minorHAnsi" w:hAnsiTheme="minorHAnsi" w:cs="Calibri"/>
        </w:rPr>
      </w:pPr>
      <w:r w:rsidRPr="001F7F65">
        <w:rPr>
          <w:rFonts w:asciiTheme="minorHAnsi" w:hAnsiTheme="minorHAnsi" w:cs="Calibri"/>
          <w:lang w:val="en-US"/>
        </w:rPr>
        <w:t>The chapter has considered the affordability of housing options in considerable detail. Analysis has estab</w:t>
      </w:r>
      <w:r w:rsidR="00E7731B" w:rsidRPr="001F7F65">
        <w:rPr>
          <w:rFonts w:asciiTheme="minorHAnsi" w:hAnsiTheme="minorHAnsi" w:cs="Calibri"/>
          <w:lang w:val="en-US"/>
        </w:rPr>
        <w:t>lished</w:t>
      </w:r>
      <w:r w:rsidRPr="001F7F65">
        <w:rPr>
          <w:rFonts w:asciiTheme="minorHAnsi" w:hAnsiTheme="minorHAnsi" w:cs="Calibri"/>
          <w:lang w:val="en-US"/>
        </w:rPr>
        <w:t xml:space="preserve"> the levels of income required to afford open market prices and rents and affordable tenure options. These have then been tested against </w:t>
      </w:r>
      <w:r w:rsidR="00E7731B" w:rsidRPr="001F7F65">
        <w:rPr>
          <w:rFonts w:asciiTheme="minorHAnsi" w:hAnsiTheme="minorHAnsi" w:cs="Calibri"/>
          <w:lang w:val="en-US"/>
        </w:rPr>
        <w:t xml:space="preserve">local incomes and the incomes of selected key workers and those on minimum and living wages. </w:t>
      </w:r>
      <w:r w:rsidR="001F7F65" w:rsidRPr="001F7F65">
        <w:t xml:space="preserve"> </w:t>
      </w:r>
      <w:r w:rsidR="001F7F65" w:rsidRPr="001F7F65">
        <w:rPr>
          <w:rFonts w:asciiTheme="minorHAnsi" w:hAnsiTheme="minorHAnsi" w:cs="Calibri"/>
          <w:lang w:val="en-US"/>
        </w:rPr>
        <w:t xml:space="preserve">Assuming 35% of income is spent on housing, only social rented is affordable to households on lower quartile income.  There are nine wards where even if 50% of lower quartile income was spent on rent, it would not reach current rent prices. Furthermore, households on lower quartile and median incomes cannot afford intermediate tenure affordable products, especially those without existing equity or savings. Income multiples of 12.5 x would be needed to access lower quartile property prices and even then they would only be affordable in four wards.  </w:t>
      </w:r>
    </w:p>
    <w:p w14:paraId="765B9296" w14:textId="75544315" w:rsidR="00E7731B" w:rsidRPr="009F28F8" w:rsidRDefault="00E7731B">
      <w:pPr>
        <w:pStyle w:val="Reporttext"/>
        <w:rPr>
          <w:rFonts w:asciiTheme="minorHAnsi" w:hAnsiTheme="minorHAnsi" w:cs="Calibri"/>
        </w:rPr>
      </w:pPr>
      <w:r w:rsidRPr="0067297E">
        <w:rPr>
          <w:rFonts w:asciiTheme="minorHAnsi" w:hAnsiTheme="minorHAnsi" w:cs="Calibri"/>
          <w:lang w:val="en-US"/>
        </w:rPr>
        <w:t>Using the evidence presented in this chapter, it is possible to establish what would be a genuinely affordable rent and purchase price across the Borough</w:t>
      </w:r>
      <w:r w:rsidR="007C1817" w:rsidRPr="0067297E">
        <w:rPr>
          <w:rFonts w:asciiTheme="minorHAnsi" w:hAnsiTheme="minorHAnsi" w:cs="Calibri"/>
          <w:lang w:val="en-US"/>
        </w:rPr>
        <w:t xml:space="preserve"> (Table 4.2</w:t>
      </w:r>
      <w:r w:rsidR="00116269" w:rsidRPr="0067297E">
        <w:rPr>
          <w:rFonts w:asciiTheme="minorHAnsi" w:hAnsiTheme="minorHAnsi" w:cs="Calibri"/>
          <w:lang w:val="en-US"/>
        </w:rPr>
        <w:t>4</w:t>
      </w:r>
      <w:r w:rsidR="007C1817" w:rsidRPr="0067297E">
        <w:rPr>
          <w:rFonts w:asciiTheme="minorHAnsi" w:hAnsiTheme="minorHAnsi" w:cs="Calibri"/>
          <w:lang w:val="en-US"/>
        </w:rPr>
        <w:t xml:space="preserve">). This is based on local incomes and assumes that no more than 35% of income is spent on a rent and </w:t>
      </w:r>
      <w:r w:rsidR="009761E8" w:rsidRPr="0067297E">
        <w:rPr>
          <w:rFonts w:asciiTheme="minorHAnsi" w:hAnsiTheme="minorHAnsi" w:cs="Calibri"/>
          <w:lang w:val="en-US"/>
        </w:rPr>
        <w:t>a household income multiple of 3.5x is applied to local household incomes.</w:t>
      </w:r>
    </w:p>
    <w:p w14:paraId="215A7788" w14:textId="133F2351" w:rsidR="00496076" w:rsidRPr="0067297E" w:rsidRDefault="00496076">
      <w:pPr>
        <w:rPr>
          <w:rFonts w:asciiTheme="minorHAnsi" w:hAnsiTheme="minorHAnsi" w:cs="Calibri"/>
          <w:lang w:val="x-none"/>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232"/>
        <w:gridCol w:w="1511"/>
        <w:gridCol w:w="1511"/>
        <w:gridCol w:w="1882"/>
        <w:gridCol w:w="2046"/>
      </w:tblGrid>
      <w:tr w:rsidR="00496076" w:rsidRPr="00A406E8" w:rsidDel="00057E49" w14:paraId="4D97646F" w14:textId="3958CA05" w:rsidTr="00426BD8">
        <w:trPr>
          <w:tblHeader/>
        </w:trPr>
        <w:tc>
          <w:tcPr>
            <w:tcW w:w="5000" w:type="pct"/>
            <w:gridSpan w:val="5"/>
            <w:shd w:val="clear" w:color="000000" w:fill="009193"/>
            <w:noWrap/>
            <w:vAlign w:val="center"/>
          </w:tcPr>
          <w:p w14:paraId="4C936506" w14:textId="65CD948A" w:rsidR="00496076" w:rsidRPr="00A406E8" w:rsidDel="00057E49" w:rsidRDefault="00496076" w:rsidP="00496076">
            <w:pPr>
              <w:pStyle w:val="tableheading"/>
              <w:rPr>
                <w:rFonts w:asciiTheme="minorHAnsi" w:hAnsiTheme="minorHAnsi"/>
                <w:szCs w:val="22"/>
              </w:rPr>
            </w:pPr>
            <w:bookmarkStart w:id="281" w:name="_Toc23151173"/>
            <w:r w:rsidRPr="00A406E8" w:rsidDel="00057E49">
              <w:rPr>
                <w:rFonts w:asciiTheme="minorHAnsi" w:hAnsiTheme="minorHAnsi"/>
                <w:szCs w:val="22"/>
              </w:rPr>
              <w:t>Table 4.</w:t>
            </w:r>
            <w:r w:rsidRPr="00A406E8" w:rsidDel="00057E49">
              <w:rPr>
                <w:rFonts w:asciiTheme="minorHAnsi" w:hAnsiTheme="minorHAnsi"/>
                <w:szCs w:val="22"/>
                <w:lang w:val="en-US"/>
              </w:rPr>
              <w:t>24</w:t>
            </w:r>
            <w:r w:rsidRPr="00A406E8" w:rsidDel="00057E49">
              <w:rPr>
                <w:rFonts w:asciiTheme="minorHAnsi" w:hAnsiTheme="minorHAnsi"/>
                <w:szCs w:val="22"/>
                <w:lang w:val="en-US"/>
              </w:rPr>
              <w:tab/>
              <w:t>Genuinely affordable rents and purchase prices by ward</w:t>
            </w:r>
            <w:bookmarkEnd w:id="281"/>
          </w:p>
        </w:tc>
      </w:tr>
      <w:tr w:rsidR="007C1817" w:rsidRPr="00A406E8" w:rsidDel="00057E49" w14:paraId="46C66E51" w14:textId="43A23AC1" w:rsidTr="00496076">
        <w:tc>
          <w:tcPr>
            <w:tcW w:w="1215" w:type="pct"/>
            <w:shd w:val="clear" w:color="000000" w:fill="009193"/>
            <w:noWrap/>
            <w:vAlign w:val="center"/>
            <w:hideMark/>
          </w:tcPr>
          <w:p w14:paraId="359FCC87" w14:textId="1E4AEBB3" w:rsidR="007C1817" w:rsidRPr="00A406E8" w:rsidDel="00057E49" w:rsidRDefault="007C1817" w:rsidP="00496076">
            <w:pPr>
              <w:rPr>
                <w:rFonts w:asciiTheme="minorHAnsi" w:hAnsiTheme="minorHAnsi" w:cs="Calibri"/>
                <w:b/>
                <w:bCs/>
                <w:color w:val="FFFFFF"/>
                <w:sz w:val="22"/>
                <w:szCs w:val="22"/>
              </w:rPr>
            </w:pPr>
            <w:r w:rsidRPr="00A406E8" w:rsidDel="00057E49">
              <w:rPr>
                <w:rFonts w:asciiTheme="minorHAnsi" w:hAnsiTheme="minorHAnsi" w:cs="Calibri"/>
                <w:b/>
                <w:bCs/>
                <w:color w:val="FFFFFF"/>
                <w:sz w:val="22"/>
                <w:szCs w:val="22"/>
              </w:rPr>
              <w:t>Ward</w:t>
            </w:r>
          </w:p>
        </w:tc>
        <w:tc>
          <w:tcPr>
            <w:tcW w:w="823" w:type="pct"/>
            <w:shd w:val="clear" w:color="000000" w:fill="009193"/>
            <w:vAlign w:val="center"/>
            <w:hideMark/>
          </w:tcPr>
          <w:p w14:paraId="4E762EDC" w14:textId="3B40E940" w:rsidR="007C1817" w:rsidRPr="00A406E8" w:rsidDel="00057E49" w:rsidRDefault="007C1817" w:rsidP="00496076">
            <w:pPr>
              <w:jc w:val="center"/>
              <w:rPr>
                <w:rFonts w:asciiTheme="minorHAnsi" w:hAnsiTheme="minorHAnsi" w:cs="Calibri"/>
                <w:b/>
                <w:bCs/>
                <w:color w:val="FFFFFF"/>
                <w:sz w:val="22"/>
                <w:szCs w:val="22"/>
              </w:rPr>
            </w:pPr>
            <w:r w:rsidRPr="00A406E8" w:rsidDel="00057E49">
              <w:rPr>
                <w:rFonts w:asciiTheme="minorHAnsi" w:hAnsiTheme="minorHAnsi" w:cs="Calibri"/>
                <w:b/>
                <w:bCs/>
                <w:color w:val="FFFFFF"/>
                <w:sz w:val="22"/>
                <w:szCs w:val="22"/>
              </w:rPr>
              <w:t>Lower Quartile Rents (35% of income)</w:t>
            </w:r>
          </w:p>
        </w:tc>
        <w:tc>
          <w:tcPr>
            <w:tcW w:w="823" w:type="pct"/>
            <w:shd w:val="clear" w:color="000000" w:fill="009193"/>
            <w:vAlign w:val="center"/>
            <w:hideMark/>
          </w:tcPr>
          <w:p w14:paraId="26F08344" w14:textId="44411112" w:rsidR="007C1817" w:rsidRPr="00A406E8" w:rsidDel="00057E49" w:rsidRDefault="007C1817" w:rsidP="00496076">
            <w:pPr>
              <w:jc w:val="center"/>
              <w:rPr>
                <w:rFonts w:asciiTheme="minorHAnsi" w:hAnsiTheme="minorHAnsi" w:cs="Calibri"/>
                <w:b/>
                <w:bCs/>
                <w:color w:val="FFFFFF"/>
                <w:sz w:val="22"/>
                <w:szCs w:val="22"/>
              </w:rPr>
            </w:pPr>
            <w:r w:rsidRPr="00A406E8" w:rsidDel="00057E49">
              <w:rPr>
                <w:rFonts w:asciiTheme="minorHAnsi" w:hAnsiTheme="minorHAnsi" w:cs="Calibri"/>
                <w:b/>
                <w:bCs/>
                <w:color w:val="FFFFFF"/>
                <w:sz w:val="22"/>
                <w:szCs w:val="22"/>
              </w:rPr>
              <w:t>Median Rents (35% of income)</w:t>
            </w:r>
          </w:p>
        </w:tc>
        <w:tc>
          <w:tcPr>
            <w:tcW w:w="1025" w:type="pct"/>
            <w:shd w:val="clear" w:color="000000" w:fill="009193"/>
            <w:vAlign w:val="center"/>
            <w:hideMark/>
          </w:tcPr>
          <w:p w14:paraId="73E89D45" w14:textId="0BF92943" w:rsidR="007C1817" w:rsidRPr="00A406E8" w:rsidDel="00057E49" w:rsidRDefault="007C1817" w:rsidP="00496076">
            <w:pPr>
              <w:jc w:val="center"/>
              <w:rPr>
                <w:rFonts w:asciiTheme="minorHAnsi" w:hAnsiTheme="minorHAnsi" w:cs="Calibri"/>
                <w:b/>
                <w:bCs/>
                <w:color w:val="FFFFFF"/>
                <w:sz w:val="22"/>
                <w:szCs w:val="22"/>
              </w:rPr>
            </w:pPr>
            <w:r w:rsidRPr="00A406E8" w:rsidDel="00057E49">
              <w:rPr>
                <w:rFonts w:asciiTheme="minorHAnsi" w:hAnsiTheme="minorHAnsi" w:cs="Calibri"/>
                <w:b/>
                <w:bCs/>
                <w:color w:val="FFFFFF"/>
                <w:sz w:val="22"/>
                <w:szCs w:val="22"/>
              </w:rPr>
              <w:t>Lower quartile purchase (3.5x income multiple</w:t>
            </w:r>
          </w:p>
        </w:tc>
        <w:tc>
          <w:tcPr>
            <w:tcW w:w="1114" w:type="pct"/>
            <w:shd w:val="clear" w:color="000000" w:fill="009193"/>
            <w:vAlign w:val="center"/>
            <w:hideMark/>
          </w:tcPr>
          <w:p w14:paraId="3DE64A8A" w14:textId="70B0A476" w:rsidR="007C1817" w:rsidRPr="00A406E8" w:rsidDel="00057E49" w:rsidRDefault="007C1817" w:rsidP="00496076">
            <w:pPr>
              <w:jc w:val="center"/>
              <w:rPr>
                <w:rFonts w:asciiTheme="minorHAnsi" w:hAnsiTheme="minorHAnsi" w:cs="Calibri"/>
                <w:b/>
                <w:bCs/>
                <w:color w:val="FFFFFF"/>
                <w:sz w:val="22"/>
                <w:szCs w:val="22"/>
              </w:rPr>
            </w:pPr>
            <w:r w:rsidRPr="00A406E8" w:rsidDel="00057E49">
              <w:rPr>
                <w:rFonts w:asciiTheme="minorHAnsi" w:hAnsiTheme="minorHAnsi" w:cs="Calibri"/>
                <w:b/>
                <w:bCs/>
                <w:color w:val="FFFFFF"/>
                <w:sz w:val="22"/>
                <w:szCs w:val="22"/>
              </w:rPr>
              <w:t>Median purchase (3.5x income multiple</w:t>
            </w:r>
          </w:p>
        </w:tc>
      </w:tr>
      <w:tr w:rsidR="007C1817" w:rsidRPr="00A406E8" w:rsidDel="00057E49" w14:paraId="28611A65" w14:textId="6F84E3DB" w:rsidTr="00496076">
        <w:tc>
          <w:tcPr>
            <w:tcW w:w="1215" w:type="pct"/>
            <w:shd w:val="clear" w:color="auto" w:fill="auto"/>
            <w:vAlign w:val="center"/>
            <w:hideMark/>
          </w:tcPr>
          <w:p w14:paraId="4582FFA1" w14:textId="41B4C991"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Bellingham</w:t>
            </w:r>
          </w:p>
        </w:tc>
        <w:tc>
          <w:tcPr>
            <w:tcW w:w="823" w:type="pct"/>
            <w:shd w:val="clear" w:color="auto" w:fill="auto"/>
            <w:noWrap/>
            <w:vAlign w:val="center"/>
            <w:hideMark/>
          </w:tcPr>
          <w:p w14:paraId="4D959409" w14:textId="4FA59624"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£438</w:t>
            </w:r>
          </w:p>
        </w:tc>
        <w:tc>
          <w:tcPr>
            <w:tcW w:w="823" w:type="pct"/>
            <w:shd w:val="clear" w:color="auto" w:fill="auto"/>
            <w:noWrap/>
            <w:vAlign w:val="center"/>
            <w:hideMark/>
          </w:tcPr>
          <w:p w14:paraId="7E5D0138" w14:textId="1E7DD472"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1025" w:type="pct"/>
            <w:shd w:val="clear" w:color="auto" w:fill="auto"/>
            <w:noWrap/>
            <w:vAlign w:val="center"/>
            <w:hideMark/>
          </w:tcPr>
          <w:p w14:paraId="5104CD62" w14:textId="5C4BEC6F"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£75,000</w:t>
            </w:r>
          </w:p>
        </w:tc>
        <w:tc>
          <w:tcPr>
            <w:tcW w:w="1114" w:type="pct"/>
            <w:shd w:val="clear" w:color="auto" w:fill="auto"/>
            <w:noWrap/>
            <w:vAlign w:val="center"/>
            <w:hideMark/>
          </w:tcPr>
          <w:p w14:paraId="4048152C" w14:textId="67BA420D"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r>
      <w:tr w:rsidR="007C1817" w:rsidRPr="00A406E8" w:rsidDel="00057E49" w14:paraId="77681E73" w14:textId="5D41C011" w:rsidTr="00496076">
        <w:tc>
          <w:tcPr>
            <w:tcW w:w="1215" w:type="pct"/>
            <w:shd w:val="clear" w:color="auto" w:fill="auto"/>
            <w:vAlign w:val="center"/>
            <w:hideMark/>
          </w:tcPr>
          <w:p w14:paraId="303E4D43" w14:textId="5826416B"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Blackheath</w:t>
            </w:r>
          </w:p>
        </w:tc>
        <w:tc>
          <w:tcPr>
            <w:tcW w:w="823" w:type="pct"/>
            <w:shd w:val="clear" w:color="auto" w:fill="auto"/>
            <w:noWrap/>
            <w:vAlign w:val="center"/>
            <w:hideMark/>
          </w:tcPr>
          <w:p w14:paraId="6126E27F" w14:textId="4EA87F43"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823" w:type="pct"/>
            <w:shd w:val="clear" w:color="auto" w:fill="auto"/>
            <w:noWrap/>
            <w:vAlign w:val="center"/>
            <w:hideMark/>
          </w:tcPr>
          <w:p w14:paraId="2BCC1634" w14:textId="3126FB91"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£1,313</w:t>
            </w:r>
          </w:p>
        </w:tc>
        <w:tc>
          <w:tcPr>
            <w:tcW w:w="1025" w:type="pct"/>
            <w:shd w:val="clear" w:color="auto" w:fill="auto"/>
            <w:noWrap/>
            <w:vAlign w:val="center"/>
            <w:hideMark/>
          </w:tcPr>
          <w:p w14:paraId="4F7C8A3A" w14:textId="3F8DB56E"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c>
          <w:tcPr>
            <w:tcW w:w="1114" w:type="pct"/>
            <w:shd w:val="clear" w:color="auto" w:fill="auto"/>
            <w:noWrap/>
            <w:vAlign w:val="center"/>
            <w:hideMark/>
          </w:tcPr>
          <w:p w14:paraId="77CFBBE4" w14:textId="3A7608F0"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£225,000</w:t>
            </w:r>
          </w:p>
        </w:tc>
      </w:tr>
      <w:tr w:rsidR="007C1817" w:rsidRPr="00A406E8" w:rsidDel="00057E49" w14:paraId="3717535D" w14:textId="13D55873" w:rsidTr="00496076">
        <w:tc>
          <w:tcPr>
            <w:tcW w:w="1215" w:type="pct"/>
            <w:shd w:val="clear" w:color="auto" w:fill="auto"/>
            <w:vAlign w:val="center"/>
            <w:hideMark/>
          </w:tcPr>
          <w:p w14:paraId="70650F18" w14:textId="3E72470F"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Brockley</w:t>
            </w:r>
          </w:p>
        </w:tc>
        <w:tc>
          <w:tcPr>
            <w:tcW w:w="823" w:type="pct"/>
            <w:shd w:val="clear" w:color="auto" w:fill="auto"/>
            <w:noWrap/>
            <w:vAlign w:val="center"/>
            <w:hideMark/>
          </w:tcPr>
          <w:p w14:paraId="70010C85" w14:textId="411CE018"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£438</w:t>
            </w:r>
          </w:p>
        </w:tc>
        <w:tc>
          <w:tcPr>
            <w:tcW w:w="823" w:type="pct"/>
            <w:shd w:val="clear" w:color="auto" w:fill="auto"/>
            <w:noWrap/>
            <w:vAlign w:val="center"/>
            <w:hideMark/>
          </w:tcPr>
          <w:p w14:paraId="734A2D72" w14:textId="0BCDC3CD"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1025" w:type="pct"/>
            <w:shd w:val="clear" w:color="auto" w:fill="auto"/>
            <w:noWrap/>
            <w:vAlign w:val="center"/>
            <w:hideMark/>
          </w:tcPr>
          <w:p w14:paraId="7FBE543D" w14:textId="6FDD4318"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£75,000</w:t>
            </w:r>
          </w:p>
        </w:tc>
        <w:tc>
          <w:tcPr>
            <w:tcW w:w="1114" w:type="pct"/>
            <w:shd w:val="clear" w:color="auto" w:fill="auto"/>
            <w:noWrap/>
            <w:vAlign w:val="center"/>
            <w:hideMark/>
          </w:tcPr>
          <w:p w14:paraId="43B2A2AB" w14:textId="1663F5B2"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r>
      <w:tr w:rsidR="007C1817" w:rsidRPr="00A406E8" w:rsidDel="00057E49" w14:paraId="4F7A1A08" w14:textId="6030030C" w:rsidTr="00496076">
        <w:tc>
          <w:tcPr>
            <w:tcW w:w="1215" w:type="pct"/>
            <w:shd w:val="clear" w:color="auto" w:fill="auto"/>
            <w:vAlign w:val="center"/>
            <w:hideMark/>
          </w:tcPr>
          <w:p w14:paraId="14E5D714" w14:textId="7AAF02C0"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Catford South</w:t>
            </w:r>
          </w:p>
        </w:tc>
        <w:tc>
          <w:tcPr>
            <w:tcW w:w="823" w:type="pct"/>
            <w:shd w:val="clear" w:color="auto" w:fill="auto"/>
            <w:noWrap/>
            <w:vAlign w:val="center"/>
            <w:hideMark/>
          </w:tcPr>
          <w:p w14:paraId="5078C7E5" w14:textId="27096AD3"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£1,021</w:t>
            </w:r>
          </w:p>
        </w:tc>
        <w:tc>
          <w:tcPr>
            <w:tcW w:w="823" w:type="pct"/>
            <w:shd w:val="clear" w:color="auto" w:fill="auto"/>
            <w:noWrap/>
            <w:vAlign w:val="center"/>
            <w:hideMark/>
          </w:tcPr>
          <w:p w14:paraId="44998DC8" w14:textId="2F53E9DC"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£1,021</w:t>
            </w:r>
          </w:p>
        </w:tc>
        <w:tc>
          <w:tcPr>
            <w:tcW w:w="1025" w:type="pct"/>
            <w:shd w:val="clear" w:color="auto" w:fill="auto"/>
            <w:noWrap/>
            <w:vAlign w:val="center"/>
            <w:hideMark/>
          </w:tcPr>
          <w:p w14:paraId="51E11995" w14:textId="413F6228"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£175,000</w:t>
            </w:r>
          </w:p>
        </w:tc>
        <w:tc>
          <w:tcPr>
            <w:tcW w:w="1114" w:type="pct"/>
            <w:shd w:val="clear" w:color="auto" w:fill="auto"/>
            <w:noWrap/>
            <w:vAlign w:val="center"/>
            <w:hideMark/>
          </w:tcPr>
          <w:p w14:paraId="439F407F" w14:textId="37A56C14"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£175,000</w:t>
            </w:r>
          </w:p>
        </w:tc>
      </w:tr>
      <w:tr w:rsidR="007C1817" w:rsidRPr="00A406E8" w:rsidDel="00057E49" w14:paraId="6F32BD11" w14:textId="4B265306" w:rsidTr="00496076">
        <w:tc>
          <w:tcPr>
            <w:tcW w:w="1215" w:type="pct"/>
            <w:shd w:val="clear" w:color="auto" w:fill="auto"/>
            <w:vAlign w:val="center"/>
            <w:hideMark/>
          </w:tcPr>
          <w:p w14:paraId="1A459334" w14:textId="2CF1BDA6"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Crofton Park</w:t>
            </w:r>
          </w:p>
        </w:tc>
        <w:tc>
          <w:tcPr>
            <w:tcW w:w="823" w:type="pct"/>
            <w:shd w:val="clear" w:color="auto" w:fill="auto"/>
            <w:noWrap/>
            <w:vAlign w:val="center"/>
            <w:hideMark/>
          </w:tcPr>
          <w:p w14:paraId="7A2CF3C0" w14:textId="51055E6C"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£1,021</w:t>
            </w:r>
          </w:p>
        </w:tc>
        <w:tc>
          <w:tcPr>
            <w:tcW w:w="823" w:type="pct"/>
            <w:shd w:val="clear" w:color="auto" w:fill="auto"/>
            <w:noWrap/>
            <w:vAlign w:val="center"/>
            <w:hideMark/>
          </w:tcPr>
          <w:p w14:paraId="298FFFFE" w14:textId="7B88A6CF"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£1,021</w:t>
            </w:r>
          </w:p>
        </w:tc>
        <w:tc>
          <w:tcPr>
            <w:tcW w:w="1025" w:type="pct"/>
            <w:shd w:val="clear" w:color="auto" w:fill="auto"/>
            <w:noWrap/>
            <w:vAlign w:val="center"/>
            <w:hideMark/>
          </w:tcPr>
          <w:p w14:paraId="145C74D7" w14:textId="4474568C"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£175,000</w:t>
            </w:r>
          </w:p>
        </w:tc>
        <w:tc>
          <w:tcPr>
            <w:tcW w:w="1114" w:type="pct"/>
            <w:shd w:val="clear" w:color="auto" w:fill="auto"/>
            <w:noWrap/>
            <w:vAlign w:val="center"/>
            <w:hideMark/>
          </w:tcPr>
          <w:p w14:paraId="39FB0D1C" w14:textId="3E2922BC"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£175,000</w:t>
            </w:r>
          </w:p>
        </w:tc>
      </w:tr>
      <w:tr w:rsidR="007C1817" w:rsidRPr="00A406E8" w:rsidDel="00057E49" w14:paraId="13449D78" w14:textId="63AE80A2" w:rsidTr="00496076">
        <w:tc>
          <w:tcPr>
            <w:tcW w:w="1215" w:type="pct"/>
            <w:shd w:val="clear" w:color="auto" w:fill="auto"/>
            <w:vAlign w:val="center"/>
            <w:hideMark/>
          </w:tcPr>
          <w:p w14:paraId="088C2379" w14:textId="184BE705"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Downham</w:t>
            </w:r>
          </w:p>
        </w:tc>
        <w:tc>
          <w:tcPr>
            <w:tcW w:w="823" w:type="pct"/>
            <w:shd w:val="clear" w:color="auto" w:fill="auto"/>
            <w:noWrap/>
            <w:vAlign w:val="center"/>
            <w:hideMark/>
          </w:tcPr>
          <w:p w14:paraId="03399AD3" w14:textId="32EA7C7D"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£438</w:t>
            </w:r>
          </w:p>
        </w:tc>
        <w:tc>
          <w:tcPr>
            <w:tcW w:w="823" w:type="pct"/>
            <w:shd w:val="clear" w:color="auto" w:fill="auto"/>
            <w:noWrap/>
            <w:vAlign w:val="center"/>
            <w:hideMark/>
          </w:tcPr>
          <w:p w14:paraId="53F5372A" w14:textId="68B6A0CC"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1025" w:type="pct"/>
            <w:shd w:val="clear" w:color="auto" w:fill="auto"/>
            <w:noWrap/>
            <w:vAlign w:val="center"/>
            <w:hideMark/>
          </w:tcPr>
          <w:p w14:paraId="01522E0A" w14:textId="4143A6B3"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£75,000</w:t>
            </w:r>
          </w:p>
        </w:tc>
        <w:tc>
          <w:tcPr>
            <w:tcW w:w="1114" w:type="pct"/>
            <w:shd w:val="clear" w:color="auto" w:fill="auto"/>
            <w:noWrap/>
            <w:vAlign w:val="center"/>
            <w:hideMark/>
          </w:tcPr>
          <w:p w14:paraId="48BCEFB4" w14:textId="5B5EECC7"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r>
      <w:tr w:rsidR="007C1817" w:rsidRPr="00A406E8" w:rsidDel="00057E49" w14:paraId="39E05E9F" w14:textId="05A24614" w:rsidTr="00496076">
        <w:tc>
          <w:tcPr>
            <w:tcW w:w="1215" w:type="pct"/>
            <w:shd w:val="clear" w:color="auto" w:fill="auto"/>
            <w:vAlign w:val="center"/>
            <w:hideMark/>
          </w:tcPr>
          <w:p w14:paraId="4A59B1B3" w14:textId="3889A7BC"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Evelyn</w:t>
            </w:r>
          </w:p>
        </w:tc>
        <w:tc>
          <w:tcPr>
            <w:tcW w:w="823" w:type="pct"/>
            <w:shd w:val="clear" w:color="auto" w:fill="auto"/>
            <w:noWrap/>
            <w:vAlign w:val="center"/>
            <w:hideMark/>
          </w:tcPr>
          <w:p w14:paraId="6E030733" w14:textId="13F4ABD2"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£438</w:t>
            </w:r>
          </w:p>
        </w:tc>
        <w:tc>
          <w:tcPr>
            <w:tcW w:w="823" w:type="pct"/>
            <w:shd w:val="clear" w:color="auto" w:fill="auto"/>
            <w:noWrap/>
            <w:vAlign w:val="center"/>
            <w:hideMark/>
          </w:tcPr>
          <w:p w14:paraId="0538344E" w14:textId="2C704692"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£438</w:t>
            </w:r>
          </w:p>
        </w:tc>
        <w:tc>
          <w:tcPr>
            <w:tcW w:w="1025" w:type="pct"/>
            <w:shd w:val="clear" w:color="auto" w:fill="auto"/>
            <w:noWrap/>
            <w:vAlign w:val="center"/>
            <w:hideMark/>
          </w:tcPr>
          <w:p w14:paraId="583B42B7" w14:textId="6A501A1D"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£75,000</w:t>
            </w:r>
          </w:p>
        </w:tc>
        <w:tc>
          <w:tcPr>
            <w:tcW w:w="1114" w:type="pct"/>
            <w:shd w:val="clear" w:color="auto" w:fill="auto"/>
            <w:noWrap/>
            <w:vAlign w:val="center"/>
            <w:hideMark/>
          </w:tcPr>
          <w:p w14:paraId="747B5107" w14:textId="1E06CAE4"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£75,000</w:t>
            </w:r>
          </w:p>
        </w:tc>
      </w:tr>
      <w:tr w:rsidR="007C1817" w:rsidRPr="00A406E8" w:rsidDel="00057E49" w14:paraId="66F3A6E4" w14:textId="22AE7BC2" w:rsidTr="00496076">
        <w:tc>
          <w:tcPr>
            <w:tcW w:w="1215" w:type="pct"/>
            <w:shd w:val="clear" w:color="auto" w:fill="auto"/>
            <w:vAlign w:val="center"/>
            <w:hideMark/>
          </w:tcPr>
          <w:p w14:paraId="6F9AD4F2" w14:textId="3D67180D"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Forest Hill</w:t>
            </w:r>
          </w:p>
        </w:tc>
        <w:tc>
          <w:tcPr>
            <w:tcW w:w="823" w:type="pct"/>
            <w:shd w:val="clear" w:color="auto" w:fill="auto"/>
            <w:noWrap/>
            <w:vAlign w:val="center"/>
            <w:hideMark/>
          </w:tcPr>
          <w:p w14:paraId="21E84A4B" w14:textId="371279B3"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823" w:type="pct"/>
            <w:shd w:val="clear" w:color="auto" w:fill="auto"/>
            <w:noWrap/>
            <w:vAlign w:val="center"/>
            <w:hideMark/>
          </w:tcPr>
          <w:p w14:paraId="6776D4D1" w14:textId="5AD38CBC"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£1,021</w:t>
            </w:r>
          </w:p>
        </w:tc>
        <w:tc>
          <w:tcPr>
            <w:tcW w:w="1025" w:type="pct"/>
            <w:shd w:val="clear" w:color="auto" w:fill="auto"/>
            <w:noWrap/>
            <w:vAlign w:val="center"/>
            <w:hideMark/>
          </w:tcPr>
          <w:p w14:paraId="54CF5142" w14:textId="00CAF7CB"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c>
          <w:tcPr>
            <w:tcW w:w="1114" w:type="pct"/>
            <w:shd w:val="clear" w:color="auto" w:fill="auto"/>
            <w:noWrap/>
            <w:vAlign w:val="center"/>
            <w:hideMark/>
          </w:tcPr>
          <w:p w14:paraId="306D2A11" w14:textId="0590E504"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£175,000</w:t>
            </w:r>
          </w:p>
        </w:tc>
      </w:tr>
      <w:tr w:rsidR="007C1817" w:rsidRPr="00A406E8" w:rsidDel="00057E49" w14:paraId="75FE6E51" w14:textId="7F79CBDF" w:rsidTr="00496076">
        <w:tc>
          <w:tcPr>
            <w:tcW w:w="1215" w:type="pct"/>
            <w:shd w:val="clear" w:color="auto" w:fill="auto"/>
            <w:vAlign w:val="center"/>
            <w:hideMark/>
          </w:tcPr>
          <w:p w14:paraId="2C565511" w14:textId="1ACE9462"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Grove Park</w:t>
            </w:r>
          </w:p>
        </w:tc>
        <w:tc>
          <w:tcPr>
            <w:tcW w:w="823" w:type="pct"/>
            <w:shd w:val="clear" w:color="auto" w:fill="auto"/>
            <w:noWrap/>
            <w:vAlign w:val="center"/>
            <w:hideMark/>
          </w:tcPr>
          <w:p w14:paraId="070A37A9" w14:textId="021F320F"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823" w:type="pct"/>
            <w:shd w:val="clear" w:color="auto" w:fill="auto"/>
            <w:noWrap/>
            <w:vAlign w:val="center"/>
            <w:hideMark/>
          </w:tcPr>
          <w:p w14:paraId="2E05F0A3" w14:textId="01D018FF"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1025" w:type="pct"/>
            <w:shd w:val="clear" w:color="auto" w:fill="auto"/>
            <w:noWrap/>
            <w:vAlign w:val="center"/>
            <w:hideMark/>
          </w:tcPr>
          <w:p w14:paraId="34ED776E" w14:textId="275B9890"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c>
          <w:tcPr>
            <w:tcW w:w="1114" w:type="pct"/>
            <w:shd w:val="clear" w:color="auto" w:fill="auto"/>
            <w:noWrap/>
            <w:vAlign w:val="center"/>
            <w:hideMark/>
          </w:tcPr>
          <w:p w14:paraId="150B851D" w14:textId="7FF89BB1"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r>
      <w:tr w:rsidR="007C1817" w:rsidRPr="00A406E8" w:rsidDel="00057E49" w14:paraId="2A25C897" w14:textId="02D2C9EE" w:rsidTr="00496076">
        <w:tc>
          <w:tcPr>
            <w:tcW w:w="1215" w:type="pct"/>
            <w:shd w:val="clear" w:color="auto" w:fill="auto"/>
            <w:vAlign w:val="center"/>
            <w:hideMark/>
          </w:tcPr>
          <w:p w14:paraId="3CDB0FE3" w14:textId="7E8F2843"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Ladywell</w:t>
            </w:r>
          </w:p>
        </w:tc>
        <w:tc>
          <w:tcPr>
            <w:tcW w:w="823" w:type="pct"/>
            <w:shd w:val="clear" w:color="auto" w:fill="auto"/>
            <w:noWrap/>
            <w:vAlign w:val="center"/>
            <w:hideMark/>
          </w:tcPr>
          <w:p w14:paraId="3AFD580C" w14:textId="55089517"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£1,021</w:t>
            </w:r>
          </w:p>
        </w:tc>
        <w:tc>
          <w:tcPr>
            <w:tcW w:w="823" w:type="pct"/>
            <w:shd w:val="clear" w:color="auto" w:fill="auto"/>
            <w:noWrap/>
            <w:vAlign w:val="center"/>
            <w:hideMark/>
          </w:tcPr>
          <w:p w14:paraId="2427A35F" w14:textId="454C6BD9"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£1,021</w:t>
            </w:r>
          </w:p>
        </w:tc>
        <w:tc>
          <w:tcPr>
            <w:tcW w:w="1025" w:type="pct"/>
            <w:shd w:val="clear" w:color="auto" w:fill="auto"/>
            <w:noWrap/>
            <w:vAlign w:val="center"/>
            <w:hideMark/>
          </w:tcPr>
          <w:p w14:paraId="1FB33347" w14:textId="1FD22B2B"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£175,000</w:t>
            </w:r>
          </w:p>
        </w:tc>
        <w:tc>
          <w:tcPr>
            <w:tcW w:w="1114" w:type="pct"/>
            <w:shd w:val="clear" w:color="auto" w:fill="auto"/>
            <w:noWrap/>
            <w:vAlign w:val="center"/>
            <w:hideMark/>
          </w:tcPr>
          <w:p w14:paraId="38C2F460" w14:textId="5CCEC119"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£175,000</w:t>
            </w:r>
          </w:p>
        </w:tc>
      </w:tr>
      <w:tr w:rsidR="007C1817" w:rsidRPr="00A406E8" w:rsidDel="00057E49" w14:paraId="2FA0CC2A" w14:textId="11CEFFED" w:rsidTr="00496076">
        <w:tc>
          <w:tcPr>
            <w:tcW w:w="1215" w:type="pct"/>
            <w:shd w:val="clear" w:color="auto" w:fill="auto"/>
            <w:vAlign w:val="center"/>
            <w:hideMark/>
          </w:tcPr>
          <w:p w14:paraId="068D07CD" w14:textId="6B996DE0"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Lee Green</w:t>
            </w:r>
          </w:p>
        </w:tc>
        <w:tc>
          <w:tcPr>
            <w:tcW w:w="823" w:type="pct"/>
            <w:shd w:val="clear" w:color="auto" w:fill="auto"/>
            <w:noWrap/>
            <w:vAlign w:val="center"/>
            <w:hideMark/>
          </w:tcPr>
          <w:p w14:paraId="6B70E6C3" w14:textId="78190FFA"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823" w:type="pct"/>
            <w:shd w:val="clear" w:color="auto" w:fill="auto"/>
            <w:noWrap/>
            <w:vAlign w:val="center"/>
            <w:hideMark/>
          </w:tcPr>
          <w:p w14:paraId="6551B5E2" w14:textId="7486E66C"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£1,021</w:t>
            </w:r>
          </w:p>
        </w:tc>
        <w:tc>
          <w:tcPr>
            <w:tcW w:w="1025" w:type="pct"/>
            <w:shd w:val="clear" w:color="auto" w:fill="auto"/>
            <w:noWrap/>
            <w:vAlign w:val="center"/>
            <w:hideMark/>
          </w:tcPr>
          <w:p w14:paraId="0ABB8070" w14:textId="7642C022"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c>
          <w:tcPr>
            <w:tcW w:w="1114" w:type="pct"/>
            <w:shd w:val="clear" w:color="auto" w:fill="auto"/>
            <w:noWrap/>
            <w:vAlign w:val="center"/>
            <w:hideMark/>
          </w:tcPr>
          <w:p w14:paraId="563AFA4A" w14:textId="7E90BDD1"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£175,000</w:t>
            </w:r>
          </w:p>
        </w:tc>
      </w:tr>
      <w:tr w:rsidR="007C1817" w:rsidRPr="00A406E8" w:rsidDel="00057E49" w14:paraId="1B0FEFC7" w14:textId="66CFAB42" w:rsidTr="00496076">
        <w:tc>
          <w:tcPr>
            <w:tcW w:w="1215" w:type="pct"/>
            <w:shd w:val="clear" w:color="auto" w:fill="auto"/>
            <w:vAlign w:val="center"/>
            <w:hideMark/>
          </w:tcPr>
          <w:p w14:paraId="46C53495" w14:textId="4D3CEA75"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Lewisham Central</w:t>
            </w:r>
          </w:p>
        </w:tc>
        <w:tc>
          <w:tcPr>
            <w:tcW w:w="823" w:type="pct"/>
            <w:shd w:val="clear" w:color="auto" w:fill="auto"/>
            <w:noWrap/>
            <w:vAlign w:val="center"/>
            <w:hideMark/>
          </w:tcPr>
          <w:p w14:paraId="167F235B" w14:textId="34FB6FA8"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823" w:type="pct"/>
            <w:shd w:val="clear" w:color="auto" w:fill="auto"/>
            <w:noWrap/>
            <w:vAlign w:val="center"/>
            <w:hideMark/>
          </w:tcPr>
          <w:p w14:paraId="267C0AC4" w14:textId="2CF7621D"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£1,021</w:t>
            </w:r>
          </w:p>
        </w:tc>
        <w:tc>
          <w:tcPr>
            <w:tcW w:w="1025" w:type="pct"/>
            <w:shd w:val="clear" w:color="auto" w:fill="auto"/>
            <w:noWrap/>
            <w:vAlign w:val="center"/>
            <w:hideMark/>
          </w:tcPr>
          <w:p w14:paraId="7FB5B739" w14:textId="297BC376"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c>
          <w:tcPr>
            <w:tcW w:w="1114" w:type="pct"/>
            <w:shd w:val="clear" w:color="auto" w:fill="auto"/>
            <w:noWrap/>
            <w:vAlign w:val="center"/>
            <w:hideMark/>
          </w:tcPr>
          <w:p w14:paraId="7943047C" w14:textId="0C063FF1"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£175,000</w:t>
            </w:r>
          </w:p>
        </w:tc>
      </w:tr>
      <w:tr w:rsidR="007C1817" w:rsidRPr="00A406E8" w:rsidDel="00057E49" w14:paraId="76FEFDE2" w14:textId="41CEE4C0" w:rsidTr="00496076">
        <w:tc>
          <w:tcPr>
            <w:tcW w:w="1215" w:type="pct"/>
            <w:shd w:val="clear" w:color="auto" w:fill="auto"/>
            <w:vAlign w:val="center"/>
            <w:hideMark/>
          </w:tcPr>
          <w:p w14:paraId="4D6E59F8" w14:textId="47E9F159"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New Cross</w:t>
            </w:r>
          </w:p>
        </w:tc>
        <w:tc>
          <w:tcPr>
            <w:tcW w:w="823" w:type="pct"/>
            <w:shd w:val="clear" w:color="auto" w:fill="auto"/>
            <w:noWrap/>
            <w:vAlign w:val="center"/>
            <w:hideMark/>
          </w:tcPr>
          <w:p w14:paraId="1D7E4D2C" w14:textId="74DCAC29"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£438</w:t>
            </w:r>
          </w:p>
        </w:tc>
        <w:tc>
          <w:tcPr>
            <w:tcW w:w="823" w:type="pct"/>
            <w:shd w:val="clear" w:color="auto" w:fill="auto"/>
            <w:noWrap/>
            <w:vAlign w:val="center"/>
            <w:hideMark/>
          </w:tcPr>
          <w:p w14:paraId="11634ECE" w14:textId="50C59003"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1025" w:type="pct"/>
            <w:shd w:val="clear" w:color="auto" w:fill="auto"/>
            <w:noWrap/>
            <w:vAlign w:val="center"/>
            <w:hideMark/>
          </w:tcPr>
          <w:p w14:paraId="29D2E2B2" w14:textId="4632AB51"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£75,000</w:t>
            </w:r>
          </w:p>
        </w:tc>
        <w:tc>
          <w:tcPr>
            <w:tcW w:w="1114" w:type="pct"/>
            <w:shd w:val="clear" w:color="auto" w:fill="auto"/>
            <w:noWrap/>
            <w:vAlign w:val="center"/>
            <w:hideMark/>
          </w:tcPr>
          <w:p w14:paraId="1A4F8070" w14:textId="20E30F4E"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r>
      <w:tr w:rsidR="007C1817" w:rsidRPr="00A406E8" w:rsidDel="00057E49" w14:paraId="06EEC338" w14:textId="6EB29F49" w:rsidTr="00496076">
        <w:tc>
          <w:tcPr>
            <w:tcW w:w="1215" w:type="pct"/>
            <w:shd w:val="clear" w:color="auto" w:fill="auto"/>
            <w:vAlign w:val="center"/>
            <w:hideMark/>
          </w:tcPr>
          <w:p w14:paraId="2F5EC5F5" w14:textId="392A632E"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Perry Vale</w:t>
            </w:r>
          </w:p>
        </w:tc>
        <w:tc>
          <w:tcPr>
            <w:tcW w:w="823" w:type="pct"/>
            <w:shd w:val="clear" w:color="auto" w:fill="auto"/>
            <w:noWrap/>
            <w:vAlign w:val="center"/>
            <w:hideMark/>
          </w:tcPr>
          <w:p w14:paraId="61DD0F69" w14:textId="2A2BB5DA"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823" w:type="pct"/>
            <w:shd w:val="clear" w:color="auto" w:fill="auto"/>
            <w:noWrap/>
            <w:vAlign w:val="center"/>
            <w:hideMark/>
          </w:tcPr>
          <w:p w14:paraId="78A50CF4" w14:textId="69EC3360"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£1,021</w:t>
            </w:r>
          </w:p>
        </w:tc>
        <w:tc>
          <w:tcPr>
            <w:tcW w:w="1025" w:type="pct"/>
            <w:shd w:val="clear" w:color="auto" w:fill="auto"/>
            <w:noWrap/>
            <w:vAlign w:val="center"/>
            <w:hideMark/>
          </w:tcPr>
          <w:p w14:paraId="6EEED65D" w14:textId="257BD925"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c>
          <w:tcPr>
            <w:tcW w:w="1114" w:type="pct"/>
            <w:shd w:val="clear" w:color="auto" w:fill="auto"/>
            <w:noWrap/>
            <w:vAlign w:val="center"/>
            <w:hideMark/>
          </w:tcPr>
          <w:p w14:paraId="5BA29303" w14:textId="1B46302B"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£175,000</w:t>
            </w:r>
          </w:p>
        </w:tc>
      </w:tr>
      <w:tr w:rsidR="007C1817" w:rsidRPr="00A406E8" w:rsidDel="00057E49" w14:paraId="02831A00" w14:textId="66ACAB6E" w:rsidTr="00496076">
        <w:tc>
          <w:tcPr>
            <w:tcW w:w="1215" w:type="pct"/>
            <w:shd w:val="clear" w:color="auto" w:fill="auto"/>
            <w:vAlign w:val="center"/>
            <w:hideMark/>
          </w:tcPr>
          <w:p w14:paraId="10C3E8C1" w14:textId="5595A02A"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Rushey Green</w:t>
            </w:r>
          </w:p>
        </w:tc>
        <w:tc>
          <w:tcPr>
            <w:tcW w:w="823" w:type="pct"/>
            <w:shd w:val="clear" w:color="auto" w:fill="auto"/>
            <w:noWrap/>
            <w:vAlign w:val="center"/>
            <w:hideMark/>
          </w:tcPr>
          <w:p w14:paraId="46C4EA70" w14:textId="682E53C8"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823" w:type="pct"/>
            <w:shd w:val="clear" w:color="auto" w:fill="auto"/>
            <w:noWrap/>
            <w:vAlign w:val="center"/>
            <w:hideMark/>
          </w:tcPr>
          <w:p w14:paraId="0B62989E" w14:textId="54510868"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£1,021</w:t>
            </w:r>
          </w:p>
        </w:tc>
        <w:tc>
          <w:tcPr>
            <w:tcW w:w="1025" w:type="pct"/>
            <w:shd w:val="clear" w:color="auto" w:fill="auto"/>
            <w:noWrap/>
            <w:vAlign w:val="center"/>
            <w:hideMark/>
          </w:tcPr>
          <w:p w14:paraId="60859547" w14:textId="43BC5513"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c>
          <w:tcPr>
            <w:tcW w:w="1114" w:type="pct"/>
            <w:shd w:val="clear" w:color="auto" w:fill="auto"/>
            <w:noWrap/>
            <w:vAlign w:val="center"/>
            <w:hideMark/>
          </w:tcPr>
          <w:p w14:paraId="7FBCA140" w14:textId="2B1884D5"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£175,000</w:t>
            </w:r>
          </w:p>
        </w:tc>
      </w:tr>
      <w:tr w:rsidR="007C1817" w:rsidRPr="00A406E8" w:rsidDel="00057E49" w14:paraId="3E01DE20" w14:textId="6C5C824B" w:rsidTr="00496076">
        <w:tc>
          <w:tcPr>
            <w:tcW w:w="1215" w:type="pct"/>
            <w:shd w:val="clear" w:color="auto" w:fill="auto"/>
            <w:vAlign w:val="center"/>
            <w:hideMark/>
          </w:tcPr>
          <w:p w14:paraId="7A892E50" w14:textId="093982D1"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Sydenham</w:t>
            </w:r>
          </w:p>
        </w:tc>
        <w:tc>
          <w:tcPr>
            <w:tcW w:w="823" w:type="pct"/>
            <w:shd w:val="clear" w:color="auto" w:fill="auto"/>
            <w:noWrap/>
            <w:vAlign w:val="center"/>
            <w:hideMark/>
          </w:tcPr>
          <w:p w14:paraId="7BC2BBBB" w14:textId="7E5C35F5"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823" w:type="pct"/>
            <w:shd w:val="clear" w:color="auto" w:fill="auto"/>
            <w:noWrap/>
            <w:vAlign w:val="center"/>
            <w:hideMark/>
          </w:tcPr>
          <w:p w14:paraId="78A8F1D6" w14:textId="328EF463"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£1,021</w:t>
            </w:r>
          </w:p>
        </w:tc>
        <w:tc>
          <w:tcPr>
            <w:tcW w:w="1025" w:type="pct"/>
            <w:shd w:val="clear" w:color="auto" w:fill="auto"/>
            <w:noWrap/>
            <w:vAlign w:val="center"/>
            <w:hideMark/>
          </w:tcPr>
          <w:p w14:paraId="04529728" w14:textId="31424186"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c>
          <w:tcPr>
            <w:tcW w:w="1114" w:type="pct"/>
            <w:shd w:val="clear" w:color="auto" w:fill="auto"/>
            <w:noWrap/>
            <w:vAlign w:val="center"/>
            <w:hideMark/>
          </w:tcPr>
          <w:p w14:paraId="6F7D891C" w14:textId="55D87710"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£175,000</w:t>
            </w:r>
          </w:p>
        </w:tc>
      </w:tr>
      <w:tr w:rsidR="007C1817" w:rsidRPr="00A406E8" w:rsidDel="00057E49" w14:paraId="625DC274" w14:textId="30651627" w:rsidTr="00496076">
        <w:tc>
          <w:tcPr>
            <w:tcW w:w="1215" w:type="pct"/>
            <w:shd w:val="clear" w:color="auto" w:fill="auto"/>
            <w:vAlign w:val="center"/>
            <w:hideMark/>
          </w:tcPr>
          <w:p w14:paraId="68B33B47" w14:textId="33FF5D26"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Telegraph Hill</w:t>
            </w:r>
          </w:p>
        </w:tc>
        <w:tc>
          <w:tcPr>
            <w:tcW w:w="823" w:type="pct"/>
            <w:shd w:val="clear" w:color="auto" w:fill="auto"/>
            <w:noWrap/>
            <w:vAlign w:val="center"/>
            <w:hideMark/>
          </w:tcPr>
          <w:p w14:paraId="3EF601D6" w14:textId="66A555D7"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£438</w:t>
            </w:r>
          </w:p>
        </w:tc>
        <w:tc>
          <w:tcPr>
            <w:tcW w:w="823" w:type="pct"/>
            <w:shd w:val="clear" w:color="auto" w:fill="auto"/>
            <w:noWrap/>
            <w:vAlign w:val="center"/>
            <w:hideMark/>
          </w:tcPr>
          <w:p w14:paraId="7EB14FEC" w14:textId="6FDB0D8B"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1025" w:type="pct"/>
            <w:shd w:val="clear" w:color="auto" w:fill="auto"/>
            <w:noWrap/>
            <w:vAlign w:val="center"/>
            <w:hideMark/>
          </w:tcPr>
          <w:p w14:paraId="73540120" w14:textId="41A371AD"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£75,000</w:t>
            </w:r>
          </w:p>
        </w:tc>
        <w:tc>
          <w:tcPr>
            <w:tcW w:w="1114" w:type="pct"/>
            <w:shd w:val="clear" w:color="auto" w:fill="auto"/>
            <w:noWrap/>
            <w:vAlign w:val="center"/>
            <w:hideMark/>
          </w:tcPr>
          <w:p w14:paraId="78BC1425" w14:textId="3B8D222E"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r>
      <w:tr w:rsidR="007C1817" w:rsidRPr="00A406E8" w:rsidDel="00057E49" w14:paraId="068D8716" w14:textId="444DF913" w:rsidTr="00496076">
        <w:tc>
          <w:tcPr>
            <w:tcW w:w="1215" w:type="pct"/>
            <w:shd w:val="clear" w:color="auto" w:fill="auto"/>
            <w:vAlign w:val="center"/>
            <w:hideMark/>
          </w:tcPr>
          <w:p w14:paraId="41F9D573" w14:textId="310FAF09"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Whitefoot</w:t>
            </w:r>
          </w:p>
        </w:tc>
        <w:tc>
          <w:tcPr>
            <w:tcW w:w="823" w:type="pct"/>
            <w:shd w:val="clear" w:color="auto" w:fill="auto"/>
            <w:noWrap/>
            <w:vAlign w:val="center"/>
            <w:hideMark/>
          </w:tcPr>
          <w:p w14:paraId="287E798A" w14:textId="41BAB014"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£438</w:t>
            </w:r>
          </w:p>
        </w:tc>
        <w:tc>
          <w:tcPr>
            <w:tcW w:w="823" w:type="pct"/>
            <w:shd w:val="clear" w:color="auto" w:fill="auto"/>
            <w:noWrap/>
            <w:vAlign w:val="center"/>
            <w:hideMark/>
          </w:tcPr>
          <w:p w14:paraId="17097808" w14:textId="3201D7DE"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1025" w:type="pct"/>
            <w:shd w:val="clear" w:color="auto" w:fill="auto"/>
            <w:noWrap/>
            <w:vAlign w:val="center"/>
            <w:hideMark/>
          </w:tcPr>
          <w:p w14:paraId="614E76AA" w14:textId="0BC32902"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£75,000</w:t>
            </w:r>
          </w:p>
        </w:tc>
        <w:tc>
          <w:tcPr>
            <w:tcW w:w="1114" w:type="pct"/>
            <w:shd w:val="clear" w:color="auto" w:fill="auto"/>
            <w:noWrap/>
            <w:vAlign w:val="center"/>
            <w:hideMark/>
          </w:tcPr>
          <w:p w14:paraId="1A2B3499" w14:textId="5908DE88"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r>
      <w:tr w:rsidR="007C1817" w:rsidRPr="00A406E8" w:rsidDel="00057E49" w14:paraId="5BBC7AE1" w14:textId="3F3F38B8" w:rsidTr="00496076">
        <w:tc>
          <w:tcPr>
            <w:tcW w:w="1215" w:type="pct"/>
            <w:shd w:val="clear" w:color="auto" w:fill="auto"/>
            <w:vAlign w:val="center"/>
            <w:hideMark/>
          </w:tcPr>
          <w:p w14:paraId="7E83FEA0" w14:textId="7E59166E" w:rsidR="007C1817" w:rsidRPr="00A406E8" w:rsidDel="00057E49" w:rsidRDefault="007C1817" w:rsidP="00496076">
            <w:pPr>
              <w:rPr>
                <w:rFonts w:asciiTheme="minorHAnsi" w:hAnsiTheme="minorHAnsi" w:cs="Calibri"/>
                <w:color w:val="000000"/>
                <w:sz w:val="22"/>
                <w:szCs w:val="22"/>
              </w:rPr>
            </w:pPr>
            <w:r w:rsidRPr="00A406E8" w:rsidDel="00057E49">
              <w:rPr>
                <w:rFonts w:asciiTheme="minorHAnsi" w:hAnsiTheme="minorHAnsi" w:cs="Calibri"/>
                <w:color w:val="000000"/>
                <w:sz w:val="22"/>
                <w:szCs w:val="22"/>
              </w:rPr>
              <w:t>Total</w:t>
            </w:r>
          </w:p>
        </w:tc>
        <w:tc>
          <w:tcPr>
            <w:tcW w:w="823" w:type="pct"/>
            <w:shd w:val="clear" w:color="auto" w:fill="auto"/>
            <w:noWrap/>
            <w:vAlign w:val="center"/>
            <w:hideMark/>
          </w:tcPr>
          <w:p w14:paraId="28CC43B3" w14:textId="3ABE7392"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£729</w:t>
            </w:r>
          </w:p>
        </w:tc>
        <w:tc>
          <w:tcPr>
            <w:tcW w:w="823" w:type="pct"/>
            <w:shd w:val="clear" w:color="auto" w:fill="auto"/>
            <w:noWrap/>
            <w:vAlign w:val="center"/>
            <w:hideMark/>
          </w:tcPr>
          <w:p w14:paraId="3F4E025E" w14:textId="37647A63"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£1,021</w:t>
            </w:r>
          </w:p>
        </w:tc>
        <w:tc>
          <w:tcPr>
            <w:tcW w:w="1025" w:type="pct"/>
            <w:shd w:val="clear" w:color="auto" w:fill="auto"/>
            <w:noWrap/>
            <w:vAlign w:val="center"/>
            <w:hideMark/>
          </w:tcPr>
          <w:p w14:paraId="2EBDAFE8" w14:textId="24B7F358"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£125,000</w:t>
            </w:r>
          </w:p>
        </w:tc>
        <w:tc>
          <w:tcPr>
            <w:tcW w:w="1114" w:type="pct"/>
            <w:shd w:val="clear" w:color="auto" w:fill="auto"/>
            <w:noWrap/>
            <w:vAlign w:val="center"/>
            <w:hideMark/>
          </w:tcPr>
          <w:p w14:paraId="3E12365E" w14:textId="3FFF4678" w:rsidR="007C1817" w:rsidRPr="00A406E8" w:rsidDel="00057E49" w:rsidRDefault="007C1817" w:rsidP="00A406E8">
            <w:pPr>
              <w:jc w:val="right"/>
              <w:rPr>
                <w:rFonts w:asciiTheme="minorHAnsi" w:hAnsiTheme="minorHAnsi" w:cs="Calibri"/>
                <w:color w:val="000000"/>
                <w:sz w:val="22"/>
                <w:szCs w:val="22"/>
              </w:rPr>
            </w:pPr>
            <w:r w:rsidRPr="00A406E8" w:rsidDel="00057E49">
              <w:rPr>
                <w:rFonts w:asciiTheme="minorHAnsi" w:hAnsiTheme="minorHAnsi" w:cs="Calibri"/>
                <w:color w:val="000000"/>
                <w:sz w:val="22"/>
                <w:szCs w:val="22"/>
              </w:rPr>
              <w:t>£175,000</w:t>
            </w:r>
          </w:p>
        </w:tc>
      </w:tr>
      <w:bookmarkEnd w:id="270"/>
    </w:tbl>
    <w:p w14:paraId="2AF59C1E" w14:textId="77777777" w:rsidR="009F28F8" w:rsidRPr="009F28F8" w:rsidRDefault="009F28F8" w:rsidP="009F28F8">
      <w:pPr>
        <w:pStyle w:val="Reporttext"/>
        <w:numPr>
          <w:ilvl w:val="0"/>
          <w:numId w:val="0"/>
        </w:numPr>
        <w:ind w:left="709"/>
        <w:rPr>
          <w:rFonts w:asciiTheme="minorHAnsi" w:hAnsiTheme="minorHAnsi" w:cs="Calibri"/>
        </w:rPr>
      </w:pPr>
    </w:p>
    <w:p w14:paraId="2B72EC63" w14:textId="221C8507" w:rsidR="009F28F8" w:rsidRPr="00DD5741" w:rsidRDefault="009F28F8" w:rsidP="009F28F8">
      <w:pPr>
        <w:pStyle w:val="Reporttext"/>
        <w:rPr>
          <w:rFonts w:asciiTheme="minorHAnsi" w:hAnsiTheme="minorHAnsi" w:cs="Calibri"/>
        </w:rPr>
      </w:pPr>
      <w:r w:rsidRPr="00057E49">
        <w:rPr>
          <w:rFonts w:asciiTheme="minorHAnsi" w:hAnsiTheme="minorHAnsi" w:cs="Calibri"/>
          <w:lang w:val="en-US"/>
        </w:rPr>
        <w:t>This analysis concludes that only social rent and affordable rent are affordable to Lewisham’s households on lower quartile and median incomes</w:t>
      </w:r>
      <w:r>
        <w:rPr>
          <w:rFonts w:asciiTheme="minorHAnsi" w:hAnsiTheme="minorHAnsi" w:cs="Calibri"/>
          <w:lang w:val="en-US"/>
        </w:rPr>
        <w:t>.  It</w:t>
      </w:r>
      <w:r w:rsidRPr="00057E49">
        <w:rPr>
          <w:rFonts w:asciiTheme="minorHAnsi" w:hAnsiTheme="minorHAnsi" w:cs="Calibri"/>
          <w:lang w:val="en-US"/>
        </w:rPr>
        <w:t xml:space="preserve"> raises serious concerns over the relative affordability of accommodation across most tenures within the Borough, and particularly for the key workers and wage earners considered. Arguably, the ability of households to enter the general market without very substantial deposits is severely restricted</w:t>
      </w:r>
      <w:r>
        <w:rPr>
          <w:rFonts w:asciiTheme="minorHAnsi" w:hAnsiTheme="minorHAnsi" w:cs="Calibri"/>
          <w:lang w:val="en-US"/>
        </w:rPr>
        <w:t>.</w:t>
      </w:r>
    </w:p>
    <w:p w14:paraId="799BA78A" w14:textId="77777777" w:rsidR="00447C75" w:rsidRPr="0067297E" w:rsidRDefault="00447C75">
      <w:pPr>
        <w:rPr>
          <w:rFonts w:asciiTheme="minorHAnsi" w:hAnsiTheme="minorHAnsi" w:cs="Calibri"/>
          <w:highlight w:val="yellow"/>
        </w:rPr>
      </w:pPr>
      <w:r w:rsidRPr="0067297E">
        <w:rPr>
          <w:rFonts w:asciiTheme="minorHAnsi" w:hAnsiTheme="minorHAnsi" w:cs="Calibri"/>
          <w:highlight w:val="yellow"/>
        </w:rPr>
        <w:br w:type="page"/>
      </w:r>
    </w:p>
    <w:p w14:paraId="63774DCB" w14:textId="77777777" w:rsidR="002D4C53" w:rsidRPr="0067297E" w:rsidRDefault="002D4C53">
      <w:pPr>
        <w:pStyle w:val="Heading1"/>
        <w:rPr>
          <w:rFonts w:asciiTheme="minorHAnsi" w:hAnsiTheme="minorHAnsi"/>
        </w:rPr>
      </w:pPr>
      <w:bookmarkStart w:id="282" w:name="_Toc395193569"/>
      <w:bookmarkStart w:id="283" w:name="_Toc397250573"/>
      <w:bookmarkStart w:id="284" w:name="_Toc1385760"/>
      <w:bookmarkStart w:id="285" w:name="_Toc23151075"/>
      <w:r w:rsidRPr="0067297E">
        <w:rPr>
          <w:rFonts w:asciiTheme="minorHAnsi" w:hAnsiTheme="minorHAnsi"/>
        </w:rPr>
        <w:t xml:space="preserve">Housing need in </w:t>
      </w:r>
      <w:bookmarkEnd w:id="282"/>
      <w:bookmarkEnd w:id="283"/>
      <w:r w:rsidRPr="0067297E">
        <w:rPr>
          <w:rFonts w:asciiTheme="minorHAnsi" w:hAnsiTheme="minorHAnsi"/>
        </w:rPr>
        <w:t>the Borough of Lewisham</w:t>
      </w:r>
      <w:bookmarkEnd w:id="284"/>
      <w:bookmarkEnd w:id="285"/>
    </w:p>
    <w:p w14:paraId="0A4F5C1C" w14:textId="521E9BE2" w:rsidR="002D4C53" w:rsidRPr="0067297E" w:rsidRDefault="002D4C53">
      <w:pPr>
        <w:pStyle w:val="Heading2"/>
        <w:rPr>
          <w:rFonts w:asciiTheme="minorHAnsi" w:hAnsiTheme="minorHAnsi"/>
        </w:rPr>
      </w:pPr>
      <w:bookmarkStart w:id="286" w:name="_Toc395193570"/>
      <w:bookmarkStart w:id="287" w:name="_Toc397250574"/>
      <w:bookmarkStart w:id="288" w:name="_Toc1385761"/>
      <w:bookmarkStart w:id="289" w:name="_Toc23151076"/>
      <w:r w:rsidRPr="0067297E">
        <w:rPr>
          <w:rFonts w:asciiTheme="minorHAnsi" w:hAnsiTheme="minorHAnsi"/>
        </w:rPr>
        <w:t>Introduction</w:t>
      </w:r>
      <w:bookmarkEnd w:id="286"/>
      <w:bookmarkEnd w:id="287"/>
      <w:bookmarkEnd w:id="288"/>
      <w:bookmarkEnd w:id="289"/>
    </w:p>
    <w:p w14:paraId="218D54F2" w14:textId="2D96F9A1" w:rsidR="00675008" w:rsidRPr="0067297E" w:rsidRDefault="002D4C53">
      <w:pPr>
        <w:pStyle w:val="Reporttext"/>
        <w:rPr>
          <w:rFonts w:asciiTheme="minorHAnsi" w:hAnsiTheme="minorHAnsi"/>
        </w:rPr>
      </w:pPr>
      <w:r w:rsidRPr="0067297E">
        <w:rPr>
          <w:rFonts w:asciiTheme="minorHAnsi" w:hAnsiTheme="minorHAnsi"/>
        </w:rPr>
        <w:t>This chapter sets out the evidence of the range of housing need under alternative scenarios to inform the preparation of the Local Plan that covers the period 20</w:t>
      </w:r>
      <w:r w:rsidR="00D75D2E">
        <w:rPr>
          <w:rFonts w:asciiTheme="minorHAnsi" w:hAnsiTheme="minorHAnsi"/>
          <w:lang w:val="en-US"/>
        </w:rPr>
        <w:t>20</w:t>
      </w:r>
      <w:r w:rsidRPr="0067297E">
        <w:rPr>
          <w:rFonts w:asciiTheme="minorHAnsi" w:hAnsiTheme="minorHAnsi"/>
        </w:rPr>
        <w:t>-20</w:t>
      </w:r>
      <w:r w:rsidR="00D75D2E">
        <w:rPr>
          <w:rFonts w:asciiTheme="minorHAnsi" w:hAnsiTheme="minorHAnsi"/>
          <w:lang w:val="en-US"/>
        </w:rPr>
        <w:t>40.</w:t>
      </w:r>
    </w:p>
    <w:p w14:paraId="46009949" w14:textId="7C929288" w:rsidR="00675008" w:rsidRPr="0067297E" w:rsidRDefault="002D4C53">
      <w:pPr>
        <w:pStyle w:val="Reporttext"/>
        <w:rPr>
          <w:rFonts w:asciiTheme="minorHAnsi" w:hAnsiTheme="minorHAnsi"/>
        </w:rPr>
      </w:pPr>
      <w:r w:rsidRPr="0067297E">
        <w:rPr>
          <w:rFonts w:asciiTheme="minorHAnsi" w:hAnsiTheme="minorHAnsi"/>
        </w:rPr>
        <w:t>201</w:t>
      </w:r>
      <w:r w:rsidR="00723FAE" w:rsidRPr="0067297E">
        <w:rPr>
          <w:rFonts w:asciiTheme="minorHAnsi" w:hAnsiTheme="minorHAnsi"/>
          <w:lang w:val="en-US"/>
        </w:rPr>
        <w:t>9</w:t>
      </w:r>
      <w:r w:rsidRPr="0067297E">
        <w:rPr>
          <w:rFonts w:asciiTheme="minorHAnsi" w:hAnsiTheme="minorHAnsi"/>
        </w:rPr>
        <w:t xml:space="preserve"> </w:t>
      </w:r>
      <w:r w:rsidR="00EB459B" w:rsidRPr="0067297E">
        <w:rPr>
          <w:rFonts w:asciiTheme="minorHAnsi" w:hAnsiTheme="minorHAnsi"/>
        </w:rPr>
        <w:t xml:space="preserve">PPG </w:t>
      </w:r>
      <w:r w:rsidRPr="0067297E">
        <w:rPr>
          <w:rFonts w:asciiTheme="minorHAnsi" w:hAnsiTheme="minorHAnsi"/>
        </w:rPr>
        <w:t>defines housing need as ‘</w:t>
      </w:r>
      <w:r w:rsidRPr="0067297E">
        <w:rPr>
          <w:rFonts w:asciiTheme="minorHAnsi" w:hAnsiTheme="minorHAnsi"/>
          <w:i/>
        </w:rPr>
        <w:t xml:space="preserve">an unconstrained assessment of the number of homes needed in an area. Assessing housing need is the first step </w:t>
      </w:r>
      <w:r w:rsidR="005B2517" w:rsidRPr="0067297E">
        <w:rPr>
          <w:rFonts w:asciiTheme="minorHAnsi" w:hAnsiTheme="minorHAnsi"/>
          <w:i/>
        </w:rPr>
        <w:t>in the</w:t>
      </w:r>
      <w:r w:rsidRPr="0067297E">
        <w:rPr>
          <w:rFonts w:asciiTheme="minorHAnsi" w:hAnsiTheme="minorHAnsi"/>
          <w:i/>
        </w:rPr>
        <w:t xml:space="preserve"> process of deciding how many homes need to be planned for. It should be undertaken separately from assessing land availability, establishing a housing requirement figure, and preparing policies to address this such as site allocations’</w:t>
      </w:r>
      <w:r w:rsidRPr="0067297E">
        <w:rPr>
          <w:rStyle w:val="FootnoteReference"/>
          <w:rFonts w:asciiTheme="minorHAnsi" w:hAnsiTheme="minorHAnsi"/>
        </w:rPr>
        <w:footnoteReference w:id="22"/>
      </w:r>
      <w:r w:rsidRPr="0067297E">
        <w:rPr>
          <w:rFonts w:asciiTheme="minorHAnsi" w:hAnsiTheme="minorHAnsi"/>
        </w:rPr>
        <w:t>.</w:t>
      </w:r>
    </w:p>
    <w:p w14:paraId="20056967" w14:textId="77777777" w:rsidR="002D4C53" w:rsidRPr="0067297E" w:rsidRDefault="002D4C53">
      <w:pPr>
        <w:pStyle w:val="Reporttext"/>
        <w:rPr>
          <w:rFonts w:asciiTheme="minorHAnsi" w:hAnsiTheme="minorHAnsi"/>
        </w:rPr>
      </w:pPr>
      <w:r w:rsidRPr="0067297E">
        <w:rPr>
          <w:rFonts w:asciiTheme="minorHAnsi" w:hAnsiTheme="minorHAnsi"/>
        </w:rPr>
        <w:t>The datasets considered in the analysis are:</w:t>
      </w:r>
    </w:p>
    <w:p w14:paraId="0AA94CC5" w14:textId="77777777" w:rsidR="002D4C53" w:rsidRPr="0067297E" w:rsidRDefault="002D4C53">
      <w:pPr>
        <w:pStyle w:val="bullet"/>
        <w:rPr>
          <w:rFonts w:asciiTheme="minorHAnsi" w:eastAsiaTheme="minorEastAsia" w:hAnsiTheme="minorHAnsi" w:cs="Times"/>
          <w:lang w:val="en-US"/>
        </w:rPr>
      </w:pPr>
      <w:r w:rsidRPr="0067297E">
        <w:rPr>
          <w:rFonts w:asciiTheme="minorHAnsi" w:eastAsiaTheme="minorEastAsia" w:hAnsiTheme="minorHAnsi" w:cs="Times"/>
          <w:lang w:val="en-US"/>
        </w:rPr>
        <w:t>The evidence presented in the London Plan (2016) and draft London Plan (December 2017);</w:t>
      </w:r>
    </w:p>
    <w:p w14:paraId="1BF2C576" w14:textId="4919CF74" w:rsidR="002D4C53" w:rsidRPr="0067297E" w:rsidRDefault="002D4C53">
      <w:pPr>
        <w:pStyle w:val="bullet"/>
        <w:rPr>
          <w:rFonts w:asciiTheme="minorHAnsi" w:eastAsiaTheme="minorEastAsia" w:hAnsiTheme="minorHAnsi" w:cs="Times"/>
          <w:lang w:val="en-US"/>
        </w:rPr>
      </w:pPr>
      <w:r w:rsidRPr="0067297E">
        <w:rPr>
          <w:rFonts w:asciiTheme="minorHAnsi" w:eastAsiaTheme="minorEastAsia" w:hAnsiTheme="minorHAnsi" w:cs="Times"/>
          <w:lang w:val="en-US"/>
        </w:rPr>
        <w:t xml:space="preserve">2014-based </w:t>
      </w:r>
      <w:r w:rsidR="00255B16" w:rsidRPr="0067297E">
        <w:rPr>
          <w:rFonts w:asciiTheme="minorHAnsi" w:eastAsiaTheme="minorEastAsia" w:hAnsiTheme="minorHAnsi" w:cs="Times"/>
          <w:lang w:val="en-US"/>
        </w:rPr>
        <w:t>D</w:t>
      </w:r>
      <w:r w:rsidRPr="0067297E">
        <w:rPr>
          <w:rFonts w:asciiTheme="minorHAnsi" w:eastAsiaTheme="minorEastAsia" w:hAnsiTheme="minorHAnsi" w:cs="Times"/>
          <w:lang w:val="en-US"/>
        </w:rPr>
        <w:t>CLG household projections;</w:t>
      </w:r>
      <w:r w:rsidR="00C5084D" w:rsidRPr="0067297E">
        <w:rPr>
          <w:rFonts w:asciiTheme="minorHAnsi" w:eastAsiaTheme="minorEastAsia" w:hAnsiTheme="minorHAnsi" w:cs="Times"/>
          <w:lang w:val="en-US"/>
        </w:rPr>
        <w:t xml:space="preserve"> and</w:t>
      </w:r>
    </w:p>
    <w:p w14:paraId="4B8DF391" w14:textId="6FCA292F" w:rsidR="002D4C53" w:rsidRPr="0067297E" w:rsidRDefault="002D4C53">
      <w:pPr>
        <w:pStyle w:val="bullet"/>
        <w:rPr>
          <w:rFonts w:asciiTheme="minorHAnsi" w:eastAsiaTheme="minorEastAsia" w:hAnsiTheme="minorHAnsi" w:cs="Times"/>
          <w:lang w:val="en-US"/>
        </w:rPr>
      </w:pPr>
      <w:r w:rsidRPr="0067297E">
        <w:rPr>
          <w:rFonts w:asciiTheme="minorHAnsi" w:eastAsiaTheme="minorEastAsia" w:hAnsiTheme="minorHAnsi" w:cs="Times"/>
          <w:lang w:val="en-US"/>
        </w:rPr>
        <w:t>2016-based MHCLG household projections (publi</w:t>
      </w:r>
      <w:r w:rsidR="001A4242" w:rsidRPr="0067297E">
        <w:rPr>
          <w:rFonts w:asciiTheme="minorHAnsi" w:eastAsiaTheme="minorEastAsia" w:hAnsiTheme="minorHAnsi" w:cs="Times"/>
          <w:lang w:val="en-US"/>
        </w:rPr>
        <w:t>shed</w:t>
      </w:r>
      <w:r w:rsidR="00EF6DAA" w:rsidRPr="0067297E">
        <w:rPr>
          <w:rFonts w:asciiTheme="minorHAnsi" w:eastAsiaTheme="minorEastAsia" w:hAnsiTheme="minorHAnsi" w:cs="Times"/>
          <w:lang w:val="en-US"/>
        </w:rPr>
        <w:t xml:space="preserve"> </w:t>
      </w:r>
      <w:r w:rsidR="001A4242" w:rsidRPr="0067297E">
        <w:rPr>
          <w:rFonts w:asciiTheme="minorHAnsi" w:eastAsiaTheme="minorEastAsia" w:hAnsiTheme="minorHAnsi" w:cs="Times"/>
          <w:lang w:val="en-US"/>
        </w:rPr>
        <w:t xml:space="preserve">in </w:t>
      </w:r>
      <w:r w:rsidRPr="0067297E">
        <w:rPr>
          <w:rFonts w:asciiTheme="minorHAnsi" w:eastAsiaTheme="minorEastAsia" w:hAnsiTheme="minorHAnsi" w:cs="Times"/>
          <w:lang w:val="en-US"/>
        </w:rPr>
        <w:t>Sep</w:t>
      </w:r>
      <w:r w:rsidR="001A4242" w:rsidRPr="0067297E">
        <w:rPr>
          <w:rFonts w:asciiTheme="minorHAnsi" w:eastAsiaTheme="minorEastAsia" w:hAnsiTheme="minorHAnsi" w:cs="Times"/>
          <w:lang w:val="en-US"/>
        </w:rPr>
        <w:t>tember</w:t>
      </w:r>
      <w:r w:rsidRPr="0067297E">
        <w:rPr>
          <w:rFonts w:asciiTheme="minorHAnsi" w:eastAsiaTheme="minorEastAsia" w:hAnsiTheme="minorHAnsi" w:cs="Times"/>
          <w:lang w:val="en-US"/>
        </w:rPr>
        <w:t xml:space="preserve"> 2018)</w:t>
      </w:r>
      <w:r w:rsidR="00C5084D" w:rsidRPr="0067297E">
        <w:rPr>
          <w:rFonts w:asciiTheme="minorHAnsi" w:eastAsiaTheme="minorEastAsia" w:hAnsiTheme="minorHAnsi" w:cs="Times"/>
          <w:lang w:val="en-US"/>
        </w:rPr>
        <w:t>.</w:t>
      </w:r>
    </w:p>
    <w:p w14:paraId="066BD2A5" w14:textId="3F13A5BD" w:rsidR="002D4C53" w:rsidRPr="0067297E" w:rsidRDefault="00B34240">
      <w:pPr>
        <w:pStyle w:val="Reporttext"/>
        <w:rPr>
          <w:rFonts w:asciiTheme="minorHAnsi" w:hAnsiTheme="minorHAnsi"/>
        </w:rPr>
      </w:pPr>
      <w:bookmarkStart w:id="290" w:name="_Toc395193571"/>
      <w:bookmarkStart w:id="291" w:name="_Toc397250575"/>
      <w:r w:rsidRPr="0067297E">
        <w:rPr>
          <w:rFonts w:asciiTheme="minorHAnsi" w:hAnsiTheme="minorHAnsi"/>
        </w:rPr>
        <w:t xml:space="preserve">The brief suggested two options when considering future housing need: Option A </w:t>
      </w:r>
      <w:r w:rsidR="001A4242" w:rsidRPr="0067297E">
        <w:rPr>
          <w:rFonts w:asciiTheme="minorHAnsi" w:hAnsiTheme="minorHAnsi"/>
        </w:rPr>
        <w:t>recognis</w:t>
      </w:r>
      <w:r w:rsidR="001A4242" w:rsidRPr="0067297E">
        <w:rPr>
          <w:rFonts w:asciiTheme="minorHAnsi" w:hAnsiTheme="minorHAnsi"/>
          <w:lang w:val="en-GB"/>
        </w:rPr>
        <w:t>ing</w:t>
      </w:r>
      <w:r w:rsidR="001A4242" w:rsidRPr="0067297E">
        <w:rPr>
          <w:rFonts w:asciiTheme="minorHAnsi" w:hAnsiTheme="minorHAnsi"/>
        </w:rPr>
        <w:t xml:space="preserve"> </w:t>
      </w:r>
      <w:r w:rsidRPr="0067297E">
        <w:rPr>
          <w:rFonts w:asciiTheme="minorHAnsi" w:hAnsiTheme="minorHAnsi"/>
        </w:rPr>
        <w:t>that housing need has already been established at the London level through the London Plan; and Option B</w:t>
      </w:r>
      <w:r w:rsidR="00C718BC" w:rsidRPr="0067297E">
        <w:rPr>
          <w:rFonts w:asciiTheme="minorHAnsi" w:hAnsiTheme="minorHAnsi"/>
        </w:rPr>
        <w:t xml:space="preserve"> assessing housing need through the Government</w:t>
      </w:r>
      <w:r w:rsidR="001A4242" w:rsidRPr="0067297E">
        <w:rPr>
          <w:rFonts w:asciiTheme="minorHAnsi" w:hAnsiTheme="minorHAnsi"/>
          <w:lang w:val="en-GB"/>
        </w:rPr>
        <w:t>’</w:t>
      </w:r>
      <w:r w:rsidR="00C718BC" w:rsidRPr="0067297E">
        <w:rPr>
          <w:rFonts w:asciiTheme="minorHAnsi" w:hAnsiTheme="minorHAnsi"/>
        </w:rPr>
        <w:t>s standard method.</w:t>
      </w:r>
    </w:p>
    <w:p w14:paraId="4EA0FD1A" w14:textId="77777777" w:rsidR="00F55339" w:rsidRPr="0067297E" w:rsidRDefault="00F55339">
      <w:pPr>
        <w:rPr>
          <w:rFonts w:asciiTheme="minorHAnsi" w:hAnsiTheme="minorHAnsi"/>
        </w:rPr>
      </w:pPr>
    </w:p>
    <w:p w14:paraId="5702E7A6" w14:textId="77777777" w:rsidR="002D4C53" w:rsidRPr="0067297E" w:rsidRDefault="002D4C53">
      <w:pPr>
        <w:pStyle w:val="Heading2"/>
        <w:rPr>
          <w:rFonts w:asciiTheme="minorHAnsi" w:hAnsiTheme="minorHAnsi"/>
        </w:rPr>
      </w:pPr>
      <w:bookmarkStart w:id="292" w:name="_Toc1385762"/>
      <w:bookmarkStart w:id="293" w:name="_Toc23151077"/>
      <w:r w:rsidRPr="0067297E">
        <w:rPr>
          <w:rFonts w:asciiTheme="minorHAnsi" w:hAnsiTheme="minorHAnsi"/>
        </w:rPr>
        <w:t>Establishing housing need</w:t>
      </w:r>
      <w:bookmarkEnd w:id="290"/>
      <w:bookmarkEnd w:id="291"/>
      <w:r w:rsidRPr="0067297E">
        <w:rPr>
          <w:rFonts w:asciiTheme="minorHAnsi" w:hAnsiTheme="minorHAnsi"/>
        </w:rPr>
        <w:t xml:space="preserve"> using the standard methodology</w:t>
      </w:r>
      <w:bookmarkEnd w:id="292"/>
      <w:bookmarkEnd w:id="293"/>
    </w:p>
    <w:p w14:paraId="257DA658" w14:textId="05F4A6BC" w:rsidR="00A74EFC" w:rsidRPr="0067297E" w:rsidRDefault="002D4C53">
      <w:pPr>
        <w:pStyle w:val="Reporttext"/>
        <w:rPr>
          <w:rFonts w:asciiTheme="minorHAnsi" w:hAnsiTheme="minorHAnsi"/>
        </w:rPr>
      </w:pPr>
      <w:r w:rsidRPr="0067297E">
        <w:rPr>
          <w:rFonts w:asciiTheme="minorHAnsi" w:hAnsiTheme="minorHAnsi"/>
        </w:rPr>
        <w:t>The 201</w:t>
      </w:r>
      <w:r w:rsidR="00723FAE" w:rsidRPr="0067297E">
        <w:rPr>
          <w:rFonts w:asciiTheme="minorHAnsi" w:hAnsiTheme="minorHAnsi"/>
          <w:lang w:val="en-US"/>
        </w:rPr>
        <w:t>9</w:t>
      </w:r>
      <w:r w:rsidRPr="0067297E">
        <w:rPr>
          <w:rFonts w:asciiTheme="minorHAnsi" w:hAnsiTheme="minorHAnsi"/>
        </w:rPr>
        <w:t xml:space="preserve"> NPPF (Paragraph 60) </w:t>
      </w:r>
      <w:r w:rsidR="00723FAE" w:rsidRPr="0067297E">
        <w:rPr>
          <w:rFonts w:asciiTheme="minorHAnsi" w:hAnsiTheme="minorHAnsi"/>
        </w:rPr>
        <w:t>states ‘</w:t>
      </w:r>
      <w:r w:rsidR="00723FAE" w:rsidRPr="0067297E">
        <w:rPr>
          <w:rFonts w:asciiTheme="minorHAnsi" w:hAnsiTheme="minorHAnsi"/>
          <w:iCs/>
        </w:rPr>
        <w:t xml:space="preserve">to determine the minimum number of homes needed, strategic policies should be informed </w:t>
      </w:r>
      <w:r w:rsidR="00723FAE" w:rsidRPr="0067297E">
        <w:rPr>
          <w:rFonts w:asciiTheme="minorHAnsi" w:hAnsiTheme="minorHAnsi"/>
        </w:rPr>
        <w:t>by</w:t>
      </w:r>
      <w:r w:rsidR="00723FAE" w:rsidRPr="0067297E">
        <w:rPr>
          <w:rFonts w:asciiTheme="minorHAnsi" w:hAnsiTheme="minorHAnsi"/>
          <w:iCs/>
        </w:rPr>
        <w:t xml:space="preserve"> a local housing need assessment, conducted using the standard method in national </w:t>
      </w:r>
      <w:r w:rsidR="00723FAE" w:rsidRPr="0067297E">
        <w:rPr>
          <w:rFonts w:asciiTheme="minorHAnsi" w:hAnsiTheme="minorHAnsi"/>
        </w:rPr>
        <w:t>planning</w:t>
      </w:r>
      <w:r w:rsidR="00723FAE" w:rsidRPr="0067297E">
        <w:rPr>
          <w:rFonts w:asciiTheme="minorHAnsi" w:hAnsiTheme="minorHAnsi"/>
          <w:iCs/>
        </w:rPr>
        <w:t xml:space="preserve"> guidance - unless exceptional circumstances justify an alternative approach which also reflects current and future demographic trends and market signals. In addition to the local housing figure, any needs that cannot be met within neighbouring areas should also be taken into account in establishing the amount of housing to be planned for’</w:t>
      </w:r>
      <w:r w:rsidRPr="0067297E">
        <w:rPr>
          <w:rFonts w:asciiTheme="minorHAnsi" w:hAnsiTheme="minorHAnsi"/>
        </w:rPr>
        <w:t xml:space="preserve">. </w:t>
      </w:r>
    </w:p>
    <w:p w14:paraId="757019A1" w14:textId="0ED97C19" w:rsidR="00723FAE" w:rsidRPr="0067297E" w:rsidRDefault="00723FAE">
      <w:pPr>
        <w:pStyle w:val="Reporttext"/>
        <w:rPr>
          <w:rFonts w:asciiTheme="minorHAnsi" w:hAnsiTheme="minorHAnsi"/>
        </w:rPr>
      </w:pPr>
      <w:r w:rsidRPr="0067297E">
        <w:rPr>
          <w:rFonts w:asciiTheme="minorHAnsi" w:hAnsiTheme="minorHAnsi"/>
          <w:lang w:val="en-US"/>
        </w:rPr>
        <w:t>2019 PPG states ‘the NPPF expects strategic policy-making authorities to follow the standard method in this guidance for assessing local housing need. The standard method uses a formula to identify the minimum number of homes expected to be planned for in a way which addresses projected household growth and historic under-supply. The standard method identifies a minimum annual housing need figure. It does not produce a requirement figure.’</w:t>
      </w:r>
      <w:r w:rsidRPr="0067297E">
        <w:rPr>
          <w:rStyle w:val="FootnoteReference"/>
          <w:rFonts w:asciiTheme="minorHAnsi" w:hAnsiTheme="minorHAnsi"/>
          <w:lang w:val="en-US"/>
        </w:rPr>
        <w:footnoteReference w:id="23"/>
      </w:r>
    </w:p>
    <w:p w14:paraId="49BB56F3" w14:textId="1BA923BC" w:rsidR="00255B16" w:rsidRPr="0067297E" w:rsidRDefault="00A74EFC">
      <w:pPr>
        <w:pStyle w:val="Reporttext"/>
        <w:rPr>
          <w:rFonts w:asciiTheme="minorHAnsi" w:hAnsiTheme="minorHAnsi"/>
        </w:rPr>
      </w:pPr>
      <w:r w:rsidRPr="0067297E">
        <w:rPr>
          <w:rFonts w:asciiTheme="minorHAnsi" w:hAnsiTheme="minorHAnsi"/>
        </w:rPr>
        <w:t xml:space="preserve">The standard method comprises three steps: setting the baseline, an adjustment to take account of affordability </w:t>
      </w:r>
      <w:r w:rsidR="004E524C" w:rsidRPr="0067297E">
        <w:rPr>
          <w:rFonts w:asciiTheme="minorHAnsi" w:hAnsiTheme="minorHAnsi"/>
        </w:rPr>
        <w:t xml:space="preserve">and capping the level of increase with reference to the current status of relevant strategic policies for housing. </w:t>
      </w:r>
    </w:p>
    <w:p w14:paraId="5C69262C" w14:textId="77777777" w:rsidR="002D4C53" w:rsidRPr="0067297E" w:rsidRDefault="002D4C53" w:rsidP="00543A76">
      <w:pPr>
        <w:pStyle w:val="Reporttext"/>
        <w:numPr>
          <w:ilvl w:val="0"/>
          <w:numId w:val="0"/>
        </w:numPr>
        <w:rPr>
          <w:rFonts w:asciiTheme="minorHAnsi" w:hAnsiTheme="minorHAnsi"/>
        </w:rPr>
      </w:pPr>
    </w:p>
    <w:p w14:paraId="48EA6091" w14:textId="77777777" w:rsidR="002D4C53" w:rsidRPr="0067297E" w:rsidRDefault="002D4C53" w:rsidP="00543A76">
      <w:pPr>
        <w:pStyle w:val="Heading3"/>
        <w:rPr>
          <w:rFonts w:asciiTheme="minorHAnsi" w:hAnsiTheme="minorHAnsi"/>
        </w:rPr>
      </w:pPr>
      <w:bookmarkStart w:id="294" w:name="_Toc391751912"/>
      <w:bookmarkStart w:id="295" w:name="_Toc395193572"/>
      <w:r w:rsidRPr="0067297E">
        <w:rPr>
          <w:rFonts w:asciiTheme="minorHAnsi" w:hAnsiTheme="minorHAnsi"/>
        </w:rPr>
        <w:t>Step 1: Setting the baseline</w:t>
      </w:r>
      <w:bookmarkEnd w:id="294"/>
      <w:bookmarkEnd w:id="295"/>
    </w:p>
    <w:p w14:paraId="62877ACF" w14:textId="078A21D2" w:rsidR="00675008" w:rsidRPr="0067297E" w:rsidRDefault="002D4C53" w:rsidP="00543A76">
      <w:pPr>
        <w:pStyle w:val="Reporttext"/>
        <w:rPr>
          <w:rFonts w:asciiTheme="minorHAnsi" w:hAnsiTheme="minorHAnsi"/>
        </w:rPr>
      </w:pPr>
      <w:r w:rsidRPr="0067297E">
        <w:rPr>
          <w:rFonts w:asciiTheme="minorHAnsi" w:hAnsiTheme="minorHAnsi"/>
        </w:rPr>
        <w:t>201</w:t>
      </w:r>
      <w:r w:rsidR="00D8430C" w:rsidRPr="0067297E">
        <w:rPr>
          <w:rFonts w:asciiTheme="minorHAnsi" w:hAnsiTheme="minorHAnsi"/>
          <w:lang w:val="en-US"/>
        </w:rPr>
        <w:t>9</w:t>
      </w:r>
      <w:r w:rsidRPr="0067297E">
        <w:rPr>
          <w:rFonts w:asciiTheme="minorHAnsi" w:hAnsiTheme="minorHAnsi"/>
        </w:rPr>
        <w:t xml:space="preserve"> PPG states that the baseline should be set ‘</w:t>
      </w:r>
      <w:r w:rsidRPr="0067297E">
        <w:rPr>
          <w:rFonts w:asciiTheme="minorHAnsi" w:hAnsiTheme="minorHAnsi"/>
          <w:i/>
        </w:rPr>
        <w:t xml:space="preserve">using national household projections </w:t>
      </w:r>
      <w:r w:rsidR="00723FAE" w:rsidRPr="0067297E">
        <w:rPr>
          <w:rFonts w:asciiTheme="minorHAnsi" w:hAnsiTheme="minorHAnsi"/>
          <w:i/>
          <w:lang w:val="en-US"/>
        </w:rPr>
        <w:t xml:space="preserve">(MHCLG 2014-based household projections) </w:t>
      </w:r>
      <w:r w:rsidRPr="0067297E">
        <w:rPr>
          <w:rFonts w:asciiTheme="minorHAnsi" w:hAnsiTheme="minorHAnsi"/>
          <w:i/>
        </w:rPr>
        <w:t>for area of the local authority area. Taking the most recent projections, calculate the projected annual average household growth over a 10 year period (this should be 10 consecutive years, with the current year being the first year)</w:t>
      </w:r>
      <w:r w:rsidRPr="0067297E">
        <w:rPr>
          <w:rFonts w:asciiTheme="minorHAnsi" w:hAnsiTheme="minorHAnsi"/>
        </w:rPr>
        <w:t>’</w:t>
      </w:r>
      <w:r w:rsidRPr="0067297E">
        <w:rPr>
          <w:rStyle w:val="FootnoteReference"/>
          <w:rFonts w:asciiTheme="minorHAnsi" w:hAnsiTheme="minorHAnsi"/>
        </w:rPr>
        <w:footnoteReference w:id="24"/>
      </w:r>
      <w:r w:rsidRPr="0067297E">
        <w:rPr>
          <w:rFonts w:asciiTheme="minorHAnsi" w:hAnsiTheme="minorHAnsi"/>
        </w:rPr>
        <w:t xml:space="preserve">. </w:t>
      </w:r>
    </w:p>
    <w:p w14:paraId="6E1E086B" w14:textId="7D4A78C1" w:rsidR="004E524C" w:rsidRPr="0067297E" w:rsidRDefault="00D8430C" w:rsidP="0051705A">
      <w:pPr>
        <w:pStyle w:val="Reporttext"/>
        <w:rPr>
          <w:rFonts w:asciiTheme="minorHAnsi" w:hAnsiTheme="minorHAnsi"/>
        </w:rPr>
      </w:pPr>
      <w:r w:rsidRPr="0067297E">
        <w:rPr>
          <w:rFonts w:asciiTheme="minorHAnsi" w:hAnsiTheme="minorHAnsi"/>
        </w:rPr>
        <w:t>Government advice recommends the use of 2014-based household projections. This is stated in the February 2019 PPG</w:t>
      </w:r>
      <w:r w:rsidRPr="0067297E">
        <w:rPr>
          <w:rStyle w:val="FootnoteReference"/>
          <w:rFonts w:asciiTheme="minorHAnsi" w:hAnsiTheme="minorHAnsi"/>
        </w:rPr>
        <w:footnoteReference w:id="25"/>
      </w:r>
      <w:r w:rsidRPr="0067297E">
        <w:rPr>
          <w:rFonts w:asciiTheme="minorHAnsi" w:hAnsiTheme="minorHAnsi"/>
        </w:rPr>
        <w:t xml:space="preserve"> which also states that ‘any method that relies on the 2016-based household projections will </w:t>
      </w:r>
      <w:r w:rsidRPr="00E61A47">
        <w:rPr>
          <w:rFonts w:asciiTheme="minorHAnsi" w:hAnsiTheme="minorHAnsi"/>
        </w:rPr>
        <w:t>not be considered</w:t>
      </w:r>
      <w:r w:rsidRPr="00E61A47">
        <w:rPr>
          <w:rStyle w:val="FootnoteReference"/>
          <w:rFonts w:asciiTheme="minorHAnsi" w:hAnsiTheme="minorHAnsi"/>
        </w:rPr>
        <w:footnoteReference w:id="26"/>
      </w:r>
      <w:r w:rsidRPr="00E61A47">
        <w:rPr>
          <w:rFonts w:asciiTheme="minorHAnsi" w:hAnsiTheme="minorHAnsi"/>
        </w:rPr>
        <w:t>’.</w:t>
      </w:r>
      <w:r w:rsidR="002D4C53" w:rsidRPr="00E61A47">
        <w:rPr>
          <w:rFonts w:asciiTheme="minorHAnsi" w:hAnsiTheme="minorHAnsi"/>
        </w:rPr>
        <w:t>For the Borough of Lewisham, over the period 20</w:t>
      </w:r>
      <w:r w:rsidR="00E61A47" w:rsidRPr="00E61A47">
        <w:rPr>
          <w:rFonts w:asciiTheme="minorHAnsi" w:hAnsiTheme="minorHAnsi"/>
          <w:lang w:val="en-US"/>
        </w:rPr>
        <w:t>20</w:t>
      </w:r>
      <w:r w:rsidR="002D4C53" w:rsidRPr="00E61A47">
        <w:rPr>
          <w:rFonts w:asciiTheme="minorHAnsi" w:hAnsiTheme="minorHAnsi"/>
        </w:rPr>
        <w:t>-20</w:t>
      </w:r>
      <w:r w:rsidR="00E61A47" w:rsidRPr="00E61A47">
        <w:rPr>
          <w:rFonts w:asciiTheme="minorHAnsi" w:hAnsiTheme="minorHAnsi"/>
          <w:lang w:val="en-US"/>
        </w:rPr>
        <w:t>30</w:t>
      </w:r>
      <w:r w:rsidR="002D4C53" w:rsidRPr="00E61A47">
        <w:rPr>
          <w:rFonts w:asciiTheme="minorHAnsi" w:hAnsiTheme="minorHAnsi"/>
        </w:rPr>
        <w:t xml:space="preserve">, </w:t>
      </w:r>
      <w:r w:rsidR="0051705A" w:rsidRPr="00E61A47">
        <w:rPr>
          <w:rFonts w:asciiTheme="minorHAnsi" w:hAnsiTheme="minorHAnsi"/>
          <w:lang w:val="en-US"/>
        </w:rPr>
        <w:t>the MHCLG</w:t>
      </w:r>
      <w:r w:rsidR="0051705A" w:rsidRPr="0067297E">
        <w:rPr>
          <w:rFonts w:asciiTheme="minorHAnsi" w:hAnsiTheme="minorHAnsi"/>
          <w:lang w:val="en-US"/>
        </w:rPr>
        <w:t xml:space="preserve"> 2014-based household projections identify a household growth of 22,</w:t>
      </w:r>
      <w:r w:rsidR="00E61A47">
        <w:rPr>
          <w:rFonts w:asciiTheme="minorHAnsi" w:hAnsiTheme="minorHAnsi"/>
          <w:lang w:val="en-US"/>
        </w:rPr>
        <w:t>014</w:t>
      </w:r>
      <w:r w:rsidR="0051705A" w:rsidRPr="0067297E">
        <w:rPr>
          <w:rFonts w:asciiTheme="minorHAnsi" w:hAnsiTheme="minorHAnsi"/>
          <w:lang w:val="en-US"/>
        </w:rPr>
        <w:t xml:space="preserve"> or 2,2</w:t>
      </w:r>
      <w:r w:rsidR="007B1F7F" w:rsidRPr="0067297E">
        <w:rPr>
          <w:rFonts w:asciiTheme="minorHAnsi" w:hAnsiTheme="minorHAnsi"/>
          <w:lang w:val="en-US"/>
        </w:rPr>
        <w:t>1</w:t>
      </w:r>
      <w:r w:rsidR="00E61A47">
        <w:rPr>
          <w:rFonts w:asciiTheme="minorHAnsi" w:hAnsiTheme="minorHAnsi"/>
          <w:lang w:val="en-US"/>
        </w:rPr>
        <w:t>0</w:t>
      </w:r>
      <w:r w:rsidR="0051705A" w:rsidRPr="0067297E">
        <w:rPr>
          <w:rFonts w:asciiTheme="minorHAnsi" w:hAnsiTheme="minorHAnsi"/>
          <w:lang w:val="en-US"/>
        </w:rPr>
        <w:t xml:space="preserve"> each year (Table 5.1). 2016-based household projections are also shown for comparison but they are not part of the housing need calculation.</w:t>
      </w:r>
    </w:p>
    <w:p w14:paraId="2B67F1DB" w14:textId="77777777" w:rsidR="0051705A" w:rsidRPr="0067297E" w:rsidRDefault="0051705A" w:rsidP="00164939">
      <w:pPr>
        <w:pStyle w:val="Reporttext"/>
        <w:numPr>
          <w:ilvl w:val="0"/>
          <w:numId w:val="0"/>
        </w:numPr>
        <w:rPr>
          <w:rFonts w:asciiTheme="minorHAnsi" w:hAnsiTheme="minorHAnsi"/>
        </w:rPr>
      </w:pPr>
    </w:p>
    <w:tbl>
      <w:tblPr>
        <w:tblStyle w:val="TableGrid"/>
        <w:tblW w:w="5000" w:type="pct"/>
        <w:jc w:val="center"/>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Caption w:val="Table 5.1 Household change under alternative household projections"/>
      </w:tblPr>
      <w:tblGrid>
        <w:gridCol w:w="2658"/>
        <w:gridCol w:w="1730"/>
        <w:gridCol w:w="1730"/>
        <w:gridCol w:w="1532"/>
        <w:gridCol w:w="1532"/>
      </w:tblGrid>
      <w:tr w:rsidR="00675008" w:rsidRPr="00A406E8" w14:paraId="5B4090BD" w14:textId="77777777" w:rsidTr="00FF4E2D">
        <w:trPr>
          <w:tblHeader/>
          <w:jc w:val="center"/>
        </w:trPr>
        <w:tc>
          <w:tcPr>
            <w:tcW w:w="5000" w:type="pct"/>
            <w:gridSpan w:val="5"/>
            <w:shd w:val="clear" w:color="auto" w:fill="009999"/>
            <w:vAlign w:val="center"/>
          </w:tcPr>
          <w:p w14:paraId="1135E28A" w14:textId="5117D956" w:rsidR="00675008" w:rsidRPr="00A406E8" w:rsidRDefault="00675008" w:rsidP="003F4875">
            <w:pPr>
              <w:pStyle w:val="tableheading"/>
              <w:rPr>
                <w:rFonts w:asciiTheme="minorHAnsi" w:hAnsiTheme="minorHAnsi"/>
                <w:szCs w:val="22"/>
              </w:rPr>
            </w:pPr>
            <w:bookmarkStart w:id="296" w:name="_Toc23151174"/>
            <w:r w:rsidRPr="00A406E8">
              <w:rPr>
                <w:rFonts w:asciiTheme="minorHAnsi" w:hAnsiTheme="minorHAnsi"/>
                <w:szCs w:val="22"/>
              </w:rPr>
              <w:t xml:space="preserve">Table </w:t>
            </w:r>
            <w:r w:rsidR="00E413E6" w:rsidRPr="00A406E8">
              <w:rPr>
                <w:rFonts w:asciiTheme="minorHAnsi" w:hAnsiTheme="minorHAnsi"/>
                <w:szCs w:val="22"/>
              </w:rPr>
              <w:t>5</w:t>
            </w:r>
            <w:r w:rsidRPr="00A406E8">
              <w:rPr>
                <w:rFonts w:asciiTheme="minorHAnsi" w:hAnsiTheme="minorHAnsi"/>
                <w:szCs w:val="22"/>
              </w:rPr>
              <w:t>.</w:t>
            </w:r>
            <w:r w:rsidR="00F55339" w:rsidRPr="00A406E8">
              <w:rPr>
                <w:rFonts w:asciiTheme="minorHAnsi" w:hAnsiTheme="minorHAnsi"/>
                <w:szCs w:val="22"/>
              </w:rPr>
              <w:t>1</w:t>
            </w:r>
            <w:r w:rsidRPr="00A406E8">
              <w:rPr>
                <w:rFonts w:asciiTheme="minorHAnsi" w:hAnsiTheme="minorHAnsi"/>
                <w:szCs w:val="22"/>
              </w:rPr>
              <w:tab/>
              <w:t>Household change under alternative household projections</w:t>
            </w:r>
            <w:bookmarkEnd w:id="296"/>
          </w:p>
        </w:tc>
      </w:tr>
      <w:tr w:rsidR="00675008" w:rsidRPr="00A406E8" w14:paraId="57C9985E" w14:textId="77777777" w:rsidTr="009643F5">
        <w:trPr>
          <w:jc w:val="center"/>
        </w:trPr>
        <w:tc>
          <w:tcPr>
            <w:tcW w:w="1448" w:type="pct"/>
            <w:shd w:val="clear" w:color="auto" w:fill="009999"/>
            <w:vAlign w:val="center"/>
          </w:tcPr>
          <w:p w14:paraId="56FD7CDF" w14:textId="77777777" w:rsidR="00675008" w:rsidRPr="00A406E8" w:rsidRDefault="00675008" w:rsidP="006C722F">
            <w:pPr>
              <w:pStyle w:val="Reporttext"/>
              <w:numPr>
                <w:ilvl w:val="0"/>
                <w:numId w:val="0"/>
              </w:numPr>
              <w:spacing w:before="0" w:after="0"/>
              <w:jc w:val="center"/>
              <w:rPr>
                <w:rFonts w:asciiTheme="minorHAnsi" w:hAnsiTheme="minorHAnsi" w:cs="Calibri"/>
                <w:b/>
                <w:color w:val="FFFFFF" w:themeColor="background1"/>
                <w:sz w:val="22"/>
                <w:szCs w:val="22"/>
              </w:rPr>
            </w:pPr>
            <w:r w:rsidRPr="00A406E8">
              <w:rPr>
                <w:rFonts w:asciiTheme="minorHAnsi" w:hAnsiTheme="minorHAnsi" w:cs="Calibri"/>
                <w:b/>
                <w:color w:val="FFFFFF" w:themeColor="background1"/>
                <w:sz w:val="22"/>
                <w:szCs w:val="22"/>
              </w:rPr>
              <w:t>Projection</w:t>
            </w:r>
          </w:p>
        </w:tc>
        <w:tc>
          <w:tcPr>
            <w:tcW w:w="942" w:type="pct"/>
            <w:shd w:val="clear" w:color="auto" w:fill="009999"/>
            <w:vAlign w:val="center"/>
          </w:tcPr>
          <w:p w14:paraId="55AC6B86" w14:textId="5A8A0AB2" w:rsidR="00675008" w:rsidRPr="00A406E8" w:rsidRDefault="00675008" w:rsidP="006C722F">
            <w:pPr>
              <w:pStyle w:val="Reporttext"/>
              <w:numPr>
                <w:ilvl w:val="0"/>
                <w:numId w:val="0"/>
              </w:numPr>
              <w:spacing w:before="0" w:after="0"/>
              <w:jc w:val="center"/>
              <w:rPr>
                <w:rFonts w:asciiTheme="minorHAnsi" w:hAnsiTheme="minorHAnsi" w:cs="Calibri"/>
                <w:b/>
                <w:color w:val="FFFFFF" w:themeColor="background1"/>
                <w:sz w:val="22"/>
                <w:szCs w:val="22"/>
                <w:lang w:val="en-US"/>
              </w:rPr>
            </w:pPr>
            <w:r w:rsidRPr="00A406E8">
              <w:rPr>
                <w:rFonts w:asciiTheme="minorHAnsi" w:hAnsiTheme="minorHAnsi" w:cs="Calibri"/>
                <w:b/>
                <w:color w:val="FFFFFF" w:themeColor="background1"/>
                <w:sz w:val="22"/>
                <w:szCs w:val="22"/>
              </w:rPr>
              <w:t>20</w:t>
            </w:r>
            <w:r w:rsidR="00E61A47" w:rsidRPr="00A406E8">
              <w:rPr>
                <w:rFonts w:asciiTheme="minorHAnsi" w:hAnsiTheme="minorHAnsi" w:cs="Calibri"/>
                <w:b/>
                <w:color w:val="FFFFFF" w:themeColor="background1"/>
                <w:sz w:val="22"/>
                <w:szCs w:val="22"/>
                <w:lang w:val="en-US"/>
              </w:rPr>
              <w:t>20</w:t>
            </w:r>
          </w:p>
          <w:p w14:paraId="52A5DED4" w14:textId="77777777" w:rsidR="00675008" w:rsidRPr="00A406E8" w:rsidRDefault="00675008" w:rsidP="006C722F">
            <w:pPr>
              <w:pStyle w:val="Reporttext"/>
              <w:numPr>
                <w:ilvl w:val="0"/>
                <w:numId w:val="0"/>
              </w:numPr>
              <w:spacing w:before="0" w:after="0"/>
              <w:jc w:val="center"/>
              <w:rPr>
                <w:rFonts w:asciiTheme="minorHAnsi" w:hAnsiTheme="minorHAnsi" w:cs="Calibri"/>
                <w:b/>
                <w:color w:val="FFFFFF" w:themeColor="background1"/>
                <w:sz w:val="22"/>
                <w:szCs w:val="22"/>
              </w:rPr>
            </w:pPr>
            <w:r w:rsidRPr="00A406E8">
              <w:rPr>
                <w:rFonts w:asciiTheme="minorHAnsi" w:hAnsiTheme="minorHAnsi" w:cs="Calibri"/>
                <w:b/>
                <w:color w:val="FFFFFF" w:themeColor="background1"/>
                <w:sz w:val="22"/>
                <w:szCs w:val="22"/>
              </w:rPr>
              <w:t>households</w:t>
            </w:r>
          </w:p>
        </w:tc>
        <w:tc>
          <w:tcPr>
            <w:tcW w:w="942" w:type="pct"/>
            <w:shd w:val="clear" w:color="auto" w:fill="009999"/>
            <w:vAlign w:val="center"/>
          </w:tcPr>
          <w:p w14:paraId="40623B1D" w14:textId="507EFC5B" w:rsidR="00675008" w:rsidRPr="00A406E8" w:rsidRDefault="00675008" w:rsidP="00944242">
            <w:pPr>
              <w:pStyle w:val="Reporttext"/>
              <w:numPr>
                <w:ilvl w:val="0"/>
                <w:numId w:val="0"/>
              </w:numPr>
              <w:spacing w:before="0" w:after="0"/>
              <w:jc w:val="center"/>
              <w:rPr>
                <w:rFonts w:asciiTheme="minorHAnsi" w:hAnsiTheme="minorHAnsi" w:cs="Calibri"/>
                <w:b/>
                <w:color w:val="FFFFFF" w:themeColor="background1"/>
                <w:sz w:val="22"/>
                <w:szCs w:val="22"/>
                <w:lang w:val="en-US"/>
              </w:rPr>
            </w:pPr>
            <w:r w:rsidRPr="00A406E8">
              <w:rPr>
                <w:rFonts w:asciiTheme="minorHAnsi" w:hAnsiTheme="minorHAnsi" w:cs="Calibri"/>
                <w:b/>
                <w:color w:val="FFFFFF" w:themeColor="background1"/>
                <w:sz w:val="22"/>
                <w:szCs w:val="22"/>
              </w:rPr>
              <w:t>20</w:t>
            </w:r>
            <w:r w:rsidR="00E61A47" w:rsidRPr="00A406E8">
              <w:rPr>
                <w:rFonts w:asciiTheme="minorHAnsi" w:hAnsiTheme="minorHAnsi" w:cs="Calibri"/>
                <w:b/>
                <w:color w:val="FFFFFF" w:themeColor="background1"/>
                <w:sz w:val="22"/>
                <w:szCs w:val="22"/>
                <w:lang w:val="en-US"/>
              </w:rPr>
              <w:t>30</w:t>
            </w:r>
          </w:p>
          <w:p w14:paraId="1382A80C" w14:textId="77777777" w:rsidR="00675008" w:rsidRPr="00A406E8" w:rsidRDefault="00675008" w:rsidP="006B6473">
            <w:pPr>
              <w:pStyle w:val="Reporttext"/>
              <w:numPr>
                <w:ilvl w:val="0"/>
                <w:numId w:val="0"/>
              </w:numPr>
              <w:spacing w:before="0" w:after="0"/>
              <w:jc w:val="center"/>
              <w:rPr>
                <w:rFonts w:asciiTheme="minorHAnsi" w:hAnsiTheme="minorHAnsi" w:cs="Calibri"/>
                <w:b/>
                <w:color w:val="FFFFFF" w:themeColor="background1"/>
                <w:sz w:val="22"/>
                <w:szCs w:val="22"/>
              </w:rPr>
            </w:pPr>
            <w:r w:rsidRPr="00A406E8">
              <w:rPr>
                <w:rFonts w:asciiTheme="minorHAnsi" w:hAnsiTheme="minorHAnsi" w:cs="Calibri"/>
                <w:b/>
                <w:color w:val="FFFFFF" w:themeColor="background1"/>
                <w:sz w:val="22"/>
                <w:szCs w:val="22"/>
              </w:rPr>
              <w:t>households</w:t>
            </w:r>
          </w:p>
        </w:tc>
        <w:tc>
          <w:tcPr>
            <w:tcW w:w="834" w:type="pct"/>
            <w:shd w:val="clear" w:color="auto" w:fill="009999"/>
            <w:vAlign w:val="center"/>
          </w:tcPr>
          <w:p w14:paraId="1675860A" w14:textId="27993889" w:rsidR="00675008" w:rsidRPr="00A406E8" w:rsidRDefault="00675008" w:rsidP="008C3647">
            <w:pPr>
              <w:pStyle w:val="Reporttext"/>
              <w:numPr>
                <w:ilvl w:val="0"/>
                <w:numId w:val="0"/>
              </w:numPr>
              <w:spacing w:before="0" w:after="0"/>
              <w:jc w:val="center"/>
              <w:rPr>
                <w:rFonts w:asciiTheme="minorHAnsi" w:hAnsiTheme="minorHAnsi" w:cs="Calibri"/>
                <w:b/>
                <w:color w:val="FFFFFF" w:themeColor="background1"/>
                <w:sz w:val="22"/>
                <w:szCs w:val="22"/>
                <w:lang w:val="en-US"/>
              </w:rPr>
            </w:pPr>
            <w:r w:rsidRPr="00A406E8">
              <w:rPr>
                <w:rFonts w:asciiTheme="minorHAnsi" w:hAnsiTheme="minorHAnsi" w:cs="Calibri"/>
                <w:b/>
                <w:color w:val="FFFFFF" w:themeColor="background1"/>
                <w:sz w:val="22"/>
                <w:szCs w:val="22"/>
              </w:rPr>
              <w:t>20</w:t>
            </w:r>
            <w:r w:rsidR="00E61A47" w:rsidRPr="00A406E8">
              <w:rPr>
                <w:rFonts w:asciiTheme="minorHAnsi" w:hAnsiTheme="minorHAnsi" w:cs="Calibri"/>
                <w:b/>
                <w:color w:val="FFFFFF" w:themeColor="background1"/>
                <w:sz w:val="22"/>
                <w:szCs w:val="22"/>
                <w:lang w:val="en-US"/>
              </w:rPr>
              <w:t>20</w:t>
            </w:r>
            <w:r w:rsidRPr="00A406E8">
              <w:rPr>
                <w:rFonts w:asciiTheme="minorHAnsi" w:hAnsiTheme="minorHAnsi" w:cs="Calibri"/>
                <w:b/>
                <w:color w:val="FFFFFF" w:themeColor="background1"/>
                <w:sz w:val="22"/>
                <w:szCs w:val="22"/>
              </w:rPr>
              <w:t>-</w:t>
            </w:r>
            <w:r w:rsidR="00E61A47" w:rsidRPr="00A406E8">
              <w:rPr>
                <w:rFonts w:asciiTheme="minorHAnsi" w:hAnsiTheme="minorHAnsi" w:cs="Calibri"/>
                <w:b/>
                <w:color w:val="FFFFFF" w:themeColor="background1"/>
                <w:sz w:val="22"/>
                <w:szCs w:val="22"/>
                <w:lang w:val="en-US"/>
              </w:rPr>
              <w:t>30</w:t>
            </w:r>
          </w:p>
          <w:p w14:paraId="35A3F185" w14:textId="77777777" w:rsidR="00675008" w:rsidRPr="00A406E8" w:rsidRDefault="00675008" w:rsidP="00C12BC3">
            <w:pPr>
              <w:pStyle w:val="Reporttext"/>
              <w:numPr>
                <w:ilvl w:val="0"/>
                <w:numId w:val="0"/>
              </w:numPr>
              <w:spacing w:before="0" w:after="0"/>
              <w:jc w:val="center"/>
              <w:rPr>
                <w:rFonts w:asciiTheme="minorHAnsi" w:hAnsiTheme="minorHAnsi" w:cs="Calibri"/>
                <w:b/>
                <w:color w:val="FFFFFF" w:themeColor="background1"/>
                <w:sz w:val="22"/>
                <w:szCs w:val="22"/>
              </w:rPr>
            </w:pPr>
            <w:r w:rsidRPr="00A406E8">
              <w:rPr>
                <w:rFonts w:asciiTheme="minorHAnsi" w:hAnsiTheme="minorHAnsi" w:cs="Calibri"/>
                <w:b/>
                <w:color w:val="FFFFFF" w:themeColor="background1"/>
                <w:sz w:val="22"/>
                <w:szCs w:val="22"/>
              </w:rPr>
              <w:t>household</w:t>
            </w:r>
          </w:p>
          <w:p w14:paraId="6D754485" w14:textId="77777777" w:rsidR="00675008" w:rsidRPr="00A406E8" w:rsidRDefault="00675008" w:rsidP="00A04CC5">
            <w:pPr>
              <w:pStyle w:val="Reporttext"/>
              <w:numPr>
                <w:ilvl w:val="0"/>
                <w:numId w:val="0"/>
              </w:numPr>
              <w:spacing w:before="0" w:after="0"/>
              <w:jc w:val="center"/>
              <w:rPr>
                <w:rFonts w:asciiTheme="minorHAnsi" w:hAnsiTheme="minorHAnsi" w:cs="Calibri"/>
                <w:b/>
                <w:color w:val="FFFFFF" w:themeColor="background1"/>
                <w:sz w:val="22"/>
                <w:szCs w:val="22"/>
              </w:rPr>
            </w:pPr>
            <w:r w:rsidRPr="00A406E8">
              <w:rPr>
                <w:rFonts w:asciiTheme="minorHAnsi" w:hAnsiTheme="minorHAnsi" w:cs="Calibri"/>
                <w:b/>
                <w:color w:val="FFFFFF" w:themeColor="background1"/>
                <w:sz w:val="22"/>
                <w:szCs w:val="22"/>
              </w:rPr>
              <w:t>change</w:t>
            </w:r>
          </w:p>
        </w:tc>
        <w:tc>
          <w:tcPr>
            <w:tcW w:w="833" w:type="pct"/>
            <w:shd w:val="clear" w:color="auto" w:fill="009999"/>
            <w:vAlign w:val="center"/>
          </w:tcPr>
          <w:p w14:paraId="46D28DEA" w14:textId="77777777" w:rsidR="00675008" w:rsidRPr="00A406E8" w:rsidRDefault="00675008" w:rsidP="007E2C96">
            <w:pPr>
              <w:pStyle w:val="Reporttext"/>
              <w:numPr>
                <w:ilvl w:val="0"/>
                <w:numId w:val="0"/>
              </w:numPr>
              <w:spacing w:before="0" w:after="0"/>
              <w:jc w:val="center"/>
              <w:rPr>
                <w:rFonts w:asciiTheme="minorHAnsi" w:hAnsiTheme="minorHAnsi" w:cs="Calibri"/>
                <w:b/>
                <w:color w:val="FFFFFF" w:themeColor="background1"/>
                <w:sz w:val="22"/>
                <w:szCs w:val="22"/>
              </w:rPr>
            </w:pPr>
            <w:r w:rsidRPr="00A406E8">
              <w:rPr>
                <w:rFonts w:asciiTheme="minorHAnsi" w:hAnsiTheme="minorHAnsi" w:cs="Calibri"/>
                <w:b/>
                <w:color w:val="FFFFFF" w:themeColor="background1"/>
                <w:sz w:val="22"/>
                <w:szCs w:val="22"/>
              </w:rPr>
              <w:t>Annual</w:t>
            </w:r>
          </w:p>
          <w:p w14:paraId="169B1D8E" w14:textId="77777777" w:rsidR="00675008" w:rsidRPr="00A406E8" w:rsidRDefault="00675008" w:rsidP="00516B53">
            <w:pPr>
              <w:pStyle w:val="Reporttext"/>
              <w:numPr>
                <w:ilvl w:val="0"/>
                <w:numId w:val="0"/>
              </w:numPr>
              <w:spacing w:before="0" w:after="0"/>
              <w:jc w:val="center"/>
              <w:rPr>
                <w:rFonts w:asciiTheme="minorHAnsi" w:hAnsiTheme="minorHAnsi" w:cs="Calibri"/>
                <w:b/>
                <w:color w:val="FFFFFF" w:themeColor="background1"/>
                <w:sz w:val="22"/>
                <w:szCs w:val="22"/>
              </w:rPr>
            </w:pPr>
            <w:r w:rsidRPr="00A406E8">
              <w:rPr>
                <w:rFonts w:asciiTheme="minorHAnsi" w:hAnsiTheme="minorHAnsi" w:cs="Calibri"/>
                <w:b/>
                <w:color w:val="FFFFFF" w:themeColor="background1"/>
                <w:sz w:val="22"/>
                <w:szCs w:val="22"/>
              </w:rPr>
              <w:t>change</w:t>
            </w:r>
          </w:p>
        </w:tc>
      </w:tr>
      <w:tr w:rsidR="00E61A47" w:rsidRPr="00A406E8" w14:paraId="211557BE" w14:textId="77777777" w:rsidTr="009643F5">
        <w:trPr>
          <w:jc w:val="center"/>
        </w:trPr>
        <w:tc>
          <w:tcPr>
            <w:tcW w:w="1448" w:type="pct"/>
            <w:vAlign w:val="center"/>
          </w:tcPr>
          <w:p w14:paraId="6BE7286F" w14:textId="77777777" w:rsidR="00E61A47" w:rsidRPr="00A406E8" w:rsidRDefault="00E61A47" w:rsidP="00E61A47">
            <w:pPr>
              <w:pStyle w:val="Reporttext"/>
              <w:numPr>
                <w:ilvl w:val="0"/>
                <w:numId w:val="0"/>
              </w:numPr>
              <w:spacing w:before="0" w:after="0"/>
              <w:jc w:val="center"/>
              <w:rPr>
                <w:rFonts w:asciiTheme="minorHAnsi" w:hAnsiTheme="minorHAnsi" w:cs="Calibri"/>
                <w:sz w:val="22"/>
                <w:szCs w:val="22"/>
              </w:rPr>
            </w:pPr>
            <w:r w:rsidRPr="00A406E8">
              <w:rPr>
                <w:rFonts w:asciiTheme="minorHAnsi" w:hAnsiTheme="minorHAnsi" w:cs="Calibri"/>
                <w:sz w:val="22"/>
                <w:szCs w:val="22"/>
              </w:rPr>
              <w:t>DCLG 2014-based</w:t>
            </w:r>
          </w:p>
        </w:tc>
        <w:tc>
          <w:tcPr>
            <w:tcW w:w="942" w:type="pct"/>
            <w:vAlign w:val="bottom"/>
          </w:tcPr>
          <w:p w14:paraId="1E0725CF" w14:textId="3C1AB783" w:rsidR="00E61A47" w:rsidRPr="00A406E8" w:rsidRDefault="00E61A47" w:rsidP="00A406E8">
            <w:pPr>
              <w:spacing w:before="0" w:after="0"/>
              <w:jc w:val="right"/>
              <w:rPr>
                <w:rFonts w:asciiTheme="minorHAnsi" w:hAnsiTheme="minorHAnsi" w:cs="Calibri"/>
                <w:b/>
                <w:bCs/>
                <w:color w:val="000000"/>
                <w:sz w:val="22"/>
                <w:szCs w:val="22"/>
              </w:rPr>
            </w:pPr>
            <w:r w:rsidRPr="00A406E8">
              <w:rPr>
                <w:color w:val="000000"/>
                <w:sz w:val="22"/>
                <w:szCs w:val="22"/>
              </w:rPr>
              <w:t>138,709</w:t>
            </w:r>
          </w:p>
        </w:tc>
        <w:tc>
          <w:tcPr>
            <w:tcW w:w="942" w:type="pct"/>
            <w:vAlign w:val="bottom"/>
          </w:tcPr>
          <w:p w14:paraId="134236DE" w14:textId="67FEEAF6" w:rsidR="00E61A47" w:rsidRPr="00A406E8" w:rsidRDefault="00E61A47" w:rsidP="00A406E8">
            <w:pPr>
              <w:spacing w:before="0" w:after="0"/>
              <w:jc w:val="right"/>
              <w:rPr>
                <w:rFonts w:asciiTheme="minorHAnsi" w:hAnsiTheme="minorHAnsi" w:cs="Calibri"/>
                <w:sz w:val="22"/>
                <w:szCs w:val="22"/>
              </w:rPr>
            </w:pPr>
            <w:r w:rsidRPr="00A406E8">
              <w:rPr>
                <w:color w:val="000000"/>
                <w:sz w:val="22"/>
                <w:szCs w:val="22"/>
              </w:rPr>
              <w:t>160,813</w:t>
            </w:r>
          </w:p>
        </w:tc>
        <w:tc>
          <w:tcPr>
            <w:tcW w:w="834" w:type="pct"/>
            <w:vAlign w:val="bottom"/>
          </w:tcPr>
          <w:p w14:paraId="6E3F8CC1" w14:textId="52EFF5F8" w:rsidR="00E61A47" w:rsidRPr="00A406E8" w:rsidRDefault="00E61A47" w:rsidP="00A406E8">
            <w:pPr>
              <w:spacing w:before="0" w:after="0"/>
              <w:jc w:val="right"/>
              <w:rPr>
                <w:rFonts w:asciiTheme="minorHAnsi" w:hAnsiTheme="minorHAnsi" w:cs="Calibri"/>
                <w:sz w:val="22"/>
                <w:szCs w:val="22"/>
              </w:rPr>
            </w:pPr>
            <w:r w:rsidRPr="00A406E8">
              <w:rPr>
                <w:color w:val="000000"/>
                <w:sz w:val="22"/>
                <w:szCs w:val="22"/>
              </w:rPr>
              <w:t>22,104</w:t>
            </w:r>
          </w:p>
        </w:tc>
        <w:tc>
          <w:tcPr>
            <w:tcW w:w="833" w:type="pct"/>
            <w:vAlign w:val="bottom"/>
          </w:tcPr>
          <w:p w14:paraId="1707CB77" w14:textId="3D43F4FD" w:rsidR="00E61A47" w:rsidRPr="00A406E8" w:rsidRDefault="00E61A47" w:rsidP="00A406E8">
            <w:pPr>
              <w:spacing w:before="0" w:after="0"/>
              <w:jc w:val="right"/>
              <w:rPr>
                <w:rFonts w:asciiTheme="minorHAnsi" w:hAnsiTheme="minorHAnsi" w:cs="Calibri"/>
                <w:sz w:val="22"/>
                <w:szCs w:val="22"/>
                <w:u w:val="single"/>
              </w:rPr>
            </w:pPr>
            <w:r w:rsidRPr="00A406E8">
              <w:rPr>
                <w:color w:val="000000"/>
                <w:sz w:val="22"/>
                <w:szCs w:val="22"/>
              </w:rPr>
              <w:t>2</w:t>
            </w:r>
            <w:r w:rsidR="00D75D2E" w:rsidRPr="00A406E8">
              <w:rPr>
                <w:color w:val="000000"/>
                <w:sz w:val="22"/>
                <w:szCs w:val="22"/>
              </w:rPr>
              <w:t>,</w:t>
            </w:r>
            <w:r w:rsidRPr="00A406E8">
              <w:rPr>
                <w:color w:val="000000"/>
                <w:sz w:val="22"/>
                <w:szCs w:val="22"/>
              </w:rPr>
              <w:t>210</w:t>
            </w:r>
          </w:p>
        </w:tc>
      </w:tr>
      <w:tr w:rsidR="00E61A47" w:rsidRPr="00A406E8" w14:paraId="118E99D9" w14:textId="77777777" w:rsidTr="009643F5">
        <w:trPr>
          <w:jc w:val="center"/>
        </w:trPr>
        <w:tc>
          <w:tcPr>
            <w:tcW w:w="1448" w:type="pct"/>
            <w:vAlign w:val="center"/>
          </w:tcPr>
          <w:p w14:paraId="4AD3E0C0" w14:textId="74ECEFB6" w:rsidR="00E61A47" w:rsidRPr="00A406E8" w:rsidRDefault="00E61A47" w:rsidP="00E61A47">
            <w:pPr>
              <w:pStyle w:val="Reporttext"/>
              <w:numPr>
                <w:ilvl w:val="0"/>
                <w:numId w:val="0"/>
              </w:numPr>
              <w:spacing w:before="0" w:after="0"/>
              <w:jc w:val="center"/>
              <w:rPr>
                <w:rFonts w:asciiTheme="minorHAnsi" w:hAnsiTheme="minorHAnsi" w:cs="Calibri"/>
                <w:sz w:val="22"/>
                <w:szCs w:val="22"/>
                <w:lang w:val="en-US"/>
              </w:rPr>
            </w:pPr>
            <w:r w:rsidRPr="00A406E8">
              <w:rPr>
                <w:rFonts w:asciiTheme="minorHAnsi" w:hAnsiTheme="minorHAnsi" w:cs="Calibri"/>
                <w:sz w:val="22"/>
                <w:szCs w:val="22"/>
                <w:lang w:val="en-US"/>
              </w:rPr>
              <w:t>MHCLG 2016-based</w:t>
            </w:r>
          </w:p>
        </w:tc>
        <w:tc>
          <w:tcPr>
            <w:tcW w:w="942" w:type="pct"/>
            <w:vAlign w:val="bottom"/>
          </w:tcPr>
          <w:p w14:paraId="3D61FF97" w14:textId="13F370E7" w:rsidR="00E61A47" w:rsidRPr="00A406E8" w:rsidRDefault="00E61A47" w:rsidP="00A406E8">
            <w:pPr>
              <w:spacing w:before="0" w:after="0"/>
              <w:jc w:val="right"/>
              <w:rPr>
                <w:rFonts w:asciiTheme="minorHAnsi" w:hAnsiTheme="minorHAnsi" w:cs="Calibri"/>
                <w:b/>
                <w:bCs/>
                <w:color w:val="000000"/>
                <w:sz w:val="22"/>
                <w:szCs w:val="22"/>
              </w:rPr>
            </w:pPr>
            <w:r w:rsidRPr="00A406E8">
              <w:rPr>
                <w:color w:val="000000"/>
                <w:sz w:val="22"/>
                <w:szCs w:val="22"/>
              </w:rPr>
              <w:t>132</w:t>
            </w:r>
            <w:r w:rsidR="00D75D2E" w:rsidRPr="00A406E8">
              <w:rPr>
                <w:color w:val="000000"/>
                <w:sz w:val="22"/>
                <w:szCs w:val="22"/>
              </w:rPr>
              <w:t>,</w:t>
            </w:r>
            <w:r w:rsidRPr="00A406E8">
              <w:rPr>
                <w:color w:val="000000"/>
                <w:sz w:val="22"/>
                <w:szCs w:val="22"/>
              </w:rPr>
              <w:t>041</w:t>
            </w:r>
          </w:p>
        </w:tc>
        <w:tc>
          <w:tcPr>
            <w:tcW w:w="942" w:type="pct"/>
            <w:vAlign w:val="bottom"/>
          </w:tcPr>
          <w:p w14:paraId="73971586" w14:textId="7D3F1878" w:rsidR="00E61A47" w:rsidRPr="00A406E8" w:rsidRDefault="00E61A47" w:rsidP="00A406E8">
            <w:pPr>
              <w:spacing w:before="0" w:after="0"/>
              <w:jc w:val="right"/>
              <w:rPr>
                <w:rFonts w:asciiTheme="minorHAnsi" w:hAnsiTheme="minorHAnsi" w:cs="Calibri"/>
                <w:color w:val="000000"/>
                <w:sz w:val="22"/>
                <w:szCs w:val="22"/>
              </w:rPr>
            </w:pPr>
            <w:r w:rsidRPr="00A406E8">
              <w:rPr>
                <w:color w:val="000000"/>
                <w:sz w:val="22"/>
                <w:szCs w:val="22"/>
              </w:rPr>
              <w:t>160</w:t>
            </w:r>
            <w:r w:rsidR="00D75D2E" w:rsidRPr="00A406E8">
              <w:rPr>
                <w:color w:val="000000"/>
                <w:sz w:val="22"/>
                <w:szCs w:val="22"/>
              </w:rPr>
              <w:t>,</w:t>
            </w:r>
            <w:r w:rsidRPr="00A406E8">
              <w:rPr>
                <w:color w:val="000000"/>
                <w:sz w:val="22"/>
                <w:szCs w:val="22"/>
              </w:rPr>
              <w:t>996</w:t>
            </w:r>
          </w:p>
        </w:tc>
        <w:tc>
          <w:tcPr>
            <w:tcW w:w="834" w:type="pct"/>
            <w:vAlign w:val="bottom"/>
          </w:tcPr>
          <w:p w14:paraId="0621B570" w14:textId="789AA987" w:rsidR="00E61A47" w:rsidRPr="00A406E8" w:rsidRDefault="00E61A47" w:rsidP="00A406E8">
            <w:pPr>
              <w:spacing w:before="0" w:after="0"/>
              <w:jc w:val="right"/>
              <w:rPr>
                <w:rFonts w:asciiTheme="minorHAnsi" w:hAnsiTheme="minorHAnsi" w:cs="Calibri"/>
                <w:color w:val="000000"/>
                <w:sz w:val="22"/>
                <w:szCs w:val="22"/>
              </w:rPr>
            </w:pPr>
            <w:r w:rsidRPr="00A406E8">
              <w:rPr>
                <w:color w:val="000000"/>
                <w:sz w:val="22"/>
                <w:szCs w:val="22"/>
              </w:rPr>
              <w:t>28</w:t>
            </w:r>
            <w:r w:rsidR="00D75D2E" w:rsidRPr="00A406E8">
              <w:rPr>
                <w:color w:val="000000"/>
                <w:sz w:val="22"/>
                <w:szCs w:val="22"/>
              </w:rPr>
              <w:t>,</w:t>
            </w:r>
            <w:r w:rsidRPr="00A406E8">
              <w:rPr>
                <w:color w:val="000000"/>
                <w:sz w:val="22"/>
                <w:szCs w:val="22"/>
              </w:rPr>
              <w:t>955</w:t>
            </w:r>
          </w:p>
        </w:tc>
        <w:tc>
          <w:tcPr>
            <w:tcW w:w="833" w:type="pct"/>
            <w:vAlign w:val="bottom"/>
          </w:tcPr>
          <w:p w14:paraId="563A31A0" w14:textId="731A699F" w:rsidR="00E61A47" w:rsidRPr="00A406E8" w:rsidRDefault="00E61A47" w:rsidP="00A406E8">
            <w:pPr>
              <w:spacing w:before="0" w:after="0"/>
              <w:jc w:val="right"/>
              <w:rPr>
                <w:rFonts w:asciiTheme="minorHAnsi" w:hAnsiTheme="minorHAnsi" w:cs="Calibri"/>
                <w:color w:val="000000"/>
                <w:sz w:val="22"/>
                <w:szCs w:val="22"/>
                <w:u w:val="single"/>
              </w:rPr>
            </w:pPr>
            <w:r w:rsidRPr="00A406E8">
              <w:rPr>
                <w:color w:val="000000"/>
                <w:sz w:val="22"/>
                <w:szCs w:val="22"/>
              </w:rPr>
              <w:t>2</w:t>
            </w:r>
            <w:r w:rsidR="00D75D2E" w:rsidRPr="00A406E8">
              <w:rPr>
                <w:color w:val="000000"/>
                <w:sz w:val="22"/>
                <w:szCs w:val="22"/>
              </w:rPr>
              <w:t>,</w:t>
            </w:r>
            <w:r w:rsidRPr="00A406E8">
              <w:rPr>
                <w:color w:val="000000"/>
                <w:sz w:val="22"/>
                <w:szCs w:val="22"/>
              </w:rPr>
              <w:t>89</w:t>
            </w:r>
            <w:r w:rsidR="00D75D2E" w:rsidRPr="00A406E8">
              <w:rPr>
                <w:color w:val="000000"/>
                <w:sz w:val="22"/>
                <w:szCs w:val="22"/>
              </w:rPr>
              <w:t>6</w:t>
            </w:r>
          </w:p>
        </w:tc>
      </w:tr>
    </w:tbl>
    <w:p w14:paraId="1DEF8662" w14:textId="77777777" w:rsidR="002D4C53" w:rsidRPr="0067297E" w:rsidRDefault="002D4C53" w:rsidP="00543A76">
      <w:pPr>
        <w:pStyle w:val="Reporttext"/>
        <w:numPr>
          <w:ilvl w:val="0"/>
          <w:numId w:val="0"/>
        </w:numPr>
        <w:rPr>
          <w:rFonts w:asciiTheme="minorHAnsi" w:hAnsiTheme="minorHAnsi"/>
        </w:rPr>
      </w:pPr>
    </w:p>
    <w:p w14:paraId="09032084" w14:textId="77777777" w:rsidR="002D4C53" w:rsidRPr="0067297E" w:rsidRDefault="002D4C53" w:rsidP="00543A76">
      <w:pPr>
        <w:pStyle w:val="Heading3"/>
        <w:rPr>
          <w:rFonts w:asciiTheme="minorHAnsi" w:hAnsiTheme="minorHAnsi"/>
        </w:rPr>
      </w:pPr>
      <w:bookmarkStart w:id="297" w:name="_Toc391751913"/>
      <w:bookmarkStart w:id="298" w:name="_Toc395193573"/>
      <w:r w:rsidRPr="0067297E">
        <w:rPr>
          <w:rFonts w:asciiTheme="minorHAnsi" w:hAnsiTheme="minorHAnsi"/>
        </w:rPr>
        <w:t xml:space="preserve">Step 2: An adjustment to take account of </w:t>
      </w:r>
      <w:bookmarkEnd w:id="297"/>
      <w:bookmarkEnd w:id="298"/>
      <w:r w:rsidR="004E524C" w:rsidRPr="0067297E">
        <w:rPr>
          <w:rFonts w:asciiTheme="minorHAnsi" w:hAnsiTheme="minorHAnsi"/>
        </w:rPr>
        <w:t>affordability</w:t>
      </w:r>
    </w:p>
    <w:p w14:paraId="5803234C" w14:textId="0378B38C" w:rsidR="00D90862" w:rsidRPr="0067297E" w:rsidRDefault="004F11C3" w:rsidP="00543A76">
      <w:pPr>
        <w:pStyle w:val="Reporttext"/>
        <w:rPr>
          <w:rFonts w:asciiTheme="minorHAnsi" w:hAnsiTheme="minorHAnsi"/>
        </w:rPr>
      </w:pPr>
      <w:r w:rsidRPr="0067297E">
        <w:rPr>
          <w:rFonts w:asciiTheme="minorHAnsi" w:hAnsiTheme="minorHAnsi"/>
        </w:rPr>
        <w:t>201</w:t>
      </w:r>
      <w:r>
        <w:rPr>
          <w:rFonts w:asciiTheme="minorHAnsi" w:hAnsiTheme="minorHAnsi"/>
          <w:lang w:val="en-GB"/>
        </w:rPr>
        <w:t>9</w:t>
      </w:r>
      <w:r w:rsidRPr="0067297E">
        <w:rPr>
          <w:rFonts w:asciiTheme="minorHAnsi" w:hAnsiTheme="minorHAnsi"/>
        </w:rPr>
        <w:t xml:space="preserve"> </w:t>
      </w:r>
      <w:r w:rsidR="002D4C53" w:rsidRPr="0067297E">
        <w:rPr>
          <w:rFonts w:asciiTheme="minorHAnsi" w:hAnsiTheme="minorHAnsi"/>
        </w:rPr>
        <w:t xml:space="preserve">PPG </w:t>
      </w:r>
      <w:r w:rsidR="00D90862" w:rsidRPr="0067297E">
        <w:rPr>
          <w:rFonts w:asciiTheme="minorHAnsi" w:hAnsiTheme="minorHAnsi"/>
        </w:rPr>
        <w:t xml:space="preserve">states </w:t>
      </w:r>
      <w:r w:rsidR="00D90862" w:rsidRPr="0067297E">
        <w:rPr>
          <w:rFonts w:asciiTheme="minorHAnsi" w:hAnsiTheme="minorHAnsi"/>
          <w:i/>
        </w:rPr>
        <w:t>‘then a</w:t>
      </w:r>
      <w:r w:rsidR="004E524C" w:rsidRPr="0067297E">
        <w:rPr>
          <w:rFonts w:asciiTheme="minorHAnsi" w:hAnsiTheme="minorHAnsi"/>
          <w:i/>
        </w:rPr>
        <w:t>d</w:t>
      </w:r>
      <w:r w:rsidR="00D90862" w:rsidRPr="0067297E">
        <w:rPr>
          <w:rFonts w:asciiTheme="minorHAnsi" w:hAnsiTheme="minorHAnsi"/>
          <w:i/>
        </w:rPr>
        <w:t>just the average annual projected household growth figure (generated in step 1) based on the affordability of the area. The most recent median workplace-based affordability ratios published by the ONS at a local authority level should be used</w:t>
      </w:r>
      <w:r w:rsidR="00BC6D95" w:rsidRPr="0067297E">
        <w:rPr>
          <w:rFonts w:asciiTheme="minorHAnsi" w:hAnsiTheme="minorHAnsi"/>
          <w:i/>
          <w:lang w:val="en-GB"/>
        </w:rPr>
        <w:t>.</w:t>
      </w:r>
      <w:r w:rsidR="00D90862" w:rsidRPr="0067297E">
        <w:rPr>
          <w:rFonts w:asciiTheme="minorHAnsi" w:hAnsiTheme="minorHAnsi"/>
          <w:i/>
        </w:rPr>
        <w:t>’</w:t>
      </w:r>
      <w:r w:rsidR="00D90862" w:rsidRPr="0067297E">
        <w:rPr>
          <w:rStyle w:val="FootnoteReference"/>
          <w:rFonts w:asciiTheme="minorHAnsi" w:hAnsiTheme="minorHAnsi"/>
        </w:rPr>
        <w:footnoteReference w:id="27"/>
      </w:r>
      <w:r w:rsidR="00D90862" w:rsidRPr="0067297E">
        <w:rPr>
          <w:rFonts w:asciiTheme="minorHAnsi" w:hAnsiTheme="minorHAnsi"/>
        </w:rPr>
        <w:t xml:space="preserve"> </w:t>
      </w:r>
    </w:p>
    <w:p w14:paraId="0B6DEF0F" w14:textId="1C1EC182" w:rsidR="002D4C53" w:rsidRPr="0067297E" w:rsidRDefault="002D4C53" w:rsidP="00543A76">
      <w:pPr>
        <w:pStyle w:val="Reporttext"/>
        <w:rPr>
          <w:rFonts w:asciiTheme="minorHAnsi" w:hAnsiTheme="minorHAnsi"/>
        </w:rPr>
      </w:pPr>
      <w:r w:rsidRPr="0067297E">
        <w:rPr>
          <w:rFonts w:asciiTheme="minorHAnsi" w:hAnsiTheme="minorHAnsi"/>
        </w:rPr>
        <w:t xml:space="preserve">The affordability ratios and resulting adjustment for the borough is set out in Table </w:t>
      </w:r>
      <w:r w:rsidR="00E413E6" w:rsidRPr="0067297E">
        <w:rPr>
          <w:rFonts w:asciiTheme="minorHAnsi" w:hAnsiTheme="minorHAnsi"/>
          <w:lang w:val="en-US"/>
        </w:rPr>
        <w:t>5</w:t>
      </w:r>
      <w:r w:rsidRPr="0067297E">
        <w:rPr>
          <w:rFonts w:asciiTheme="minorHAnsi" w:hAnsiTheme="minorHAnsi"/>
        </w:rPr>
        <w:t>.</w:t>
      </w:r>
      <w:r w:rsidR="00F55339" w:rsidRPr="0067297E">
        <w:rPr>
          <w:rFonts w:asciiTheme="minorHAnsi" w:hAnsiTheme="minorHAnsi"/>
          <w:lang w:val="en-GB"/>
        </w:rPr>
        <w:t>2</w:t>
      </w:r>
    </w:p>
    <w:p w14:paraId="1378BAC4" w14:textId="77777777" w:rsidR="00EB459B" w:rsidRPr="0067297E" w:rsidRDefault="00EB459B" w:rsidP="00543A76">
      <w:pPr>
        <w:pStyle w:val="Reporttext"/>
        <w:numPr>
          <w:ilvl w:val="0"/>
          <w:numId w:val="0"/>
        </w:numPr>
        <w:rPr>
          <w:rFonts w:asciiTheme="minorHAnsi" w:hAnsiTheme="minorHAnsi" w:cs="Calibri"/>
          <w:sz w:val="22"/>
          <w:szCs w:val="22"/>
        </w:rPr>
      </w:pPr>
    </w:p>
    <w:tbl>
      <w:tblPr>
        <w:tblStyle w:val="TableGrid"/>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Caption w:val="Table 5.2 Affordability ratios and market signals uplift"/>
      </w:tblPr>
      <w:tblGrid>
        <w:gridCol w:w="1940"/>
        <w:gridCol w:w="2693"/>
        <w:gridCol w:w="2077"/>
      </w:tblGrid>
      <w:tr w:rsidR="002D4C53" w:rsidRPr="0067297E" w14:paraId="679F4B3F" w14:textId="77777777" w:rsidTr="00FF4E2D">
        <w:trPr>
          <w:tblHeader/>
        </w:trPr>
        <w:tc>
          <w:tcPr>
            <w:tcW w:w="0" w:type="auto"/>
            <w:gridSpan w:val="3"/>
            <w:shd w:val="clear" w:color="auto" w:fill="009999"/>
          </w:tcPr>
          <w:p w14:paraId="19A19A0B" w14:textId="62F2590A" w:rsidR="002D4C53" w:rsidRPr="0067297E" w:rsidRDefault="00EB459B" w:rsidP="003F4875">
            <w:pPr>
              <w:pStyle w:val="tableheading"/>
              <w:rPr>
                <w:rFonts w:asciiTheme="minorHAnsi" w:hAnsiTheme="minorHAnsi" w:cs="Calibri"/>
                <w:szCs w:val="22"/>
              </w:rPr>
            </w:pPr>
            <w:bookmarkStart w:id="299" w:name="_Toc397250695"/>
            <w:bookmarkStart w:id="300" w:name="_Toc23151175"/>
            <w:r w:rsidRPr="0067297E">
              <w:rPr>
                <w:rFonts w:asciiTheme="minorHAnsi" w:hAnsiTheme="minorHAnsi"/>
              </w:rPr>
              <w:t xml:space="preserve">Table </w:t>
            </w:r>
            <w:r w:rsidR="00E413E6" w:rsidRPr="0067297E">
              <w:rPr>
                <w:rFonts w:asciiTheme="minorHAnsi" w:hAnsiTheme="minorHAnsi"/>
              </w:rPr>
              <w:t>5</w:t>
            </w:r>
            <w:r w:rsidRPr="0067297E">
              <w:rPr>
                <w:rFonts w:asciiTheme="minorHAnsi" w:hAnsiTheme="minorHAnsi"/>
              </w:rPr>
              <w:t>.</w:t>
            </w:r>
            <w:r w:rsidR="00F55339" w:rsidRPr="0067297E">
              <w:rPr>
                <w:rFonts w:asciiTheme="minorHAnsi" w:hAnsiTheme="minorHAnsi"/>
              </w:rPr>
              <w:t>2</w:t>
            </w:r>
            <w:r w:rsidR="002D4C53" w:rsidRPr="0067297E">
              <w:rPr>
                <w:rFonts w:asciiTheme="minorHAnsi" w:hAnsiTheme="minorHAnsi"/>
              </w:rPr>
              <w:tab/>
              <w:t>Affordability ratios and market signals uplift</w:t>
            </w:r>
            <w:bookmarkEnd w:id="299"/>
            <w:bookmarkEnd w:id="300"/>
          </w:p>
        </w:tc>
      </w:tr>
      <w:tr w:rsidR="002D4C53" w:rsidRPr="0067297E" w14:paraId="407C1560" w14:textId="77777777" w:rsidTr="002B000C">
        <w:tc>
          <w:tcPr>
            <w:tcW w:w="1940" w:type="dxa"/>
            <w:shd w:val="clear" w:color="auto" w:fill="009999"/>
          </w:tcPr>
          <w:p w14:paraId="65169304" w14:textId="77777777" w:rsidR="002D4C53" w:rsidRPr="0067297E" w:rsidRDefault="002D4C53" w:rsidP="002B000C">
            <w:pPr>
              <w:pStyle w:val="Reporttext"/>
              <w:numPr>
                <w:ilvl w:val="0"/>
                <w:numId w:val="0"/>
              </w:numPr>
              <w:spacing w:before="0" w:after="0"/>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Year</w:t>
            </w:r>
          </w:p>
        </w:tc>
        <w:tc>
          <w:tcPr>
            <w:tcW w:w="2693" w:type="dxa"/>
            <w:shd w:val="clear" w:color="auto" w:fill="009999"/>
          </w:tcPr>
          <w:p w14:paraId="2E12E635" w14:textId="77777777" w:rsidR="002D4C53" w:rsidRPr="0067297E" w:rsidRDefault="002D4C53" w:rsidP="002B000C">
            <w:pPr>
              <w:pStyle w:val="Reporttext"/>
              <w:numPr>
                <w:ilvl w:val="0"/>
                <w:numId w:val="0"/>
              </w:numPr>
              <w:spacing w:before="0" w:after="0"/>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Median price to income affordability ratio</w:t>
            </w:r>
          </w:p>
        </w:tc>
        <w:tc>
          <w:tcPr>
            <w:tcW w:w="2077" w:type="dxa"/>
            <w:shd w:val="clear" w:color="auto" w:fill="009999"/>
          </w:tcPr>
          <w:p w14:paraId="26164C5B" w14:textId="77777777" w:rsidR="002D4C53" w:rsidRPr="0067297E" w:rsidRDefault="002D4C53" w:rsidP="002B000C">
            <w:pPr>
              <w:pStyle w:val="Reporttext"/>
              <w:numPr>
                <w:ilvl w:val="0"/>
                <w:numId w:val="0"/>
              </w:numPr>
              <w:spacing w:before="0" w:after="0"/>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Adjustment factor*</w:t>
            </w:r>
          </w:p>
        </w:tc>
      </w:tr>
      <w:tr w:rsidR="002D4C53" w:rsidRPr="0067297E" w14:paraId="1BE761DF" w14:textId="77777777" w:rsidTr="002B000C">
        <w:tc>
          <w:tcPr>
            <w:tcW w:w="1940" w:type="dxa"/>
          </w:tcPr>
          <w:p w14:paraId="734CE74D" w14:textId="61DEFFB2" w:rsidR="002D4C53" w:rsidRPr="0067297E" w:rsidRDefault="002D4C53" w:rsidP="002B000C">
            <w:pPr>
              <w:pStyle w:val="Reporttext"/>
              <w:numPr>
                <w:ilvl w:val="0"/>
                <w:numId w:val="0"/>
              </w:numPr>
              <w:spacing w:before="0" w:after="0"/>
              <w:rPr>
                <w:rFonts w:asciiTheme="minorHAnsi" w:hAnsiTheme="minorHAnsi" w:cs="Calibri"/>
                <w:sz w:val="22"/>
                <w:szCs w:val="22"/>
                <w:lang w:val="en-US"/>
              </w:rPr>
            </w:pPr>
            <w:r w:rsidRPr="0067297E">
              <w:rPr>
                <w:rFonts w:asciiTheme="minorHAnsi" w:hAnsiTheme="minorHAnsi" w:cs="Calibri"/>
                <w:sz w:val="22"/>
                <w:szCs w:val="22"/>
              </w:rPr>
              <w:t>201</w:t>
            </w:r>
            <w:r w:rsidR="00462294" w:rsidRPr="0067297E">
              <w:rPr>
                <w:rFonts w:asciiTheme="minorHAnsi" w:hAnsiTheme="minorHAnsi" w:cs="Calibri"/>
                <w:sz w:val="22"/>
                <w:szCs w:val="22"/>
                <w:lang w:val="en-US"/>
              </w:rPr>
              <w:t>8</w:t>
            </w:r>
          </w:p>
        </w:tc>
        <w:tc>
          <w:tcPr>
            <w:tcW w:w="2693" w:type="dxa"/>
            <w:vAlign w:val="bottom"/>
          </w:tcPr>
          <w:p w14:paraId="68527699" w14:textId="3521F9EA" w:rsidR="002D4C53" w:rsidRPr="0067297E" w:rsidRDefault="002D4C53" w:rsidP="002B000C">
            <w:pPr>
              <w:spacing w:before="0" w:after="0"/>
              <w:jc w:val="center"/>
              <w:rPr>
                <w:rFonts w:asciiTheme="minorHAnsi" w:hAnsiTheme="minorHAnsi" w:cs="Calibri"/>
                <w:bCs/>
                <w:color w:val="000000"/>
                <w:sz w:val="22"/>
                <w:szCs w:val="22"/>
              </w:rPr>
            </w:pPr>
            <w:r w:rsidRPr="0067297E">
              <w:rPr>
                <w:rFonts w:asciiTheme="minorHAnsi" w:hAnsiTheme="minorHAnsi" w:cs="Calibri"/>
                <w:bCs/>
                <w:color w:val="000000"/>
                <w:sz w:val="22"/>
                <w:szCs w:val="22"/>
              </w:rPr>
              <w:t>1</w:t>
            </w:r>
            <w:r w:rsidR="00462294" w:rsidRPr="0067297E">
              <w:rPr>
                <w:rFonts w:asciiTheme="minorHAnsi" w:hAnsiTheme="minorHAnsi" w:cs="Calibri"/>
                <w:bCs/>
                <w:color w:val="000000"/>
                <w:sz w:val="22"/>
                <w:szCs w:val="22"/>
              </w:rPr>
              <w:t>3.94</w:t>
            </w:r>
          </w:p>
        </w:tc>
        <w:tc>
          <w:tcPr>
            <w:tcW w:w="2077" w:type="dxa"/>
            <w:vAlign w:val="bottom"/>
          </w:tcPr>
          <w:p w14:paraId="3E9CAEB6" w14:textId="085C2865" w:rsidR="002D4C53" w:rsidRPr="0067297E" w:rsidRDefault="002D4C53" w:rsidP="00FA273F">
            <w:pPr>
              <w:spacing w:before="0" w:after="0"/>
              <w:jc w:val="center"/>
              <w:rPr>
                <w:rFonts w:asciiTheme="minorHAnsi" w:hAnsiTheme="minorHAnsi"/>
                <w:sz w:val="22"/>
                <w:szCs w:val="22"/>
              </w:rPr>
            </w:pPr>
            <w:r w:rsidRPr="0067297E">
              <w:rPr>
                <w:rFonts w:asciiTheme="minorHAnsi" w:hAnsiTheme="minorHAnsi"/>
                <w:sz w:val="22"/>
                <w:szCs w:val="22"/>
              </w:rPr>
              <w:t>1.</w:t>
            </w:r>
            <w:r w:rsidR="00462294" w:rsidRPr="0067297E">
              <w:rPr>
                <w:rFonts w:asciiTheme="minorHAnsi" w:hAnsiTheme="minorHAnsi"/>
                <w:sz w:val="22"/>
                <w:szCs w:val="22"/>
              </w:rPr>
              <w:t>6213</w:t>
            </w:r>
          </w:p>
        </w:tc>
      </w:tr>
    </w:tbl>
    <w:p w14:paraId="2EB2E2E4" w14:textId="488CB81B" w:rsidR="002D4C53" w:rsidRPr="00501CFA" w:rsidRDefault="002D4C53" w:rsidP="00FA273F">
      <w:pPr>
        <w:pStyle w:val="Reporttext"/>
        <w:numPr>
          <w:ilvl w:val="0"/>
          <w:numId w:val="0"/>
        </w:numPr>
        <w:ind w:left="1418" w:hanging="709"/>
        <w:rPr>
          <w:rFonts w:asciiTheme="minorHAnsi" w:hAnsiTheme="minorHAnsi"/>
          <w:sz w:val="20"/>
          <w:szCs w:val="20"/>
          <w:lang w:val="en-GB"/>
        </w:rPr>
      </w:pPr>
      <w:r w:rsidRPr="0067297E">
        <w:rPr>
          <w:rFonts w:asciiTheme="minorHAnsi" w:hAnsiTheme="minorHAnsi"/>
          <w:sz w:val="20"/>
          <w:szCs w:val="20"/>
        </w:rPr>
        <w:t>* Adjustment factor is  (Local Affordability Ratio – 4)/4)*0.25</w:t>
      </w:r>
      <w:r w:rsidR="00057E49">
        <w:rPr>
          <w:rFonts w:asciiTheme="minorHAnsi" w:hAnsiTheme="minorHAnsi"/>
          <w:sz w:val="20"/>
          <w:szCs w:val="20"/>
          <w:lang w:val="en-GB"/>
        </w:rPr>
        <w:t xml:space="preserve"> + 1</w:t>
      </w:r>
    </w:p>
    <w:p w14:paraId="1FB71F7E" w14:textId="77777777" w:rsidR="002D4C53" w:rsidRPr="0067297E" w:rsidRDefault="002D4C53" w:rsidP="00FA273F">
      <w:pPr>
        <w:pStyle w:val="Reporttext"/>
        <w:numPr>
          <w:ilvl w:val="0"/>
          <w:numId w:val="0"/>
        </w:numPr>
        <w:ind w:left="1418" w:hanging="709"/>
        <w:rPr>
          <w:rFonts w:asciiTheme="minorHAnsi" w:hAnsiTheme="minorHAnsi"/>
          <w:sz w:val="20"/>
          <w:szCs w:val="20"/>
        </w:rPr>
      </w:pPr>
      <w:r w:rsidRPr="0067297E">
        <w:rPr>
          <w:rFonts w:asciiTheme="minorHAnsi" w:hAnsiTheme="minorHAnsi"/>
          <w:sz w:val="20"/>
          <w:szCs w:val="20"/>
        </w:rPr>
        <w:t xml:space="preserve">Source: ONS Ratio of house price to workplace-based earnings </w:t>
      </w:r>
    </w:p>
    <w:p w14:paraId="4F3FF65F" w14:textId="77777777" w:rsidR="002D4C53" w:rsidRPr="0067297E" w:rsidRDefault="002D4C53" w:rsidP="00FA273F">
      <w:pPr>
        <w:pStyle w:val="Reporttext"/>
        <w:numPr>
          <w:ilvl w:val="0"/>
          <w:numId w:val="0"/>
        </w:numPr>
        <w:ind w:left="709"/>
        <w:rPr>
          <w:rFonts w:asciiTheme="minorHAnsi" w:hAnsiTheme="minorHAnsi"/>
        </w:rPr>
      </w:pPr>
    </w:p>
    <w:p w14:paraId="63DB6CEE" w14:textId="143D5737" w:rsidR="00E24256" w:rsidRPr="0067297E" w:rsidRDefault="00E24256" w:rsidP="00543A76">
      <w:pPr>
        <w:pStyle w:val="Reporttext"/>
        <w:rPr>
          <w:rFonts w:asciiTheme="minorHAnsi" w:hAnsiTheme="minorHAnsi"/>
        </w:rPr>
      </w:pPr>
      <w:r w:rsidRPr="0067297E">
        <w:rPr>
          <w:rFonts w:asciiTheme="minorHAnsi" w:hAnsiTheme="minorHAnsi"/>
        </w:rPr>
        <w:t>The reason for the affordability adjustment is set out in PPG 201</w:t>
      </w:r>
      <w:r w:rsidR="00D8430C" w:rsidRPr="0067297E">
        <w:rPr>
          <w:rFonts w:asciiTheme="minorHAnsi" w:hAnsiTheme="minorHAnsi"/>
          <w:lang w:val="en-US"/>
        </w:rPr>
        <w:t>9</w:t>
      </w:r>
      <w:r w:rsidRPr="0067297E">
        <w:rPr>
          <w:rFonts w:asciiTheme="minorHAnsi" w:hAnsiTheme="minorHAnsi"/>
        </w:rPr>
        <w:t xml:space="preserve">: </w:t>
      </w:r>
    </w:p>
    <w:p w14:paraId="73EEDF2B" w14:textId="13F0CFB3" w:rsidR="00E24256" w:rsidRPr="0067297E" w:rsidRDefault="00E24256" w:rsidP="00FA273F">
      <w:pPr>
        <w:shd w:val="clear" w:color="auto" w:fill="FFFFFF"/>
        <w:ind w:left="709"/>
        <w:rPr>
          <w:rFonts w:asciiTheme="minorHAnsi" w:hAnsiTheme="minorHAnsi" w:cs="Arial"/>
          <w:i/>
          <w:color w:val="0B0C0C"/>
        </w:rPr>
      </w:pPr>
      <w:r w:rsidRPr="0067297E">
        <w:rPr>
          <w:rFonts w:asciiTheme="minorHAnsi" w:hAnsiTheme="minorHAnsi" w:cs="Arial"/>
          <w:i/>
          <w:color w:val="0B0C0C"/>
        </w:rPr>
        <w:t xml:space="preserve">‘An affordability adjustment is </w:t>
      </w:r>
      <w:r w:rsidR="005B2517" w:rsidRPr="0067297E">
        <w:rPr>
          <w:rFonts w:asciiTheme="minorHAnsi" w:hAnsiTheme="minorHAnsi" w:cs="Arial"/>
          <w:i/>
          <w:color w:val="0B0C0C"/>
        </w:rPr>
        <w:t>applied</w:t>
      </w:r>
      <w:r w:rsidRPr="0067297E">
        <w:rPr>
          <w:rFonts w:asciiTheme="minorHAnsi" w:hAnsiTheme="minorHAnsi" w:cs="Arial"/>
          <w:i/>
          <w:color w:val="0B0C0C"/>
        </w:rPr>
        <w:t xml:space="preserve"> as household growth on its own is insufficient as an indicator of housing demand because:</w:t>
      </w:r>
    </w:p>
    <w:p w14:paraId="2DF4665D" w14:textId="77777777" w:rsidR="00E24256" w:rsidRPr="0067297E" w:rsidRDefault="00E24256" w:rsidP="00FA273F">
      <w:pPr>
        <w:pStyle w:val="bullet"/>
        <w:rPr>
          <w:rFonts w:asciiTheme="minorHAnsi" w:hAnsiTheme="minorHAnsi"/>
          <w:i/>
        </w:rPr>
      </w:pPr>
      <w:r w:rsidRPr="0067297E">
        <w:rPr>
          <w:rFonts w:asciiTheme="minorHAnsi" w:hAnsiTheme="minorHAnsi"/>
          <w:i/>
        </w:rPr>
        <w:t>household formation is constrained to the supply of available properties – new households cannot form if there is nowhere for them to live; and</w:t>
      </w:r>
    </w:p>
    <w:p w14:paraId="1407CD70" w14:textId="77777777" w:rsidR="00E24256" w:rsidRPr="0067297E" w:rsidRDefault="00E24256" w:rsidP="00FA273F">
      <w:pPr>
        <w:pStyle w:val="bullet"/>
        <w:rPr>
          <w:rFonts w:asciiTheme="minorHAnsi" w:hAnsiTheme="minorHAnsi"/>
          <w:i/>
        </w:rPr>
      </w:pPr>
      <w:r w:rsidRPr="0067297E">
        <w:rPr>
          <w:rFonts w:asciiTheme="minorHAnsi" w:hAnsiTheme="minorHAnsi"/>
          <w:i/>
        </w:rPr>
        <w:t>people may want to live in an area in which they do not reside currently, for example to be near to work, but be unable to find appropriate accommodation that they can afford.</w:t>
      </w:r>
    </w:p>
    <w:p w14:paraId="0A60F864" w14:textId="4A7111AF" w:rsidR="00E24256" w:rsidRPr="0067297E" w:rsidRDefault="00D8430C" w:rsidP="00FA273F">
      <w:pPr>
        <w:shd w:val="clear" w:color="auto" w:fill="FFFFFF"/>
        <w:spacing w:before="300"/>
        <w:ind w:left="709"/>
        <w:rPr>
          <w:rFonts w:asciiTheme="minorHAnsi" w:hAnsiTheme="minorHAnsi" w:cs="Arial"/>
          <w:color w:val="0B0C0C"/>
        </w:rPr>
      </w:pPr>
      <w:r w:rsidRPr="0067297E">
        <w:rPr>
          <w:rFonts w:asciiTheme="minorHAnsi" w:hAnsiTheme="minorHAnsi" w:cs="Arial"/>
          <w:i/>
          <w:color w:val="0B0C0C"/>
        </w:rPr>
        <w:t>The affordability adjustment is applied in order to ensure that the standard method for assessing local housing need responds to price signals and is consistent with the policy objective of significantly boosting the supply of homes. The specific adjustment in this guidance is set at a level to ensure that minimum annual housing need starts to address the affordability of homes</w:t>
      </w:r>
      <w:r w:rsidR="00E24256" w:rsidRPr="0067297E">
        <w:rPr>
          <w:rFonts w:asciiTheme="minorHAnsi" w:hAnsiTheme="minorHAnsi" w:cs="Arial"/>
          <w:i/>
          <w:color w:val="0B0C0C"/>
        </w:rPr>
        <w:t>.’</w:t>
      </w:r>
      <w:r w:rsidR="00E24256" w:rsidRPr="0067297E">
        <w:rPr>
          <w:rStyle w:val="FootnoteReference"/>
          <w:rFonts w:asciiTheme="minorHAnsi" w:hAnsiTheme="minorHAnsi" w:cs="Arial"/>
          <w:color w:val="0B0C0C"/>
        </w:rPr>
        <w:footnoteReference w:id="28"/>
      </w:r>
    </w:p>
    <w:p w14:paraId="4525B85E" w14:textId="5ADF5949" w:rsidR="002D4C53" w:rsidRPr="0067297E" w:rsidRDefault="00D90862" w:rsidP="00543A76">
      <w:pPr>
        <w:pStyle w:val="Reporttext"/>
        <w:rPr>
          <w:rFonts w:asciiTheme="minorHAnsi" w:hAnsiTheme="minorHAnsi"/>
        </w:rPr>
      </w:pPr>
      <w:r w:rsidRPr="0067297E">
        <w:rPr>
          <w:rFonts w:asciiTheme="minorHAnsi" w:hAnsiTheme="minorHAnsi"/>
        </w:rPr>
        <w:t xml:space="preserve">Table </w:t>
      </w:r>
      <w:r w:rsidR="00E413E6" w:rsidRPr="0067297E">
        <w:rPr>
          <w:rFonts w:asciiTheme="minorHAnsi" w:hAnsiTheme="minorHAnsi"/>
          <w:lang w:val="en-US"/>
        </w:rPr>
        <w:t>5</w:t>
      </w:r>
      <w:r w:rsidRPr="0067297E">
        <w:rPr>
          <w:rFonts w:asciiTheme="minorHAnsi" w:hAnsiTheme="minorHAnsi"/>
        </w:rPr>
        <w:t>.</w:t>
      </w:r>
      <w:r w:rsidR="00F55339" w:rsidRPr="0067297E">
        <w:rPr>
          <w:rFonts w:asciiTheme="minorHAnsi" w:hAnsiTheme="minorHAnsi"/>
          <w:lang w:val="en-US"/>
        </w:rPr>
        <w:t>3</w:t>
      </w:r>
      <w:r w:rsidR="002D4C53" w:rsidRPr="0067297E">
        <w:rPr>
          <w:rFonts w:asciiTheme="minorHAnsi" w:hAnsiTheme="minorHAnsi"/>
        </w:rPr>
        <w:t xml:space="preserve"> sets out the components of the dwelling need calculation using 201</w:t>
      </w:r>
      <w:r w:rsidR="007B1F7F" w:rsidRPr="0067297E">
        <w:rPr>
          <w:rFonts w:asciiTheme="minorHAnsi" w:hAnsiTheme="minorHAnsi"/>
          <w:lang w:val="en-US"/>
        </w:rPr>
        <w:t>8</w:t>
      </w:r>
      <w:r w:rsidR="002D4C53" w:rsidRPr="0067297E">
        <w:rPr>
          <w:rFonts w:asciiTheme="minorHAnsi" w:hAnsiTheme="minorHAnsi"/>
        </w:rPr>
        <w:t xml:space="preserve"> as a base and applying the latest available (201</w:t>
      </w:r>
      <w:r w:rsidR="00462294" w:rsidRPr="0067297E">
        <w:rPr>
          <w:rFonts w:asciiTheme="minorHAnsi" w:hAnsiTheme="minorHAnsi"/>
          <w:lang w:val="en-US"/>
        </w:rPr>
        <w:t>8</w:t>
      </w:r>
      <w:r w:rsidR="002D4C53" w:rsidRPr="0067297E">
        <w:rPr>
          <w:rFonts w:asciiTheme="minorHAnsi" w:hAnsiTheme="minorHAnsi"/>
        </w:rPr>
        <w:t>) affordability ratios. The basic demographic need under the 2014-based DCLG household projections are presented</w:t>
      </w:r>
      <w:r w:rsidR="004E524C" w:rsidRPr="0067297E">
        <w:rPr>
          <w:rFonts w:asciiTheme="minorHAnsi" w:hAnsiTheme="minorHAnsi"/>
        </w:rPr>
        <w:t xml:space="preserve"> along with the affordability adjustment to establish the total annual dwelling need using the standard methodology</w:t>
      </w:r>
      <w:r w:rsidR="002D4C53" w:rsidRPr="0067297E">
        <w:rPr>
          <w:rFonts w:asciiTheme="minorHAnsi" w:hAnsiTheme="minorHAnsi"/>
        </w:rPr>
        <w:t xml:space="preserve">. </w:t>
      </w:r>
    </w:p>
    <w:p w14:paraId="5053F931" w14:textId="779306C2" w:rsidR="00F55339" w:rsidRPr="00A406E8" w:rsidRDefault="00F55339" w:rsidP="00543A76">
      <w:pPr>
        <w:pStyle w:val="Reporttext"/>
        <w:numPr>
          <w:ilvl w:val="0"/>
          <w:numId w:val="0"/>
        </w:numPr>
        <w:rPr>
          <w:rFonts w:asciiTheme="minorHAnsi" w:hAnsiTheme="minorHAnsi"/>
          <w:lang w:val="en-GB"/>
        </w:rPr>
      </w:pPr>
    </w:p>
    <w:tbl>
      <w:tblPr>
        <w:tblStyle w:val="TableGrid"/>
        <w:tblW w:w="4706" w:type="pct"/>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Caption w:val="Table 5.3 Components of the dwelling need calculation for Borough of Lewisham"/>
      </w:tblPr>
      <w:tblGrid>
        <w:gridCol w:w="5386"/>
        <w:gridCol w:w="3256"/>
      </w:tblGrid>
      <w:tr w:rsidR="00462294" w:rsidRPr="0067297E" w14:paraId="636488DA" w14:textId="77777777" w:rsidTr="00426BD8">
        <w:trPr>
          <w:tblHeader/>
        </w:trPr>
        <w:tc>
          <w:tcPr>
            <w:tcW w:w="5000" w:type="pct"/>
            <w:gridSpan w:val="2"/>
            <w:shd w:val="clear" w:color="auto" w:fill="009999"/>
          </w:tcPr>
          <w:p w14:paraId="610A4E23" w14:textId="3131EFD7" w:rsidR="00462294" w:rsidRPr="0067297E" w:rsidRDefault="00462294" w:rsidP="00A406E8">
            <w:pPr>
              <w:pStyle w:val="tableheading"/>
              <w:rPr>
                <w:rFonts w:asciiTheme="minorHAnsi" w:hAnsiTheme="minorHAnsi"/>
              </w:rPr>
            </w:pPr>
            <w:bookmarkStart w:id="301" w:name="_Toc397250696"/>
            <w:bookmarkStart w:id="302" w:name="_Toc23151176"/>
            <w:r w:rsidRPr="0067297E">
              <w:rPr>
                <w:rFonts w:asciiTheme="minorHAnsi" w:hAnsiTheme="minorHAnsi"/>
              </w:rPr>
              <w:t>Table 5.3</w:t>
            </w:r>
            <w:r w:rsidRPr="0067297E">
              <w:rPr>
                <w:rFonts w:asciiTheme="minorHAnsi" w:hAnsiTheme="minorHAnsi"/>
              </w:rPr>
              <w:tab/>
              <w:t xml:space="preserve">Components of the dwelling need calculation for </w:t>
            </w:r>
            <w:bookmarkEnd w:id="301"/>
            <w:r w:rsidRPr="0067297E">
              <w:rPr>
                <w:rFonts w:asciiTheme="minorHAnsi" w:hAnsiTheme="minorHAnsi"/>
              </w:rPr>
              <w:t>Borough of Lewisham</w:t>
            </w:r>
            <w:bookmarkEnd w:id="302"/>
          </w:p>
        </w:tc>
      </w:tr>
      <w:tr w:rsidR="00677C6B" w:rsidRPr="0067297E" w14:paraId="56941642" w14:textId="77777777" w:rsidTr="00A406E8">
        <w:tc>
          <w:tcPr>
            <w:tcW w:w="3116" w:type="pct"/>
            <w:vAlign w:val="center"/>
          </w:tcPr>
          <w:p w14:paraId="41F51438" w14:textId="7F97DF14" w:rsidR="00677C6B" w:rsidRPr="0067297E" w:rsidRDefault="00677C6B" w:rsidP="00A406E8">
            <w:pPr>
              <w:pStyle w:val="Reporttext"/>
              <w:numPr>
                <w:ilvl w:val="0"/>
                <w:numId w:val="0"/>
              </w:numPr>
              <w:rPr>
                <w:rFonts w:asciiTheme="minorHAnsi" w:hAnsiTheme="minorHAnsi" w:cs="Calibri"/>
                <w:sz w:val="22"/>
                <w:szCs w:val="22"/>
                <w:lang w:val="en-US"/>
              </w:rPr>
            </w:pPr>
            <w:r w:rsidRPr="0067297E">
              <w:rPr>
                <w:rFonts w:asciiTheme="minorHAnsi" w:hAnsiTheme="minorHAnsi" w:cs="Calibri"/>
                <w:sz w:val="22"/>
                <w:szCs w:val="22"/>
                <w:lang w:val="en-US"/>
              </w:rPr>
              <w:t>Stage 1: Baseline demographic need (Annual 20</w:t>
            </w:r>
            <w:r w:rsidR="00E61A47">
              <w:rPr>
                <w:rFonts w:asciiTheme="minorHAnsi" w:hAnsiTheme="minorHAnsi" w:cs="Calibri"/>
                <w:sz w:val="22"/>
                <w:szCs w:val="22"/>
                <w:lang w:val="en-US"/>
              </w:rPr>
              <w:t>20</w:t>
            </w:r>
            <w:r w:rsidRPr="0067297E">
              <w:rPr>
                <w:rFonts w:asciiTheme="minorHAnsi" w:hAnsiTheme="minorHAnsi" w:cs="Calibri"/>
                <w:sz w:val="22"/>
                <w:szCs w:val="22"/>
                <w:lang w:val="en-US"/>
              </w:rPr>
              <w:t>-20</w:t>
            </w:r>
            <w:r w:rsidR="00E61A47">
              <w:rPr>
                <w:rFonts w:asciiTheme="minorHAnsi" w:hAnsiTheme="minorHAnsi" w:cs="Calibri"/>
                <w:sz w:val="22"/>
                <w:szCs w:val="22"/>
                <w:lang w:val="en-US"/>
              </w:rPr>
              <w:t>30</w:t>
            </w:r>
            <w:r w:rsidRPr="0067297E">
              <w:rPr>
                <w:rFonts w:asciiTheme="minorHAnsi" w:hAnsiTheme="minorHAnsi" w:cs="Calibri"/>
                <w:sz w:val="22"/>
                <w:szCs w:val="22"/>
                <w:lang w:val="en-US"/>
              </w:rPr>
              <w:t>)</w:t>
            </w:r>
          </w:p>
        </w:tc>
        <w:tc>
          <w:tcPr>
            <w:tcW w:w="1884" w:type="pct"/>
            <w:vAlign w:val="center"/>
          </w:tcPr>
          <w:p w14:paraId="132A3DDE" w14:textId="00560A90" w:rsidR="00677C6B" w:rsidRPr="0067297E" w:rsidRDefault="00677C6B" w:rsidP="00A406E8">
            <w:pPr>
              <w:jc w:val="center"/>
              <w:rPr>
                <w:rFonts w:asciiTheme="minorHAnsi" w:hAnsiTheme="minorHAnsi" w:cs="Calibri"/>
                <w:color w:val="000000"/>
                <w:sz w:val="22"/>
                <w:szCs w:val="22"/>
              </w:rPr>
            </w:pPr>
            <w:r w:rsidRPr="0067297E">
              <w:rPr>
                <w:rFonts w:asciiTheme="minorHAnsi" w:hAnsiTheme="minorHAnsi" w:cs="Calibri"/>
                <w:bCs/>
                <w:color w:val="000000"/>
                <w:sz w:val="22"/>
                <w:szCs w:val="22"/>
              </w:rPr>
              <w:t>2,2</w:t>
            </w:r>
            <w:r w:rsidR="007B1F7F" w:rsidRPr="0067297E">
              <w:rPr>
                <w:rFonts w:asciiTheme="minorHAnsi" w:hAnsiTheme="minorHAnsi" w:cs="Calibri"/>
                <w:bCs/>
                <w:color w:val="000000"/>
                <w:sz w:val="22"/>
                <w:szCs w:val="22"/>
              </w:rPr>
              <w:t>1</w:t>
            </w:r>
            <w:r w:rsidR="00E61A47">
              <w:rPr>
                <w:rFonts w:asciiTheme="minorHAnsi" w:hAnsiTheme="minorHAnsi" w:cs="Calibri"/>
                <w:bCs/>
                <w:color w:val="000000"/>
                <w:sz w:val="22"/>
                <w:szCs w:val="22"/>
              </w:rPr>
              <w:t>0</w:t>
            </w:r>
          </w:p>
        </w:tc>
      </w:tr>
      <w:tr w:rsidR="00677C6B" w:rsidRPr="0067297E" w14:paraId="70658AA9" w14:textId="77777777" w:rsidTr="00A406E8">
        <w:tc>
          <w:tcPr>
            <w:tcW w:w="3116" w:type="pct"/>
            <w:vAlign w:val="center"/>
          </w:tcPr>
          <w:p w14:paraId="2578E629" w14:textId="6A017BBD" w:rsidR="00677C6B" w:rsidRPr="0067297E" w:rsidRDefault="00677C6B" w:rsidP="00A406E8">
            <w:pPr>
              <w:pStyle w:val="Reporttext"/>
              <w:numPr>
                <w:ilvl w:val="0"/>
                <w:numId w:val="0"/>
              </w:numPr>
              <w:rPr>
                <w:rFonts w:asciiTheme="minorHAnsi" w:hAnsiTheme="minorHAnsi" w:cs="Calibri"/>
                <w:sz w:val="22"/>
                <w:szCs w:val="22"/>
                <w:lang w:val="en-US"/>
              </w:rPr>
            </w:pPr>
            <w:r w:rsidRPr="0067297E">
              <w:rPr>
                <w:rFonts w:asciiTheme="minorHAnsi" w:hAnsiTheme="minorHAnsi" w:cs="Calibri"/>
                <w:sz w:val="22"/>
                <w:szCs w:val="22"/>
                <w:lang w:val="en-US"/>
              </w:rPr>
              <w:t>Stage 2: Affordability multiplier = 1.6213</w:t>
            </w:r>
          </w:p>
        </w:tc>
        <w:tc>
          <w:tcPr>
            <w:tcW w:w="1884" w:type="pct"/>
            <w:vAlign w:val="center"/>
          </w:tcPr>
          <w:p w14:paraId="6DE7CB0C" w14:textId="7FDFF95F" w:rsidR="00677C6B" w:rsidRPr="0067297E" w:rsidRDefault="00677C6B" w:rsidP="00A406E8">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w:t>
            </w:r>
            <w:r w:rsidR="007B1F7F" w:rsidRPr="0067297E">
              <w:rPr>
                <w:rFonts w:asciiTheme="minorHAnsi" w:hAnsiTheme="minorHAnsi" w:cs="Calibri"/>
                <w:color w:val="000000"/>
                <w:sz w:val="22"/>
                <w:szCs w:val="22"/>
              </w:rPr>
              <w:t>7</w:t>
            </w:r>
            <w:r w:rsidR="00E61A47">
              <w:rPr>
                <w:rFonts w:asciiTheme="minorHAnsi" w:hAnsiTheme="minorHAnsi" w:cs="Calibri"/>
                <w:color w:val="000000"/>
                <w:sz w:val="22"/>
                <w:szCs w:val="22"/>
              </w:rPr>
              <w:t>3</w:t>
            </w:r>
          </w:p>
        </w:tc>
      </w:tr>
      <w:tr w:rsidR="00677C6B" w:rsidRPr="0067297E" w14:paraId="5E0CDD16" w14:textId="77777777" w:rsidTr="00A406E8">
        <w:tc>
          <w:tcPr>
            <w:tcW w:w="3116" w:type="pct"/>
            <w:vAlign w:val="center"/>
          </w:tcPr>
          <w:p w14:paraId="4348C744" w14:textId="4923403B" w:rsidR="00677C6B" w:rsidRPr="0067297E" w:rsidRDefault="00677C6B" w:rsidP="00A406E8">
            <w:pPr>
              <w:pStyle w:val="Reporttext"/>
              <w:numPr>
                <w:ilvl w:val="0"/>
                <w:numId w:val="0"/>
              </w:numPr>
              <w:rPr>
                <w:rFonts w:asciiTheme="minorHAnsi" w:hAnsiTheme="minorHAnsi" w:cs="Calibri"/>
                <w:b/>
                <w:sz w:val="22"/>
                <w:szCs w:val="22"/>
                <w:lang w:val="en-US"/>
              </w:rPr>
            </w:pPr>
            <w:r w:rsidRPr="0067297E">
              <w:rPr>
                <w:rFonts w:asciiTheme="minorHAnsi" w:hAnsiTheme="minorHAnsi" w:cs="Calibri"/>
                <w:b/>
                <w:sz w:val="22"/>
                <w:szCs w:val="22"/>
                <w:lang w:val="en-US"/>
              </w:rPr>
              <w:t>Total annual housing need</w:t>
            </w:r>
          </w:p>
        </w:tc>
        <w:tc>
          <w:tcPr>
            <w:tcW w:w="1884" w:type="pct"/>
            <w:vAlign w:val="center"/>
          </w:tcPr>
          <w:p w14:paraId="48A43187" w14:textId="4E6EA128" w:rsidR="00677C6B" w:rsidRPr="0067297E" w:rsidRDefault="00677C6B" w:rsidP="00A406E8">
            <w:pPr>
              <w:jc w:val="center"/>
              <w:rPr>
                <w:rFonts w:asciiTheme="minorHAnsi" w:hAnsiTheme="minorHAnsi" w:cs="Calibri"/>
                <w:b/>
                <w:color w:val="000000"/>
                <w:sz w:val="22"/>
                <w:szCs w:val="22"/>
              </w:rPr>
            </w:pPr>
            <w:r w:rsidRPr="0067297E">
              <w:rPr>
                <w:rFonts w:asciiTheme="minorHAnsi" w:hAnsiTheme="minorHAnsi" w:cs="Calibri"/>
                <w:b/>
                <w:color w:val="000000"/>
                <w:sz w:val="22"/>
                <w:szCs w:val="22"/>
              </w:rPr>
              <w:t>3,</w:t>
            </w:r>
            <w:r w:rsidR="007B1F7F" w:rsidRPr="0067297E">
              <w:rPr>
                <w:rFonts w:asciiTheme="minorHAnsi" w:hAnsiTheme="minorHAnsi" w:cs="Calibri"/>
                <w:b/>
                <w:color w:val="000000"/>
                <w:sz w:val="22"/>
                <w:szCs w:val="22"/>
              </w:rPr>
              <w:t>58</w:t>
            </w:r>
            <w:r w:rsidR="00E61A47">
              <w:rPr>
                <w:rFonts w:asciiTheme="minorHAnsi" w:hAnsiTheme="minorHAnsi" w:cs="Calibri"/>
                <w:b/>
                <w:color w:val="000000"/>
                <w:sz w:val="22"/>
                <w:szCs w:val="22"/>
              </w:rPr>
              <w:t>4</w:t>
            </w:r>
          </w:p>
        </w:tc>
      </w:tr>
    </w:tbl>
    <w:p w14:paraId="14A14038" w14:textId="77777777" w:rsidR="009A128E" w:rsidRPr="0067297E" w:rsidRDefault="009A128E" w:rsidP="00543A76">
      <w:pPr>
        <w:pStyle w:val="Reporttext"/>
        <w:numPr>
          <w:ilvl w:val="0"/>
          <w:numId w:val="0"/>
        </w:numPr>
        <w:rPr>
          <w:rFonts w:asciiTheme="minorHAnsi" w:hAnsiTheme="minorHAnsi"/>
        </w:rPr>
      </w:pPr>
    </w:p>
    <w:p w14:paraId="3606A361" w14:textId="5449157C" w:rsidR="009F5410" w:rsidRPr="0067297E" w:rsidRDefault="002D4C53" w:rsidP="00543A76">
      <w:pPr>
        <w:pStyle w:val="Heading3"/>
        <w:rPr>
          <w:rFonts w:asciiTheme="minorHAnsi" w:hAnsiTheme="minorHAnsi"/>
        </w:rPr>
      </w:pPr>
      <w:bookmarkStart w:id="303" w:name="_Toc391751914"/>
      <w:bookmarkStart w:id="304" w:name="_Toc395193574"/>
      <w:r w:rsidRPr="0067297E">
        <w:rPr>
          <w:rFonts w:asciiTheme="minorHAnsi" w:hAnsiTheme="minorHAnsi"/>
        </w:rPr>
        <w:t>Step 3: Capping the level of any increase</w:t>
      </w:r>
      <w:bookmarkEnd w:id="303"/>
      <w:bookmarkEnd w:id="304"/>
    </w:p>
    <w:p w14:paraId="052C8773" w14:textId="23FE1FE0" w:rsidR="00677C6B" w:rsidRPr="0067297E" w:rsidRDefault="00677C6B" w:rsidP="00A32EE5">
      <w:pPr>
        <w:pStyle w:val="Reporttext"/>
        <w:tabs>
          <w:tab w:val="clear" w:pos="709"/>
        </w:tabs>
        <w:rPr>
          <w:rFonts w:asciiTheme="minorHAnsi" w:hAnsiTheme="minorHAnsi"/>
        </w:rPr>
      </w:pPr>
      <w:r w:rsidRPr="0067297E">
        <w:rPr>
          <w:rFonts w:asciiTheme="minorHAnsi" w:hAnsiTheme="minorHAnsi"/>
        </w:rPr>
        <w:t>PPG states that ‘the standard methodology may identify a minimum local housing need figure that is significantly higher than the number of homes currently being planned for. The cap is applied to help ensure that the minimum local housing need figure calculated using the standard methodology is as deliverable as possible’</w:t>
      </w:r>
      <w:r w:rsidRPr="0067297E">
        <w:rPr>
          <w:rStyle w:val="FootnoteReference"/>
          <w:rFonts w:asciiTheme="minorHAnsi" w:hAnsiTheme="minorHAnsi"/>
        </w:rPr>
        <w:footnoteReference w:id="29"/>
      </w:r>
      <w:r w:rsidRPr="0067297E">
        <w:rPr>
          <w:rFonts w:asciiTheme="minorHAnsi" w:hAnsiTheme="minorHAnsi"/>
        </w:rPr>
        <w:t xml:space="preserve">. </w:t>
      </w:r>
    </w:p>
    <w:p w14:paraId="669715F3" w14:textId="2CF6407C" w:rsidR="00AA73DB" w:rsidRDefault="00AA73DB" w:rsidP="00543A76">
      <w:pPr>
        <w:pStyle w:val="Reporttext"/>
        <w:rPr>
          <w:rFonts w:asciiTheme="minorHAnsi" w:hAnsiTheme="minorHAnsi"/>
        </w:rPr>
      </w:pPr>
      <w:r>
        <w:rPr>
          <w:rFonts w:asciiTheme="minorHAnsi" w:hAnsiTheme="minorHAnsi"/>
          <w:lang w:val="en-GB"/>
        </w:rPr>
        <w:t xml:space="preserve">The PPG specifies that where policies are adopted within the last five years, the local housing need is capped at 40% above the annual average housing requirement set out in the existing policies.  It also states that where a housing requirement figure for a local authority in a spatial development strategy differs from a local figure, then the spatial development strategy figure should be used. </w:t>
      </w:r>
      <w:r w:rsidR="001B7F55" w:rsidRPr="0067297E">
        <w:rPr>
          <w:rFonts w:asciiTheme="minorHAnsi" w:hAnsiTheme="minorHAnsi"/>
        </w:rPr>
        <w:t xml:space="preserve"> </w:t>
      </w:r>
      <w:r w:rsidRPr="00AA73DB">
        <w:rPr>
          <w:rFonts w:asciiTheme="minorHAnsi" w:hAnsiTheme="minorHAnsi"/>
        </w:rPr>
        <w:t xml:space="preserve"> </w:t>
      </w:r>
    </w:p>
    <w:p w14:paraId="07AB5A60" w14:textId="7E14A3F1" w:rsidR="00D8762D" w:rsidRPr="0067297E" w:rsidRDefault="00AA73DB" w:rsidP="00543A76">
      <w:pPr>
        <w:pStyle w:val="Reporttext"/>
        <w:rPr>
          <w:rFonts w:asciiTheme="minorHAnsi" w:hAnsiTheme="minorHAnsi"/>
        </w:rPr>
      </w:pPr>
      <w:r w:rsidRPr="0067297E">
        <w:rPr>
          <w:rFonts w:asciiTheme="minorHAnsi" w:hAnsiTheme="minorHAnsi"/>
        </w:rPr>
        <w:t>The borough has a Core Strategy which was adopted in 2011</w:t>
      </w:r>
      <w:r>
        <w:rPr>
          <w:rFonts w:asciiTheme="minorHAnsi" w:hAnsiTheme="minorHAnsi"/>
          <w:lang w:val="en-GB"/>
        </w:rPr>
        <w:t>, more than five years ago</w:t>
      </w:r>
      <w:r w:rsidRPr="0067297E">
        <w:rPr>
          <w:rFonts w:asciiTheme="minorHAnsi" w:hAnsiTheme="minorHAnsi"/>
        </w:rPr>
        <w:t>.</w:t>
      </w:r>
      <w:r>
        <w:rPr>
          <w:rFonts w:asciiTheme="minorHAnsi" w:hAnsiTheme="minorHAnsi"/>
          <w:lang w:val="en-GB"/>
        </w:rPr>
        <w:t xml:space="preserve"> However, for Lewisham, t</w:t>
      </w:r>
      <w:r w:rsidR="001B7F55" w:rsidRPr="0067297E">
        <w:rPr>
          <w:rFonts w:asciiTheme="minorHAnsi" w:hAnsiTheme="minorHAnsi"/>
        </w:rPr>
        <w:t>he level of housing development in the borough</w:t>
      </w:r>
      <w:r>
        <w:rPr>
          <w:rFonts w:asciiTheme="minorHAnsi" w:hAnsiTheme="minorHAnsi"/>
          <w:lang w:val="en-GB"/>
        </w:rPr>
        <w:t xml:space="preserve"> </w:t>
      </w:r>
      <w:r w:rsidR="001B7F55" w:rsidRPr="0067297E">
        <w:rPr>
          <w:rFonts w:asciiTheme="minorHAnsi" w:hAnsiTheme="minorHAnsi"/>
        </w:rPr>
        <w:t xml:space="preserve">is also informed by the London Plan which is </w:t>
      </w:r>
      <w:r w:rsidR="001B7F55" w:rsidRPr="0067297E">
        <w:rPr>
          <w:rFonts w:asciiTheme="minorHAnsi" w:hAnsiTheme="minorHAnsi" w:cs="Calibri"/>
        </w:rPr>
        <w:t>the statutory Spatial Development Strategy for Greater London, prepared by the Mayor of London. The latest adopted plan was pu</w:t>
      </w:r>
      <w:r w:rsidR="005B1CFE" w:rsidRPr="0067297E">
        <w:rPr>
          <w:rFonts w:asciiTheme="minorHAnsi" w:hAnsiTheme="minorHAnsi" w:cs="Calibri"/>
        </w:rPr>
        <w:t>blished in 2016</w:t>
      </w:r>
      <w:r>
        <w:rPr>
          <w:rFonts w:asciiTheme="minorHAnsi" w:hAnsiTheme="minorHAnsi" w:cs="Calibri"/>
          <w:lang w:val="en-GB"/>
        </w:rPr>
        <w:t>, less than five years ago</w:t>
      </w:r>
      <w:r w:rsidR="005B1CFE" w:rsidRPr="0067297E">
        <w:rPr>
          <w:rFonts w:asciiTheme="minorHAnsi" w:hAnsiTheme="minorHAnsi" w:cs="Calibri"/>
        </w:rPr>
        <w:t xml:space="preserve">. On this basis </w:t>
      </w:r>
      <w:r w:rsidR="005B1CFE" w:rsidRPr="0067297E">
        <w:rPr>
          <w:rFonts w:asciiTheme="minorHAnsi" w:hAnsiTheme="minorHAnsi" w:cs="Calibri"/>
          <w:i/>
        </w:rPr>
        <w:t>‘</w:t>
      </w:r>
      <w:r w:rsidR="001B7F55" w:rsidRPr="0067297E">
        <w:rPr>
          <w:rFonts w:asciiTheme="minorHAnsi" w:hAnsiTheme="minorHAnsi" w:cs="Calibri"/>
          <w:i/>
        </w:rPr>
        <w:t>the local housing need figure is capped at 40% above the a</w:t>
      </w:r>
      <w:r w:rsidR="005B1CFE" w:rsidRPr="0067297E">
        <w:rPr>
          <w:rFonts w:asciiTheme="minorHAnsi" w:hAnsiTheme="minorHAnsi" w:cs="Calibri"/>
          <w:i/>
        </w:rPr>
        <w:t>v</w:t>
      </w:r>
      <w:r w:rsidR="001B7F55" w:rsidRPr="0067297E">
        <w:rPr>
          <w:rFonts w:asciiTheme="minorHAnsi" w:hAnsiTheme="minorHAnsi" w:cs="Calibri"/>
          <w:i/>
        </w:rPr>
        <w:t>erage annual housing requirement figure set out in the existing policies</w:t>
      </w:r>
      <w:r w:rsidR="005B1CFE" w:rsidRPr="0067297E">
        <w:rPr>
          <w:rFonts w:asciiTheme="minorHAnsi" w:hAnsiTheme="minorHAnsi" w:cs="Calibri"/>
          <w:i/>
        </w:rPr>
        <w:t>’</w:t>
      </w:r>
      <w:r w:rsidR="005B1CFE" w:rsidRPr="0067297E">
        <w:rPr>
          <w:rStyle w:val="FootnoteReference"/>
          <w:rFonts w:asciiTheme="minorHAnsi" w:hAnsiTheme="minorHAnsi" w:cs="Calibri"/>
        </w:rPr>
        <w:footnoteReference w:id="30"/>
      </w:r>
      <w:r w:rsidR="005B1CFE" w:rsidRPr="0067297E">
        <w:rPr>
          <w:rFonts w:asciiTheme="minorHAnsi" w:hAnsiTheme="minorHAnsi" w:cs="Calibri"/>
        </w:rPr>
        <w:t xml:space="preserve"> (i.e. the 2016 London Plan and not the 2011 Core Strategy)</w:t>
      </w:r>
      <w:r w:rsidR="001B7F55" w:rsidRPr="0067297E">
        <w:rPr>
          <w:rFonts w:asciiTheme="minorHAnsi" w:hAnsiTheme="minorHAnsi" w:cs="Calibri"/>
        </w:rPr>
        <w:t xml:space="preserve">. </w:t>
      </w:r>
    </w:p>
    <w:p w14:paraId="53B6D7EF" w14:textId="77777777" w:rsidR="00D8762D" w:rsidRPr="0067297E" w:rsidRDefault="001B7F55" w:rsidP="00543A76">
      <w:pPr>
        <w:pStyle w:val="Reporttext"/>
        <w:rPr>
          <w:rFonts w:asciiTheme="minorHAnsi" w:hAnsiTheme="minorHAnsi"/>
        </w:rPr>
      </w:pPr>
      <w:r w:rsidRPr="0067297E">
        <w:rPr>
          <w:rFonts w:asciiTheme="minorHAnsi" w:hAnsiTheme="minorHAnsi" w:cs="Calibri"/>
        </w:rPr>
        <w:t>The London Plan 2016 is the adopted develop plan and this established a 10 year net annual target of 1,385 dwellings across the Borough of Lewisham. The Draft New London Plan 2017 is a material consideration in planning decisions and this has increased the net annual dwelling target to 2,117.</w:t>
      </w:r>
    </w:p>
    <w:p w14:paraId="2886DB78" w14:textId="086DE8DF" w:rsidR="001B7F55" w:rsidRPr="0067297E" w:rsidRDefault="001B7F55" w:rsidP="000256AC">
      <w:pPr>
        <w:pStyle w:val="Reporttext"/>
        <w:rPr>
          <w:rFonts w:asciiTheme="minorHAnsi" w:hAnsiTheme="minorHAnsi"/>
        </w:rPr>
      </w:pPr>
      <w:r w:rsidRPr="0067297E">
        <w:rPr>
          <w:rFonts w:asciiTheme="minorHAnsi" w:hAnsiTheme="minorHAnsi"/>
        </w:rPr>
        <w:t>Therefore, under PPG 201</w:t>
      </w:r>
      <w:r w:rsidR="00677C6B" w:rsidRPr="0067297E">
        <w:rPr>
          <w:rFonts w:asciiTheme="minorHAnsi" w:hAnsiTheme="minorHAnsi"/>
          <w:lang w:val="en-US"/>
        </w:rPr>
        <w:t>9</w:t>
      </w:r>
      <w:r w:rsidRPr="0067297E">
        <w:rPr>
          <w:rFonts w:asciiTheme="minorHAnsi" w:hAnsiTheme="minorHAnsi"/>
        </w:rPr>
        <w:t>, it is recommended that the figures presented in the 2016 London Plan are compared with the outputs of the standard methodology calculation in determining an appropriate cap for the borough:</w:t>
      </w:r>
    </w:p>
    <w:p w14:paraId="589E56CB" w14:textId="77777777" w:rsidR="001B7F55" w:rsidRPr="0067297E" w:rsidRDefault="001B7F55" w:rsidP="002B000C">
      <w:pPr>
        <w:pStyle w:val="bullet"/>
        <w:rPr>
          <w:rFonts w:asciiTheme="minorHAnsi" w:hAnsiTheme="minorHAnsi"/>
        </w:rPr>
      </w:pPr>
      <w:r w:rsidRPr="0067297E">
        <w:rPr>
          <w:rFonts w:asciiTheme="minorHAnsi" w:hAnsiTheme="minorHAnsi"/>
        </w:rPr>
        <w:t>The average annual housing requirement figure in the existing relevant policies (2016 London Plan) is 1,385 each year;</w:t>
      </w:r>
    </w:p>
    <w:p w14:paraId="4D749F88" w14:textId="78E25F04" w:rsidR="001B7F55" w:rsidRPr="0067297E" w:rsidRDefault="001B7F55" w:rsidP="00FA273F">
      <w:pPr>
        <w:pStyle w:val="bullet"/>
        <w:rPr>
          <w:rFonts w:asciiTheme="minorHAnsi" w:hAnsiTheme="minorHAnsi"/>
        </w:rPr>
      </w:pPr>
      <w:r w:rsidRPr="0067297E">
        <w:rPr>
          <w:rFonts w:asciiTheme="minorHAnsi" w:hAnsiTheme="minorHAnsi"/>
        </w:rPr>
        <w:t xml:space="preserve">The minimum annual local housing need figure is </w:t>
      </w:r>
      <w:r w:rsidR="00677C6B" w:rsidRPr="0067297E">
        <w:rPr>
          <w:rFonts w:asciiTheme="minorHAnsi" w:hAnsiTheme="minorHAnsi"/>
          <w:lang w:val="en-US"/>
        </w:rPr>
        <w:t>3,</w:t>
      </w:r>
      <w:r w:rsidR="007B1F7F" w:rsidRPr="0067297E">
        <w:rPr>
          <w:rFonts w:asciiTheme="minorHAnsi" w:hAnsiTheme="minorHAnsi"/>
          <w:lang w:val="en-US"/>
        </w:rPr>
        <w:t>58</w:t>
      </w:r>
      <w:r w:rsidR="00E61A47">
        <w:rPr>
          <w:rFonts w:asciiTheme="minorHAnsi" w:hAnsiTheme="minorHAnsi"/>
          <w:lang w:val="en-US"/>
        </w:rPr>
        <w:t>4</w:t>
      </w:r>
      <w:r w:rsidRPr="0067297E">
        <w:rPr>
          <w:rFonts w:asciiTheme="minorHAnsi" w:hAnsiTheme="minorHAnsi"/>
        </w:rPr>
        <w:t xml:space="preserve"> (from Step 2 using 2014-based DCLG household projections</w:t>
      </w:r>
      <w:r w:rsidR="00BC6D95" w:rsidRPr="0067297E">
        <w:rPr>
          <w:rFonts w:asciiTheme="minorHAnsi" w:hAnsiTheme="minorHAnsi"/>
          <w:lang w:val="en-GB"/>
        </w:rPr>
        <w:t>)</w:t>
      </w:r>
      <w:r w:rsidRPr="0067297E">
        <w:rPr>
          <w:rFonts w:asciiTheme="minorHAnsi" w:hAnsiTheme="minorHAnsi"/>
        </w:rPr>
        <w:t>;</w:t>
      </w:r>
    </w:p>
    <w:p w14:paraId="0E1912EE" w14:textId="77777777" w:rsidR="001B7F55" w:rsidRPr="0067297E" w:rsidRDefault="001B7F55" w:rsidP="00FA273F">
      <w:pPr>
        <w:pStyle w:val="bullet"/>
        <w:rPr>
          <w:rFonts w:asciiTheme="minorHAnsi" w:hAnsiTheme="minorHAnsi"/>
        </w:rPr>
      </w:pPr>
      <w:r w:rsidRPr="0067297E">
        <w:rPr>
          <w:rFonts w:asciiTheme="minorHAnsi" w:hAnsiTheme="minorHAnsi"/>
        </w:rPr>
        <w:t>The cap is set at 40% of the above housing requirement figure</w:t>
      </w:r>
      <w:r w:rsidR="005B1CFE" w:rsidRPr="0067297E">
        <w:rPr>
          <w:rFonts w:asciiTheme="minorHAnsi" w:hAnsiTheme="minorHAnsi"/>
        </w:rPr>
        <w:t xml:space="preserve"> in existing policies</w:t>
      </w:r>
      <w:r w:rsidRPr="0067297E">
        <w:rPr>
          <w:rFonts w:asciiTheme="minorHAnsi" w:hAnsiTheme="minorHAnsi"/>
        </w:rPr>
        <w:t>:</w:t>
      </w:r>
    </w:p>
    <w:p w14:paraId="72F7E4DD" w14:textId="77777777" w:rsidR="001B7F55" w:rsidRPr="0067297E" w:rsidRDefault="001B7F55" w:rsidP="006C722F">
      <w:pPr>
        <w:pStyle w:val="Reporttext"/>
        <w:numPr>
          <w:ilvl w:val="0"/>
          <w:numId w:val="0"/>
        </w:numPr>
        <w:ind w:left="1429"/>
        <w:rPr>
          <w:rFonts w:asciiTheme="minorHAnsi" w:hAnsiTheme="minorHAnsi"/>
        </w:rPr>
      </w:pPr>
      <w:r w:rsidRPr="0067297E">
        <w:rPr>
          <w:rFonts w:asciiTheme="minorHAnsi" w:hAnsiTheme="minorHAnsi"/>
        </w:rPr>
        <w:t xml:space="preserve">Cap = 1,385 + (40% x 1,385) = 1,385 + 554 = </w:t>
      </w:r>
      <w:r w:rsidRPr="0067297E">
        <w:rPr>
          <w:rFonts w:asciiTheme="minorHAnsi" w:hAnsiTheme="minorHAnsi"/>
          <w:b/>
        </w:rPr>
        <w:t>1,939</w:t>
      </w:r>
    </w:p>
    <w:p w14:paraId="2B13D92A" w14:textId="77777777" w:rsidR="005B1CFE" w:rsidRPr="0067297E" w:rsidRDefault="005B1CFE" w:rsidP="006C722F">
      <w:pPr>
        <w:pStyle w:val="Reporttext"/>
        <w:rPr>
          <w:rFonts w:asciiTheme="minorHAnsi" w:hAnsiTheme="minorHAnsi"/>
        </w:rPr>
      </w:pPr>
      <w:r w:rsidRPr="0067297E">
        <w:rPr>
          <w:rFonts w:asciiTheme="minorHAnsi" w:hAnsiTheme="minorHAnsi"/>
        </w:rPr>
        <w:t xml:space="preserve">As the capped figure is lower than the minimum annual local housing need figure, the minimum </w:t>
      </w:r>
      <w:r w:rsidR="00C02930" w:rsidRPr="0067297E">
        <w:rPr>
          <w:rFonts w:asciiTheme="minorHAnsi" w:hAnsiTheme="minorHAnsi"/>
        </w:rPr>
        <w:t xml:space="preserve">housing need </w:t>
      </w:r>
      <w:r w:rsidRPr="0067297E">
        <w:rPr>
          <w:rFonts w:asciiTheme="minorHAnsi" w:hAnsiTheme="minorHAnsi"/>
        </w:rPr>
        <w:t>figure for the borough is therefore 1,939.</w:t>
      </w:r>
    </w:p>
    <w:p w14:paraId="337EE2DF" w14:textId="77777777" w:rsidR="001B7F55" w:rsidRPr="0067297E" w:rsidRDefault="005B1CFE" w:rsidP="006C722F">
      <w:pPr>
        <w:pStyle w:val="Reporttext"/>
        <w:rPr>
          <w:rFonts w:asciiTheme="minorHAnsi" w:hAnsiTheme="minorHAnsi"/>
        </w:rPr>
      </w:pPr>
      <w:r w:rsidRPr="0067297E">
        <w:rPr>
          <w:rFonts w:asciiTheme="minorHAnsi" w:hAnsiTheme="minorHAnsi"/>
        </w:rPr>
        <w:t>Note that the cap would increase to 2,964</w:t>
      </w:r>
      <w:r w:rsidR="00DC3864" w:rsidRPr="0067297E">
        <w:rPr>
          <w:rStyle w:val="FootnoteReference"/>
          <w:rFonts w:asciiTheme="minorHAnsi" w:hAnsiTheme="minorHAnsi"/>
        </w:rPr>
        <w:footnoteReference w:id="31"/>
      </w:r>
      <w:r w:rsidRPr="0067297E">
        <w:rPr>
          <w:rFonts w:asciiTheme="minorHAnsi" w:hAnsiTheme="minorHAnsi"/>
        </w:rPr>
        <w:t xml:space="preserve"> under the draft 2017 London Plan figure.</w:t>
      </w:r>
    </w:p>
    <w:p w14:paraId="7F3A739F" w14:textId="23795760" w:rsidR="00677C6B" w:rsidRPr="0067297E" w:rsidRDefault="00677C6B" w:rsidP="00677C6B">
      <w:pPr>
        <w:pStyle w:val="Reporttext"/>
        <w:tabs>
          <w:tab w:val="clear" w:pos="709"/>
        </w:tabs>
        <w:rPr>
          <w:rFonts w:asciiTheme="minorHAnsi" w:hAnsiTheme="minorHAnsi"/>
        </w:rPr>
      </w:pPr>
      <w:r w:rsidRPr="0067297E">
        <w:rPr>
          <w:rFonts w:asciiTheme="minorHAnsi" w:hAnsiTheme="minorHAnsi"/>
        </w:rPr>
        <w:t xml:space="preserve">The </w:t>
      </w:r>
      <w:r w:rsidRPr="0067297E">
        <w:rPr>
          <w:rFonts w:asciiTheme="minorHAnsi" w:hAnsiTheme="minorHAnsi"/>
          <w:lang w:val="en-US"/>
        </w:rPr>
        <w:t xml:space="preserve">2019 </w:t>
      </w:r>
      <w:r w:rsidRPr="0067297E">
        <w:rPr>
          <w:rFonts w:asciiTheme="minorHAnsi" w:hAnsiTheme="minorHAnsi"/>
        </w:rPr>
        <w:t xml:space="preserve">PPG </w:t>
      </w:r>
      <w:r w:rsidRPr="0067297E">
        <w:rPr>
          <w:rFonts w:asciiTheme="minorHAnsi" w:hAnsiTheme="minorHAnsi"/>
          <w:lang w:val="en-US"/>
        </w:rPr>
        <w:t>comments</w:t>
      </w:r>
      <w:r w:rsidRPr="0067297E">
        <w:rPr>
          <w:rFonts w:asciiTheme="minorHAnsi" w:hAnsiTheme="minorHAnsi"/>
        </w:rPr>
        <w:t xml:space="preserve"> ‘the cap reduces the minimum number generated by the standard method but does not reduce housing need itself. Therefore strategic policies adopted with a cap applied my require an early review and updating to ensure that any housing need about the capped level is planned for as soon as is reasonably possible’</w:t>
      </w:r>
      <w:r w:rsidRPr="0067297E">
        <w:rPr>
          <w:rStyle w:val="FootnoteReference"/>
          <w:rFonts w:asciiTheme="minorHAnsi" w:hAnsiTheme="minorHAnsi"/>
        </w:rPr>
        <w:footnoteReference w:id="32"/>
      </w:r>
    </w:p>
    <w:p w14:paraId="56AC2234" w14:textId="5D1AD040" w:rsidR="00677C6B" w:rsidRPr="00585BC6" w:rsidRDefault="00677C6B" w:rsidP="00585BC6">
      <w:pPr>
        <w:rPr>
          <w:rFonts w:cs="Calibri"/>
          <w:lang w:val="en-US"/>
        </w:rPr>
      </w:pPr>
      <w:bookmarkStart w:id="305" w:name="_Toc391751916"/>
    </w:p>
    <w:p w14:paraId="5D8EF608" w14:textId="0FA20509" w:rsidR="009A128E" w:rsidRPr="0067297E" w:rsidRDefault="009A128E" w:rsidP="009A128E">
      <w:pPr>
        <w:pStyle w:val="Heading3"/>
        <w:rPr>
          <w:rFonts w:asciiTheme="minorHAnsi" w:hAnsiTheme="minorHAnsi"/>
          <w:lang w:val="en-US"/>
        </w:rPr>
      </w:pPr>
      <w:r w:rsidRPr="0067297E">
        <w:rPr>
          <w:rFonts w:asciiTheme="minorHAnsi" w:hAnsiTheme="minorHAnsi"/>
          <w:lang w:val="en-US"/>
        </w:rPr>
        <w:t>Adjustment for past under-delivery</w:t>
      </w:r>
    </w:p>
    <w:p w14:paraId="68B40775" w14:textId="64F3A6CB" w:rsidR="009A128E" w:rsidRPr="0067297E" w:rsidRDefault="009A128E" w:rsidP="009A128E">
      <w:pPr>
        <w:pStyle w:val="Reporttext"/>
        <w:rPr>
          <w:rFonts w:asciiTheme="minorHAnsi" w:hAnsiTheme="minorHAnsi"/>
          <w:lang w:val="en-US"/>
        </w:rPr>
      </w:pPr>
      <w:r w:rsidRPr="0067297E">
        <w:rPr>
          <w:rFonts w:asciiTheme="minorHAnsi" w:hAnsiTheme="minorHAnsi"/>
          <w:lang w:val="en-US"/>
        </w:rPr>
        <w:t>Under the standard method ‘the affordability adjustment is applied to take account of past under-delivery. The standard method identifies a minimum uplift that will be required and therefore it is not a requirement to specifically address under-delivery separately’</w:t>
      </w:r>
      <w:r w:rsidRPr="0067297E">
        <w:rPr>
          <w:rStyle w:val="FootnoteReference"/>
          <w:rFonts w:asciiTheme="minorHAnsi" w:hAnsiTheme="minorHAnsi"/>
          <w:lang w:val="en-US"/>
        </w:rPr>
        <w:footnoteReference w:id="33"/>
      </w:r>
      <w:r w:rsidRPr="0067297E">
        <w:rPr>
          <w:rFonts w:asciiTheme="minorHAnsi" w:hAnsiTheme="minorHAnsi"/>
          <w:lang w:val="en-US"/>
        </w:rPr>
        <w:t>.</w:t>
      </w:r>
    </w:p>
    <w:p w14:paraId="58062A58" w14:textId="77777777" w:rsidR="009A128E" w:rsidRPr="0067297E" w:rsidRDefault="009A128E" w:rsidP="00585BC6">
      <w:pPr>
        <w:rPr>
          <w:lang w:val="en-US"/>
        </w:rPr>
      </w:pPr>
    </w:p>
    <w:p w14:paraId="3B182BBC" w14:textId="7807A307" w:rsidR="001475C0" w:rsidRPr="0067297E" w:rsidRDefault="001475C0" w:rsidP="001475C0">
      <w:pPr>
        <w:pStyle w:val="Heading3"/>
        <w:rPr>
          <w:rFonts w:asciiTheme="minorHAnsi" w:hAnsiTheme="minorHAnsi"/>
          <w:lang w:val="en-US"/>
        </w:rPr>
      </w:pPr>
      <w:r w:rsidRPr="0067297E">
        <w:rPr>
          <w:rFonts w:asciiTheme="minorHAnsi" w:hAnsiTheme="minorHAnsi"/>
          <w:lang w:val="en-US"/>
        </w:rPr>
        <w:t>Longer-term projection</w:t>
      </w:r>
    </w:p>
    <w:p w14:paraId="520687E7" w14:textId="2729D40D" w:rsidR="009A128E" w:rsidRPr="00E61A47" w:rsidRDefault="009A128E" w:rsidP="00320374">
      <w:pPr>
        <w:pStyle w:val="Reporttext"/>
        <w:rPr>
          <w:rFonts w:asciiTheme="minorHAnsi" w:hAnsiTheme="minorHAnsi"/>
        </w:rPr>
      </w:pPr>
      <w:r w:rsidRPr="0067297E">
        <w:rPr>
          <w:rFonts w:asciiTheme="minorHAnsi" w:hAnsiTheme="minorHAnsi"/>
          <w:lang w:val="en-US"/>
        </w:rPr>
        <w:t>PPG states ‘the method provides authorities with an annual number based on a 10 year baseline, which can be applied to the whole plan period.’</w:t>
      </w:r>
      <w:r w:rsidRPr="0067297E">
        <w:rPr>
          <w:rStyle w:val="FootnoteReference"/>
          <w:rFonts w:asciiTheme="minorHAnsi" w:hAnsiTheme="minorHAnsi"/>
          <w:lang w:val="en-US"/>
        </w:rPr>
        <w:footnoteReference w:id="34"/>
      </w:r>
      <w:r w:rsidRPr="0067297E">
        <w:rPr>
          <w:rFonts w:asciiTheme="minorHAnsi" w:hAnsiTheme="minorHAnsi"/>
          <w:lang w:val="en-US"/>
        </w:rPr>
        <w:t xml:space="preserve"> On this basis, the </w:t>
      </w:r>
      <w:r w:rsidRPr="00E61A47">
        <w:rPr>
          <w:rFonts w:asciiTheme="minorHAnsi" w:hAnsiTheme="minorHAnsi"/>
          <w:lang w:val="en-US"/>
        </w:rPr>
        <w:t xml:space="preserve">total </w:t>
      </w:r>
      <w:r w:rsidR="00204303" w:rsidRPr="00E61A47">
        <w:rPr>
          <w:rFonts w:asciiTheme="minorHAnsi" w:hAnsiTheme="minorHAnsi"/>
          <w:lang w:val="en-US"/>
        </w:rPr>
        <w:t xml:space="preserve">uncapped </w:t>
      </w:r>
      <w:r w:rsidRPr="00E61A47">
        <w:rPr>
          <w:rFonts w:asciiTheme="minorHAnsi" w:hAnsiTheme="minorHAnsi"/>
          <w:lang w:val="en-US"/>
        </w:rPr>
        <w:t xml:space="preserve">housing need would be </w:t>
      </w:r>
      <w:r w:rsidR="00E61A47" w:rsidRPr="00E61A47">
        <w:rPr>
          <w:rFonts w:asciiTheme="minorHAnsi" w:hAnsiTheme="minorHAnsi"/>
          <w:lang w:val="en-US"/>
        </w:rPr>
        <w:t>71,674</w:t>
      </w:r>
      <w:r w:rsidR="00204303" w:rsidRPr="00E61A47">
        <w:rPr>
          <w:rFonts w:asciiTheme="minorHAnsi" w:hAnsiTheme="minorHAnsi"/>
          <w:lang w:val="en-US"/>
        </w:rPr>
        <w:t xml:space="preserve"> </w:t>
      </w:r>
      <w:r w:rsidRPr="00E61A47">
        <w:rPr>
          <w:rFonts w:asciiTheme="minorHAnsi" w:hAnsiTheme="minorHAnsi"/>
          <w:lang w:val="en-US"/>
        </w:rPr>
        <w:t xml:space="preserve">over the </w:t>
      </w:r>
      <w:r w:rsidR="00E61A47" w:rsidRPr="00E61A47">
        <w:rPr>
          <w:rFonts w:asciiTheme="minorHAnsi" w:hAnsiTheme="minorHAnsi"/>
          <w:lang w:val="en-US"/>
        </w:rPr>
        <w:t xml:space="preserve">20 </w:t>
      </w:r>
      <w:r w:rsidRPr="00E61A47">
        <w:rPr>
          <w:rFonts w:asciiTheme="minorHAnsi" w:hAnsiTheme="minorHAnsi"/>
          <w:lang w:val="en-US"/>
        </w:rPr>
        <w:t>year period 20</w:t>
      </w:r>
      <w:r w:rsidR="00E61A47" w:rsidRPr="00E61A47">
        <w:rPr>
          <w:rFonts w:asciiTheme="minorHAnsi" w:hAnsiTheme="minorHAnsi"/>
          <w:lang w:val="en-US"/>
        </w:rPr>
        <w:t>20</w:t>
      </w:r>
      <w:r w:rsidRPr="00E61A47">
        <w:rPr>
          <w:rFonts w:asciiTheme="minorHAnsi" w:hAnsiTheme="minorHAnsi"/>
          <w:lang w:val="en-US"/>
        </w:rPr>
        <w:t>-20</w:t>
      </w:r>
      <w:r w:rsidR="00E61A47" w:rsidRPr="00E61A47">
        <w:rPr>
          <w:rFonts w:asciiTheme="minorHAnsi" w:hAnsiTheme="minorHAnsi"/>
          <w:lang w:val="en-US"/>
        </w:rPr>
        <w:t>40</w:t>
      </w:r>
      <w:r w:rsidRPr="00E61A47">
        <w:rPr>
          <w:rFonts w:asciiTheme="minorHAnsi" w:hAnsiTheme="minorHAnsi"/>
          <w:lang w:val="en-US"/>
        </w:rPr>
        <w:t>.</w:t>
      </w:r>
      <w:r w:rsidR="00204303" w:rsidRPr="00E61A47">
        <w:rPr>
          <w:rFonts w:asciiTheme="minorHAnsi" w:hAnsiTheme="minorHAnsi"/>
          <w:lang w:val="en-US"/>
        </w:rPr>
        <w:t xml:space="preserve">  </w:t>
      </w:r>
    </w:p>
    <w:p w14:paraId="0A69E957" w14:textId="77777777" w:rsidR="00E61A47" w:rsidRDefault="00E61A47" w:rsidP="00585BC6">
      <w:bookmarkStart w:id="306" w:name="_Toc2456869"/>
      <w:bookmarkStart w:id="307" w:name="_Toc9600076"/>
      <w:bookmarkStart w:id="308" w:name="_Toc395193576"/>
    </w:p>
    <w:p w14:paraId="43326B88" w14:textId="68AE867A" w:rsidR="009A128E" w:rsidRPr="0067297E" w:rsidRDefault="009A128E" w:rsidP="009A128E">
      <w:pPr>
        <w:pStyle w:val="Heading2"/>
        <w:rPr>
          <w:rFonts w:asciiTheme="minorHAnsi" w:hAnsiTheme="minorHAnsi"/>
        </w:rPr>
      </w:pPr>
      <w:bookmarkStart w:id="309" w:name="_Toc23151078"/>
      <w:r w:rsidRPr="0067297E">
        <w:rPr>
          <w:rFonts w:asciiTheme="minorHAnsi" w:hAnsiTheme="minorHAnsi"/>
        </w:rPr>
        <w:t>Potential adjustments to the evidence base</w:t>
      </w:r>
      <w:bookmarkEnd w:id="306"/>
      <w:bookmarkEnd w:id="307"/>
      <w:bookmarkEnd w:id="309"/>
    </w:p>
    <w:p w14:paraId="00542557" w14:textId="77777777" w:rsidR="009A128E" w:rsidRPr="0067297E" w:rsidRDefault="009A128E" w:rsidP="009A128E">
      <w:pPr>
        <w:pStyle w:val="Reporttext"/>
        <w:rPr>
          <w:rFonts w:asciiTheme="minorHAnsi" w:hAnsiTheme="minorHAnsi"/>
        </w:rPr>
      </w:pPr>
      <w:r w:rsidRPr="0067297E">
        <w:rPr>
          <w:rFonts w:asciiTheme="minorHAnsi" w:hAnsiTheme="minorHAnsi"/>
        </w:rPr>
        <w:t>The MHCLG have indicated that the standard methodology is to be revised to ensure that the Government target of delivering 300,000 dwellings by the mid-2020s is achieved.  As a temporary measure, the MHCLG recommends the use of 2014-based household projections in the assessment of housing need which is embedded in 2019 PPG. The needs calculation methodology may be subject to further revision.</w:t>
      </w:r>
    </w:p>
    <w:p w14:paraId="02701DF3" w14:textId="77777777" w:rsidR="009A128E" w:rsidRPr="0067297E" w:rsidRDefault="009A128E" w:rsidP="00585BC6"/>
    <w:p w14:paraId="6B0D025E" w14:textId="776540B3" w:rsidR="002D4C53" w:rsidRPr="0067297E" w:rsidRDefault="002D4C53" w:rsidP="008C3647">
      <w:pPr>
        <w:pStyle w:val="Heading3"/>
        <w:rPr>
          <w:rFonts w:asciiTheme="minorHAnsi" w:hAnsiTheme="minorHAnsi"/>
        </w:rPr>
      </w:pPr>
      <w:r w:rsidRPr="0067297E">
        <w:rPr>
          <w:rFonts w:asciiTheme="minorHAnsi" w:hAnsiTheme="minorHAnsi"/>
        </w:rPr>
        <w:t>Housing need uplift</w:t>
      </w:r>
      <w:bookmarkEnd w:id="305"/>
      <w:r w:rsidRPr="0067297E">
        <w:rPr>
          <w:rFonts w:asciiTheme="minorHAnsi" w:hAnsiTheme="minorHAnsi"/>
        </w:rPr>
        <w:t xml:space="preserve"> </w:t>
      </w:r>
      <w:bookmarkEnd w:id="308"/>
    </w:p>
    <w:p w14:paraId="6D20C0B0" w14:textId="543E9E7D" w:rsidR="00B0284A" w:rsidRPr="0067297E" w:rsidRDefault="00B0284A" w:rsidP="00C12BC3">
      <w:pPr>
        <w:pStyle w:val="Reporttext"/>
        <w:rPr>
          <w:rFonts w:asciiTheme="minorHAnsi" w:hAnsiTheme="minorHAnsi"/>
        </w:rPr>
      </w:pPr>
      <w:r w:rsidRPr="0067297E">
        <w:rPr>
          <w:rFonts w:asciiTheme="minorHAnsi" w:hAnsiTheme="minorHAnsi"/>
        </w:rPr>
        <w:t>PPG 201</w:t>
      </w:r>
      <w:r w:rsidR="009A128E" w:rsidRPr="0067297E">
        <w:rPr>
          <w:rFonts w:asciiTheme="minorHAnsi" w:hAnsiTheme="minorHAnsi"/>
          <w:lang w:val="en-US"/>
        </w:rPr>
        <w:t>9</w:t>
      </w:r>
      <w:r w:rsidRPr="0067297E">
        <w:rPr>
          <w:rFonts w:asciiTheme="minorHAnsi" w:hAnsiTheme="minorHAnsi"/>
        </w:rPr>
        <w:t xml:space="preserve"> also considers where a higher figure </w:t>
      </w:r>
      <w:r w:rsidR="009F5410" w:rsidRPr="0067297E">
        <w:rPr>
          <w:rFonts w:asciiTheme="minorHAnsi" w:hAnsiTheme="minorHAnsi"/>
        </w:rPr>
        <w:t>tha</w:t>
      </w:r>
      <w:r w:rsidR="009F5410" w:rsidRPr="0067297E">
        <w:rPr>
          <w:rFonts w:asciiTheme="minorHAnsi" w:hAnsiTheme="minorHAnsi"/>
          <w:lang w:val="en-GB"/>
        </w:rPr>
        <w:t xml:space="preserve">n </w:t>
      </w:r>
      <w:r w:rsidRPr="0067297E">
        <w:rPr>
          <w:rFonts w:asciiTheme="minorHAnsi" w:hAnsiTheme="minorHAnsi"/>
        </w:rPr>
        <w:t>the standard methodology may need to be considered:</w:t>
      </w:r>
    </w:p>
    <w:p w14:paraId="1C8D198C" w14:textId="3C62762A" w:rsidR="00B0284A" w:rsidRPr="0067297E" w:rsidRDefault="00B0284A" w:rsidP="00FA273F">
      <w:pPr>
        <w:pStyle w:val="Reporttext"/>
        <w:numPr>
          <w:ilvl w:val="0"/>
          <w:numId w:val="0"/>
        </w:numPr>
        <w:ind w:left="709"/>
        <w:rPr>
          <w:rFonts w:asciiTheme="minorHAnsi" w:hAnsiTheme="minorHAnsi"/>
          <w:i/>
        </w:rPr>
      </w:pPr>
      <w:r w:rsidRPr="0067297E">
        <w:rPr>
          <w:rFonts w:asciiTheme="minorHAnsi" w:hAnsiTheme="minorHAnsi"/>
          <w:i/>
        </w:rPr>
        <w:t>‘</w:t>
      </w:r>
      <w:r w:rsidRPr="0067297E">
        <w:rPr>
          <w:rFonts w:asciiTheme="minorHAnsi" w:hAnsiTheme="minorHAnsi" w:cs="Arial"/>
          <w:i/>
          <w:color w:val="0B0C0C"/>
          <w:shd w:val="clear" w:color="auto" w:fill="FFFFFF"/>
        </w:rPr>
        <w:t xml:space="preserve">The standard method for assessing local housing need provides the minimum starting point in determining the number of homes needed in an area. It does not attempt to predict the impact that future government policies, changing economic circumstances or other factors might have on demographic behaviour. </w:t>
      </w:r>
      <w:r w:rsidR="009A128E" w:rsidRPr="0067297E">
        <w:rPr>
          <w:rFonts w:asciiTheme="minorHAnsi" w:hAnsiTheme="minorHAnsi" w:cs="Arial"/>
          <w:i/>
          <w:color w:val="0B0C0C"/>
          <w:shd w:val="clear" w:color="auto" w:fill="FFFFFF"/>
        </w:rPr>
        <w:t>Therefore, there will be circumstances where it is appropriate to consider whether actual housing need is higher than the standard method indicates</w:t>
      </w:r>
      <w:r w:rsidRPr="0067297E">
        <w:rPr>
          <w:rFonts w:asciiTheme="minorHAnsi" w:hAnsiTheme="minorHAnsi" w:cs="Arial"/>
          <w:i/>
          <w:color w:val="0B0C0C"/>
          <w:shd w:val="clear" w:color="auto" w:fill="FFFFFF"/>
        </w:rPr>
        <w:t>.</w:t>
      </w:r>
    </w:p>
    <w:p w14:paraId="6C19E234" w14:textId="175557D7" w:rsidR="00B0284A" w:rsidRPr="0067297E" w:rsidRDefault="009A128E" w:rsidP="00FA273F">
      <w:pPr>
        <w:pStyle w:val="Reporttext"/>
        <w:numPr>
          <w:ilvl w:val="0"/>
          <w:numId w:val="0"/>
        </w:numPr>
        <w:ind w:left="709"/>
        <w:rPr>
          <w:rFonts w:asciiTheme="minorHAnsi" w:hAnsiTheme="minorHAnsi"/>
          <w:i/>
        </w:rPr>
      </w:pPr>
      <w:r w:rsidRPr="0067297E">
        <w:rPr>
          <w:rFonts w:asciiTheme="minorHAnsi" w:hAnsiTheme="minorHAnsi" w:cs="Arial"/>
          <w:i/>
          <w:color w:val="0B0C0C"/>
          <w:shd w:val="clear" w:color="auto" w:fill="FFFFFF"/>
        </w:rPr>
        <w:t>This will need to be assessed prior to, and separate from, considering how much of the overall need can be accommodated (and then translated into a housing requirement figure for the strategic policies in the plan).  Circumstances where this may be appropriate include, but are not limited to situations where increases in housing need are likely to exceed past trends because of:</w:t>
      </w:r>
    </w:p>
    <w:p w14:paraId="15AD09A5" w14:textId="77777777" w:rsidR="009A128E" w:rsidRPr="0067297E" w:rsidRDefault="009A128E" w:rsidP="009A128E">
      <w:pPr>
        <w:pStyle w:val="bullet"/>
        <w:rPr>
          <w:rFonts w:asciiTheme="minorHAnsi" w:hAnsiTheme="minorHAnsi"/>
        </w:rPr>
      </w:pPr>
      <w:r w:rsidRPr="0067297E">
        <w:rPr>
          <w:rFonts w:asciiTheme="minorHAnsi" w:hAnsiTheme="minorHAnsi"/>
        </w:rPr>
        <w:t>growth strategies for the area that are likely to be deliverable, for example where funding is in place to promote and facilitate additional growth (e.g. Housing Deals);</w:t>
      </w:r>
    </w:p>
    <w:p w14:paraId="2A57CD2B" w14:textId="77777777" w:rsidR="009A128E" w:rsidRPr="0067297E" w:rsidRDefault="009A128E" w:rsidP="009A128E">
      <w:pPr>
        <w:pStyle w:val="bullet"/>
        <w:rPr>
          <w:rFonts w:asciiTheme="minorHAnsi" w:hAnsiTheme="minorHAnsi"/>
        </w:rPr>
      </w:pPr>
      <w:r w:rsidRPr="0067297E">
        <w:rPr>
          <w:rFonts w:asciiTheme="minorHAnsi" w:hAnsiTheme="minorHAnsi"/>
        </w:rPr>
        <w:t xml:space="preserve">strategic infrastructure improvements that are likely to drive an increase in the homes needed locally; or </w:t>
      </w:r>
    </w:p>
    <w:p w14:paraId="6A020F8F" w14:textId="0566B661" w:rsidR="00B0284A" w:rsidRPr="0067297E" w:rsidRDefault="009A128E" w:rsidP="009A128E">
      <w:pPr>
        <w:pStyle w:val="bullet"/>
        <w:rPr>
          <w:rFonts w:asciiTheme="minorHAnsi" w:hAnsiTheme="minorHAnsi"/>
        </w:rPr>
      </w:pPr>
      <w:r w:rsidRPr="0067297E">
        <w:rPr>
          <w:rFonts w:asciiTheme="minorHAnsi" w:hAnsiTheme="minorHAnsi"/>
        </w:rPr>
        <w:t>an authority agreeing to take on unmet need from neighbouring  authorities, as set out in a statement of common ground</w:t>
      </w:r>
      <w:r w:rsidR="00B0284A" w:rsidRPr="0067297E">
        <w:rPr>
          <w:rFonts w:asciiTheme="minorHAnsi" w:hAnsiTheme="minorHAnsi"/>
        </w:rPr>
        <w:t>;</w:t>
      </w:r>
    </w:p>
    <w:p w14:paraId="25A09988" w14:textId="55A0AA38" w:rsidR="002D4C53" w:rsidRPr="0067297E" w:rsidRDefault="009A128E" w:rsidP="00FA273F">
      <w:pPr>
        <w:pStyle w:val="Reporttext"/>
        <w:numPr>
          <w:ilvl w:val="0"/>
          <w:numId w:val="0"/>
        </w:numPr>
        <w:ind w:left="709"/>
        <w:rPr>
          <w:rFonts w:asciiTheme="minorHAnsi" w:hAnsiTheme="minorHAnsi"/>
        </w:rPr>
      </w:pPr>
      <w:r w:rsidRPr="0067297E">
        <w:rPr>
          <w:rFonts w:asciiTheme="minorHAnsi" w:hAnsiTheme="minorHAnsi" w:cs="Arial"/>
          <w:i/>
          <w:color w:val="0B0C0C"/>
        </w:rPr>
        <w:t>There may, occasionally, also be situations where previous levels of housing delivery in an area, or previous assessments of need (such as a recently-produced Strategic Housing Market Assessment) are significantly greater than the outcome from the standard method. Authorities will need to take this into account when considering whether it is appropriate to plan for a higher level of need than the standard model suggests.</w:t>
      </w:r>
      <w:r w:rsidRPr="0067297E">
        <w:rPr>
          <w:rStyle w:val="FootnoteReference"/>
          <w:rFonts w:asciiTheme="minorHAnsi" w:hAnsiTheme="minorHAnsi" w:cs="Arial"/>
          <w:i/>
          <w:color w:val="0B0C0C"/>
        </w:rPr>
        <w:t xml:space="preserve"> </w:t>
      </w:r>
      <w:r w:rsidRPr="0067297E">
        <w:rPr>
          <w:rStyle w:val="FootnoteReference"/>
          <w:rFonts w:asciiTheme="minorHAnsi" w:hAnsiTheme="minorHAnsi" w:cs="Arial"/>
          <w:i/>
          <w:color w:val="0B0C0C"/>
        </w:rPr>
        <w:footnoteReference w:id="35"/>
      </w:r>
    </w:p>
    <w:p w14:paraId="49E5C2E1" w14:textId="446F2F1C" w:rsidR="009A128E" w:rsidRPr="0067297E" w:rsidRDefault="00FB0012" w:rsidP="00FB0012">
      <w:pPr>
        <w:pStyle w:val="Reporttext"/>
        <w:rPr>
          <w:rFonts w:asciiTheme="minorHAnsi" w:hAnsiTheme="minorHAnsi"/>
          <w:lang w:val="en-GB"/>
        </w:rPr>
      </w:pPr>
      <w:bookmarkStart w:id="310" w:name="_Toc1385763"/>
      <w:r w:rsidRPr="0067297E">
        <w:rPr>
          <w:rFonts w:asciiTheme="minorHAnsi" w:hAnsiTheme="minorHAnsi"/>
          <w:lang w:val="en-GB"/>
        </w:rPr>
        <w:t>Given the considerable housing need established through the standard method and the capping applied, no further uplifts to the housing need figure is necessary.</w:t>
      </w:r>
    </w:p>
    <w:p w14:paraId="634C11BF" w14:textId="77777777" w:rsidR="00FB0012" w:rsidRPr="0067297E" w:rsidRDefault="00FB0012" w:rsidP="00FB0012">
      <w:pPr>
        <w:rPr>
          <w:rFonts w:asciiTheme="minorHAnsi" w:hAnsiTheme="minorHAnsi"/>
        </w:rPr>
      </w:pPr>
    </w:p>
    <w:p w14:paraId="1D2EABAF" w14:textId="0FAF0F2C" w:rsidR="00A74EFC" w:rsidRPr="0067297E" w:rsidRDefault="00036FB2" w:rsidP="00543A76">
      <w:pPr>
        <w:pStyle w:val="Heading2"/>
        <w:rPr>
          <w:rFonts w:asciiTheme="minorHAnsi" w:hAnsiTheme="minorHAnsi"/>
          <w:lang w:val="en-GB"/>
        </w:rPr>
      </w:pPr>
      <w:bookmarkStart w:id="311" w:name="_Toc23151079"/>
      <w:r w:rsidRPr="0067297E">
        <w:rPr>
          <w:rFonts w:asciiTheme="minorHAnsi" w:hAnsiTheme="minorHAnsi"/>
          <w:lang w:val="en-GB"/>
        </w:rPr>
        <w:t>Concluding comments</w:t>
      </w:r>
      <w:bookmarkEnd w:id="310"/>
      <w:bookmarkEnd w:id="311"/>
    </w:p>
    <w:p w14:paraId="227D11AC" w14:textId="6E8208FE" w:rsidR="00C02930" w:rsidRPr="0067297E" w:rsidRDefault="00A74EFC" w:rsidP="00543A76">
      <w:pPr>
        <w:pStyle w:val="Reporttext"/>
        <w:rPr>
          <w:rFonts w:asciiTheme="minorHAnsi" w:hAnsiTheme="minorHAnsi"/>
        </w:rPr>
      </w:pPr>
      <w:r w:rsidRPr="0067297E">
        <w:rPr>
          <w:rFonts w:asciiTheme="minorHAnsi" w:hAnsiTheme="minorHAnsi"/>
        </w:rPr>
        <w:t xml:space="preserve">This chapter has considered the </w:t>
      </w:r>
      <w:r w:rsidR="00C718BC" w:rsidRPr="0067297E">
        <w:rPr>
          <w:rFonts w:asciiTheme="minorHAnsi" w:hAnsiTheme="minorHAnsi"/>
        </w:rPr>
        <w:t xml:space="preserve">need expressed in the London Plan (Option A) and the Government’s </w:t>
      </w:r>
      <w:r w:rsidRPr="0067297E">
        <w:rPr>
          <w:rFonts w:asciiTheme="minorHAnsi" w:hAnsiTheme="minorHAnsi"/>
        </w:rPr>
        <w:t>standard approach to identifying housing need, drawing upon the latest available household projecti</w:t>
      </w:r>
      <w:r w:rsidR="00C718BC" w:rsidRPr="0067297E">
        <w:rPr>
          <w:rFonts w:asciiTheme="minorHAnsi" w:hAnsiTheme="minorHAnsi"/>
        </w:rPr>
        <w:t xml:space="preserve">on data from the </w:t>
      </w:r>
      <w:r w:rsidR="00864DA6" w:rsidRPr="0067297E">
        <w:rPr>
          <w:rFonts w:asciiTheme="minorHAnsi" w:hAnsiTheme="minorHAnsi"/>
          <w:lang w:val="en-GB"/>
        </w:rPr>
        <w:t xml:space="preserve">DCLG and </w:t>
      </w:r>
      <w:r w:rsidR="00C718BC" w:rsidRPr="0067297E">
        <w:rPr>
          <w:rFonts w:asciiTheme="minorHAnsi" w:hAnsiTheme="minorHAnsi"/>
        </w:rPr>
        <w:t>MHCLG (Option B).</w:t>
      </w:r>
    </w:p>
    <w:p w14:paraId="331BB6B2" w14:textId="77777777" w:rsidR="00C718BC" w:rsidRPr="0067297E" w:rsidRDefault="00C718BC" w:rsidP="00543A76">
      <w:pPr>
        <w:pStyle w:val="Reporttext"/>
        <w:rPr>
          <w:rFonts w:asciiTheme="minorHAnsi" w:hAnsiTheme="minorHAnsi"/>
        </w:rPr>
      </w:pPr>
      <w:r w:rsidRPr="0067297E">
        <w:rPr>
          <w:rFonts w:asciiTheme="minorHAnsi" w:hAnsiTheme="minorHAnsi"/>
        </w:rPr>
        <w:t>Under Option A, the adopted 2016 London Plan established a target for 1,385 net dwellings each year across the borough and the draft 2017 London Plan increases this to 2,117 each year.</w:t>
      </w:r>
    </w:p>
    <w:p w14:paraId="493CA1E1" w14:textId="79993D53" w:rsidR="00C02930" w:rsidRPr="0067297E" w:rsidRDefault="00C718BC" w:rsidP="00543A76">
      <w:pPr>
        <w:pStyle w:val="Reporttext"/>
        <w:rPr>
          <w:rFonts w:asciiTheme="minorHAnsi" w:hAnsiTheme="minorHAnsi"/>
        </w:rPr>
      </w:pPr>
      <w:r w:rsidRPr="0067297E">
        <w:rPr>
          <w:rFonts w:asciiTheme="minorHAnsi" w:hAnsiTheme="minorHAnsi"/>
        </w:rPr>
        <w:t>Under Option B, h</w:t>
      </w:r>
      <w:r w:rsidR="00C02930" w:rsidRPr="0067297E">
        <w:rPr>
          <w:rFonts w:asciiTheme="minorHAnsi" w:hAnsiTheme="minorHAnsi"/>
        </w:rPr>
        <w:t xml:space="preserve">aving applied the standard method to the borough, the result of household growth and affordability pressures results in a very substantial need for housing: </w:t>
      </w:r>
      <w:r w:rsidR="00FB0012" w:rsidRPr="0067297E">
        <w:rPr>
          <w:rFonts w:asciiTheme="minorHAnsi" w:hAnsiTheme="minorHAnsi"/>
          <w:lang w:val="en-US"/>
        </w:rPr>
        <w:t>3,58</w:t>
      </w:r>
      <w:r w:rsidR="00E61A47">
        <w:rPr>
          <w:rFonts w:asciiTheme="minorHAnsi" w:hAnsiTheme="minorHAnsi"/>
          <w:lang w:val="en-US"/>
        </w:rPr>
        <w:t>4</w:t>
      </w:r>
      <w:r w:rsidR="00C02930" w:rsidRPr="0067297E">
        <w:rPr>
          <w:rFonts w:asciiTheme="minorHAnsi" w:hAnsiTheme="minorHAnsi"/>
        </w:rPr>
        <w:t xml:space="preserve"> dwellings each year.</w:t>
      </w:r>
    </w:p>
    <w:p w14:paraId="361B1F10" w14:textId="7455925D" w:rsidR="00C02930" w:rsidRPr="0067297E" w:rsidRDefault="00C02930" w:rsidP="00543A76">
      <w:pPr>
        <w:pStyle w:val="Reporttext"/>
        <w:rPr>
          <w:rFonts w:asciiTheme="minorHAnsi" w:hAnsiTheme="minorHAnsi"/>
        </w:rPr>
      </w:pPr>
      <w:r w:rsidRPr="0067297E">
        <w:rPr>
          <w:rFonts w:asciiTheme="minorHAnsi" w:hAnsiTheme="minorHAnsi"/>
        </w:rPr>
        <w:t xml:space="preserve">Given this substantial need, the standard model introduces a cap which is based on </w:t>
      </w:r>
      <w:r w:rsidR="00E313B3" w:rsidRPr="0067297E">
        <w:rPr>
          <w:rFonts w:asciiTheme="minorHAnsi" w:hAnsiTheme="minorHAnsi"/>
        </w:rPr>
        <w:t>current housing targets</w:t>
      </w:r>
      <w:r w:rsidRPr="0067297E">
        <w:rPr>
          <w:rFonts w:asciiTheme="minorHAnsi" w:hAnsiTheme="minorHAnsi"/>
        </w:rPr>
        <w:t xml:space="preserve">. The latest annual housing need </w:t>
      </w:r>
      <w:r w:rsidR="00E313B3" w:rsidRPr="0067297E">
        <w:rPr>
          <w:rFonts w:asciiTheme="minorHAnsi" w:hAnsiTheme="minorHAnsi"/>
        </w:rPr>
        <w:t>target</w:t>
      </w:r>
      <w:r w:rsidRPr="0067297E">
        <w:rPr>
          <w:rFonts w:asciiTheme="minorHAnsi" w:hAnsiTheme="minorHAnsi"/>
        </w:rPr>
        <w:t xml:space="preserve"> is 1,385 based on the adopted 2016 London Plan. Under the formula set out in the standard met</w:t>
      </w:r>
      <w:r w:rsidR="00E313B3" w:rsidRPr="0067297E">
        <w:rPr>
          <w:rFonts w:asciiTheme="minorHAnsi" w:hAnsiTheme="minorHAnsi"/>
        </w:rPr>
        <w:t>hod, the minimum housing need is</w:t>
      </w:r>
      <w:r w:rsidRPr="0067297E">
        <w:rPr>
          <w:rFonts w:asciiTheme="minorHAnsi" w:hAnsiTheme="minorHAnsi"/>
        </w:rPr>
        <w:t xml:space="preserve"> capped at 1,939 (40% above this figure). However, under the 2017 draft London Plan which establishes an annual need for 2,117, the cap would be 2,964. This would sit within the range of housing need established through the analysis of variant household projections provided by DCLG. </w:t>
      </w:r>
    </w:p>
    <w:p w14:paraId="498378FC" w14:textId="77777777" w:rsidR="002D4C53" w:rsidRDefault="00E313B3" w:rsidP="000256AC">
      <w:pPr>
        <w:pStyle w:val="Reporttext"/>
        <w:rPr>
          <w:rFonts w:asciiTheme="minorHAnsi" w:hAnsiTheme="minorHAnsi"/>
        </w:rPr>
      </w:pPr>
      <w:r w:rsidRPr="0067297E">
        <w:rPr>
          <w:rFonts w:asciiTheme="minorHAnsi" w:hAnsiTheme="minorHAnsi"/>
        </w:rPr>
        <w:t xml:space="preserve">Therefore, the current position for the borough is a minimum housing need figure of </w:t>
      </w:r>
      <w:r w:rsidRPr="0067297E">
        <w:rPr>
          <w:rFonts w:asciiTheme="minorHAnsi" w:hAnsiTheme="minorHAnsi"/>
          <w:b/>
        </w:rPr>
        <w:t>1,939</w:t>
      </w:r>
      <w:r w:rsidRPr="0067297E">
        <w:rPr>
          <w:rFonts w:asciiTheme="minorHAnsi" w:hAnsiTheme="minorHAnsi"/>
        </w:rPr>
        <w:t xml:space="preserve"> based on the 2016 London Plan target or </w:t>
      </w:r>
      <w:r w:rsidRPr="0067297E">
        <w:rPr>
          <w:rFonts w:asciiTheme="minorHAnsi" w:hAnsiTheme="minorHAnsi"/>
          <w:b/>
        </w:rPr>
        <w:t>2,964</w:t>
      </w:r>
      <w:r w:rsidRPr="0067297E">
        <w:rPr>
          <w:rFonts w:asciiTheme="minorHAnsi" w:hAnsiTheme="minorHAnsi"/>
        </w:rPr>
        <w:t xml:space="preserve"> based on the draft 2017 London Plan target. </w:t>
      </w:r>
    </w:p>
    <w:p w14:paraId="61BCCAAF" w14:textId="51DB73D4" w:rsidR="00585BC6" w:rsidRDefault="00585BC6">
      <w:pPr>
        <w:rPr>
          <w:rFonts w:asciiTheme="minorHAnsi" w:hAnsiTheme="minorHAnsi"/>
        </w:rPr>
      </w:pPr>
      <w:r>
        <w:rPr>
          <w:rFonts w:asciiTheme="minorHAnsi" w:hAnsiTheme="minorHAnsi"/>
        </w:rPr>
        <w:br w:type="page"/>
      </w:r>
    </w:p>
    <w:p w14:paraId="3908D6AE" w14:textId="77777777" w:rsidR="004816F4" w:rsidRPr="0067297E" w:rsidRDefault="002A70E5">
      <w:pPr>
        <w:pStyle w:val="Heading1"/>
        <w:rPr>
          <w:rFonts w:asciiTheme="minorHAnsi" w:hAnsiTheme="minorHAnsi" w:cs="Calibri"/>
        </w:rPr>
      </w:pPr>
      <w:bookmarkStart w:id="312" w:name="_Toc1385764"/>
      <w:bookmarkStart w:id="313" w:name="_Toc23151080"/>
      <w:r w:rsidRPr="0067297E">
        <w:rPr>
          <w:rFonts w:asciiTheme="minorHAnsi" w:hAnsiTheme="minorHAnsi" w:cs="Calibri"/>
          <w:lang w:val="en-GB"/>
        </w:rPr>
        <w:t>The n</w:t>
      </w:r>
      <w:r w:rsidR="00E313B3" w:rsidRPr="0067297E">
        <w:rPr>
          <w:rFonts w:asciiTheme="minorHAnsi" w:hAnsiTheme="minorHAnsi" w:cs="Calibri"/>
          <w:lang w:val="en-GB"/>
        </w:rPr>
        <w:t>eed for different</w:t>
      </w:r>
      <w:r w:rsidR="0015037E" w:rsidRPr="0067297E">
        <w:rPr>
          <w:rFonts w:asciiTheme="minorHAnsi" w:hAnsiTheme="minorHAnsi" w:cs="Calibri"/>
          <w:lang w:val="en-GB"/>
        </w:rPr>
        <w:t xml:space="preserve"> types of housing</w:t>
      </w:r>
      <w:bookmarkEnd w:id="312"/>
      <w:bookmarkEnd w:id="313"/>
    </w:p>
    <w:p w14:paraId="36A54B07" w14:textId="2EE081DE" w:rsidR="00A916E6" w:rsidRPr="0067297E" w:rsidRDefault="00A916E6" w:rsidP="00543A76">
      <w:pPr>
        <w:pStyle w:val="Heading2"/>
        <w:rPr>
          <w:rFonts w:asciiTheme="minorHAnsi" w:hAnsiTheme="minorHAnsi" w:cs="Calibri"/>
        </w:rPr>
      </w:pPr>
      <w:bookmarkStart w:id="314" w:name="_Toc1385765"/>
      <w:bookmarkStart w:id="315" w:name="_Toc23151081"/>
      <w:r w:rsidRPr="0067297E">
        <w:rPr>
          <w:rFonts w:asciiTheme="minorHAnsi" w:hAnsiTheme="minorHAnsi" w:cs="Calibri"/>
        </w:rPr>
        <w:t>Introduction</w:t>
      </w:r>
      <w:bookmarkEnd w:id="314"/>
      <w:bookmarkEnd w:id="315"/>
    </w:p>
    <w:p w14:paraId="7E3C0B87" w14:textId="30282608" w:rsidR="00A21CEC" w:rsidRPr="0067297E" w:rsidRDefault="00A21CEC" w:rsidP="00543A76">
      <w:pPr>
        <w:pStyle w:val="Reporttext"/>
        <w:rPr>
          <w:rFonts w:asciiTheme="minorHAnsi" w:hAnsiTheme="minorHAnsi" w:cs="Calibri"/>
        </w:rPr>
      </w:pPr>
      <w:r w:rsidRPr="0067297E">
        <w:rPr>
          <w:rFonts w:asciiTheme="minorHAnsi" w:hAnsiTheme="minorHAnsi" w:cs="Calibri"/>
          <w:lang w:val="en-GB"/>
        </w:rPr>
        <w:t>The</w:t>
      </w:r>
      <w:r w:rsidR="00E413E6" w:rsidRPr="0067297E">
        <w:rPr>
          <w:rFonts w:asciiTheme="minorHAnsi" w:hAnsiTheme="minorHAnsi" w:cs="Calibri"/>
          <w:lang w:val="en-GB"/>
        </w:rPr>
        <w:t xml:space="preserve"> 201</w:t>
      </w:r>
      <w:r w:rsidR="00FB0012" w:rsidRPr="0067297E">
        <w:rPr>
          <w:rFonts w:asciiTheme="minorHAnsi" w:hAnsiTheme="minorHAnsi" w:cs="Calibri"/>
          <w:lang w:val="en-GB"/>
        </w:rPr>
        <w:t>9</w:t>
      </w:r>
      <w:r w:rsidR="00E413E6" w:rsidRPr="0067297E">
        <w:rPr>
          <w:rFonts w:asciiTheme="minorHAnsi" w:hAnsiTheme="minorHAnsi" w:cs="Calibri"/>
          <w:lang w:val="en-GB"/>
        </w:rPr>
        <w:t xml:space="preserve"> NPPF </w:t>
      </w:r>
      <w:r w:rsidRPr="0067297E">
        <w:rPr>
          <w:rFonts w:asciiTheme="minorHAnsi" w:hAnsiTheme="minorHAnsi" w:cs="Calibri"/>
          <w:lang w:val="en-GB"/>
        </w:rPr>
        <w:t>(Paragraph 61) requires that the size, type and tenure of housing needed for different groups in the community should be assessed and reflected in planning policy. It sets out that these should include, but not be limited to, those who require affordable housing, families with children, older people, students, people with disabilities, service families, travellers, people who rent their homes and people wishing to commission or build their own homes</w:t>
      </w:r>
      <w:r w:rsidRPr="0067297E">
        <w:rPr>
          <w:rFonts w:asciiTheme="minorHAnsi" w:hAnsiTheme="minorHAnsi" w:cs="Calibri"/>
        </w:rPr>
        <w:t>.</w:t>
      </w:r>
    </w:p>
    <w:p w14:paraId="60933EE4" w14:textId="762C7733" w:rsidR="00A21CEC" w:rsidRPr="0067297E" w:rsidRDefault="00A21CEC" w:rsidP="00543A76">
      <w:pPr>
        <w:pStyle w:val="Reporttext"/>
        <w:rPr>
          <w:rFonts w:asciiTheme="minorHAnsi" w:hAnsiTheme="minorHAnsi" w:cs="Calibri"/>
        </w:rPr>
      </w:pPr>
      <w:r w:rsidRPr="0067297E">
        <w:rPr>
          <w:rFonts w:asciiTheme="minorHAnsi" w:hAnsiTheme="minorHAnsi" w:cs="Calibri"/>
          <w:lang w:val="en-GB"/>
        </w:rPr>
        <w:t>The NPPF</w:t>
      </w:r>
      <w:r w:rsidR="00526B1C" w:rsidRPr="0067297E">
        <w:rPr>
          <w:rFonts w:asciiTheme="minorHAnsi" w:hAnsiTheme="minorHAnsi" w:cs="Calibri"/>
          <w:lang w:val="en-GB"/>
        </w:rPr>
        <w:t xml:space="preserve"> 201</w:t>
      </w:r>
      <w:r w:rsidR="00873F3B" w:rsidRPr="0067297E">
        <w:rPr>
          <w:rFonts w:asciiTheme="minorHAnsi" w:hAnsiTheme="minorHAnsi" w:cs="Calibri"/>
          <w:lang w:val="en-GB"/>
        </w:rPr>
        <w:t>9</w:t>
      </w:r>
      <w:r w:rsidRPr="0067297E">
        <w:rPr>
          <w:rFonts w:asciiTheme="minorHAnsi" w:hAnsiTheme="minorHAnsi" w:cs="Calibri"/>
          <w:lang w:val="en-GB"/>
        </w:rPr>
        <w:t xml:space="preserve"> (Paragraph 62) also states that where a need for affordable housing is identified, planning policies should specify the type of affordable housing required.</w:t>
      </w:r>
    </w:p>
    <w:p w14:paraId="0BE08C9E" w14:textId="4E35F5E2" w:rsidR="00E313B3" w:rsidRPr="0067297E" w:rsidRDefault="00E313B3" w:rsidP="00543A76">
      <w:pPr>
        <w:pStyle w:val="Reporttext"/>
        <w:rPr>
          <w:rFonts w:asciiTheme="minorHAnsi" w:hAnsiTheme="minorHAnsi" w:cs="Calibri"/>
        </w:rPr>
      </w:pPr>
      <w:r w:rsidRPr="0067297E">
        <w:rPr>
          <w:rFonts w:asciiTheme="minorHAnsi" w:hAnsiTheme="minorHAnsi" w:cs="Calibri"/>
        </w:rPr>
        <w:t>The 201</w:t>
      </w:r>
      <w:r w:rsidR="00FB0012" w:rsidRPr="0067297E">
        <w:rPr>
          <w:rFonts w:asciiTheme="minorHAnsi" w:hAnsiTheme="minorHAnsi" w:cs="Calibri"/>
          <w:lang w:val="en-US"/>
        </w:rPr>
        <w:t>9</w:t>
      </w:r>
      <w:r w:rsidRPr="0067297E">
        <w:rPr>
          <w:rFonts w:asciiTheme="minorHAnsi" w:hAnsiTheme="minorHAnsi" w:cs="Calibri"/>
        </w:rPr>
        <w:t xml:space="preserve"> PPG considers how the housing need of particular groups relates to overall housing need calculated using the standard model:</w:t>
      </w:r>
    </w:p>
    <w:p w14:paraId="74BF99A4" w14:textId="71342094" w:rsidR="00FB0012" w:rsidRPr="0067297E" w:rsidRDefault="00E313B3" w:rsidP="00FA273F">
      <w:pPr>
        <w:pStyle w:val="Reporttext"/>
        <w:numPr>
          <w:ilvl w:val="0"/>
          <w:numId w:val="0"/>
        </w:numPr>
        <w:ind w:left="709"/>
        <w:rPr>
          <w:rFonts w:asciiTheme="minorHAnsi" w:hAnsiTheme="minorHAnsi" w:cs="Arial"/>
          <w:i/>
          <w:color w:val="0B0C0C"/>
          <w:lang w:val="en-US"/>
        </w:rPr>
      </w:pPr>
      <w:r w:rsidRPr="0067297E">
        <w:rPr>
          <w:rFonts w:asciiTheme="minorHAnsi" w:hAnsiTheme="minorHAnsi" w:cs="Calibri"/>
          <w:i/>
        </w:rPr>
        <w:t>‘</w:t>
      </w:r>
      <w:r w:rsidRPr="0067297E">
        <w:rPr>
          <w:rFonts w:asciiTheme="minorHAnsi" w:hAnsiTheme="minorHAnsi" w:cs="Arial"/>
          <w:i/>
          <w:color w:val="0B0C0C"/>
        </w:rPr>
        <w:t>The need for housing for particular groups of people may well exceed, or be proportionally high in relation to, the overall housing need figure calculated using the standard method.</w:t>
      </w:r>
      <w:r w:rsidR="00FB0012" w:rsidRPr="0067297E">
        <w:rPr>
          <w:rFonts w:asciiTheme="minorHAnsi" w:hAnsiTheme="minorHAnsi" w:cs="Arial"/>
          <w:i/>
          <w:color w:val="0B0C0C"/>
          <w:lang w:val="en-US"/>
        </w:rPr>
        <w:t xml:space="preserve"> This is because the needs of pa</w:t>
      </w:r>
      <w:r w:rsidR="00873F3B" w:rsidRPr="0067297E">
        <w:rPr>
          <w:rFonts w:asciiTheme="minorHAnsi" w:hAnsiTheme="minorHAnsi" w:cs="Arial"/>
          <w:i/>
          <w:color w:val="0B0C0C"/>
          <w:lang w:val="en-US"/>
        </w:rPr>
        <w:t>rticular groups will often be calculated having consideration to the whole population of an area as a baseline as opposed to the projected new households which form the baseline for the standard method’</w:t>
      </w:r>
    </w:p>
    <w:p w14:paraId="6F3D6D4A" w14:textId="77777777" w:rsidR="00E313B3" w:rsidRPr="0067297E" w:rsidRDefault="00E313B3" w:rsidP="00FA273F">
      <w:pPr>
        <w:pStyle w:val="Reporttext"/>
        <w:numPr>
          <w:ilvl w:val="0"/>
          <w:numId w:val="0"/>
        </w:numPr>
        <w:ind w:left="709"/>
        <w:rPr>
          <w:rFonts w:asciiTheme="minorHAnsi" w:hAnsiTheme="minorHAnsi" w:cs="Arial"/>
          <w:i/>
          <w:color w:val="0B0C0C"/>
        </w:rPr>
      </w:pPr>
      <w:r w:rsidRPr="0067297E">
        <w:rPr>
          <w:rFonts w:asciiTheme="minorHAnsi" w:hAnsiTheme="minorHAnsi" w:cs="Arial"/>
          <w:i/>
          <w:color w:val="0B0C0C"/>
        </w:rPr>
        <w:t>When producing policies to address the need of specific groups strategic policy-making authorities will need to consider how the needs of individual groups can be addressed within the constraint of the overall need established.</w:t>
      </w:r>
    </w:p>
    <w:p w14:paraId="2296AE37" w14:textId="77777777" w:rsidR="00E313B3" w:rsidRPr="0067297E" w:rsidRDefault="00E313B3" w:rsidP="00FA273F">
      <w:pPr>
        <w:pStyle w:val="Reporttext"/>
        <w:numPr>
          <w:ilvl w:val="0"/>
          <w:numId w:val="0"/>
        </w:numPr>
        <w:ind w:left="709"/>
        <w:rPr>
          <w:rFonts w:asciiTheme="minorHAnsi" w:hAnsiTheme="minorHAnsi" w:cs="Arial"/>
          <w:i/>
          <w:color w:val="0B0C0C"/>
          <w:shd w:val="clear" w:color="auto" w:fill="FFFFFF"/>
        </w:rPr>
      </w:pPr>
      <w:r w:rsidRPr="0067297E">
        <w:rPr>
          <w:rFonts w:asciiTheme="minorHAnsi" w:hAnsiTheme="minorHAnsi" w:cs="Arial"/>
          <w:i/>
          <w:color w:val="0B0C0C"/>
          <w:shd w:val="clear" w:color="auto" w:fill="FFFFFF"/>
        </w:rPr>
        <w:t>The standard method for assessing housing need does not breakdown the overall figure into different types of housing. Therefore the need for particular sizes, types and tenures of homes as well as the housing needs of particular groups should be considered separately.</w:t>
      </w:r>
    </w:p>
    <w:p w14:paraId="09A6310D" w14:textId="77777777" w:rsidR="00E313B3" w:rsidRPr="0067297E" w:rsidRDefault="00E313B3" w:rsidP="00FA273F">
      <w:pPr>
        <w:pStyle w:val="Reporttext"/>
        <w:numPr>
          <w:ilvl w:val="0"/>
          <w:numId w:val="0"/>
        </w:numPr>
        <w:ind w:left="709"/>
        <w:rPr>
          <w:rFonts w:asciiTheme="minorHAnsi" w:hAnsiTheme="minorHAnsi" w:cs="Calibri"/>
          <w:i/>
        </w:rPr>
      </w:pPr>
      <w:r w:rsidRPr="0067297E">
        <w:rPr>
          <w:rFonts w:asciiTheme="minorHAnsi" w:hAnsiTheme="minorHAnsi" w:cs="Arial"/>
          <w:i/>
          <w:color w:val="0B0C0C"/>
          <w:shd w:val="clear" w:color="auto" w:fill="FFFFFF"/>
        </w:rPr>
        <w:t>The household projections that form the baseline of the standard method are inclusive of all households including Gypsies and Travellers as defined with Planning Policy for Traveller Sites’</w:t>
      </w:r>
      <w:r w:rsidRPr="0067297E">
        <w:rPr>
          <w:rStyle w:val="FootnoteReference"/>
          <w:rFonts w:asciiTheme="minorHAnsi" w:hAnsiTheme="minorHAnsi" w:cs="Arial"/>
          <w:i/>
          <w:color w:val="0B0C0C"/>
          <w:shd w:val="clear" w:color="auto" w:fill="FFFFFF"/>
        </w:rPr>
        <w:footnoteReference w:id="36"/>
      </w:r>
    </w:p>
    <w:p w14:paraId="47B4749F" w14:textId="1953E009" w:rsidR="00866521" w:rsidRPr="0067297E" w:rsidRDefault="00866521" w:rsidP="00543A76">
      <w:pPr>
        <w:pStyle w:val="Reporttext"/>
        <w:rPr>
          <w:rFonts w:asciiTheme="minorHAnsi" w:hAnsiTheme="minorHAnsi" w:cs="Calibri"/>
        </w:rPr>
      </w:pPr>
      <w:r w:rsidRPr="0067297E">
        <w:rPr>
          <w:rFonts w:asciiTheme="minorHAnsi" w:hAnsiTheme="minorHAnsi" w:cs="Calibri"/>
        </w:rPr>
        <w:t xml:space="preserve">In considering the need for different </w:t>
      </w:r>
      <w:r w:rsidR="00A916E6" w:rsidRPr="0067297E">
        <w:rPr>
          <w:rFonts w:asciiTheme="minorHAnsi" w:hAnsiTheme="minorHAnsi" w:cs="Calibri"/>
        </w:rPr>
        <w:t>types of housing, t</w:t>
      </w:r>
      <w:r w:rsidRPr="0067297E">
        <w:rPr>
          <w:rFonts w:asciiTheme="minorHAnsi" w:hAnsiTheme="minorHAnsi" w:cs="Calibri"/>
        </w:rPr>
        <w:t>he 201</w:t>
      </w:r>
      <w:r w:rsidR="00873F3B" w:rsidRPr="0067297E">
        <w:rPr>
          <w:rFonts w:asciiTheme="minorHAnsi" w:hAnsiTheme="minorHAnsi" w:cs="Calibri"/>
          <w:lang w:val="en-US"/>
        </w:rPr>
        <w:t>9</w:t>
      </w:r>
      <w:r w:rsidRPr="0067297E">
        <w:rPr>
          <w:rFonts w:asciiTheme="minorHAnsi" w:hAnsiTheme="minorHAnsi" w:cs="Calibri"/>
        </w:rPr>
        <w:t xml:space="preserve"> PPG makes specific reference to: affordable housing, housing for older people, housing for people with disabilities, the private rented sector, self-build and custom housebuilding and student housing.</w:t>
      </w:r>
    </w:p>
    <w:p w14:paraId="70EADABD" w14:textId="0BE1E3F4" w:rsidR="00A21CEC" w:rsidRPr="0067297E" w:rsidRDefault="00A21CEC" w:rsidP="00543A76">
      <w:pPr>
        <w:pStyle w:val="Reporttext"/>
        <w:rPr>
          <w:rFonts w:asciiTheme="minorHAnsi" w:hAnsiTheme="minorHAnsi" w:cs="Calibri"/>
        </w:rPr>
      </w:pPr>
      <w:r w:rsidRPr="0067297E">
        <w:rPr>
          <w:rFonts w:asciiTheme="minorHAnsi" w:hAnsiTheme="minorHAnsi" w:cs="Calibri"/>
          <w:lang w:val="en-GB"/>
        </w:rPr>
        <w:t xml:space="preserve">This chapter uses </w:t>
      </w:r>
      <w:r w:rsidR="00320374" w:rsidRPr="0067297E">
        <w:rPr>
          <w:rFonts w:asciiTheme="minorHAnsi" w:hAnsiTheme="minorHAnsi" w:cs="Calibri"/>
          <w:lang w:val="en-GB"/>
        </w:rPr>
        <w:t>secondary</w:t>
      </w:r>
      <w:r w:rsidRPr="0067297E">
        <w:rPr>
          <w:rFonts w:asciiTheme="minorHAnsi" w:hAnsiTheme="minorHAnsi" w:cs="Calibri"/>
        </w:rPr>
        <w:t xml:space="preserve"> data sources to assess</w:t>
      </w:r>
      <w:r w:rsidRPr="0067297E">
        <w:rPr>
          <w:rFonts w:asciiTheme="minorHAnsi" w:hAnsiTheme="minorHAnsi" w:cs="Calibri"/>
          <w:lang w:val="en-GB"/>
        </w:rPr>
        <w:t xml:space="preserve"> </w:t>
      </w:r>
      <w:r w:rsidRPr="0067297E">
        <w:rPr>
          <w:rFonts w:asciiTheme="minorHAnsi" w:hAnsiTheme="minorHAnsi" w:cs="Calibri"/>
        </w:rPr>
        <w:t xml:space="preserve">affordable housing requirements </w:t>
      </w:r>
      <w:r w:rsidRPr="0067297E">
        <w:rPr>
          <w:rFonts w:asciiTheme="minorHAnsi" w:hAnsiTheme="minorHAnsi" w:cs="Calibri"/>
          <w:lang w:val="en-GB"/>
        </w:rPr>
        <w:t xml:space="preserve">in the </w:t>
      </w:r>
      <w:r w:rsidR="00D43F3C" w:rsidRPr="0067297E">
        <w:rPr>
          <w:rFonts w:asciiTheme="minorHAnsi" w:hAnsiTheme="minorHAnsi" w:cs="Calibri"/>
          <w:lang w:val="en-GB"/>
        </w:rPr>
        <w:t>borough</w:t>
      </w:r>
      <w:r w:rsidRPr="0067297E">
        <w:rPr>
          <w:rFonts w:asciiTheme="minorHAnsi" w:hAnsiTheme="minorHAnsi" w:cs="Calibri"/>
        </w:rPr>
        <w:t>.</w:t>
      </w:r>
      <w:r w:rsidRPr="0067297E">
        <w:rPr>
          <w:rFonts w:asciiTheme="minorHAnsi" w:hAnsiTheme="minorHAnsi" w:cs="Calibri"/>
          <w:lang w:val="en-GB"/>
        </w:rPr>
        <w:t xml:space="preserve"> It also considers the needs of particular groups</w:t>
      </w:r>
      <w:r w:rsidR="00A916E6" w:rsidRPr="0067297E">
        <w:rPr>
          <w:rFonts w:asciiTheme="minorHAnsi" w:hAnsiTheme="minorHAnsi" w:cs="Calibri"/>
          <w:lang w:val="en-GB"/>
        </w:rPr>
        <w:t xml:space="preserve"> </w:t>
      </w:r>
      <w:r w:rsidRPr="0067297E">
        <w:rPr>
          <w:rFonts w:asciiTheme="minorHAnsi" w:hAnsiTheme="minorHAnsi" w:cs="Calibri"/>
          <w:lang w:val="en-GB"/>
        </w:rPr>
        <w:t xml:space="preserve">to equip the Council and its strategic partners in making policy decisions regarding future housing development. </w:t>
      </w:r>
    </w:p>
    <w:p w14:paraId="7CD682D6" w14:textId="77777777" w:rsidR="002B726A" w:rsidRPr="0067297E" w:rsidRDefault="002B726A" w:rsidP="00543A76">
      <w:pPr>
        <w:pStyle w:val="Reporttext"/>
        <w:numPr>
          <w:ilvl w:val="0"/>
          <w:numId w:val="0"/>
        </w:numPr>
        <w:tabs>
          <w:tab w:val="left" w:pos="4253"/>
        </w:tabs>
        <w:rPr>
          <w:rFonts w:asciiTheme="minorHAnsi" w:hAnsiTheme="minorHAnsi" w:cs="Calibri"/>
          <w:highlight w:val="yellow"/>
          <w:lang w:val="en-GB"/>
        </w:rPr>
      </w:pPr>
      <w:bookmarkStart w:id="316" w:name="_Toc428528499"/>
      <w:bookmarkStart w:id="317" w:name="_Toc430084593"/>
      <w:bookmarkEnd w:id="218"/>
    </w:p>
    <w:p w14:paraId="4C664773" w14:textId="77777777" w:rsidR="002B726A" w:rsidRPr="0067297E" w:rsidRDefault="002B726A" w:rsidP="00543A76">
      <w:pPr>
        <w:pStyle w:val="Heading2"/>
        <w:ind w:left="720" w:hanging="11"/>
        <w:rPr>
          <w:rFonts w:asciiTheme="minorHAnsi" w:hAnsiTheme="minorHAnsi"/>
        </w:rPr>
      </w:pPr>
      <w:bookmarkStart w:id="318" w:name="_Toc395193562"/>
      <w:bookmarkStart w:id="319" w:name="_Toc397250564"/>
      <w:bookmarkStart w:id="320" w:name="_Toc1385766"/>
      <w:bookmarkStart w:id="321" w:name="_Toc23151082"/>
      <w:r w:rsidRPr="0067297E">
        <w:rPr>
          <w:rFonts w:asciiTheme="minorHAnsi" w:hAnsiTheme="minorHAnsi"/>
        </w:rPr>
        <w:t>Affordable Housing Needs Assessment</w:t>
      </w:r>
      <w:bookmarkEnd w:id="318"/>
      <w:bookmarkEnd w:id="319"/>
      <w:bookmarkEnd w:id="320"/>
      <w:bookmarkEnd w:id="321"/>
    </w:p>
    <w:p w14:paraId="0ACFDC6D" w14:textId="77777777" w:rsidR="00A916E6" w:rsidRPr="0067297E" w:rsidRDefault="00A916E6" w:rsidP="00543A76">
      <w:pPr>
        <w:pStyle w:val="Reporttext"/>
        <w:rPr>
          <w:rFonts w:asciiTheme="minorHAnsi" w:hAnsiTheme="minorHAnsi" w:cs="Calibri"/>
        </w:rPr>
      </w:pPr>
      <w:r w:rsidRPr="0067297E">
        <w:rPr>
          <w:rFonts w:asciiTheme="minorHAnsi" w:hAnsiTheme="minorHAnsi" w:cs="Calibri"/>
        </w:rPr>
        <w:t>A</w:t>
      </w:r>
      <w:r w:rsidRPr="0067297E">
        <w:rPr>
          <w:rFonts w:asciiTheme="minorHAnsi" w:hAnsiTheme="minorHAnsi" w:cs="Calibri"/>
          <w:lang w:val="en-GB"/>
        </w:rPr>
        <w:t>s set out in the NPPF, a</w:t>
      </w:r>
      <w:r w:rsidRPr="0067297E">
        <w:rPr>
          <w:rFonts w:asciiTheme="minorHAnsi" w:hAnsiTheme="minorHAnsi" w:cs="Calibri"/>
        </w:rPr>
        <w:t xml:space="preserve"> robust and defensible assessment of </w:t>
      </w:r>
      <w:r w:rsidRPr="0067297E">
        <w:rPr>
          <w:rFonts w:asciiTheme="minorHAnsi" w:hAnsiTheme="minorHAnsi" w:cs="Calibri"/>
          <w:lang w:val="en-GB"/>
        </w:rPr>
        <w:t xml:space="preserve">affordable </w:t>
      </w:r>
      <w:r w:rsidRPr="0067297E">
        <w:rPr>
          <w:rFonts w:asciiTheme="minorHAnsi" w:hAnsiTheme="minorHAnsi" w:cs="Calibri"/>
        </w:rPr>
        <w:t>housing need is essential for the development of housing policies</w:t>
      </w:r>
      <w:r w:rsidRPr="0067297E">
        <w:rPr>
          <w:rFonts w:asciiTheme="minorHAnsi" w:hAnsiTheme="minorHAnsi" w:cs="Calibri"/>
          <w:lang w:val="en-GB"/>
        </w:rPr>
        <w:t>.</w:t>
      </w:r>
    </w:p>
    <w:p w14:paraId="6347E650" w14:textId="77777777" w:rsidR="00A916E6" w:rsidRPr="0067297E" w:rsidRDefault="00A916E6" w:rsidP="00543A76">
      <w:pPr>
        <w:pStyle w:val="Reporttext"/>
        <w:rPr>
          <w:rFonts w:asciiTheme="minorHAnsi" w:hAnsiTheme="minorHAnsi" w:cs="Calibri"/>
        </w:rPr>
      </w:pPr>
      <w:r w:rsidRPr="0067297E">
        <w:rPr>
          <w:rFonts w:asciiTheme="minorHAnsi" w:hAnsiTheme="minorHAnsi" w:cs="Calibri"/>
          <w:lang w:val="en-GB"/>
        </w:rPr>
        <w:t>The NPPF defines affordable housing as follows:</w:t>
      </w:r>
    </w:p>
    <w:p w14:paraId="585B650D" w14:textId="77777777" w:rsidR="00A916E6" w:rsidRPr="0067297E" w:rsidRDefault="00A916E6" w:rsidP="00FA273F">
      <w:pPr>
        <w:pStyle w:val="Reporttext"/>
        <w:numPr>
          <w:ilvl w:val="0"/>
          <w:numId w:val="0"/>
        </w:numPr>
        <w:ind w:left="709"/>
        <w:rPr>
          <w:rFonts w:asciiTheme="minorHAnsi" w:hAnsiTheme="minorHAnsi" w:cs="Calibri"/>
        </w:rPr>
      </w:pPr>
      <w:r w:rsidRPr="0067297E">
        <w:rPr>
          <w:rFonts w:asciiTheme="minorHAnsi" w:hAnsiTheme="minorHAnsi" w:cs="Calibri"/>
          <w:i/>
          <w:lang w:val="en-GB"/>
        </w:rPr>
        <w:t>‘housing for sale or rent, for those whose needs are not met by the market (including housing that provides a subsidised route to home ownership and/or is for essential local workers)…’</w:t>
      </w:r>
      <w:r w:rsidRPr="0067297E">
        <w:rPr>
          <w:rFonts w:asciiTheme="minorHAnsi" w:hAnsiTheme="minorHAnsi" w:cs="Calibri"/>
          <w:lang w:val="en-GB"/>
        </w:rPr>
        <w:t xml:space="preserve"> (Annex 2)</w:t>
      </w:r>
    </w:p>
    <w:p w14:paraId="45408355" w14:textId="77777777" w:rsidR="00A916E6" w:rsidRPr="0067297E" w:rsidRDefault="00A916E6" w:rsidP="00543A76">
      <w:pPr>
        <w:pStyle w:val="Reporttext"/>
        <w:rPr>
          <w:rFonts w:asciiTheme="minorHAnsi" w:hAnsiTheme="minorHAnsi" w:cs="Calibri"/>
        </w:rPr>
      </w:pPr>
      <w:r w:rsidRPr="0067297E">
        <w:rPr>
          <w:rFonts w:asciiTheme="minorHAnsi" w:hAnsiTheme="minorHAnsi" w:cs="Calibri"/>
          <w:lang w:val="en-GB"/>
        </w:rPr>
        <w:t>The NPPF provides detailed definitions of different forms of affordable housing; there are also specific London tenures, defined by the Mayor of London. These definitions are set out in Chapter 1 of this report.</w:t>
      </w:r>
    </w:p>
    <w:p w14:paraId="56FB2506" w14:textId="65247404" w:rsidR="00A916E6" w:rsidRPr="0067297E" w:rsidRDefault="00A916E6" w:rsidP="00543A76">
      <w:pPr>
        <w:pStyle w:val="Reporttext"/>
        <w:rPr>
          <w:rFonts w:asciiTheme="minorHAnsi" w:hAnsiTheme="minorHAnsi" w:cs="Calibri"/>
        </w:rPr>
      </w:pPr>
      <w:r w:rsidRPr="0067297E">
        <w:rPr>
          <w:rFonts w:asciiTheme="minorHAnsi" w:hAnsiTheme="minorHAnsi" w:cs="Calibri"/>
          <w:lang w:val="en-GB"/>
        </w:rPr>
        <w:t>This section considers affordable housing need for those households who cannot afford to meet their needs in the open market through home ownership or private rental. A</w:t>
      </w:r>
      <w:r w:rsidRPr="0067297E">
        <w:rPr>
          <w:rFonts w:asciiTheme="minorHAnsi" w:hAnsiTheme="minorHAnsi" w:cs="Calibri"/>
        </w:rPr>
        <w:t xml:space="preserve"> range of secondary data </w:t>
      </w:r>
      <w:r w:rsidRPr="0067297E">
        <w:rPr>
          <w:rFonts w:asciiTheme="minorHAnsi" w:hAnsiTheme="minorHAnsi" w:cs="Calibri"/>
          <w:lang w:val="en-GB"/>
        </w:rPr>
        <w:t xml:space="preserve">are used to </w:t>
      </w:r>
      <w:r w:rsidRPr="0067297E">
        <w:rPr>
          <w:rFonts w:asciiTheme="minorHAnsi" w:hAnsiTheme="minorHAnsi" w:cs="Calibri"/>
        </w:rPr>
        <w:t xml:space="preserve">provide the robust and transparent evidence base required to assess housing need across </w:t>
      </w:r>
      <w:r w:rsidRPr="0067297E">
        <w:rPr>
          <w:rFonts w:asciiTheme="minorHAnsi" w:hAnsiTheme="minorHAnsi" w:cs="Calibri"/>
          <w:lang w:val="en-GB"/>
        </w:rPr>
        <w:t xml:space="preserve">the </w:t>
      </w:r>
      <w:r w:rsidR="005B2517" w:rsidRPr="0067297E">
        <w:rPr>
          <w:rFonts w:asciiTheme="minorHAnsi" w:hAnsiTheme="minorHAnsi" w:cs="Calibri"/>
          <w:lang w:val="en-GB"/>
        </w:rPr>
        <w:t>borough</w:t>
      </w:r>
      <w:r w:rsidRPr="0067297E">
        <w:rPr>
          <w:rFonts w:asciiTheme="minorHAnsi" w:hAnsiTheme="minorHAnsi" w:cs="Calibri"/>
        </w:rPr>
        <w:t xml:space="preserve">. This is presented in detail at Appendix </w:t>
      </w:r>
      <w:r w:rsidR="00BC6D95" w:rsidRPr="0067297E">
        <w:rPr>
          <w:rFonts w:asciiTheme="minorHAnsi" w:hAnsiTheme="minorHAnsi" w:cs="Calibri"/>
          <w:lang w:val="en-GB"/>
        </w:rPr>
        <w:t>B</w:t>
      </w:r>
      <w:r w:rsidRPr="0067297E">
        <w:rPr>
          <w:rFonts w:asciiTheme="minorHAnsi" w:hAnsiTheme="minorHAnsi" w:cs="Calibri"/>
        </w:rPr>
        <w:t xml:space="preserve"> of this report.</w:t>
      </w:r>
    </w:p>
    <w:p w14:paraId="4E2C4F06" w14:textId="670C4749" w:rsidR="00A916E6" w:rsidRPr="0067297E" w:rsidRDefault="00A916E6" w:rsidP="00543A76">
      <w:pPr>
        <w:pStyle w:val="Reporttext"/>
        <w:rPr>
          <w:rFonts w:asciiTheme="minorHAnsi" w:hAnsiTheme="minorHAnsi" w:cs="Calibri"/>
        </w:rPr>
      </w:pPr>
      <w:r w:rsidRPr="0067297E">
        <w:rPr>
          <w:rFonts w:asciiTheme="minorHAnsi" w:hAnsiTheme="minorHAnsi" w:cs="Calibri"/>
        </w:rPr>
        <w:t>PPG 201</w:t>
      </w:r>
      <w:r w:rsidR="00FF0436" w:rsidRPr="0067297E">
        <w:rPr>
          <w:rFonts w:asciiTheme="minorHAnsi" w:hAnsiTheme="minorHAnsi" w:cs="Calibri"/>
          <w:lang w:val="en-US"/>
        </w:rPr>
        <w:t>9</w:t>
      </w:r>
      <w:r w:rsidRPr="0067297E">
        <w:rPr>
          <w:rFonts w:asciiTheme="minorHAnsi" w:hAnsiTheme="minorHAnsi" w:cs="Calibri"/>
        </w:rPr>
        <w:t xml:space="preserve"> states </w:t>
      </w:r>
      <w:r w:rsidRPr="0067297E">
        <w:rPr>
          <w:rFonts w:asciiTheme="minorHAnsi" w:hAnsiTheme="minorHAnsi" w:cs="Calibri"/>
          <w:i/>
        </w:rPr>
        <w:t>‘all households whose needs are not met by the market can be considered (to be) in affordable housing need’</w:t>
      </w:r>
      <w:r w:rsidRPr="0067297E">
        <w:rPr>
          <w:rStyle w:val="FootnoteReference"/>
          <w:rFonts w:asciiTheme="minorHAnsi" w:hAnsiTheme="minorHAnsi" w:cs="Calibri"/>
        </w:rPr>
        <w:footnoteReference w:id="37"/>
      </w:r>
      <w:r w:rsidR="00BC6D95" w:rsidRPr="0067297E">
        <w:rPr>
          <w:rFonts w:asciiTheme="minorHAnsi" w:hAnsiTheme="minorHAnsi" w:cs="Calibri"/>
          <w:i/>
          <w:lang w:val="en-GB"/>
        </w:rPr>
        <w:t>.</w:t>
      </w:r>
    </w:p>
    <w:p w14:paraId="14E088C0" w14:textId="77777777" w:rsidR="002B726A" w:rsidRPr="0067297E" w:rsidRDefault="002B726A" w:rsidP="00543A76">
      <w:pPr>
        <w:pStyle w:val="Reporttext"/>
        <w:rPr>
          <w:rFonts w:asciiTheme="minorHAnsi" w:hAnsiTheme="minorHAnsi" w:cs="Calibri"/>
        </w:rPr>
      </w:pPr>
      <w:r w:rsidRPr="0067297E">
        <w:rPr>
          <w:rFonts w:asciiTheme="minorHAnsi" w:hAnsiTheme="minorHAnsi" w:cs="Calibri"/>
        </w:rPr>
        <w:t>A detailed analysis of the following factors determines the extent to which there is a sh</w:t>
      </w:r>
      <w:r w:rsidR="00A11560" w:rsidRPr="0067297E">
        <w:rPr>
          <w:rFonts w:asciiTheme="minorHAnsi" w:hAnsiTheme="minorHAnsi" w:cs="Calibri"/>
        </w:rPr>
        <w:t xml:space="preserve">ortfall of affordable housing: </w:t>
      </w:r>
    </w:p>
    <w:p w14:paraId="04EAF2FD" w14:textId="77777777" w:rsidR="002B726A" w:rsidRPr="0067297E" w:rsidRDefault="002B726A" w:rsidP="00543A76">
      <w:pPr>
        <w:pStyle w:val="bullet"/>
        <w:rPr>
          <w:rFonts w:asciiTheme="minorHAnsi" w:eastAsia="Arial" w:hAnsiTheme="minorHAnsi"/>
        </w:rPr>
      </w:pPr>
      <w:r w:rsidRPr="0067297E">
        <w:rPr>
          <w:rFonts w:asciiTheme="minorHAnsi" w:eastAsia="Arial" w:hAnsiTheme="minorHAnsi"/>
        </w:rPr>
        <w:t>households currently in housing which is unsuitable for their use and who are unable to afford to buy or rent in the market (backlog need); and those who can afford private rent but cannot afford to buy;</w:t>
      </w:r>
    </w:p>
    <w:p w14:paraId="44788118" w14:textId="77777777" w:rsidR="002B726A" w:rsidRPr="0067297E" w:rsidRDefault="002B726A" w:rsidP="000256AC">
      <w:pPr>
        <w:pStyle w:val="bullet"/>
        <w:rPr>
          <w:rFonts w:asciiTheme="minorHAnsi" w:eastAsia="Arial" w:hAnsiTheme="minorHAnsi"/>
        </w:rPr>
      </w:pPr>
      <w:r w:rsidRPr="0067297E">
        <w:rPr>
          <w:rFonts w:asciiTheme="minorHAnsi" w:eastAsia="Arial" w:hAnsiTheme="minorHAnsi"/>
        </w:rPr>
        <w:t>new households forming who cannot afford to buy or rent in the market;</w:t>
      </w:r>
    </w:p>
    <w:p w14:paraId="5DFD3D80" w14:textId="77777777" w:rsidR="002B726A" w:rsidRPr="0067297E" w:rsidRDefault="002B726A" w:rsidP="006C722F">
      <w:pPr>
        <w:pStyle w:val="bullet"/>
        <w:rPr>
          <w:rFonts w:asciiTheme="minorHAnsi" w:eastAsia="Arial" w:hAnsiTheme="minorHAnsi"/>
        </w:rPr>
      </w:pPr>
      <w:r w:rsidRPr="0067297E">
        <w:rPr>
          <w:rFonts w:asciiTheme="minorHAnsi" w:eastAsia="Arial" w:hAnsiTheme="minorHAnsi"/>
        </w:rPr>
        <w:t>existing households expected to fall into need; and</w:t>
      </w:r>
    </w:p>
    <w:p w14:paraId="572D31CA" w14:textId="77777777" w:rsidR="005531D3" w:rsidRPr="0067297E" w:rsidRDefault="002B726A" w:rsidP="006C722F">
      <w:pPr>
        <w:pStyle w:val="bullet"/>
        <w:rPr>
          <w:rFonts w:asciiTheme="minorHAnsi" w:eastAsia="Arial" w:hAnsiTheme="minorHAnsi"/>
        </w:rPr>
      </w:pPr>
      <w:r w:rsidRPr="0067297E">
        <w:rPr>
          <w:rFonts w:asciiTheme="minorHAnsi" w:eastAsia="Arial" w:hAnsiTheme="minorHAnsi"/>
        </w:rPr>
        <w:t>the supply of affordable housing through social/affordable renting and intermediate tenure stock.</w:t>
      </w:r>
    </w:p>
    <w:p w14:paraId="7BDBE77F" w14:textId="012C6D15" w:rsidR="005531D3" w:rsidRPr="0067297E" w:rsidRDefault="005531D3" w:rsidP="006C722F">
      <w:pPr>
        <w:pStyle w:val="Reporttext"/>
        <w:rPr>
          <w:rFonts w:asciiTheme="minorHAnsi" w:hAnsiTheme="minorHAnsi" w:cs="Calibri"/>
        </w:rPr>
      </w:pPr>
      <w:r w:rsidRPr="0067297E">
        <w:rPr>
          <w:rFonts w:asciiTheme="minorHAnsi" w:hAnsiTheme="minorHAnsi" w:cs="Calibri"/>
        </w:rPr>
        <w:t>According to the housing register as at 1st April 2018, overcrowding was the principal reason why households needed affordable housing</w:t>
      </w:r>
      <w:r w:rsidR="00D43F3C" w:rsidRPr="0067297E">
        <w:rPr>
          <w:rFonts w:asciiTheme="minorHAnsi" w:hAnsiTheme="minorHAnsi" w:cs="Calibri"/>
        </w:rPr>
        <w:t xml:space="preserve"> (Table </w:t>
      </w:r>
      <w:r w:rsidR="00E413E6" w:rsidRPr="0067297E">
        <w:rPr>
          <w:rFonts w:asciiTheme="minorHAnsi" w:hAnsiTheme="minorHAnsi" w:cs="Calibri"/>
          <w:lang w:val="en-US"/>
        </w:rPr>
        <w:t>6</w:t>
      </w:r>
      <w:r w:rsidR="00D43F3C" w:rsidRPr="0067297E">
        <w:rPr>
          <w:rFonts w:asciiTheme="minorHAnsi" w:hAnsiTheme="minorHAnsi" w:cs="Calibri"/>
        </w:rPr>
        <w:t>.1)</w:t>
      </w:r>
      <w:r w:rsidRPr="0067297E">
        <w:rPr>
          <w:rFonts w:asciiTheme="minorHAnsi" w:hAnsiTheme="minorHAnsi" w:cs="Calibri"/>
        </w:rPr>
        <w:t xml:space="preserve">. </w:t>
      </w:r>
    </w:p>
    <w:p w14:paraId="3E4D0087" w14:textId="77777777" w:rsidR="009F57F8" w:rsidRPr="0067297E" w:rsidRDefault="009F57F8" w:rsidP="00FA273F">
      <w:pPr>
        <w:pStyle w:val="Reporttext"/>
        <w:numPr>
          <w:ilvl w:val="0"/>
          <w:numId w:val="0"/>
        </w:numPr>
        <w:ind w:left="709"/>
        <w:rPr>
          <w:rFonts w:asciiTheme="minorHAnsi" w:hAnsiTheme="minorHAnsi" w:cs="Calibri"/>
        </w:rPr>
      </w:pPr>
    </w:p>
    <w:tbl>
      <w:tblPr>
        <w:tblW w:w="5229" w:type="dxa"/>
        <w:tblInd w:w="720" w:type="dxa"/>
        <w:tblLook w:val="04A0" w:firstRow="1" w:lastRow="0" w:firstColumn="1" w:lastColumn="0" w:noHBand="0" w:noVBand="1"/>
      </w:tblPr>
      <w:tblGrid>
        <w:gridCol w:w="2252"/>
        <w:gridCol w:w="2977"/>
      </w:tblGrid>
      <w:tr w:rsidR="005531D3" w:rsidRPr="0067297E" w14:paraId="213B83D0" w14:textId="77777777" w:rsidTr="00426BD8">
        <w:trPr>
          <w:trHeight w:val="240"/>
          <w:tblHeader/>
        </w:trPr>
        <w:tc>
          <w:tcPr>
            <w:tcW w:w="5229" w:type="dxa"/>
            <w:gridSpan w:val="2"/>
            <w:tcBorders>
              <w:top w:val="single" w:sz="4" w:space="0" w:color="006666"/>
              <w:left w:val="single" w:sz="4" w:space="0" w:color="006666"/>
              <w:bottom w:val="single" w:sz="4" w:space="0" w:color="006666"/>
              <w:right w:val="single" w:sz="4" w:space="0" w:color="006666"/>
            </w:tcBorders>
            <w:shd w:val="clear" w:color="auto" w:fill="009999"/>
            <w:noWrap/>
            <w:vAlign w:val="bottom"/>
          </w:tcPr>
          <w:p w14:paraId="2B1A0B98" w14:textId="61F1AB66" w:rsidR="005531D3" w:rsidRPr="0067297E" w:rsidRDefault="005531D3" w:rsidP="003F4875">
            <w:pPr>
              <w:pStyle w:val="tableheading"/>
              <w:rPr>
                <w:rFonts w:asciiTheme="minorHAnsi" w:hAnsiTheme="minorHAnsi"/>
              </w:rPr>
            </w:pPr>
            <w:bookmarkStart w:id="322" w:name="_Toc23151177"/>
            <w:r w:rsidRPr="0067297E">
              <w:rPr>
                <w:rFonts w:asciiTheme="minorHAnsi" w:hAnsiTheme="minorHAnsi"/>
              </w:rPr>
              <w:t xml:space="preserve">Table </w:t>
            </w:r>
            <w:r w:rsidR="00E413E6" w:rsidRPr="0067297E">
              <w:rPr>
                <w:rFonts w:asciiTheme="minorHAnsi" w:hAnsiTheme="minorHAnsi"/>
              </w:rPr>
              <w:t>6</w:t>
            </w:r>
            <w:r w:rsidR="009F57F8" w:rsidRPr="0067297E">
              <w:rPr>
                <w:rFonts w:asciiTheme="minorHAnsi" w:hAnsiTheme="minorHAnsi"/>
              </w:rPr>
              <w:t>.1</w:t>
            </w:r>
            <w:r w:rsidR="002B000C" w:rsidRPr="0067297E">
              <w:rPr>
                <w:rFonts w:asciiTheme="minorHAnsi" w:hAnsiTheme="minorHAnsi"/>
              </w:rPr>
              <w:tab/>
            </w:r>
            <w:r w:rsidR="009F57F8" w:rsidRPr="0067297E">
              <w:rPr>
                <w:rFonts w:asciiTheme="minorHAnsi" w:hAnsiTheme="minorHAnsi"/>
              </w:rPr>
              <w:t>Reason for housing need</w:t>
            </w:r>
            <w:r w:rsidR="008A58F2" w:rsidRPr="0067297E">
              <w:rPr>
                <w:rFonts w:asciiTheme="minorHAnsi" w:hAnsiTheme="minorHAnsi"/>
              </w:rPr>
              <w:t xml:space="preserve"> (%)</w:t>
            </w:r>
            <w:bookmarkEnd w:id="322"/>
          </w:p>
        </w:tc>
      </w:tr>
      <w:tr w:rsidR="005531D3" w:rsidRPr="0067297E" w14:paraId="565DF774" w14:textId="77777777" w:rsidTr="002B000C">
        <w:trPr>
          <w:trHeight w:val="240"/>
        </w:trPr>
        <w:tc>
          <w:tcPr>
            <w:tcW w:w="2252" w:type="dxa"/>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33C81E2" w14:textId="77777777" w:rsidR="005531D3" w:rsidRPr="0067297E" w:rsidRDefault="005531D3" w:rsidP="002B000C">
            <w:pPr>
              <w:rPr>
                <w:rFonts w:asciiTheme="minorHAnsi" w:hAnsiTheme="minorHAnsi" w:cs="Calibri"/>
                <w:sz w:val="22"/>
                <w:szCs w:val="22"/>
              </w:rPr>
            </w:pPr>
            <w:r w:rsidRPr="0067297E">
              <w:rPr>
                <w:rFonts w:asciiTheme="minorHAnsi" w:hAnsiTheme="minorHAnsi" w:cs="Calibri"/>
                <w:sz w:val="22"/>
                <w:szCs w:val="22"/>
              </w:rPr>
              <w:t>Overcrowding</w:t>
            </w:r>
          </w:p>
        </w:tc>
        <w:tc>
          <w:tcPr>
            <w:tcW w:w="2977" w:type="dxa"/>
            <w:tcBorders>
              <w:top w:val="single" w:sz="4" w:space="0" w:color="006666"/>
              <w:left w:val="nil"/>
              <w:bottom w:val="single" w:sz="4" w:space="0" w:color="006666"/>
              <w:right w:val="single" w:sz="4" w:space="0" w:color="006666"/>
            </w:tcBorders>
            <w:shd w:val="clear" w:color="auto" w:fill="auto"/>
            <w:noWrap/>
            <w:vAlign w:val="bottom"/>
            <w:hideMark/>
          </w:tcPr>
          <w:p w14:paraId="434F5ADF" w14:textId="77777777" w:rsidR="005531D3" w:rsidRPr="0067297E" w:rsidRDefault="005531D3" w:rsidP="00155035">
            <w:pPr>
              <w:jc w:val="right"/>
              <w:rPr>
                <w:rFonts w:asciiTheme="minorHAnsi" w:hAnsiTheme="minorHAnsi" w:cs="Calibri"/>
                <w:sz w:val="22"/>
                <w:szCs w:val="22"/>
              </w:rPr>
            </w:pPr>
            <w:r w:rsidRPr="0067297E">
              <w:rPr>
                <w:rFonts w:asciiTheme="minorHAnsi" w:hAnsiTheme="minorHAnsi" w:cs="Calibri"/>
                <w:sz w:val="22"/>
                <w:szCs w:val="22"/>
              </w:rPr>
              <w:t>49.6</w:t>
            </w:r>
          </w:p>
        </w:tc>
      </w:tr>
      <w:tr w:rsidR="005531D3" w:rsidRPr="0067297E" w14:paraId="755EDBE9" w14:textId="77777777" w:rsidTr="002B000C">
        <w:trPr>
          <w:trHeight w:val="240"/>
        </w:trPr>
        <w:tc>
          <w:tcPr>
            <w:tcW w:w="2252" w:type="dxa"/>
            <w:tcBorders>
              <w:top w:val="nil"/>
              <w:left w:val="single" w:sz="4" w:space="0" w:color="006666"/>
              <w:bottom w:val="single" w:sz="4" w:space="0" w:color="006666"/>
              <w:right w:val="single" w:sz="4" w:space="0" w:color="006666"/>
            </w:tcBorders>
            <w:shd w:val="clear" w:color="auto" w:fill="auto"/>
            <w:noWrap/>
            <w:vAlign w:val="bottom"/>
            <w:hideMark/>
          </w:tcPr>
          <w:p w14:paraId="6DEAF0D5" w14:textId="21B319AF" w:rsidR="005531D3" w:rsidRPr="0067297E" w:rsidRDefault="005B2517" w:rsidP="002B000C">
            <w:pPr>
              <w:rPr>
                <w:rFonts w:asciiTheme="minorHAnsi" w:hAnsiTheme="minorHAnsi" w:cs="Calibri"/>
                <w:sz w:val="22"/>
                <w:szCs w:val="22"/>
              </w:rPr>
            </w:pPr>
            <w:r w:rsidRPr="0067297E">
              <w:rPr>
                <w:rFonts w:asciiTheme="minorHAnsi" w:hAnsiTheme="minorHAnsi" w:cs="Calibri"/>
                <w:sz w:val="22"/>
                <w:szCs w:val="22"/>
              </w:rPr>
              <w:t>Priority</w:t>
            </w:r>
            <w:r w:rsidR="005531D3" w:rsidRPr="0067297E">
              <w:rPr>
                <w:rFonts w:asciiTheme="minorHAnsi" w:hAnsiTheme="minorHAnsi" w:cs="Calibri"/>
                <w:sz w:val="22"/>
                <w:szCs w:val="22"/>
              </w:rPr>
              <w:t xml:space="preserve"> homeless</w:t>
            </w:r>
          </w:p>
        </w:tc>
        <w:tc>
          <w:tcPr>
            <w:tcW w:w="2977" w:type="dxa"/>
            <w:tcBorders>
              <w:top w:val="nil"/>
              <w:left w:val="nil"/>
              <w:bottom w:val="single" w:sz="4" w:space="0" w:color="006666"/>
              <w:right w:val="single" w:sz="4" w:space="0" w:color="006666"/>
            </w:tcBorders>
            <w:shd w:val="clear" w:color="auto" w:fill="auto"/>
            <w:noWrap/>
            <w:vAlign w:val="bottom"/>
            <w:hideMark/>
          </w:tcPr>
          <w:p w14:paraId="69261775" w14:textId="77777777" w:rsidR="005531D3" w:rsidRPr="0067297E" w:rsidRDefault="005531D3" w:rsidP="00155035">
            <w:pPr>
              <w:jc w:val="right"/>
              <w:rPr>
                <w:rFonts w:asciiTheme="minorHAnsi" w:hAnsiTheme="minorHAnsi" w:cs="Calibri"/>
                <w:sz w:val="22"/>
                <w:szCs w:val="22"/>
              </w:rPr>
            </w:pPr>
            <w:r w:rsidRPr="0067297E">
              <w:rPr>
                <w:rFonts w:asciiTheme="minorHAnsi" w:hAnsiTheme="minorHAnsi" w:cs="Calibri"/>
                <w:sz w:val="22"/>
                <w:szCs w:val="22"/>
              </w:rPr>
              <w:t>17.3</w:t>
            </w:r>
          </w:p>
        </w:tc>
      </w:tr>
      <w:tr w:rsidR="005531D3" w:rsidRPr="0067297E" w14:paraId="162140CB" w14:textId="77777777" w:rsidTr="002B000C">
        <w:trPr>
          <w:trHeight w:val="240"/>
        </w:trPr>
        <w:tc>
          <w:tcPr>
            <w:tcW w:w="2252" w:type="dxa"/>
            <w:tcBorders>
              <w:top w:val="nil"/>
              <w:left w:val="single" w:sz="4" w:space="0" w:color="006666"/>
              <w:bottom w:val="single" w:sz="4" w:space="0" w:color="006666"/>
              <w:right w:val="single" w:sz="4" w:space="0" w:color="006666"/>
            </w:tcBorders>
            <w:shd w:val="clear" w:color="auto" w:fill="auto"/>
            <w:noWrap/>
            <w:vAlign w:val="bottom"/>
            <w:hideMark/>
          </w:tcPr>
          <w:p w14:paraId="532775E0" w14:textId="77777777" w:rsidR="005531D3" w:rsidRPr="0067297E" w:rsidRDefault="005531D3" w:rsidP="002B000C">
            <w:pPr>
              <w:rPr>
                <w:rFonts w:asciiTheme="minorHAnsi" w:hAnsiTheme="minorHAnsi" w:cs="Calibri"/>
                <w:sz w:val="22"/>
                <w:szCs w:val="22"/>
              </w:rPr>
            </w:pPr>
            <w:r w:rsidRPr="0067297E">
              <w:rPr>
                <w:rFonts w:asciiTheme="minorHAnsi" w:hAnsiTheme="minorHAnsi" w:cs="Calibri"/>
                <w:sz w:val="22"/>
                <w:szCs w:val="22"/>
              </w:rPr>
              <w:t>Medical</w:t>
            </w:r>
          </w:p>
        </w:tc>
        <w:tc>
          <w:tcPr>
            <w:tcW w:w="2977" w:type="dxa"/>
            <w:tcBorders>
              <w:top w:val="nil"/>
              <w:left w:val="nil"/>
              <w:bottom w:val="single" w:sz="4" w:space="0" w:color="006666"/>
              <w:right w:val="single" w:sz="4" w:space="0" w:color="006666"/>
            </w:tcBorders>
            <w:shd w:val="clear" w:color="auto" w:fill="auto"/>
            <w:noWrap/>
            <w:vAlign w:val="bottom"/>
            <w:hideMark/>
          </w:tcPr>
          <w:p w14:paraId="2BE1F282" w14:textId="77777777" w:rsidR="005531D3" w:rsidRPr="0067297E" w:rsidRDefault="005531D3" w:rsidP="00155035">
            <w:pPr>
              <w:jc w:val="right"/>
              <w:rPr>
                <w:rFonts w:asciiTheme="minorHAnsi" w:hAnsiTheme="minorHAnsi" w:cs="Calibri"/>
                <w:sz w:val="22"/>
                <w:szCs w:val="22"/>
              </w:rPr>
            </w:pPr>
            <w:r w:rsidRPr="0067297E">
              <w:rPr>
                <w:rFonts w:asciiTheme="minorHAnsi" w:hAnsiTheme="minorHAnsi" w:cs="Calibri"/>
                <w:sz w:val="22"/>
                <w:szCs w:val="22"/>
              </w:rPr>
              <w:t>15.4</w:t>
            </w:r>
          </w:p>
        </w:tc>
      </w:tr>
      <w:tr w:rsidR="005531D3" w:rsidRPr="0067297E" w14:paraId="50F6F398" w14:textId="77777777" w:rsidTr="002B000C">
        <w:trPr>
          <w:trHeight w:val="240"/>
        </w:trPr>
        <w:tc>
          <w:tcPr>
            <w:tcW w:w="2252" w:type="dxa"/>
            <w:tcBorders>
              <w:top w:val="nil"/>
              <w:left w:val="single" w:sz="4" w:space="0" w:color="006666"/>
              <w:bottom w:val="single" w:sz="4" w:space="0" w:color="006666"/>
              <w:right w:val="single" w:sz="4" w:space="0" w:color="006666"/>
            </w:tcBorders>
            <w:shd w:val="clear" w:color="auto" w:fill="auto"/>
            <w:noWrap/>
            <w:vAlign w:val="bottom"/>
            <w:hideMark/>
          </w:tcPr>
          <w:p w14:paraId="14BF5DE0" w14:textId="77777777" w:rsidR="005531D3" w:rsidRPr="0067297E" w:rsidRDefault="005531D3" w:rsidP="002B000C">
            <w:pPr>
              <w:rPr>
                <w:rFonts w:asciiTheme="minorHAnsi" w:hAnsiTheme="minorHAnsi" w:cs="Calibri"/>
                <w:sz w:val="22"/>
                <w:szCs w:val="22"/>
              </w:rPr>
            </w:pPr>
            <w:r w:rsidRPr="0067297E">
              <w:rPr>
                <w:rFonts w:asciiTheme="minorHAnsi" w:hAnsiTheme="minorHAnsi" w:cs="Calibri"/>
                <w:sz w:val="22"/>
                <w:szCs w:val="22"/>
              </w:rPr>
              <w:t>Other</w:t>
            </w:r>
          </w:p>
        </w:tc>
        <w:tc>
          <w:tcPr>
            <w:tcW w:w="2977" w:type="dxa"/>
            <w:tcBorders>
              <w:top w:val="nil"/>
              <w:left w:val="nil"/>
              <w:bottom w:val="single" w:sz="4" w:space="0" w:color="006666"/>
              <w:right w:val="single" w:sz="4" w:space="0" w:color="006666"/>
            </w:tcBorders>
            <w:shd w:val="clear" w:color="auto" w:fill="auto"/>
            <w:noWrap/>
            <w:vAlign w:val="bottom"/>
            <w:hideMark/>
          </w:tcPr>
          <w:p w14:paraId="0C8121B6" w14:textId="77777777" w:rsidR="005531D3" w:rsidRPr="0067297E" w:rsidRDefault="005531D3" w:rsidP="00155035">
            <w:pPr>
              <w:jc w:val="right"/>
              <w:rPr>
                <w:rFonts w:asciiTheme="minorHAnsi" w:hAnsiTheme="minorHAnsi" w:cs="Calibri"/>
                <w:sz w:val="22"/>
                <w:szCs w:val="22"/>
              </w:rPr>
            </w:pPr>
            <w:r w:rsidRPr="0067297E">
              <w:rPr>
                <w:rFonts w:asciiTheme="minorHAnsi" w:hAnsiTheme="minorHAnsi" w:cs="Calibri"/>
                <w:sz w:val="22"/>
                <w:szCs w:val="22"/>
              </w:rPr>
              <w:t>17.6</w:t>
            </w:r>
          </w:p>
        </w:tc>
      </w:tr>
      <w:tr w:rsidR="005531D3" w:rsidRPr="0067297E" w14:paraId="37024476" w14:textId="77777777" w:rsidTr="002B000C">
        <w:trPr>
          <w:trHeight w:val="240"/>
        </w:trPr>
        <w:tc>
          <w:tcPr>
            <w:tcW w:w="2252" w:type="dxa"/>
            <w:tcBorders>
              <w:top w:val="nil"/>
              <w:left w:val="single" w:sz="4" w:space="0" w:color="006666"/>
              <w:bottom w:val="single" w:sz="4" w:space="0" w:color="006666"/>
              <w:right w:val="single" w:sz="4" w:space="0" w:color="006666"/>
            </w:tcBorders>
            <w:shd w:val="clear" w:color="auto" w:fill="auto"/>
            <w:noWrap/>
            <w:vAlign w:val="bottom"/>
            <w:hideMark/>
          </w:tcPr>
          <w:p w14:paraId="2CEBFC11" w14:textId="77777777" w:rsidR="005531D3" w:rsidRPr="0067297E" w:rsidRDefault="005531D3" w:rsidP="002B000C">
            <w:pPr>
              <w:rPr>
                <w:rFonts w:asciiTheme="minorHAnsi" w:hAnsiTheme="minorHAnsi" w:cs="Calibri"/>
                <w:sz w:val="22"/>
                <w:szCs w:val="22"/>
              </w:rPr>
            </w:pPr>
            <w:r w:rsidRPr="0067297E">
              <w:rPr>
                <w:rFonts w:asciiTheme="minorHAnsi" w:hAnsiTheme="minorHAnsi" w:cs="Calibri"/>
                <w:sz w:val="22"/>
                <w:szCs w:val="22"/>
              </w:rPr>
              <w:t>Total</w:t>
            </w:r>
          </w:p>
        </w:tc>
        <w:tc>
          <w:tcPr>
            <w:tcW w:w="2977" w:type="dxa"/>
            <w:tcBorders>
              <w:top w:val="nil"/>
              <w:left w:val="nil"/>
              <w:bottom w:val="single" w:sz="4" w:space="0" w:color="006666"/>
              <w:right w:val="single" w:sz="4" w:space="0" w:color="006666"/>
            </w:tcBorders>
            <w:shd w:val="clear" w:color="auto" w:fill="auto"/>
            <w:noWrap/>
            <w:vAlign w:val="bottom"/>
            <w:hideMark/>
          </w:tcPr>
          <w:p w14:paraId="7431D697" w14:textId="77777777" w:rsidR="005531D3" w:rsidRPr="0067297E" w:rsidRDefault="005531D3" w:rsidP="00155035">
            <w:pPr>
              <w:jc w:val="right"/>
              <w:rPr>
                <w:rFonts w:asciiTheme="minorHAnsi" w:hAnsiTheme="minorHAnsi" w:cs="Calibri"/>
                <w:sz w:val="22"/>
                <w:szCs w:val="22"/>
              </w:rPr>
            </w:pPr>
            <w:r w:rsidRPr="0067297E">
              <w:rPr>
                <w:rFonts w:asciiTheme="minorHAnsi" w:hAnsiTheme="minorHAnsi" w:cs="Calibri"/>
                <w:sz w:val="22"/>
                <w:szCs w:val="22"/>
              </w:rPr>
              <w:t>100.0</w:t>
            </w:r>
          </w:p>
        </w:tc>
      </w:tr>
      <w:tr w:rsidR="005531D3" w:rsidRPr="0067297E" w14:paraId="3E069710" w14:textId="77777777" w:rsidTr="002B000C">
        <w:trPr>
          <w:trHeight w:val="240"/>
        </w:trPr>
        <w:tc>
          <w:tcPr>
            <w:tcW w:w="2252" w:type="dxa"/>
            <w:tcBorders>
              <w:top w:val="nil"/>
              <w:left w:val="single" w:sz="4" w:space="0" w:color="006666"/>
              <w:bottom w:val="single" w:sz="4" w:space="0" w:color="006666"/>
              <w:right w:val="single" w:sz="4" w:space="0" w:color="006666"/>
            </w:tcBorders>
            <w:shd w:val="clear" w:color="auto" w:fill="auto"/>
            <w:noWrap/>
            <w:vAlign w:val="bottom"/>
            <w:hideMark/>
          </w:tcPr>
          <w:p w14:paraId="6D092208" w14:textId="77777777" w:rsidR="005531D3" w:rsidRPr="0067297E" w:rsidRDefault="005531D3" w:rsidP="002B000C">
            <w:pPr>
              <w:rPr>
                <w:rFonts w:asciiTheme="minorHAnsi" w:hAnsiTheme="minorHAnsi" w:cs="Calibri"/>
                <w:sz w:val="22"/>
                <w:szCs w:val="22"/>
              </w:rPr>
            </w:pPr>
            <w:r w:rsidRPr="0067297E">
              <w:rPr>
                <w:rFonts w:asciiTheme="minorHAnsi" w:hAnsiTheme="minorHAnsi" w:cs="Calibri"/>
                <w:sz w:val="22"/>
                <w:szCs w:val="22"/>
              </w:rPr>
              <w:t>Base</w:t>
            </w:r>
          </w:p>
        </w:tc>
        <w:tc>
          <w:tcPr>
            <w:tcW w:w="2977" w:type="dxa"/>
            <w:tcBorders>
              <w:top w:val="nil"/>
              <w:left w:val="nil"/>
              <w:bottom w:val="single" w:sz="4" w:space="0" w:color="006666"/>
              <w:right w:val="single" w:sz="4" w:space="0" w:color="006666"/>
            </w:tcBorders>
            <w:shd w:val="clear" w:color="auto" w:fill="auto"/>
            <w:noWrap/>
            <w:vAlign w:val="bottom"/>
            <w:hideMark/>
          </w:tcPr>
          <w:p w14:paraId="126B6B78" w14:textId="6DBF28F9" w:rsidR="005531D3" w:rsidRPr="0067297E" w:rsidRDefault="005531D3" w:rsidP="00155035">
            <w:pPr>
              <w:jc w:val="right"/>
              <w:rPr>
                <w:rFonts w:asciiTheme="minorHAnsi" w:hAnsiTheme="minorHAnsi" w:cs="Calibri"/>
                <w:sz w:val="22"/>
                <w:szCs w:val="22"/>
              </w:rPr>
            </w:pPr>
            <w:r w:rsidRPr="0067297E">
              <w:rPr>
                <w:rFonts w:asciiTheme="minorHAnsi" w:hAnsiTheme="minorHAnsi" w:cs="Calibri"/>
                <w:sz w:val="22"/>
                <w:szCs w:val="22"/>
              </w:rPr>
              <w:t>9</w:t>
            </w:r>
            <w:r w:rsidR="00C5084D" w:rsidRPr="0067297E">
              <w:rPr>
                <w:rFonts w:asciiTheme="minorHAnsi" w:hAnsiTheme="minorHAnsi" w:cs="Calibri"/>
                <w:sz w:val="22"/>
                <w:szCs w:val="22"/>
              </w:rPr>
              <w:t>,</w:t>
            </w:r>
            <w:r w:rsidRPr="0067297E">
              <w:rPr>
                <w:rFonts w:asciiTheme="minorHAnsi" w:hAnsiTheme="minorHAnsi" w:cs="Calibri"/>
                <w:sz w:val="22"/>
                <w:szCs w:val="22"/>
              </w:rPr>
              <w:t>765</w:t>
            </w:r>
          </w:p>
        </w:tc>
      </w:tr>
    </w:tbl>
    <w:p w14:paraId="1DDE0AB2" w14:textId="77777777" w:rsidR="005531D3" w:rsidRPr="0067297E" w:rsidRDefault="005531D3" w:rsidP="00543A76">
      <w:pPr>
        <w:pStyle w:val="Reporttext"/>
        <w:numPr>
          <w:ilvl w:val="0"/>
          <w:numId w:val="0"/>
        </w:numPr>
        <w:rPr>
          <w:rFonts w:asciiTheme="minorHAnsi" w:hAnsiTheme="minorHAnsi" w:cs="Calibri"/>
        </w:rPr>
      </w:pPr>
    </w:p>
    <w:p w14:paraId="7D7C7DAB" w14:textId="1070250F" w:rsidR="002B726A" w:rsidRPr="0067297E" w:rsidRDefault="009F57F8" w:rsidP="00543A76">
      <w:pPr>
        <w:pStyle w:val="Reporttext"/>
        <w:rPr>
          <w:rFonts w:asciiTheme="minorHAnsi" w:hAnsiTheme="minorHAnsi" w:cs="Calibri"/>
        </w:rPr>
      </w:pPr>
      <w:r w:rsidRPr="0067297E">
        <w:rPr>
          <w:rFonts w:asciiTheme="minorHAnsi" w:hAnsiTheme="minorHAnsi" w:cs="Calibri"/>
        </w:rPr>
        <w:t xml:space="preserve">Table </w:t>
      </w:r>
      <w:r w:rsidR="00E413E6" w:rsidRPr="0067297E">
        <w:rPr>
          <w:rFonts w:asciiTheme="minorHAnsi" w:hAnsiTheme="minorHAnsi" w:cs="Calibri"/>
          <w:lang w:val="en-US"/>
        </w:rPr>
        <w:t>6</w:t>
      </w:r>
      <w:r w:rsidRPr="0067297E">
        <w:rPr>
          <w:rFonts w:asciiTheme="minorHAnsi" w:hAnsiTheme="minorHAnsi" w:cs="Calibri"/>
        </w:rPr>
        <w:t>.2</w:t>
      </w:r>
      <w:r w:rsidR="002B726A" w:rsidRPr="0067297E">
        <w:rPr>
          <w:rFonts w:asciiTheme="minorHAnsi" w:hAnsiTheme="minorHAnsi" w:cs="Calibri"/>
        </w:rPr>
        <w:t xml:space="preserve"> summarises the various stag</w:t>
      </w:r>
      <w:r w:rsidRPr="0067297E">
        <w:rPr>
          <w:rFonts w:asciiTheme="minorHAnsi" w:hAnsiTheme="minorHAnsi" w:cs="Calibri"/>
        </w:rPr>
        <w:t>es of the analysis</w:t>
      </w:r>
      <w:r w:rsidR="00B009F9" w:rsidRPr="0067297E">
        <w:rPr>
          <w:rFonts w:asciiTheme="minorHAnsi" w:hAnsiTheme="minorHAnsi" w:cs="Calibri"/>
          <w:lang w:val="en-GB"/>
        </w:rPr>
        <w:t xml:space="preserve"> and Appendix </w:t>
      </w:r>
      <w:r w:rsidR="00E413E6" w:rsidRPr="0067297E">
        <w:rPr>
          <w:rFonts w:asciiTheme="minorHAnsi" w:hAnsiTheme="minorHAnsi" w:cs="Calibri"/>
          <w:lang w:val="en-GB"/>
        </w:rPr>
        <w:t>B</w:t>
      </w:r>
      <w:r w:rsidR="00B009F9" w:rsidRPr="0067297E">
        <w:rPr>
          <w:rFonts w:asciiTheme="minorHAnsi" w:hAnsiTheme="minorHAnsi" w:cs="Calibri"/>
          <w:lang w:val="en-GB"/>
        </w:rPr>
        <w:t xml:space="preserve"> provides an explanation of the methodology used</w:t>
      </w:r>
      <w:r w:rsidR="00F565DA" w:rsidRPr="0067297E">
        <w:rPr>
          <w:rFonts w:asciiTheme="minorHAnsi" w:hAnsiTheme="minorHAnsi" w:cs="Calibri"/>
        </w:rPr>
        <w:t>.</w:t>
      </w:r>
      <w:bookmarkStart w:id="323" w:name="_Toc397250676"/>
    </w:p>
    <w:p w14:paraId="45B19FA6" w14:textId="77777777" w:rsidR="00FB0012" w:rsidRPr="0067297E" w:rsidRDefault="00FB0012" w:rsidP="002B000C">
      <w:pPr>
        <w:rPr>
          <w:rFonts w:asciiTheme="minorHAnsi" w:hAnsiTheme="minorHAnsi"/>
        </w:rPr>
      </w:pPr>
    </w:p>
    <w:tbl>
      <w:tblPr>
        <w:tblW w:w="9205" w:type="dxa"/>
        <w:tblInd w:w="93"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08"/>
        <w:gridCol w:w="6936"/>
        <w:gridCol w:w="1661"/>
      </w:tblGrid>
      <w:tr w:rsidR="00DB7892" w:rsidRPr="0067297E" w14:paraId="0BC20824" w14:textId="77777777" w:rsidTr="00426BD8">
        <w:trPr>
          <w:tblHeader/>
        </w:trPr>
        <w:tc>
          <w:tcPr>
            <w:tcW w:w="9205" w:type="dxa"/>
            <w:gridSpan w:val="3"/>
            <w:shd w:val="clear" w:color="auto" w:fill="009999"/>
          </w:tcPr>
          <w:p w14:paraId="76754416" w14:textId="3608CD4B" w:rsidR="00DB7892" w:rsidRPr="0067297E" w:rsidRDefault="00DB7892" w:rsidP="00585BC6">
            <w:pPr>
              <w:pStyle w:val="tableheading"/>
              <w:spacing w:before="60" w:after="60"/>
              <w:rPr>
                <w:rFonts w:asciiTheme="minorHAnsi" w:hAnsiTheme="minorHAnsi"/>
                <w:color w:val="FFFFFF"/>
              </w:rPr>
            </w:pPr>
            <w:bookmarkStart w:id="324" w:name="_Toc23151178"/>
            <w:bookmarkEnd w:id="323"/>
            <w:r w:rsidRPr="0067297E">
              <w:rPr>
                <w:rFonts w:asciiTheme="minorHAnsi" w:hAnsiTheme="minorHAnsi"/>
              </w:rPr>
              <w:t>Table 6.2</w:t>
            </w:r>
            <w:r w:rsidRPr="0067297E">
              <w:rPr>
                <w:rFonts w:asciiTheme="minorHAnsi" w:hAnsiTheme="minorHAnsi"/>
              </w:rPr>
              <w:tab/>
              <w:t>Affordable Needs Assessment Summary for the Borough of Lewisham</w:t>
            </w:r>
            <w:bookmarkEnd w:id="324"/>
          </w:p>
        </w:tc>
      </w:tr>
      <w:tr w:rsidR="00116319" w:rsidRPr="0067297E" w14:paraId="5263D944" w14:textId="77777777" w:rsidTr="0058316E">
        <w:tc>
          <w:tcPr>
            <w:tcW w:w="608" w:type="dxa"/>
            <w:shd w:val="clear" w:color="auto" w:fill="009999"/>
          </w:tcPr>
          <w:p w14:paraId="0F09C493" w14:textId="77777777" w:rsidR="00116319" w:rsidRPr="0067297E" w:rsidRDefault="00116319" w:rsidP="00585BC6">
            <w:pPr>
              <w:spacing w:before="60" w:after="60"/>
              <w:jc w:val="center"/>
              <w:rPr>
                <w:rFonts w:asciiTheme="minorHAnsi" w:hAnsiTheme="minorHAnsi" w:cs="Calibri"/>
                <w:b/>
                <w:bCs/>
                <w:color w:val="FFFFFF"/>
                <w:sz w:val="22"/>
                <w:szCs w:val="22"/>
              </w:rPr>
            </w:pPr>
          </w:p>
        </w:tc>
        <w:tc>
          <w:tcPr>
            <w:tcW w:w="6931" w:type="dxa"/>
            <w:shd w:val="clear" w:color="auto" w:fill="009999"/>
            <w:vAlign w:val="bottom"/>
            <w:hideMark/>
          </w:tcPr>
          <w:p w14:paraId="66F99AB0" w14:textId="05F47A70" w:rsidR="00116319" w:rsidRPr="0067297E" w:rsidRDefault="00116319" w:rsidP="00585BC6">
            <w:pPr>
              <w:spacing w:before="60" w:after="60"/>
              <w:rPr>
                <w:rFonts w:asciiTheme="minorHAnsi" w:hAnsiTheme="minorHAnsi" w:cs="Calibri"/>
                <w:b/>
                <w:bCs/>
                <w:color w:val="FFFFFF"/>
                <w:sz w:val="22"/>
                <w:szCs w:val="22"/>
              </w:rPr>
            </w:pPr>
            <w:r w:rsidRPr="0067297E">
              <w:rPr>
                <w:rFonts w:asciiTheme="minorHAnsi" w:hAnsiTheme="minorHAnsi" w:cs="Calibri"/>
                <w:b/>
                <w:bCs/>
                <w:color w:val="FFFFFF"/>
                <w:sz w:val="22"/>
                <w:szCs w:val="22"/>
              </w:rPr>
              <w:t>LEWISHAM</w:t>
            </w:r>
          </w:p>
        </w:tc>
        <w:tc>
          <w:tcPr>
            <w:tcW w:w="1661" w:type="dxa"/>
            <w:shd w:val="clear" w:color="auto" w:fill="009999"/>
            <w:vAlign w:val="bottom"/>
            <w:hideMark/>
          </w:tcPr>
          <w:p w14:paraId="10B03166" w14:textId="77777777" w:rsidR="00116319" w:rsidRPr="0067297E" w:rsidRDefault="00116319" w:rsidP="00585BC6">
            <w:pPr>
              <w:spacing w:before="60" w:after="60"/>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Total</w:t>
            </w:r>
          </w:p>
        </w:tc>
      </w:tr>
      <w:tr w:rsidR="00DB7892" w:rsidRPr="0067297E" w14:paraId="55FDD6F6" w14:textId="77777777" w:rsidTr="0058316E">
        <w:tc>
          <w:tcPr>
            <w:tcW w:w="608" w:type="dxa"/>
          </w:tcPr>
          <w:p w14:paraId="531CD5C1" w14:textId="77777777" w:rsidR="00DB7892" w:rsidRPr="0067297E" w:rsidRDefault="00DB7892" w:rsidP="00585BC6">
            <w:pPr>
              <w:spacing w:before="60" w:after="60"/>
              <w:jc w:val="center"/>
              <w:rPr>
                <w:rFonts w:asciiTheme="minorHAnsi" w:hAnsiTheme="minorHAnsi" w:cs="Calibri"/>
                <w:color w:val="000000"/>
                <w:sz w:val="22"/>
                <w:szCs w:val="22"/>
              </w:rPr>
            </w:pPr>
          </w:p>
        </w:tc>
        <w:tc>
          <w:tcPr>
            <w:tcW w:w="6931" w:type="dxa"/>
            <w:shd w:val="clear" w:color="auto" w:fill="auto"/>
            <w:noWrap/>
            <w:vAlign w:val="bottom"/>
            <w:hideMark/>
          </w:tcPr>
          <w:p w14:paraId="2ED23A38" w14:textId="0E5DCF2F" w:rsidR="00DB7892" w:rsidRPr="0067297E" w:rsidRDefault="00DB7892" w:rsidP="00585BC6">
            <w:pPr>
              <w:spacing w:before="60" w:after="60"/>
              <w:jc w:val="right"/>
              <w:rPr>
                <w:rFonts w:asciiTheme="minorHAnsi" w:hAnsiTheme="minorHAnsi" w:cs="Calibri"/>
                <w:color w:val="000000"/>
                <w:sz w:val="22"/>
                <w:szCs w:val="22"/>
              </w:rPr>
            </w:pPr>
            <w:r w:rsidRPr="0067297E">
              <w:rPr>
                <w:rFonts w:asciiTheme="minorHAnsi" w:hAnsiTheme="minorHAnsi" w:cs="Calibri"/>
                <w:color w:val="000000"/>
                <w:sz w:val="22"/>
                <w:szCs w:val="22"/>
              </w:rPr>
              <w:t>Number of households</w:t>
            </w:r>
            <w:r w:rsidR="0061458E" w:rsidRPr="0067297E">
              <w:rPr>
                <w:rFonts w:asciiTheme="minorHAnsi" w:hAnsiTheme="minorHAnsi" w:cs="Calibri"/>
                <w:color w:val="000000"/>
                <w:sz w:val="22"/>
                <w:szCs w:val="22"/>
              </w:rPr>
              <w:t xml:space="preserve"> (201</w:t>
            </w:r>
            <w:r w:rsidR="0058316E">
              <w:rPr>
                <w:rFonts w:asciiTheme="minorHAnsi" w:hAnsiTheme="minorHAnsi" w:cs="Calibri"/>
                <w:color w:val="000000"/>
                <w:sz w:val="22"/>
                <w:szCs w:val="22"/>
              </w:rPr>
              <w:t>4</w:t>
            </w:r>
            <w:r w:rsidR="0061458E" w:rsidRPr="0067297E">
              <w:rPr>
                <w:rFonts w:asciiTheme="minorHAnsi" w:hAnsiTheme="minorHAnsi" w:cs="Calibri"/>
                <w:color w:val="000000"/>
                <w:sz w:val="22"/>
                <w:szCs w:val="22"/>
              </w:rPr>
              <w:t>-based MHCLG figure for 2018)</w:t>
            </w:r>
            <w:r w:rsidRPr="0067297E">
              <w:rPr>
                <w:rFonts w:asciiTheme="minorHAnsi" w:hAnsiTheme="minorHAnsi" w:cs="Calibri"/>
                <w:color w:val="000000"/>
                <w:sz w:val="22"/>
                <w:szCs w:val="22"/>
              </w:rPr>
              <w:t xml:space="preserve"> </w:t>
            </w:r>
          </w:p>
        </w:tc>
        <w:tc>
          <w:tcPr>
            <w:tcW w:w="1661" w:type="dxa"/>
            <w:shd w:val="clear" w:color="auto" w:fill="auto"/>
            <w:noWrap/>
            <w:vAlign w:val="center"/>
            <w:hideMark/>
          </w:tcPr>
          <w:p w14:paraId="52104A43" w14:textId="3FE2009C" w:rsidR="00DB7892" w:rsidRPr="0067297E" w:rsidRDefault="0058316E" w:rsidP="00585BC6">
            <w:pPr>
              <w:spacing w:before="60" w:after="60"/>
              <w:jc w:val="center"/>
              <w:rPr>
                <w:rFonts w:asciiTheme="minorHAnsi" w:hAnsiTheme="minorHAnsi" w:cs="Calibri"/>
                <w:color w:val="000000"/>
                <w:sz w:val="22"/>
                <w:szCs w:val="22"/>
              </w:rPr>
            </w:pPr>
            <w:r>
              <w:rPr>
                <w:rFonts w:asciiTheme="minorHAnsi" w:hAnsiTheme="minorHAnsi" w:cs="Calibri"/>
                <w:color w:val="000000"/>
                <w:sz w:val="22"/>
                <w:szCs w:val="22"/>
              </w:rPr>
              <w:t>134,159</w:t>
            </w:r>
          </w:p>
        </w:tc>
      </w:tr>
      <w:tr w:rsidR="00DB7892" w:rsidRPr="0067297E" w14:paraId="12AEE557" w14:textId="77777777" w:rsidTr="0058316E">
        <w:tc>
          <w:tcPr>
            <w:tcW w:w="7544" w:type="dxa"/>
            <w:gridSpan w:val="2"/>
          </w:tcPr>
          <w:p w14:paraId="68BC0EE8" w14:textId="638696B1" w:rsidR="00DB7892" w:rsidRPr="0067297E" w:rsidRDefault="00DB7892" w:rsidP="00585BC6">
            <w:pPr>
              <w:spacing w:before="60" w:after="60"/>
              <w:rPr>
                <w:rFonts w:asciiTheme="minorHAnsi" w:hAnsiTheme="minorHAnsi" w:cs="Calibri"/>
                <w:b/>
                <w:bCs/>
                <w:sz w:val="22"/>
                <w:szCs w:val="22"/>
              </w:rPr>
            </w:pPr>
            <w:r w:rsidRPr="0067297E">
              <w:rPr>
                <w:rFonts w:asciiTheme="minorHAnsi" w:hAnsiTheme="minorHAnsi" w:cs="Calibri"/>
                <w:b/>
                <w:bCs/>
                <w:sz w:val="22"/>
                <w:szCs w:val="22"/>
              </w:rPr>
              <w:t>Stage1: CURRENT NEED</w:t>
            </w:r>
          </w:p>
        </w:tc>
        <w:tc>
          <w:tcPr>
            <w:tcW w:w="1661" w:type="dxa"/>
            <w:shd w:val="clear" w:color="auto" w:fill="auto"/>
            <w:noWrap/>
            <w:vAlign w:val="center"/>
            <w:hideMark/>
          </w:tcPr>
          <w:p w14:paraId="1194C0A3" w14:textId="0E644E3B" w:rsidR="00DB7892" w:rsidRPr="0067297E" w:rsidRDefault="00DB7892" w:rsidP="00585BC6">
            <w:pPr>
              <w:spacing w:before="60" w:after="60"/>
              <w:jc w:val="center"/>
              <w:rPr>
                <w:rFonts w:asciiTheme="minorHAnsi" w:hAnsiTheme="minorHAnsi" w:cs="Calibri"/>
                <w:color w:val="000000"/>
                <w:sz w:val="22"/>
                <w:szCs w:val="22"/>
              </w:rPr>
            </w:pPr>
          </w:p>
        </w:tc>
      </w:tr>
      <w:tr w:rsidR="00DB7892" w:rsidRPr="0067297E" w14:paraId="1D8053A2" w14:textId="77777777" w:rsidTr="0058316E">
        <w:tc>
          <w:tcPr>
            <w:tcW w:w="608" w:type="dxa"/>
          </w:tcPr>
          <w:p w14:paraId="2B9E3747" w14:textId="3F315A8A" w:rsidR="00DB7892" w:rsidRPr="0067297E" w:rsidRDefault="00DB7892" w:rsidP="00585BC6">
            <w:pPr>
              <w:spacing w:before="60" w:after="60"/>
              <w:jc w:val="center"/>
              <w:rPr>
                <w:rFonts w:asciiTheme="minorHAnsi" w:hAnsiTheme="minorHAnsi" w:cs="Calibri"/>
                <w:bCs/>
                <w:color w:val="000000"/>
                <w:sz w:val="22"/>
                <w:szCs w:val="22"/>
              </w:rPr>
            </w:pPr>
            <w:r w:rsidRPr="0067297E">
              <w:rPr>
                <w:rFonts w:asciiTheme="minorHAnsi" w:hAnsiTheme="minorHAnsi" w:cs="Calibri"/>
                <w:bCs/>
                <w:color w:val="000000"/>
                <w:sz w:val="22"/>
                <w:szCs w:val="22"/>
              </w:rPr>
              <w:t>1.1</w:t>
            </w:r>
          </w:p>
        </w:tc>
        <w:tc>
          <w:tcPr>
            <w:tcW w:w="6931" w:type="dxa"/>
            <w:shd w:val="clear" w:color="auto" w:fill="auto"/>
            <w:vAlign w:val="center"/>
            <w:hideMark/>
          </w:tcPr>
          <w:p w14:paraId="5AA0EFF4" w14:textId="3FB8B255" w:rsidR="00DB7892" w:rsidRPr="0067297E" w:rsidRDefault="00DB7892" w:rsidP="00585BC6">
            <w:pPr>
              <w:spacing w:before="60" w:after="60"/>
              <w:rPr>
                <w:rFonts w:asciiTheme="minorHAnsi" w:hAnsiTheme="minorHAnsi" w:cs="Calibri"/>
                <w:b/>
                <w:bCs/>
                <w:color w:val="000000"/>
                <w:sz w:val="22"/>
                <w:szCs w:val="22"/>
              </w:rPr>
            </w:pPr>
            <w:r w:rsidRPr="0067297E">
              <w:rPr>
                <w:rFonts w:asciiTheme="minorHAnsi" w:hAnsiTheme="minorHAnsi" w:cs="Calibri"/>
                <w:b/>
                <w:bCs/>
                <w:color w:val="000000"/>
                <w:sz w:val="22"/>
                <w:szCs w:val="22"/>
              </w:rPr>
              <w:t xml:space="preserve">TOTAL in need and cannot afford open market  (buying or renting) </w:t>
            </w:r>
          </w:p>
        </w:tc>
        <w:tc>
          <w:tcPr>
            <w:tcW w:w="1661" w:type="dxa"/>
            <w:shd w:val="clear" w:color="auto" w:fill="auto"/>
            <w:noWrap/>
            <w:vAlign w:val="center"/>
            <w:hideMark/>
          </w:tcPr>
          <w:p w14:paraId="6B224A11" w14:textId="2DE73402" w:rsidR="00DB7892" w:rsidRPr="0067297E" w:rsidRDefault="00DB7892" w:rsidP="00585BC6">
            <w:pPr>
              <w:spacing w:before="60" w:after="60"/>
              <w:jc w:val="center"/>
              <w:rPr>
                <w:rFonts w:asciiTheme="minorHAnsi" w:hAnsiTheme="minorHAnsi" w:cs="Calibri"/>
                <w:color w:val="000000"/>
                <w:sz w:val="22"/>
                <w:szCs w:val="22"/>
              </w:rPr>
            </w:pPr>
            <w:r w:rsidRPr="0067297E">
              <w:rPr>
                <w:rFonts w:asciiTheme="minorHAnsi" w:hAnsiTheme="minorHAnsi" w:cs="Calibri"/>
                <w:color w:val="000000"/>
                <w:sz w:val="22"/>
                <w:szCs w:val="22"/>
              </w:rPr>
              <w:t>9,765</w:t>
            </w:r>
          </w:p>
        </w:tc>
      </w:tr>
      <w:tr w:rsidR="00DB7892" w:rsidRPr="0067297E" w14:paraId="784E2E63" w14:textId="77777777" w:rsidTr="0058316E">
        <w:tc>
          <w:tcPr>
            <w:tcW w:w="7544" w:type="dxa"/>
            <w:gridSpan w:val="2"/>
          </w:tcPr>
          <w:p w14:paraId="3F83BC90" w14:textId="2AECC5B9" w:rsidR="00DB7892" w:rsidRPr="0067297E" w:rsidRDefault="00DB7892" w:rsidP="00585BC6">
            <w:pPr>
              <w:spacing w:before="60" w:after="60"/>
              <w:rPr>
                <w:rFonts w:asciiTheme="minorHAnsi" w:hAnsiTheme="minorHAnsi" w:cs="Calibri"/>
                <w:b/>
                <w:bCs/>
                <w:sz w:val="22"/>
                <w:szCs w:val="22"/>
              </w:rPr>
            </w:pPr>
            <w:r w:rsidRPr="0067297E">
              <w:rPr>
                <w:rFonts w:asciiTheme="minorHAnsi" w:hAnsiTheme="minorHAnsi" w:cs="Calibri"/>
                <w:b/>
                <w:bCs/>
                <w:sz w:val="22"/>
                <w:szCs w:val="22"/>
              </w:rPr>
              <w:t>Stage 2: FUTURE NEED</w:t>
            </w:r>
          </w:p>
        </w:tc>
        <w:tc>
          <w:tcPr>
            <w:tcW w:w="1661" w:type="dxa"/>
            <w:shd w:val="clear" w:color="auto" w:fill="auto"/>
            <w:noWrap/>
            <w:vAlign w:val="center"/>
            <w:hideMark/>
          </w:tcPr>
          <w:p w14:paraId="3BE5C1F2" w14:textId="3919F6B7" w:rsidR="00DB7892" w:rsidRPr="0067297E" w:rsidRDefault="00DB7892" w:rsidP="00585BC6">
            <w:pPr>
              <w:spacing w:before="60" w:after="60"/>
              <w:jc w:val="center"/>
              <w:rPr>
                <w:rFonts w:asciiTheme="minorHAnsi" w:hAnsiTheme="minorHAnsi" w:cs="Calibri"/>
                <w:color w:val="000000"/>
                <w:sz w:val="22"/>
                <w:szCs w:val="22"/>
              </w:rPr>
            </w:pPr>
          </w:p>
        </w:tc>
      </w:tr>
      <w:tr w:rsidR="00116319" w:rsidRPr="0067297E" w14:paraId="268157C9" w14:textId="77777777" w:rsidTr="0058316E">
        <w:tc>
          <w:tcPr>
            <w:tcW w:w="608" w:type="dxa"/>
          </w:tcPr>
          <w:p w14:paraId="318A96F5" w14:textId="596B40B5"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2.1</w:t>
            </w:r>
          </w:p>
        </w:tc>
        <w:tc>
          <w:tcPr>
            <w:tcW w:w="6931" w:type="dxa"/>
            <w:shd w:val="clear" w:color="auto" w:fill="auto"/>
            <w:vAlign w:val="bottom"/>
            <w:hideMark/>
          </w:tcPr>
          <w:p w14:paraId="6A56851F" w14:textId="77667B06"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New household formation (Gross per year)</w:t>
            </w:r>
          </w:p>
        </w:tc>
        <w:tc>
          <w:tcPr>
            <w:tcW w:w="1661" w:type="dxa"/>
            <w:shd w:val="clear" w:color="auto" w:fill="auto"/>
            <w:noWrap/>
            <w:vAlign w:val="center"/>
            <w:hideMark/>
          </w:tcPr>
          <w:p w14:paraId="143DEB87" w14:textId="5C3E45E6" w:rsidR="00116319" w:rsidRPr="0067297E" w:rsidRDefault="00116319" w:rsidP="00585BC6">
            <w:pPr>
              <w:spacing w:before="60" w:after="60"/>
              <w:jc w:val="center"/>
              <w:rPr>
                <w:rFonts w:asciiTheme="minorHAnsi" w:hAnsiTheme="minorHAnsi" w:cs="Calibri"/>
                <w:color w:val="000000"/>
                <w:sz w:val="22"/>
                <w:szCs w:val="22"/>
              </w:rPr>
            </w:pPr>
            <w:r w:rsidRPr="0067297E">
              <w:rPr>
                <w:rFonts w:asciiTheme="minorHAnsi" w:hAnsiTheme="minorHAnsi" w:cs="Calibri"/>
                <w:color w:val="000000"/>
                <w:sz w:val="22"/>
                <w:szCs w:val="22"/>
              </w:rPr>
              <w:t>1,9</w:t>
            </w:r>
            <w:r w:rsidR="0058316E">
              <w:rPr>
                <w:rFonts w:asciiTheme="minorHAnsi" w:hAnsiTheme="minorHAnsi" w:cs="Calibri"/>
                <w:color w:val="000000"/>
                <w:sz w:val="22"/>
                <w:szCs w:val="22"/>
              </w:rPr>
              <w:t>85</w:t>
            </w:r>
          </w:p>
        </w:tc>
      </w:tr>
      <w:tr w:rsidR="00116319" w:rsidRPr="0067297E" w14:paraId="7FB992F9" w14:textId="77777777" w:rsidTr="0058316E">
        <w:tc>
          <w:tcPr>
            <w:tcW w:w="608" w:type="dxa"/>
          </w:tcPr>
          <w:p w14:paraId="75D1E085" w14:textId="77913C05"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2.2</w:t>
            </w:r>
          </w:p>
        </w:tc>
        <w:tc>
          <w:tcPr>
            <w:tcW w:w="6931" w:type="dxa"/>
            <w:shd w:val="clear" w:color="auto" w:fill="auto"/>
            <w:vAlign w:val="bottom"/>
            <w:hideMark/>
          </w:tcPr>
          <w:p w14:paraId="4B118745" w14:textId="2CCDFF8F"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Number of new households requiring affordable housing  %)</w:t>
            </w:r>
          </w:p>
        </w:tc>
        <w:tc>
          <w:tcPr>
            <w:tcW w:w="1661" w:type="dxa"/>
            <w:shd w:val="clear" w:color="auto" w:fill="auto"/>
            <w:noWrap/>
            <w:vAlign w:val="center"/>
            <w:hideMark/>
          </w:tcPr>
          <w:p w14:paraId="7A7F4651" w14:textId="5C0C719A" w:rsidR="00116319" w:rsidRPr="0067297E" w:rsidRDefault="0058316E" w:rsidP="00585BC6">
            <w:pPr>
              <w:spacing w:before="60" w:after="60"/>
              <w:jc w:val="center"/>
              <w:rPr>
                <w:rFonts w:asciiTheme="minorHAnsi" w:hAnsiTheme="minorHAnsi" w:cs="Calibri"/>
                <w:color w:val="000000"/>
                <w:sz w:val="22"/>
                <w:szCs w:val="22"/>
              </w:rPr>
            </w:pPr>
            <w:r>
              <w:rPr>
                <w:rFonts w:asciiTheme="minorHAnsi" w:hAnsiTheme="minorHAnsi" w:cs="Calibri"/>
                <w:color w:val="000000"/>
                <w:sz w:val="22"/>
                <w:szCs w:val="22"/>
              </w:rPr>
              <w:t>81.7</w:t>
            </w:r>
            <w:r w:rsidR="00116319" w:rsidRPr="0067297E">
              <w:rPr>
                <w:rFonts w:asciiTheme="minorHAnsi" w:hAnsiTheme="minorHAnsi" w:cs="Calibri"/>
                <w:color w:val="000000"/>
                <w:sz w:val="22"/>
                <w:szCs w:val="22"/>
              </w:rPr>
              <w:t>%</w:t>
            </w:r>
          </w:p>
        </w:tc>
      </w:tr>
      <w:tr w:rsidR="00116319" w:rsidRPr="0067297E" w14:paraId="0BECC929" w14:textId="77777777" w:rsidTr="0058316E">
        <w:tc>
          <w:tcPr>
            <w:tcW w:w="608" w:type="dxa"/>
          </w:tcPr>
          <w:p w14:paraId="6D045C87" w14:textId="10702B05"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2.2</w:t>
            </w:r>
          </w:p>
        </w:tc>
        <w:tc>
          <w:tcPr>
            <w:tcW w:w="6931" w:type="dxa"/>
            <w:shd w:val="clear" w:color="auto" w:fill="auto"/>
            <w:vAlign w:val="bottom"/>
            <w:hideMark/>
          </w:tcPr>
          <w:p w14:paraId="0D485CE9" w14:textId="0F9F4AC7"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Number of new households requiring affordable housing (no.)</w:t>
            </w:r>
          </w:p>
        </w:tc>
        <w:tc>
          <w:tcPr>
            <w:tcW w:w="1661" w:type="dxa"/>
            <w:shd w:val="clear" w:color="auto" w:fill="auto"/>
            <w:noWrap/>
            <w:vAlign w:val="center"/>
            <w:hideMark/>
          </w:tcPr>
          <w:p w14:paraId="2C211343" w14:textId="646F141C" w:rsidR="00116319" w:rsidRPr="0067297E" w:rsidRDefault="0058316E" w:rsidP="00585BC6">
            <w:pPr>
              <w:spacing w:before="60" w:after="60"/>
              <w:jc w:val="center"/>
              <w:rPr>
                <w:rFonts w:asciiTheme="minorHAnsi" w:hAnsiTheme="minorHAnsi" w:cs="Calibri"/>
                <w:color w:val="000000"/>
                <w:sz w:val="22"/>
                <w:szCs w:val="22"/>
              </w:rPr>
            </w:pPr>
            <w:r>
              <w:rPr>
                <w:rFonts w:asciiTheme="minorHAnsi" w:hAnsiTheme="minorHAnsi" w:cs="Calibri"/>
                <w:color w:val="000000"/>
                <w:sz w:val="22"/>
                <w:szCs w:val="22"/>
              </w:rPr>
              <w:t>1,622</w:t>
            </w:r>
          </w:p>
        </w:tc>
      </w:tr>
      <w:tr w:rsidR="00116319" w:rsidRPr="0067297E" w14:paraId="5666AE06" w14:textId="77777777" w:rsidTr="0058316E">
        <w:tc>
          <w:tcPr>
            <w:tcW w:w="608" w:type="dxa"/>
          </w:tcPr>
          <w:p w14:paraId="569F6BF3" w14:textId="2CAF4648"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2.3</w:t>
            </w:r>
          </w:p>
        </w:tc>
        <w:tc>
          <w:tcPr>
            <w:tcW w:w="6931" w:type="dxa"/>
            <w:shd w:val="clear" w:color="auto" w:fill="auto"/>
            <w:vAlign w:val="bottom"/>
            <w:hideMark/>
          </w:tcPr>
          <w:p w14:paraId="15EDD8E1" w14:textId="5B5E95A3"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Existing households falling into need</w:t>
            </w:r>
          </w:p>
        </w:tc>
        <w:tc>
          <w:tcPr>
            <w:tcW w:w="1661" w:type="dxa"/>
            <w:shd w:val="clear" w:color="auto" w:fill="auto"/>
            <w:noWrap/>
            <w:vAlign w:val="center"/>
            <w:hideMark/>
          </w:tcPr>
          <w:p w14:paraId="60A5DEF1" w14:textId="77777777" w:rsidR="00116319" w:rsidRPr="0067297E" w:rsidRDefault="00116319" w:rsidP="00585BC6">
            <w:pPr>
              <w:spacing w:before="60" w:after="60"/>
              <w:jc w:val="center"/>
              <w:rPr>
                <w:rFonts w:asciiTheme="minorHAnsi" w:hAnsiTheme="minorHAnsi" w:cs="Calibri"/>
                <w:color w:val="000000"/>
                <w:sz w:val="22"/>
                <w:szCs w:val="22"/>
              </w:rPr>
            </w:pPr>
            <w:r w:rsidRPr="0067297E">
              <w:rPr>
                <w:rFonts w:asciiTheme="minorHAnsi" w:hAnsiTheme="minorHAnsi" w:cs="Calibri"/>
                <w:color w:val="000000"/>
                <w:sz w:val="22"/>
                <w:szCs w:val="22"/>
              </w:rPr>
              <w:t>0</w:t>
            </w:r>
          </w:p>
        </w:tc>
      </w:tr>
      <w:tr w:rsidR="00116319" w:rsidRPr="0067297E" w14:paraId="76BDFB90" w14:textId="77777777" w:rsidTr="0058316E">
        <w:tc>
          <w:tcPr>
            <w:tcW w:w="608" w:type="dxa"/>
          </w:tcPr>
          <w:p w14:paraId="578F182E" w14:textId="04312215" w:rsidR="00116319" w:rsidRPr="0067297E" w:rsidRDefault="00116319" w:rsidP="00585BC6">
            <w:pPr>
              <w:spacing w:before="60" w:after="60"/>
              <w:jc w:val="center"/>
              <w:rPr>
                <w:rFonts w:asciiTheme="minorHAnsi" w:hAnsiTheme="minorHAnsi" w:cs="Calibri"/>
                <w:b/>
                <w:bCs/>
                <w:sz w:val="22"/>
                <w:szCs w:val="22"/>
              </w:rPr>
            </w:pPr>
            <w:r w:rsidRPr="0067297E">
              <w:rPr>
                <w:rFonts w:asciiTheme="minorHAnsi" w:hAnsiTheme="minorHAnsi" w:cs="Calibri"/>
                <w:b/>
                <w:bCs/>
                <w:sz w:val="22"/>
                <w:szCs w:val="22"/>
              </w:rPr>
              <w:t>2.4</w:t>
            </w:r>
          </w:p>
        </w:tc>
        <w:tc>
          <w:tcPr>
            <w:tcW w:w="6931" w:type="dxa"/>
            <w:shd w:val="clear" w:color="auto" w:fill="auto"/>
            <w:vAlign w:val="bottom"/>
            <w:hideMark/>
          </w:tcPr>
          <w:p w14:paraId="3C2EFA4A" w14:textId="3CFD2C09" w:rsidR="00116319" w:rsidRPr="0067297E" w:rsidRDefault="00116319" w:rsidP="00585BC6">
            <w:pPr>
              <w:spacing w:before="60" w:after="60"/>
              <w:rPr>
                <w:rFonts w:asciiTheme="minorHAnsi" w:hAnsiTheme="minorHAnsi" w:cs="Calibri"/>
                <w:b/>
                <w:bCs/>
                <w:sz w:val="22"/>
                <w:szCs w:val="22"/>
              </w:rPr>
            </w:pPr>
            <w:r w:rsidRPr="0067297E">
              <w:rPr>
                <w:rFonts w:asciiTheme="minorHAnsi" w:hAnsiTheme="minorHAnsi" w:cs="Calibri"/>
                <w:b/>
                <w:bCs/>
                <w:sz w:val="22"/>
                <w:szCs w:val="22"/>
              </w:rPr>
              <w:t>Total newly-arising housing need (gross each year)</w:t>
            </w:r>
          </w:p>
        </w:tc>
        <w:tc>
          <w:tcPr>
            <w:tcW w:w="1661" w:type="dxa"/>
            <w:shd w:val="clear" w:color="auto" w:fill="auto"/>
            <w:noWrap/>
            <w:vAlign w:val="center"/>
            <w:hideMark/>
          </w:tcPr>
          <w:p w14:paraId="7144C81D" w14:textId="146356FB" w:rsidR="00116319" w:rsidRPr="0067297E" w:rsidRDefault="0058316E" w:rsidP="00585BC6">
            <w:pPr>
              <w:spacing w:before="60" w:after="60"/>
              <w:jc w:val="center"/>
              <w:rPr>
                <w:rFonts w:asciiTheme="minorHAnsi" w:hAnsiTheme="minorHAnsi" w:cs="Calibri"/>
                <w:color w:val="000000"/>
                <w:sz w:val="22"/>
                <w:szCs w:val="22"/>
              </w:rPr>
            </w:pPr>
            <w:r>
              <w:rPr>
                <w:rFonts w:asciiTheme="minorHAnsi" w:hAnsiTheme="minorHAnsi" w:cs="Calibri"/>
                <w:color w:val="000000"/>
                <w:sz w:val="22"/>
                <w:szCs w:val="22"/>
              </w:rPr>
              <w:t>1,622</w:t>
            </w:r>
          </w:p>
        </w:tc>
      </w:tr>
      <w:tr w:rsidR="00DB7892" w:rsidRPr="0067297E" w14:paraId="093BFD08" w14:textId="77777777" w:rsidTr="0058316E">
        <w:tc>
          <w:tcPr>
            <w:tcW w:w="7544" w:type="dxa"/>
            <w:gridSpan w:val="2"/>
          </w:tcPr>
          <w:p w14:paraId="7168CD67" w14:textId="279F7E6B" w:rsidR="00DB7892" w:rsidRPr="0067297E" w:rsidRDefault="00DB7892" w:rsidP="00585BC6">
            <w:pPr>
              <w:spacing w:before="60" w:after="60"/>
              <w:rPr>
                <w:rFonts w:asciiTheme="minorHAnsi" w:hAnsiTheme="minorHAnsi" w:cs="Calibri"/>
                <w:b/>
                <w:bCs/>
                <w:sz w:val="22"/>
                <w:szCs w:val="22"/>
              </w:rPr>
            </w:pPr>
            <w:r w:rsidRPr="0067297E">
              <w:rPr>
                <w:rFonts w:asciiTheme="minorHAnsi" w:hAnsiTheme="minorHAnsi" w:cs="Calibri"/>
                <w:b/>
                <w:bCs/>
                <w:sz w:val="22"/>
                <w:szCs w:val="22"/>
              </w:rPr>
              <w:t>Stage 3: AFFORDABLE HOUSING SUPPLY</w:t>
            </w:r>
          </w:p>
        </w:tc>
        <w:tc>
          <w:tcPr>
            <w:tcW w:w="1661" w:type="dxa"/>
            <w:shd w:val="clear" w:color="auto" w:fill="auto"/>
            <w:noWrap/>
            <w:vAlign w:val="center"/>
            <w:hideMark/>
          </w:tcPr>
          <w:p w14:paraId="5C9CDFA1" w14:textId="341A96AF" w:rsidR="00DB7892" w:rsidRPr="0067297E" w:rsidRDefault="00DB7892" w:rsidP="00585BC6">
            <w:pPr>
              <w:spacing w:before="60" w:after="60"/>
              <w:jc w:val="center"/>
              <w:rPr>
                <w:rFonts w:asciiTheme="minorHAnsi" w:hAnsiTheme="minorHAnsi" w:cs="Calibri"/>
                <w:color w:val="000000"/>
                <w:sz w:val="22"/>
                <w:szCs w:val="22"/>
              </w:rPr>
            </w:pPr>
          </w:p>
        </w:tc>
      </w:tr>
      <w:tr w:rsidR="00116319" w:rsidRPr="0067297E" w14:paraId="114D8D6F" w14:textId="77777777" w:rsidTr="0058316E">
        <w:tc>
          <w:tcPr>
            <w:tcW w:w="608" w:type="dxa"/>
          </w:tcPr>
          <w:p w14:paraId="5D6C99A5" w14:textId="01519834"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3.1</w:t>
            </w:r>
          </w:p>
        </w:tc>
        <w:tc>
          <w:tcPr>
            <w:tcW w:w="6931" w:type="dxa"/>
            <w:shd w:val="clear" w:color="auto" w:fill="auto"/>
            <w:vAlign w:val="bottom"/>
            <w:hideMark/>
          </w:tcPr>
          <w:p w14:paraId="5D66D1B4" w14:textId="1BA3291A"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Affordable dwellings occupied by households in need likely to become available over 5 years</w:t>
            </w:r>
          </w:p>
        </w:tc>
        <w:tc>
          <w:tcPr>
            <w:tcW w:w="1661" w:type="dxa"/>
            <w:shd w:val="clear" w:color="auto" w:fill="auto"/>
            <w:noWrap/>
            <w:vAlign w:val="center"/>
            <w:hideMark/>
          </w:tcPr>
          <w:p w14:paraId="4C87D044" w14:textId="420CA8BC" w:rsidR="00116319" w:rsidRPr="0067297E" w:rsidRDefault="00116319" w:rsidP="00585BC6">
            <w:pPr>
              <w:spacing w:before="60" w:after="60"/>
              <w:jc w:val="center"/>
              <w:rPr>
                <w:rFonts w:asciiTheme="minorHAnsi" w:hAnsiTheme="minorHAnsi" w:cs="Calibri"/>
                <w:color w:val="000000"/>
                <w:sz w:val="22"/>
                <w:szCs w:val="22"/>
              </w:rPr>
            </w:pPr>
            <w:r w:rsidRPr="0067297E">
              <w:rPr>
                <w:rFonts w:asciiTheme="minorHAnsi" w:hAnsiTheme="minorHAnsi" w:cs="Calibri"/>
                <w:color w:val="000000"/>
                <w:sz w:val="22"/>
                <w:szCs w:val="22"/>
              </w:rPr>
              <w:t>1,</w:t>
            </w:r>
            <w:r w:rsidR="0058316E">
              <w:rPr>
                <w:rFonts w:asciiTheme="minorHAnsi" w:hAnsiTheme="minorHAnsi" w:cs="Calibri"/>
                <w:color w:val="000000"/>
                <w:sz w:val="22"/>
                <w:szCs w:val="22"/>
              </w:rPr>
              <w:t>528</w:t>
            </w:r>
          </w:p>
        </w:tc>
      </w:tr>
      <w:tr w:rsidR="00116319" w:rsidRPr="0067297E" w14:paraId="70D404D4" w14:textId="77777777" w:rsidTr="0058316E">
        <w:tc>
          <w:tcPr>
            <w:tcW w:w="608" w:type="dxa"/>
          </w:tcPr>
          <w:p w14:paraId="39D3B2B7" w14:textId="68E0A130"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3.2</w:t>
            </w:r>
          </w:p>
        </w:tc>
        <w:tc>
          <w:tcPr>
            <w:tcW w:w="6931" w:type="dxa"/>
            <w:shd w:val="clear" w:color="auto" w:fill="auto"/>
            <w:vAlign w:val="bottom"/>
            <w:hideMark/>
          </w:tcPr>
          <w:p w14:paraId="67378ECC" w14:textId="2A4F288F"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Surplus stock</w:t>
            </w:r>
          </w:p>
        </w:tc>
        <w:tc>
          <w:tcPr>
            <w:tcW w:w="1661" w:type="dxa"/>
            <w:shd w:val="clear" w:color="auto" w:fill="auto"/>
            <w:noWrap/>
            <w:vAlign w:val="center"/>
            <w:hideMark/>
          </w:tcPr>
          <w:p w14:paraId="596E2025" w14:textId="77777777" w:rsidR="00116319" w:rsidRPr="0067297E" w:rsidRDefault="00116319" w:rsidP="00585BC6">
            <w:pPr>
              <w:spacing w:before="60" w:after="60"/>
              <w:jc w:val="center"/>
              <w:rPr>
                <w:rFonts w:asciiTheme="minorHAnsi" w:hAnsiTheme="minorHAnsi" w:cs="Calibri"/>
                <w:color w:val="000000"/>
                <w:sz w:val="22"/>
                <w:szCs w:val="22"/>
              </w:rPr>
            </w:pPr>
            <w:r w:rsidRPr="0067297E">
              <w:rPr>
                <w:rFonts w:asciiTheme="minorHAnsi" w:hAnsiTheme="minorHAnsi" w:cs="Calibri"/>
                <w:color w:val="000000"/>
                <w:sz w:val="22"/>
                <w:szCs w:val="22"/>
              </w:rPr>
              <w:t>0</w:t>
            </w:r>
          </w:p>
        </w:tc>
      </w:tr>
      <w:tr w:rsidR="00116319" w:rsidRPr="0067297E" w14:paraId="54FFB4CA" w14:textId="77777777" w:rsidTr="0058316E">
        <w:tc>
          <w:tcPr>
            <w:tcW w:w="608" w:type="dxa"/>
            <w:shd w:val="clear" w:color="auto" w:fill="auto"/>
          </w:tcPr>
          <w:p w14:paraId="748856E5" w14:textId="36196070"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3.3</w:t>
            </w:r>
          </w:p>
        </w:tc>
        <w:tc>
          <w:tcPr>
            <w:tcW w:w="6931" w:type="dxa"/>
            <w:shd w:val="clear" w:color="auto" w:fill="auto"/>
            <w:vAlign w:val="bottom"/>
            <w:hideMark/>
          </w:tcPr>
          <w:p w14:paraId="10CA2D9B" w14:textId="097BFC3D"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Committed supply of new affordable units</w:t>
            </w:r>
          </w:p>
        </w:tc>
        <w:tc>
          <w:tcPr>
            <w:tcW w:w="1661" w:type="dxa"/>
            <w:shd w:val="clear" w:color="auto" w:fill="auto"/>
            <w:noWrap/>
            <w:vAlign w:val="center"/>
            <w:hideMark/>
          </w:tcPr>
          <w:p w14:paraId="37445F10" w14:textId="7AB20E0F" w:rsidR="00116319" w:rsidRPr="0067297E" w:rsidRDefault="0058316E" w:rsidP="00585BC6">
            <w:pPr>
              <w:spacing w:before="60" w:after="60"/>
              <w:jc w:val="center"/>
              <w:rPr>
                <w:rFonts w:asciiTheme="minorHAnsi" w:hAnsiTheme="minorHAnsi" w:cs="Calibri"/>
                <w:color w:val="000000"/>
                <w:sz w:val="22"/>
                <w:szCs w:val="22"/>
              </w:rPr>
            </w:pPr>
            <w:r>
              <w:rPr>
                <w:rFonts w:asciiTheme="minorHAnsi" w:hAnsiTheme="minorHAnsi" w:cs="Calibri"/>
                <w:color w:val="000000"/>
                <w:sz w:val="22"/>
                <w:szCs w:val="22"/>
              </w:rPr>
              <w:t>1,251</w:t>
            </w:r>
          </w:p>
        </w:tc>
      </w:tr>
      <w:tr w:rsidR="00116319" w:rsidRPr="0067297E" w14:paraId="30BD8B5A" w14:textId="77777777" w:rsidTr="0058316E">
        <w:tc>
          <w:tcPr>
            <w:tcW w:w="608" w:type="dxa"/>
          </w:tcPr>
          <w:p w14:paraId="5154CD71" w14:textId="4D72DBEB"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3.4</w:t>
            </w:r>
          </w:p>
        </w:tc>
        <w:tc>
          <w:tcPr>
            <w:tcW w:w="6931" w:type="dxa"/>
            <w:shd w:val="clear" w:color="auto" w:fill="auto"/>
            <w:vAlign w:val="bottom"/>
            <w:hideMark/>
          </w:tcPr>
          <w:p w14:paraId="70C78A43" w14:textId="2D7A8BE0"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Units to be taken out of management</w:t>
            </w:r>
          </w:p>
        </w:tc>
        <w:tc>
          <w:tcPr>
            <w:tcW w:w="1661" w:type="dxa"/>
            <w:shd w:val="clear" w:color="auto" w:fill="auto"/>
            <w:noWrap/>
            <w:vAlign w:val="center"/>
            <w:hideMark/>
          </w:tcPr>
          <w:p w14:paraId="32102739" w14:textId="77777777" w:rsidR="00116319" w:rsidRPr="0067297E" w:rsidRDefault="00116319" w:rsidP="00585BC6">
            <w:pPr>
              <w:spacing w:before="60" w:after="60"/>
              <w:jc w:val="center"/>
              <w:rPr>
                <w:rFonts w:asciiTheme="minorHAnsi" w:hAnsiTheme="minorHAnsi" w:cs="Calibri"/>
                <w:color w:val="000000"/>
                <w:sz w:val="22"/>
                <w:szCs w:val="22"/>
              </w:rPr>
            </w:pPr>
            <w:r w:rsidRPr="0067297E">
              <w:rPr>
                <w:rFonts w:asciiTheme="minorHAnsi" w:hAnsiTheme="minorHAnsi" w:cs="Calibri"/>
                <w:color w:val="000000"/>
                <w:sz w:val="22"/>
                <w:szCs w:val="22"/>
              </w:rPr>
              <w:t>0</w:t>
            </w:r>
          </w:p>
        </w:tc>
      </w:tr>
      <w:tr w:rsidR="00116319" w:rsidRPr="0067297E" w14:paraId="09B8DE0F" w14:textId="77777777" w:rsidTr="0058316E">
        <w:tc>
          <w:tcPr>
            <w:tcW w:w="608" w:type="dxa"/>
          </w:tcPr>
          <w:p w14:paraId="4AD5370B" w14:textId="106C66F3"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3.4</w:t>
            </w:r>
          </w:p>
        </w:tc>
        <w:tc>
          <w:tcPr>
            <w:tcW w:w="6931" w:type="dxa"/>
            <w:shd w:val="clear" w:color="auto" w:fill="auto"/>
            <w:vAlign w:val="bottom"/>
            <w:hideMark/>
          </w:tcPr>
          <w:p w14:paraId="7297C6C5" w14:textId="3D5A4350"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Total affordable housing stock available</w:t>
            </w:r>
          </w:p>
        </w:tc>
        <w:tc>
          <w:tcPr>
            <w:tcW w:w="1661" w:type="dxa"/>
            <w:shd w:val="clear" w:color="auto" w:fill="auto"/>
            <w:noWrap/>
            <w:vAlign w:val="center"/>
            <w:hideMark/>
          </w:tcPr>
          <w:p w14:paraId="43B173EB" w14:textId="1BD24685" w:rsidR="00116319" w:rsidRPr="0067297E" w:rsidRDefault="00116319" w:rsidP="00585BC6">
            <w:pPr>
              <w:spacing w:before="60" w:after="60"/>
              <w:jc w:val="center"/>
              <w:rPr>
                <w:rFonts w:asciiTheme="minorHAnsi" w:hAnsiTheme="minorHAnsi" w:cs="Calibri"/>
                <w:color w:val="000000"/>
                <w:sz w:val="22"/>
                <w:szCs w:val="22"/>
              </w:rPr>
            </w:pPr>
            <w:r w:rsidRPr="0067297E">
              <w:rPr>
                <w:rFonts w:asciiTheme="minorHAnsi" w:hAnsiTheme="minorHAnsi" w:cs="Calibri"/>
                <w:color w:val="000000"/>
                <w:sz w:val="22"/>
                <w:szCs w:val="22"/>
              </w:rPr>
              <w:t>2,</w:t>
            </w:r>
            <w:r w:rsidR="0058316E">
              <w:rPr>
                <w:rFonts w:asciiTheme="minorHAnsi" w:hAnsiTheme="minorHAnsi" w:cs="Calibri"/>
                <w:color w:val="000000"/>
                <w:sz w:val="22"/>
                <w:szCs w:val="22"/>
              </w:rPr>
              <w:t>779</w:t>
            </w:r>
          </w:p>
        </w:tc>
      </w:tr>
      <w:tr w:rsidR="00116319" w:rsidRPr="0067297E" w14:paraId="2D761479" w14:textId="77777777" w:rsidTr="0058316E">
        <w:tc>
          <w:tcPr>
            <w:tcW w:w="608" w:type="dxa"/>
          </w:tcPr>
          <w:p w14:paraId="4A0098E8" w14:textId="0143F67E"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3.6</w:t>
            </w:r>
          </w:p>
        </w:tc>
        <w:tc>
          <w:tcPr>
            <w:tcW w:w="6931" w:type="dxa"/>
            <w:shd w:val="clear" w:color="auto" w:fill="auto"/>
            <w:vAlign w:val="bottom"/>
            <w:hideMark/>
          </w:tcPr>
          <w:p w14:paraId="142B9734" w14:textId="70AD78CF"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Annual supply of social re-lets (net)</w:t>
            </w:r>
          </w:p>
        </w:tc>
        <w:tc>
          <w:tcPr>
            <w:tcW w:w="1661" w:type="dxa"/>
            <w:shd w:val="clear" w:color="auto" w:fill="auto"/>
            <w:noWrap/>
            <w:vAlign w:val="center"/>
            <w:hideMark/>
          </w:tcPr>
          <w:p w14:paraId="675470BE" w14:textId="6CE81389" w:rsidR="00116319" w:rsidRPr="0067297E" w:rsidRDefault="00116319" w:rsidP="00585BC6">
            <w:pPr>
              <w:spacing w:before="60" w:after="60"/>
              <w:jc w:val="center"/>
              <w:rPr>
                <w:rFonts w:asciiTheme="minorHAnsi" w:hAnsiTheme="minorHAnsi" w:cs="Calibri"/>
                <w:color w:val="000000"/>
                <w:sz w:val="22"/>
                <w:szCs w:val="22"/>
              </w:rPr>
            </w:pPr>
            <w:r w:rsidRPr="0067297E">
              <w:rPr>
                <w:rFonts w:asciiTheme="minorHAnsi" w:hAnsiTheme="minorHAnsi" w:cs="Calibri"/>
                <w:color w:val="000000"/>
                <w:sz w:val="22"/>
                <w:szCs w:val="22"/>
              </w:rPr>
              <w:t>1,</w:t>
            </w:r>
            <w:r w:rsidR="0058316E">
              <w:rPr>
                <w:rFonts w:asciiTheme="minorHAnsi" w:hAnsiTheme="minorHAnsi" w:cs="Calibri"/>
                <w:color w:val="000000"/>
                <w:sz w:val="22"/>
                <w:szCs w:val="22"/>
              </w:rPr>
              <w:t>38</w:t>
            </w:r>
            <w:r w:rsidRPr="0067297E">
              <w:rPr>
                <w:rFonts w:asciiTheme="minorHAnsi" w:hAnsiTheme="minorHAnsi" w:cs="Calibri"/>
                <w:color w:val="000000"/>
                <w:sz w:val="22"/>
                <w:szCs w:val="22"/>
              </w:rPr>
              <w:t>8</w:t>
            </w:r>
          </w:p>
        </w:tc>
      </w:tr>
      <w:tr w:rsidR="00116319" w:rsidRPr="0067297E" w14:paraId="2AEC9191" w14:textId="77777777" w:rsidTr="0058316E">
        <w:tc>
          <w:tcPr>
            <w:tcW w:w="608" w:type="dxa"/>
          </w:tcPr>
          <w:p w14:paraId="7EE03C2C" w14:textId="664FC2F9"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3.7</w:t>
            </w:r>
          </w:p>
        </w:tc>
        <w:tc>
          <w:tcPr>
            <w:tcW w:w="6931" w:type="dxa"/>
            <w:shd w:val="clear" w:color="auto" w:fill="auto"/>
            <w:vAlign w:val="bottom"/>
            <w:hideMark/>
          </w:tcPr>
          <w:p w14:paraId="25FC2B91" w14:textId="13F6D1ED"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Annual supply of intermediate affordable housing available for re-let or resale at sub-market levels</w:t>
            </w:r>
          </w:p>
        </w:tc>
        <w:tc>
          <w:tcPr>
            <w:tcW w:w="1661" w:type="dxa"/>
            <w:shd w:val="clear" w:color="auto" w:fill="auto"/>
            <w:noWrap/>
            <w:vAlign w:val="center"/>
            <w:hideMark/>
          </w:tcPr>
          <w:p w14:paraId="562029B3" w14:textId="1E4269F4" w:rsidR="00116319" w:rsidRPr="0067297E" w:rsidRDefault="0058316E" w:rsidP="00585BC6">
            <w:pPr>
              <w:spacing w:before="60" w:after="60"/>
              <w:jc w:val="center"/>
              <w:rPr>
                <w:rFonts w:asciiTheme="minorHAnsi" w:hAnsiTheme="minorHAnsi" w:cs="Calibri"/>
                <w:color w:val="000000"/>
                <w:sz w:val="22"/>
                <w:szCs w:val="22"/>
              </w:rPr>
            </w:pPr>
            <w:r>
              <w:rPr>
                <w:rFonts w:asciiTheme="minorHAnsi" w:hAnsiTheme="minorHAnsi" w:cs="Calibri"/>
                <w:color w:val="000000"/>
                <w:sz w:val="22"/>
                <w:szCs w:val="22"/>
              </w:rPr>
              <w:t>67</w:t>
            </w:r>
          </w:p>
        </w:tc>
      </w:tr>
      <w:tr w:rsidR="00116319" w:rsidRPr="0067297E" w14:paraId="138A4421" w14:textId="77777777" w:rsidTr="0058316E">
        <w:tc>
          <w:tcPr>
            <w:tcW w:w="608" w:type="dxa"/>
          </w:tcPr>
          <w:p w14:paraId="482316ED" w14:textId="63107C88"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3.8</w:t>
            </w:r>
          </w:p>
        </w:tc>
        <w:tc>
          <w:tcPr>
            <w:tcW w:w="6931" w:type="dxa"/>
            <w:shd w:val="clear" w:color="auto" w:fill="auto"/>
            <w:vAlign w:val="bottom"/>
            <w:hideMark/>
          </w:tcPr>
          <w:p w14:paraId="509943D6" w14:textId="7B716455"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Annual supply of affordable housing</w:t>
            </w:r>
          </w:p>
        </w:tc>
        <w:tc>
          <w:tcPr>
            <w:tcW w:w="1661" w:type="dxa"/>
            <w:shd w:val="clear" w:color="auto" w:fill="auto"/>
            <w:noWrap/>
            <w:vAlign w:val="center"/>
            <w:hideMark/>
          </w:tcPr>
          <w:p w14:paraId="22CC529E" w14:textId="74E780CA" w:rsidR="00116319" w:rsidRPr="0067297E" w:rsidRDefault="00116319" w:rsidP="00585BC6">
            <w:pPr>
              <w:spacing w:before="60" w:after="60"/>
              <w:jc w:val="center"/>
              <w:rPr>
                <w:rFonts w:asciiTheme="minorHAnsi" w:hAnsiTheme="minorHAnsi" w:cs="Calibri"/>
                <w:color w:val="000000"/>
                <w:sz w:val="22"/>
                <w:szCs w:val="22"/>
              </w:rPr>
            </w:pPr>
            <w:r w:rsidRPr="0067297E">
              <w:rPr>
                <w:rFonts w:asciiTheme="minorHAnsi" w:hAnsiTheme="minorHAnsi" w:cs="Calibri"/>
                <w:color w:val="000000"/>
                <w:sz w:val="22"/>
                <w:szCs w:val="22"/>
              </w:rPr>
              <w:t>1,</w:t>
            </w:r>
            <w:r w:rsidR="0058316E">
              <w:rPr>
                <w:rFonts w:asciiTheme="minorHAnsi" w:hAnsiTheme="minorHAnsi" w:cs="Calibri"/>
                <w:color w:val="000000"/>
                <w:sz w:val="22"/>
                <w:szCs w:val="22"/>
              </w:rPr>
              <w:t>455</w:t>
            </w:r>
          </w:p>
        </w:tc>
      </w:tr>
      <w:tr w:rsidR="00DB7892" w:rsidRPr="0067297E" w14:paraId="5774A64E" w14:textId="77777777" w:rsidTr="0058316E">
        <w:tc>
          <w:tcPr>
            <w:tcW w:w="7544" w:type="dxa"/>
            <w:gridSpan w:val="2"/>
          </w:tcPr>
          <w:p w14:paraId="3A645977" w14:textId="05335A4B" w:rsidR="00DB7892" w:rsidRPr="0067297E" w:rsidRDefault="00DB7892" w:rsidP="00585BC6">
            <w:pPr>
              <w:spacing w:before="60" w:after="60"/>
              <w:rPr>
                <w:rFonts w:asciiTheme="minorHAnsi" w:hAnsiTheme="minorHAnsi" w:cs="Calibri"/>
                <w:b/>
                <w:bCs/>
                <w:sz w:val="22"/>
                <w:szCs w:val="22"/>
              </w:rPr>
            </w:pPr>
            <w:r w:rsidRPr="0067297E">
              <w:rPr>
                <w:rFonts w:asciiTheme="minorHAnsi" w:hAnsiTheme="minorHAnsi" w:cs="Calibri"/>
                <w:b/>
                <w:bCs/>
                <w:sz w:val="22"/>
                <w:szCs w:val="22"/>
              </w:rPr>
              <w:t>Stage 4: ESTIMATE OF ANNUAL HOUSING NEED</w:t>
            </w:r>
          </w:p>
        </w:tc>
        <w:tc>
          <w:tcPr>
            <w:tcW w:w="1661" w:type="dxa"/>
            <w:shd w:val="clear" w:color="auto" w:fill="auto"/>
            <w:noWrap/>
            <w:vAlign w:val="center"/>
            <w:hideMark/>
          </w:tcPr>
          <w:p w14:paraId="36C8FBE7" w14:textId="204965B4" w:rsidR="00DB7892" w:rsidRPr="0067297E" w:rsidRDefault="00DB7892" w:rsidP="00585BC6">
            <w:pPr>
              <w:spacing w:before="60" w:after="60"/>
              <w:jc w:val="center"/>
              <w:rPr>
                <w:rFonts w:asciiTheme="minorHAnsi" w:hAnsiTheme="minorHAnsi" w:cs="Calibri"/>
                <w:color w:val="000000"/>
                <w:sz w:val="22"/>
                <w:szCs w:val="22"/>
              </w:rPr>
            </w:pPr>
          </w:p>
        </w:tc>
      </w:tr>
      <w:tr w:rsidR="00116319" w:rsidRPr="0067297E" w14:paraId="23D82C2D" w14:textId="77777777" w:rsidTr="0058316E">
        <w:tc>
          <w:tcPr>
            <w:tcW w:w="608" w:type="dxa"/>
          </w:tcPr>
          <w:p w14:paraId="4E42A2D4" w14:textId="72DBE785"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4.1</w:t>
            </w:r>
          </w:p>
        </w:tc>
        <w:tc>
          <w:tcPr>
            <w:tcW w:w="6931" w:type="dxa"/>
            <w:shd w:val="clear" w:color="auto" w:fill="auto"/>
            <w:vAlign w:val="bottom"/>
            <w:hideMark/>
          </w:tcPr>
          <w:p w14:paraId="311CF2ED" w14:textId="240AD2B8"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 xml:space="preserve">Total backlog need </w:t>
            </w:r>
          </w:p>
        </w:tc>
        <w:tc>
          <w:tcPr>
            <w:tcW w:w="1661" w:type="dxa"/>
            <w:shd w:val="clear" w:color="auto" w:fill="auto"/>
            <w:noWrap/>
            <w:vAlign w:val="center"/>
            <w:hideMark/>
          </w:tcPr>
          <w:p w14:paraId="3EA039DA" w14:textId="1A6DF108" w:rsidR="00116319" w:rsidRPr="0067297E" w:rsidRDefault="0058316E" w:rsidP="00585BC6">
            <w:pPr>
              <w:spacing w:before="60" w:after="60"/>
              <w:jc w:val="center"/>
              <w:rPr>
                <w:rFonts w:asciiTheme="minorHAnsi" w:hAnsiTheme="minorHAnsi" w:cs="Calibri"/>
                <w:color w:val="000000"/>
                <w:sz w:val="22"/>
                <w:szCs w:val="22"/>
              </w:rPr>
            </w:pPr>
            <w:r>
              <w:rPr>
                <w:rFonts w:asciiTheme="minorHAnsi" w:hAnsiTheme="minorHAnsi" w:cs="Calibri"/>
                <w:color w:val="000000"/>
                <w:sz w:val="22"/>
                <w:szCs w:val="22"/>
              </w:rPr>
              <w:t>6,986</w:t>
            </w:r>
          </w:p>
        </w:tc>
      </w:tr>
      <w:tr w:rsidR="00116319" w:rsidRPr="0067297E" w14:paraId="56027043" w14:textId="77777777" w:rsidTr="0058316E">
        <w:tc>
          <w:tcPr>
            <w:tcW w:w="608" w:type="dxa"/>
          </w:tcPr>
          <w:p w14:paraId="19C29241" w14:textId="2FF71642"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4.2</w:t>
            </w:r>
          </w:p>
        </w:tc>
        <w:tc>
          <w:tcPr>
            <w:tcW w:w="6931" w:type="dxa"/>
            <w:shd w:val="clear" w:color="auto" w:fill="auto"/>
            <w:vAlign w:val="bottom"/>
            <w:hideMark/>
          </w:tcPr>
          <w:p w14:paraId="372374DE" w14:textId="6D6D6B84"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Quota to reduce over plan period</w:t>
            </w:r>
          </w:p>
        </w:tc>
        <w:tc>
          <w:tcPr>
            <w:tcW w:w="1661" w:type="dxa"/>
            <w:shd w:val="clear" w:color="auto" w:fill="auto"/>
            <w:noWrap/>
            <w:vAlign w:val="center"/>
            <w:hideMark/>
          </w:tcPr>
          <w:p w14:paraId="66473D2A" w14:textId="77777777" w:rsidR="00116319" w:rsidRPr="0067297E" w:rsidRDefault="00116319" w:rsidP="00585BC6">
            <w:pPr>
              <w:spacing w:before="60" w:after="60"/>
              <w:jc w:val="center"/>
              <w:rPr>
                <w:rFonts w:asciiTheme="minorHAnsi" w:hAnsiTheme="minorHAnsi" w:cs="Calibri"/>
                <w:color w:val="000000"/>
                <w:sz w:val="22"/>
                <w:szCs w:val="22"/>
              </w:rPr>
            </w:pPr>
            <w:r w:rsidRPr="0067297E">
              <w:rPr>
                <w:rFonts w:asciiTheme="minorHAnsi" w:hAnsiTheme="minorHAnsi" w:cs="Calibri"/>
                <w:color w:val="000000"/>
                <w:sz w:val="22"/>
                <w:szCs w:val="22"/>
              </w:rPr>
              <w:t>20%</w:t>
            </w:r>
          </w:p>
        </w:tc>
      </w:tr>
      <w:tr w:rsidR="00116319" w:rsidRPr="0067297E" w14:paraId="3BC6268D" w14:textId="77777777" w:rsidTr="0058316E">
        <w:tc>
          <w:tcPr>
            <w:tcW w:w="608" w:type="dxa"/>
          </w:tcPr>
          <w:p w14:paraId="152CEBCA" w14:textId="1914A61E"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4.3</w:t>
            </w:r>
          </w:p>
        </w:tc>
        <w:tc>
          <w:tcPr>
            <w:tcW w:w="6931" w:type="dxa"/>
            <w:shd w:val="clear" w:color="auto" w:fill="auto"/>
            <w:vAlign w:val="bottom"/>
            <w:hideMark/>
          </w:tcPr>
          <w:p w14:paraId="3699ABC8" w14:textId="58717F49"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Annual backlog reduction</w:t>
            </w:r>
          </w:p>
        </w:tc>
        <w:tc>
          <w:tcPr>
            <w:tcW w:w="1661" w:type="dxa"/>
            <w:shd w:val="clear" w:color="auto" w:fill="auto"/>
            <w:noWrap/>
            <w:vAlign w:val="center"/>
            <w:hideMark/>
          </w:tcPr>
          <w:p w14:paraId="405FF1A5" w14:textId="06C47915" w:rsidR="00116319" w:rsidRPr="0067297E" w:rsidRDefault="00116319" w:rsidP="00585BC6">
            <w:pPr>
              <w:spacing w:before="60" w:after="60"/>
              <w:jc w:val="center"/>
              <w:rPr>
                <w:rFonts w:asciiTheme="minorHAnsi" w:hAnsiTheme="minorHAnsi" w:cs="Calibri"/>
                <w:color w:val="000000"/>
                <w:sz w:val="22"/>
                <w:szCs w:val="22"/>
              </w:rPr>
            </w:pPr>
            <w:r w:rsidRPr="0067297E">
              <w:rPr>
                <w:rFonts w:asciiTheme="minorHAnsi" w:hAnsiTheme="minorHAnsi" w:cs="Calibri"/>
                <w:color w:val="000000"/>
                <w:sz w:val="22"/>
                <w:szCs w:val="22"/>
              </w:rPr>
              <w:t>1,</w:t>
            </w:r>
            <w:r w:rsidR="0058316E">
              <w:rPr>
                <w:rFonts w:asciiTheme="minorHAnsi" w:hAnsiTheme="minorHAnsi" w:cs="Calibri"/>
                <w:color w:val="000000"/>
                <w:sz w:val="22"/>
                <w:szCs w:val="22"/>
              </w:rPr>
              <w:t>397</w:t>
            </w:r>
          </w:p>
        </w:tc>
      </w:tr>
      <w:tr w:rsidR="00116319" w:rsidRPr="0067297E" w14:paraId="2D743F1F" w14:textId="77777777" w:rsidTr="0058316E">
        <w:tc>
          <w:tcPr>
            <w:tcW w:w="608" w:type="dxa"/>
          </w:tcPr>
          <w:p w14:paraId="79352667" w14:textId="2E2DBF4D"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4.4</w:t>
            </w:r>
          </w:p>
        </w:tc>
        <w:tc>
          <w:tcPr>
            <w:tcW w:w="6931" w:type="dxa"/>
            <w:shd w:val="clear" w:color="auto" w:fill="auto"/>
            <w:vAlign w:val="bottom"/>
            <w:hideMark/>
          </w:tcPr>
          <w:p w14:paraId="3BC1C05F" w14:textId="775E56CE"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 xml:space="preserve">Newly-arising need </w:t>
            </w:r>
          </w:p>
        </w:tc>
        <w:tc>
          <w:tcPr>
            <w:tcW w:w="1661" w:type="dxa"/>
            <w:shd w:val="clear" w:color="auto" w:fill="auto"/>
            <w:noWrap/>
            <w:vAlign w:val="center"/>
            <w:hideMark/>
          </w:tcPr>
          <w:p w14:paraId="12FDCB7D" w14:textId="3A65BE72" w:rsidR="00116319" w:rsidRPr="0067297E" w:rsidRDefault="0058316E" w:rsidP="00585BC6">
            <w:pPr>
              <w:spacing w:before="60" w:after="60"/>
              <w:jc w:val="center"/>
              <w:rPr>
                <w:rFonts w:asciiTheme="minorHAnsi" w:hAnsiTheme="minorHAnsi" w:cs="Calibri"/>
                <w:color w:val="000000"/>
                <w:sz w:val="22"/>
                <w:szCs w:val="22"/>
              </w:rPr>
            </w:pPr>
            <w:r>
              <w:rPr>
                <w:rFonts w:asciiTheme="minorHAnsi" w:hAnsiTheme="minorHAnsi" w:cs="Calibri"/>
                <w:color w:val="000000"/>
                <w:sz w:val="22"/>
                <w:szCs w:val="22"/>
              </w:rPr>
              <w:t>1,622</w:t>
            </w:r>
          </w:p>
        </w:tc>
      </w:tr>
      <w:tr w:rsidR="00116319" w:rsidRPr="0067297E" w14:paraId="69F487AB" w14:textId="77777777" w:rsidTr="0058316E">
        <w:tc>
          <w:tcPr>
            <w:tcW w:w="608" w:type="dxa"/>
          </w:tcPr>
          <w:p w14:paraId="6BD07022" w14:textId="50AB21EB"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4.5</w:t>
            </w:r>
          </w:p>
        </w:tc>
        <w:tc>
          <w:tcPr>
            <w:tcW w:w="6931" w:type="dxa"/>
            <w:shd w:val="clear" w:color="auto" w:fill="auto"/>
            <w:vAlign w:val="bottom"/>
            <w:hideMark/>
          </w:tcPr>
          <w:p w14:paraId="5FA65164" w14:textId="070F2A25"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 xml:space="preserve">Total annual affordable need </w:t>
            </w:r>
          </w:p>
        </w:tc>
        <w:tc>
          <w:tcPr>
            <w:tcW w:w="1661" w:type="dxa"/>
            <w:shd w:val="clear" w:color="auto" w:fill="auto"/>
            <w:noWrap/>
            <w:vAlign w:val="center"/>
            <w:hideMark/>
          </w:tcPr>
          <w:p w14:paraId="0A8D4DF6" w14:textId="6C47EE82" w:rsidR="00116319" w:rsidRPr="0067297E" w:rsidRDefault="0058316E" w:rsidP="00585BC6">
            <w:pPr>
              <w:spacing w:before="60" w:after="60"/>
              <w:jc w:val="center"/>
              <w:rPr>
                <w:rFonts w:asciiTheme="minorHAnsi" w:hAnsiTheme="minorHAnsi" w:cs="Calibri"/>
                <w:color w:val="000000"/>
                <w:sz w:val="22"/>
                <w:szCs w:val="22"/>
              </w:rPr>
            </w:pPr>
            <w:r>
              <w:rPr>
                <w:rFonts w:asciiTheme="minorHAnsi" w:hAnsiTheme="minorHAnsi" w:cs="Calibri"/>
                <w:color w:val="000000"/>
                <w:sz w:val="22"/>
                <w:szCs w:val="22"/>
              </w:rPr>
              <w:t>3,019</w:t>
            </w:r>
          </w:p>
        </w:tc>
      </w:tr>
      <w:tr w:rsidR="00116319" w:rsidRPr="0067297E" w14:paraId="510796F0" w14:textId="77777777" w:rsidTr="0058316E">
        <w:tc>
          <w:tcPr>
            <w:tcW w:w="608" w:type="dxa"/>
          </w:tcPr>
          <w:p w14:paraId="346F9D07" w14:textId="6BA6F213" w:rsidR="00116319" w:rsidRPr="0067297E" w:rsidRDefault="00116319" w:rsidP="00585BC6">
            <w:pPr>
              <w:spacing w:before="60" w:after="60"/>
              <w:jc w:val="center"/>
              <w:rPr>
                <w:rFonts w:asciiTheme="minorHAnsi" w:hAnsiTheme="minorHAnsi" w:cs="Calibri"/>
                <w:sz w:val="22"/>
                <w:szCs w:val="22"/>
              </w:rPr>
            </w:pPr>
            <w:r w:rsidRPr="0067297E">
              <w:rPr>
                <w:rFonts w:asciiTheme="minorHAnsi" w:hAnsiTheme="minorHAnsi" w:cs="Calibri"/>
                <w:sz w:val="22"/>
                <w:szCs w:val="22"/>
              </w:rPr>
              <w:t>4.6</w:t>
            </w:r>
          </w:p>
        </w:tc>
        <w:tc>
          <w:tcPr>
            <w:tcW w:w="6931" w:type="dxa"/>
            <w:shd w:val="clear" w:color="auto" w:fill="auto"/>
            <w:vAlign w:val="bottom"/>
            <w:hideMark/>
          </w:tcPr>
          <w:p w14:paraId="650598E4" w14:textId="366AA603" w:rsidR="00116319" w:rsidRPr="0067297E" w:rsidRDefault="00116319" w:rsidP="00585BC6">
            <w:pPr>
              <w:spacing w:before="60" w:after="60"/>
              <w:rPr>
                <w:rFonts w:asciiTheme="minorHAnsi" w:hAnsiTheme="minorHAnsi" w:cs="Calibri"/>
                <w:sz w:val="22"/>
                <w:szCs w:val="22"/>
              </w:rPr>
            </w:pPr>
            <w:r w:rsidRPr="0067297E">
              <w:rPr>
                <w:rFonts w:asciiTheme="minorHAnsi" w:hAnsiTheme="minorHAnsi" w:cs="Calibri"/>
                <w:sz w:val="22"/>
                <w:szCs w:val="22"/>
              </w:rPr>
              <w:t xml:space="preserve">Annual affordable capacity </w:t>
            </w:r>
          </w:p>
        </w:tc>
        <w:tc>
          <w:tcPr>
            <w:tcW w:w="1661" w:type="dxa"/>
            <w:shd w:val="clear" w:color="auto" w:fill="auto"/>
            <w:noWrap/>
            <w:vAlign w:val="center"/>
            <w:hideMark/>
          </w:tcPr>
          <w:p w14:paraId="22C740A4" w14:textId="1E95DBED" w:rsidR="00116319" w:rsidRPr="0067297E" w:rsidRDefault="00116319" w:rsidP="00585BC6">
            <w:pPr>
              <w:spacing w:before="60" w:after="60"/>
              <w:jc w:val="center"/>
              <w:rPr>
                <w:rFonts w:asciiTheme="minorHAnsi" w:hAnsiTheme="minorHAnsi" w:cs="Calibri"/>
                <w:color w:val="000000"/>
                <w:sz w:val="22"/>
                <w:szCs w:val="22"/>
              </w:rPr>
            </w:pPr>
            <w:r w:rsidRPr="0067297E">
              <w:rPr>
                <w:rFonts w:asciiTheme="minorHAnsi" w:hAnsiTheme="minorHAnsi" w:cs="Calibri"/>
                <w:color w:val="000000"/>
                <w:sz w:val="22"/>
                <w:szCs w:val="22"/>
              </w:rPr>
              <w:t>1,</w:t>
            </w:r>
            <w:r w:rsidR="0058316E">
              <w:rPr>
                <w:rFonts w:asciiTheme="minorHAnsi" w:hAnsiTheme="minorHAnsi" w:cs="Calibri"/>
                <w:color w:val="000000"/>
                <w:sz w:val="22"/>
                <w:szCs w:val="22"/>
              </w:rPr>
              <w:t>455</w:t>
            </w:r>
          </w:p>
        </w:tc>
      </w:tr>
      <w:tr w:rsidR="00116319" w:rsidRPr="0067297E" w14:paraId="009239DD" w14:textId="77777777" w:rsidTr="0058316E">
        <w:tc>
          <w:tcPr>
            <w:tcW w:w="608" w:type="dxa"/>
            <w:vAlign w:val="center"/>
          </w:tcPr>
          <w:p w14:paraId="341C7CAE" w14:textId="23DC72A4" w:rsidR="00116319" w:rsidRPr="0067297E" w:rsidRDefault="00116319" w:rsidP="00585BC6">
            <w:pPr>
              <w:spacing w:before="60" w:after="60"/>
              <w:jc w:val="center"/>
              <w:rPr>
                <w:rFonts w:asciiTheme="minorHAnsi" w:hAnsiTheme="minorHAnsi" w:cs="Calibri"/>
                <w:b/>
                <w:bCs/>
                <w:sz w:val="22"/>
                <w:szCs w:val="22"/>
              </w:rPr>
            </w:pPr>
            <w:r w:rsidRPr="0067297E">
              <w:rPr>
                <w:rFonts w:asciiTheme="minorHAnsi" w:hAnsiTheme="minorHAnsi" w:cs="Calibri"/>
                <w:b/>
                <w:bCs/>
                <w:sz w:val="22"/>
                <w:szCs w:val="22"/>
              </w:rPr>
              <w:t>4.7</w:t>
            </w:r>
          </w:p>
        </w:tc>
        <w:tc>
          <w:tcPr>
            <w:tcW w:w="6931" w:type="dxa"/>
            <w:shd w:val="clear" w:color="auto" w:fill="auto"/>
            <w:vAlign w:val="center"/>
            <w:hideMark/>
          </w:tcPr>
          <w:p w14:paraId="2B365A58" w14:textId="38E7EA83" w:rsidR="00116319" w:rsidRPr="0067297E" w:rsidRDefault="00116319" w:rsidP="00585BC6">
            <w:pPr>
              <w:spacing w:before="60" w:after="60"/>
              <w:rPr>
                <w:rFonts w:asciiTheme="minorHAnsi" w:hAnsiTheme="minorHAnsi" w:cs="Calibri"/>
                <w:b/>
                <w:bCs/>
                <w:sz w:val="22"/>
                <w:szCs w:val="22"/>
              </w:rPr>
            </w:pPr>
            <w:r w:rsidRPr="0067297E">
              <w:rPr>
                <w:rFonts w:asciiTheme="minorHAnsi" w:hAnsiTheme="minorHAnsi" w:cs="Calibri"/>
                <w:b/>
                <w:bCs/>
                <w:sz w:val="22"/>
                <w:szCs w:val="22"/>
              </w:rPr>
              <w:t>Net annual imbalance</w:t>
            </w:r>
          </w:p>
        </w:tc>
        <w:tc>
          <w:tcPr>
            <w:tcW w:w="1661" w:type="dxa"/>
            <w:shd w:val="clear" w:color="auto" w:fill="auto"/>
            <w:noWrap/>
            <w:vAlign w:val="center"/>
            <w:hideMark/>
          </w:tcPr>
          <w:p w14:paraId="5F349DAF" w14:textId="7622DFBF" w:rsidR="00116319" w:rsidRPr="0067297E" w:rsidRDefault="0058316E" w:rsidP="00585BC6">
            <w:pPr>
              <w:spacing w:before="60" w:after="60"/>
              <w:jc w:val="center"/>
              <w:rPr>
                <w:rFonts w:asciiTheme="minorHAnsi" w:hAnsiTheme="minorHAnsi" w:cs="Calibri"/>
                <w:b/>
                <w:bCs/>
                <w:color w:val="000000"/>
                <w:sz w:val="22"/>
                <w:szCs w:val="22"/>
              </w:rPr>
            </w:pPr>
            <w:r>
              <w:rPr>
                <w:rFonts w:asciiTheme="minorHAnsi" w:hAnsiTheme="minorHAnsi" w:cs="Calibri"/>
                <w:b/>
                <w:bCs/>
                <w:color w:val="000000"/>
                <w:sz w:val="22"/>
                <w:szCs w:val="22"/>
              </w:rPr>
              <w:t>1,564</w:t>
            </w:r>
          </w:p>
        </w:tc>
      </w:tr>
    </w:tbl>
    <w:p w14:paraId="04C28D5C" w14:textId="77777777" w:rsidR="00F91A82" w:rsidRPr="0067297E" w:rsidRDefault="00F91A82" w:rsidP="00543A76">
      <w:pPr>
        <w:rPr>
          <w:rFonts w:asciiTheme="minorHAnsi" w:hAnsiTheme="minorHAnsi"/>
          <w:sz w:val="20"/>
          <w:szCs w:val="20"/>
        </w:rPr>
      </w:pPr>
      <w:r w:rsidRPr="0067297E">
        <w:rPr>
          <w:rFonts w:asciiTheme="minorHAnsi" w:hAnsiTheme="minorHAnsi"/>
          <w:sz w:val="20"/>
          <w:szCs w:val="20"/>
        </w:rPr>
        <w:t>Source: Housing Register, RP Core Lettings Data</w:t>
      </w:r>
    </w:p>
    <w:p w14:paraId="72BFC4DA" w14:textId="77777777" w:rsidR="00F565DA" w:rsidRPr="0067297E" w:rsidRDefault="00F565DA" w:rsidP="00DB7892">
      <w:pPr>
        <w:rPr>
          <w:rFonts w:asciiTheme="minorHAnsi" w:hAnsiTheme="minorHAnsi"/>
        </w:rPr>
      </w:pPr>
    </w:p>
    <w:p w14:paraId="3CB64A62" w14:textId="47BD3899" w:rsidR="00F565DA" w:rsidRPr="0067297E" w:rsidRDefault="002B726A" w:rsidP="00543A76">
      <w:pPr>
        <w:pStyle w:val="Reporttext"/>
        <w:rPr>
          <w:rFonts w:asciiTheme="minorHAnsi" w:hAnsiTheme="minorHAnsi" w:cs="Calibri"/>
        </w:rPr>
      </w:pPr>
      <w:r w:rsidRPr="0067297E">
        <w:rPr>
          <w:rFonts w:asciiTheme="minorHAnsi" w:hAnsiTheme="minorHAnsi" w:cs="Calibri"/>
        </w:rPr>
        <w:t xml:space="preserve">The above analysis indicates a net </w:t>
      </w:r>
      <w:r w:rsidR="00A11560" w:rsidRPr="0067297E">
        <w:rPr>
          <w:rFonts w:asciiTheme="minorHAnsi" w:hAnsiTheme="minorHAnsi" w:cs="Calibri"/>
        </w:rPr>
        <w:t xml:space="preserve">annual </w:t>
      </w:r>
      <w:r w:rsidRPr="0067297E">
        <w:rPr>
          <w:rFonts w:asciiTheme="minorHAnsi" w:hAnsiTheme="minorHAnsi" w:cs="Calibri"/>
        </w:rPr>
        <w:t>imbalance of</w:t>
      </w:r>
      <w:r w:rsidR="00255B16" w:rsidRPr="0067297E">
        <w:rPr>
          <w:rFonts w:asciiTheme="minorHAnsi" w:hAnsiTheme="minorHAnsi" w:cs="Calibri"/>
          <w:lang w:val="en-US"/>
        </w:rPr>
        <w:t xml:space="preserve"> </w:t>
      </w:r>
      <w:r w:rsidR="0058316E">
        <w:rPr>
          <w:rFonts w:asciiTheme="minorHAnsi" w:hAnsiTheme="minorHAnsi" w:cs="Calibri"/>
          <w:lang w:val="en-US"/>
        </w:rPr>
        <w:t>1,564</w:t>
      </w:r>
      <w:r w:rsidR="0058316E" w:rsidRPr="0067297E">
        <w:rPr>
          <w:rFonts w:asciiTheme="minorHAnsi" w:hAnsiTheme="minorHAnsi" w:cs="Calibri"/>
        </w:rPr>
        <w:t xml:space="preserve"> </w:t>
      </w:r>
      <w:r w:rsidRPr="0067297E">
        <w:rPr>
          <w:rFonts w:asciiTheme="minorHAnsi" w:hAnsiTheme="minorHAnsi" w:cs="Calibri"/>
        </w:rPr>
        <w:t xml:space="preserve">affordable dwellings across </w:t>
      </w:r>
      <w:r w:rsidR="00F565DA" w:rsidRPr="0067297E">
        <w:rPr>
          <w:rFonts w:asciiTheme="minorHAnsi" w:hAnsiTheme="minorHAnsi" w:cs="Calibri"/>
        </w:rPr>
        <w:t xml:space="preserve">the </w:t>
      </w:r>
      <w:r w:rsidR="00F91A82" w:rsidRPr="0067297E">
        <w:rPr>
          <w:rFonts w:asciiTheme="minorHAnsi" w:hAnsiTheme="minorHAnsi" w:cs="Calibri"/>
        </w:rPr>
        <w:t>borough</w:t>
      </w:r>
      <w:r w:rsidR="00F565DA" w:rsidRPr="0067297E">
        <w:rPr>
          <w:rFonts w:asciiTheme="minorHAnsi" w:hAnsiTheme="minorHAnsi" w:cs="Calibri"/>
        </w:rPr>
        <w:t xml:space="preserve">. </w:t>
      </w:r>
      <w:r w:rsidR="00C8106F">
        <w:rPr>
          <w:rFonts w:asciiTheme="minorHAnsi" w:hAnsiTheme="minorHAnsi" w:cs="Calibri"/>
          <w:lang w:val="en-GB"/>
        </w:rPr>
        <w:t xml:space="preserve">This </w:t>
      </w:r>
      <w:r w:rsidR="000B6A23">
        <w:rPr>
          <w:rFonts w:asciiTheme="minorHAnsi" w:hAnsiTheme="minorHAnsi" w:cs="Calibri"/>
          <w:lang w:val="en-GB"/>
        </w:rPr>
        <w:t>equates to</w:t>
      </w:r>
      <w:r w:rsidR="00C8106F">
        <w:rPr>
          <w:rFonts w:asciiTheme="minorHAnsi" w:hAnsiTheme="minorHAnsi" w:cs="Calibri"/>
          <w:lang w:val="en-GB"/>
        </w:rPr>
        <w:t xml:space="preserve"> </w:t>
      </w:r>
      <w:r w:rsidR="008A0A60">
        <w:rPr>
          <w:rFonts w:asciiTheme="minorHAnsi" w:hAnsiTheme="minorHAnsi" w:cs="Calibri"/>
          <w:lang w:val="en-GB"/>
        </w:rPr>
        <w:t>52.8</w:t>
      </w:r>
      <w:r w:rsidR="00C8106F">
        <w:rPr>
          <w:rFonts w:asciiTheme="minorHAnsi" w:hAnsiTheme="minorHAnsi" w:cs="Calibri"/>
          <w:lang w:val="en-GB"/>
        </w:rPr>
        <w:t xml:space="preserve">% </w:t>
      </w:r>
      <w:r w:rsidR="000B6A23">
        <w:rPr>
          <w:rFonts w:asciiTheme="minorHAnsi" w:hAnsiTheme="minorHAnsi" w:cs="Calibri"/>
          <w:lang w:val="en-GB"/>
        </w:rPr>
        <w:t xml:space="preserve">of the capped </w:t>
      </w:r>
      <w:r w:rsidR="00C83EE8">
        <w:rPr>
          <w:rFonts w:asciiTheme="minorHAnsi" w:hAnsiTheme="minorHAnsi" w:cs="Calibri"/>
          <w:lang w:val="en-GB"/>
        </w:rPr>
        <w:t xml:space="preserve">2017 Draft London Plan </w:t>
      </w:r>
      <w:r w:rsidR="000B6A23">
        <w:rPr>
          <w:rFonts w:asciiTheme="minorHAnsi" w:hAnsiTheme="minorHAnsi" w:cs="Calibri"/>
          <w:lang w:val="en-GB"/>
        </w:rPr>
        <w:t>annual minimum housing need figure</w:t>
      </w:r>
      <w:r w:rsidR="008A0A60">
        <w:rPr>
          <w:rFonts w:asciiTheme="minorHAnsi" w:hAnsiTheme="minorHAnsi" w:cs="Calibri"/>
          <w:lang w:val="en-GB"/>
        </w:rPr>
        <w:t xml:space="preserve"> of 2,964</w:t>
      </w:r>
      <w:r w:rsidR="000B6A23">
        <w:rPr>
          <w:rFonts w:asciiTheme="minorHAnsi" w:hAnsiTheme="minorHAnsi" w:cs="Calibri"/>
          <w:lang w:val="en-GB"/>
        </w:rPr>
        <w:t xml:space="preserve">.  </w:t>
      </w:r>
    </w:p>
    <w:p w14:paraId="385069B8" w14:textId="4131195A" w:rsidR="002B726A" w:rsidRPr="0067297E" w:rsidRDefault="00A42CB1" w:rsidP="00543A76">
      <w:pPr>
        <w:pStyle w:val="Reporttext"/>
        <w:rPr>
          <w:rFonts w:asciiTheme="minorHAnsi" w:hAnsiTheme="minorHAnsi" w:cs="Calibri"/>
        </w:rPr>
      </w:pPr>
      <w:r w:rsidRPr="0067297E">
        <w:rPr>
          <w:rFonts w:asciiTheme="minorHAnsi" w:hAnsiTheme="minorHAnsi" w:cs="Calibri"/>
        </w:rPr>
        <w:t xml:space="preserve">On the basis of housing register evidence, </w:t>
      </w:r>
      <w:r w:rsidR="009F57F8" w:rsidRPr="0067297E">
        <w:rPr>
          <w:rFonts w:asciiTheme="minorHAnsi" w:hAnsiTheme="minorHAnsi" w:cs="Calibri"/>
        </w:rPr>
        <w:t xml:space="preserve">Table </w:t>
      </w:r>
      <w:r w:rsidR="00E413E6" w:rsidRPr="0067297E">
        <w:rPr>
          <w:rFonts w:asciiTheme="minorHAnsi" w:hAnsiTheme="minorHAnsi" w:cs="Calibri"/>
          <w:lang w:val="en-US"/>
        </w:rPr>
        <w:t>6.3</w:t>
      </w:r>
      <w:r w:rsidR="009F57F8" w:rsidRPr="0067297E">
        <w:rPr>
          <w:rFonts w:asciiTheme="minorHAnsi" w:hAnsiTheme="minorHAnsi" w:cs="Calibri"/>
        </w:rPr>
        <w:t xml:space="preserve"> outlines a proposed</w:t>
      </w:r>
      <w:r w:rsidR="002B726A" w:rsidRPr="0067297E">
        <w:rPr>
          <w:rFonts w:asciiTheme="minorHAnsi" w:hAnsiTheme="minorHAnsi" w:cs="Calibri"/>
        </w:rPr>
        <w:t xml:space="preserve"> profile of </w:t>
      </w:r>
      <w:r w:rsidR="008A0A60">
        <w:rPr>
          <w:rFonts w:asciiTheme="minorHAnsi" w:hAnsiTheme="minorHAnsi" w:cs="Calibri"/>
          <w:lang w:val="en-US"/>
        </w:rPr>
        <w:t>affordable dwellings by property</w:t>
      </w:r>
      <w:r w:rsidR="008A0A60" w:rsidRPr="0067297E">
        <w:rPr>
          <w:rFonts w:asciiTheme="minorHAnsi" w:hAnsiTheme="minorHAnsi" w:cs="Calibri"/>
        </w:rPr>
        <w:t xml:space="preserve"> </w:t>
      </w:r>
      <w:r w:rsidR="002B726A" w:rsidRPr="0067297E">
        <w:rPr>
          <w:rFonts w:asciiTheme="minorHAnsi" w:hAnsiTheme="minorHAnsi" w:cs="Calibri"/>
        </w:rPr>
        <w:t>size to reflect the needs o</w:t>
      </w:r>
      <w:r w:rsidR="009F57F8" w:rsidRPr="0067297E">
        <w:rPr>
          <w:rFonts w:asciiTheme="minorHAnsi" w:hAnsiTheme="minorHAnsi" w:cs="Calibri"/>
        </w:rPr>
        <w:t>f those on the housing register.</w:t>
      </w:r>
    </w:p>
    <w:p w14:paraId="6F84F54F" w14:textId="6C67873E" w:rsidR="00DB7892" w:rsidRPr="0067297E" w:rsidRDefault="00DB7892">
      <w:pPr>
        <w:rPr>
          <w:rFonts w:asciiTheme="minorHAnsi" w:hAnsiTheme="minorHAnsi"/>
        </w:rPr>
      </w:pPr>
    </w:p>
    <w:tbl>
      <w:tblPr>
        <w:tblStyle w:val="TableGrid"/>
        <w:tblW w:w="0" w:type="auto"/>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Caption w:val="Table 6.3 Affordable need by number of bedrooms"/>
      </w:tblPr>
      <w:tblGrid>
        <w:gridCol w:w="2961"/>
        <w:gridCol w:w="2835"/>
      </w:tblGrid>
      <w:tr w:rsidR="009F57F8" w:rsidRPr="0067297E" w14:paraId="51F7684B" w14:textId="77777777" w:rsidTr="00426BD8">
        <w:trPr>
          <w:tblHeader/>
        </w:trPr>
        <w:tc>
          <w:tcPr>
            <w:tcW w:w="5796" w:type="dxa"/>
            <w:gridSpan w:val="2"/>
            <w:shd w:val="clear" w:color="auto" w:fill="009999"/>
            <w:vAlign w:val="bottom"/>
          </w:tcPr>
          <w:p w14:paraId="6246D21C" w14:textId="606F9A9D" w:rsidR="009F57F8" w:rsidRPr="0067297E" w:rsidRDefault="009F57F8" w:rsidP="003F4875">
            <w:pPr>
              <w:pStyle w:val="tableheading"/>
              <w:rPr>
                <w:rFonts w:asciiTheme="minorHAnsi" w:hAnsiTheme="minorHAnsi"/>
              </w:rPr>
            </w:pPr>
            <w:bookmarkStart w:id="325" w:name="_Toc23151179"/>
            <w:r w:rsidRPr="0067297E">
              <w:rPr>
                <w:rFonts w:asciiTheme="minorHAnsi" w:hAnsiTheme="minorHAnsi"/>
              </w:rPr>
              <w:t xml:space="preserve">Table </w:t>
            </w:r>
            <w:r w:rsidR="00E413E6" w:rsidRPr="0067297E">
              <w:rPr>
                <w:rFonts w:asciiTheme="minorHAnsi" w:hAnsiTheme="minorHAnsi"/>
              </w:rPr>
              <w:t>6.3</w:t>
            </w:r>
            <w:r w:rsidR="00DB7892" w:rsidRPr="0067297E">
              <w:rPr>
                <w:rFonts w:asciiTheme="minorHAnsi" w:hAnsiTheme="minorHAnsi"/>
              </w:rPr>
              <w:tab/>
            </w:r>
            <w:r w:rsidRPr="0067297E">
              <w:rPr>
                <w:rFonts w:asciiTheme="minorHAnsi" w:hAnsiTheme="minorHAnsi"/>
              </w:rPr>
              <w:t>Affordable need by number of bedrooms</w:t>
            </w:r>
            <w:bookmarkEnd w:id="325"/>
          </w:p>
        </w:tc>
      </w:tr>
      <w:tr w:rsidR="00DB7892" w:rsidRPr="0067297E" w14:paraId="5869B322" w14:textId="77777777" w:rsidTr="006C722F">
        <w:tc>
          <w:tcPr>
            <w:tcW w:w="2961" w:type="dxa"/>
            <w:shd w:val="clear" w:color="auto" w:fill="009999"/>
          </w:tcPr>
          <w:p w14:paraId="1B68E335" w14:textId="77777777" w:rsidR="009F57F8" w:rsidRPr="0067297E" w:rsidRDefault="009F57F8" w:rsidP="00DB7892">
            <w:pPr>
              <w:pStyle w:val="Reporttext"/>
              <w:numPr>
                <w:ilvl w:val="0"/>
                <w:numId w:val="0"/>
              </w:numPr>
              <w:spacing w:before="0" w:after="0"/>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No. Bedrooms</w:t>
            </w:r>
          </w:p>
        </w:tc>
        <w:tc>
          <w:tcPr>
            <w:tcW w:w="2835" w:type="dxa"/>
            <w:shd w:val="clear" w:color="auto" w:fill="009999"/>
          </w:tcPr>
          <w:p w14:paraId="21E1398E" w14:textId="77777777" w:rsidR="009F57F8" w:rsidRPr="0067297E" w:rsidRDefault="009F57F8" w:rsidP="00DB7892">
            <w:pPr>
              <w:pStyle w:val="Reporttext"/>
              <w:numPr>
                <w:ilvl w:val="0"/>
                <w:numId w:val="0"/>
              </w:numPr>
              <w:spacing w:before="0" w:after="0"/>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 of new affordable stock</w:t>
            </w:r>
          </w:p>
        </w:tc>
      </w:tr>
      <w:tr w:rsidR="009F57F8" w:rsidRPr="0067297E" w14:paraId="0633043B" w14:textId="77777777" w:rsidTr="006C722F">
        <w:tc>
          <w:tcPr>
            <w:tcW w:w="2961" w:type="dxa"/>
            <w:vAlign w:val="bottom"/>
          </w:tcPr>
          <w:p w14:paraId="6A0A022E" w14:textId="77777777" w:rsidR="009F57F8" w:rsidRPr="0067297E" w:rsidRDefault="009F57F8" w:rsidP="00DB7892">
            <w:pPr>
              <w:pStyle w:val="Reporttext"/>
              <w:numPr>
                <w:ilvl w:val="0"/>
                <w:numId w:val="0"/>
              </w:numPr>
              <w:spacing w:before="0" w:after="0"/>
              <w:jc w:val="center"/>
              <w:rPr>
                <w:rFonts w:asciiTheme="minorHAnsi" w:hAnsiTheme="minorHAnsi" w:cs="Calibri"/>
                <w:sz w:val="22"/>
                <w:szCs w:val="22"/>
              </w:rPr>
            </w:pPr>
            <w:r w:rsidRPr="0067297E">
              <w:rPr>
                <w:rFonts w:asciiTheme="minorHAnsi" w:hAnsiTheme="minorHAnsi" w:cs="Calibri"/>
                <w:color w:val="000000"/>
                <w:sz w:val="22"/>
                <w:szCs w:val="22"/>
              </w:rPr>
              <w:t>1 bed</w:t>
            </w:r>
          </w:p>
        </w:tc>
        <w:tc>
          <w:tcPr>
            <w:tcW w:w="2835" w:type="dxa"/>
            <w:vAlign w:val="bottom"/>
          </w:tcPr>
          <w:p w14:paraId="1D028EF5" w14:textId="77777777" w:rsidR="009F57F8" w:rsidRPr="0067297E" w:rsidRDefault="009F57F8" w:rsidP="00DB7892">
            <w:pPr>
              <w:pStyle w:val="Reporttext"/>
              <w:numPr>
                <w:ilvl w:val="0"/>
                <w:numId w:val="0"/>
              </w:numPr>
              <w:spacing w:before="0" w:after="0"/>
              <w:jc w:val="center"/>
              <w:rPr>
                <w:rFonts w:asciiTheme="minorHAnsi" w:hAnsiTheme="minorHAnsi" w:cs="Calibri"/>
                <w:sz w:val="22"/>
                <w:szCs w:val="22"/>
              </w:rPr>
            </w:pPr>
            <w:r w:rsidRPr="0067297E">
              <w:rPr>
                <w:rFonts w:asciiTheme="minorHAnsi" w:hAnsiTheme="minorHAnsi" w:cs="Calibri"/>
                <w:color w:val="000000"/>
                <w:sz w:val="22"/>
                <w:szCs w:val="22"/>
              </w:rPr>
              <w:t>22.8</w:t>
            </w:r>
          </w:p>
        </w:tc>
      </w:tr>
      <w:tr w:rsidR="009F57F8" w:rsidRPr="0067297E" w14:paraId="1BD50038" w14:textId="77777777" w:rsidTr="006C722F">
        <w:tc>
          <w:tcPr>
            <w:tcW w:w="2961" w:type="dxa"/>
            <w:vAlign w:val="bottom"/>
          </w:tcPr>
          <w:p w14:paraId="6E35F9E3" w14:textId="77777777" w:rsidR="009F57F8" w:rsidRPr="0067297E" w:rsidRDefault="009F57F8" w:rsidP="00DB7892">
            <w:pPr>
              <w:pStyle w:val="Reporttext"/>
              <w:numPr>
                <w:ilvl w:val="0"/>
                <w:numId w:val="0"/>
              </w:numPr>
              <w:spacing w:before="0" w:after="0"/>
              <w:jc w:val="center"/>
              <w:rPr>
                <w:rFonts w:asciiTheme="minorHAnsi" w:hAnsiTheme="minorHAnsi" w:cs="Calibri"/>
                <w:sz w:val="22"/>
                <w:szCs w:val="22"/>
              </w:rPr>
            </w:pPr>
            <w:r w:rsidRPr="0067297E">
              <w:rPr>
                <w:rFonts w:asciiTheme="minorHAnsi" w:hAnsiTheme="minorHAnsi" w:cs="Calibri"/>
                <w:color w:val="000000"/>
                <w:sz w:val="22"/>
                <w:szCs w:val="22"/>
              </w:rPr>
              <w:t>2 bed</w:t>
            </w:r>
          </w:p>
        </w:tc>
        <w:tc>
          <w:tcPr>
            <w:tcW w:w="2835" w:type="dxa"/>
            <w:vAlign w:val="bottom"/>
          </w:tcPr>
          <w:p w14:paraId="27C06AFC" w14:textId="77777777" w:rsidR="009F57F8" w:rsidRPr="0067297E" w:rsidRDefault="009F57F8" w:rsidP="00DB7892">
            <w:pPr>
              <w:pStyle w:val="Reporttext"/>
              <w:numPr>
                <w:ilvl w:val="0"/>
                <w:numId w:val="0"/>
              </w:numPr>
              <w:spacing w:before="0" w:after="0"/>
              <w:jc w:val="center"/>
              <w:rPr>
                <w:rFonts w:asciiTheme="minorHAnsi" w:hAnsiTheme="minorHAnsi" w:cs="Calibri"/>
                <w:sz w:val="22"/>
                <w:szCs w:val="22"/>
              </w:rPr>
            </w:pPr>
            <w:r w:rsidRPr="0067297E">
              <w:rPr>
                <w:rFonts w:asciiTheme="minorHAnsi" w:hAnsiTheme="minorHAnsi" w:cs="Calibri"/>
                <w:color w:val="000000"/>
                <w:sz w:val="22"/>
                <w:szCs w:val="22"/>
              </w:rPr>
              <w:t>37.1</w:t>
            </w:r>
          </w:p>
        </w:tc>
      </w:tr>
      <w:tr w:rsidR="009F57F8" w:rsidRPr="0067297E" w14:paraId="0872DC30" w14:textId="77777777" w:rsidTr="006C722F">
        <w:tc>
          <w:tcPr>
            <w:tcW w:w="2961" w:type="dxa"/>
            <w:vAlign w:val="bottom"/>
          </w:tcPr>
          <w:p w14:paraId="5576206F" w14:textId="77777777" w:rsidR="009F57F8" w:rsidRPr="0067297E" w:rsidRDefault="009F57F8" w:rsidP="00DB7892">
            <w:pPr>
              <w:pStyle w:val="Reporttext"/>
              <w:numPr>
                <w:ilvl w:val="0"/>
                <w:numId w:val="0"/>
              </w:numPr>
              <w:spacing w:before="0" w:after="0"/>
              <w:jc w:val="center"/>
              <w:rPr>
                <w:rFonts w:asciiTheme="minorHAnsi" w:hAnsiTheme="minorHAnsi" w:cs="Calibri"/>
                <w:sz w:val="22"/>
                <w:szCs w:val="22"/>
              </w:rPr>
            </w:pPr>
            <w:r w:rsidRPr="0067297E">
              <w:rPr>
                <w:rFonts w:asciiTheme="minorHAnsi" w:hAnsiTheme="minorHAnsi" w:cs="Calibri"/>
                <w:color w:val="000000"/>
                <w:sz w:val="22"/>
                <w:szCs w:val="22"/>
              </w:rPr>
              <w:t>3 bed</w:t>
            </w:r>
          </w:p>
        </w:tc>
        <w:tc>
          <w:tcPr>
            <w:tcW w:w="2835" w:type="dxa"/>
            <w:vAlign w:val="bottom"/>
          </w:tcPr>
          <w:p w14:paraId="2FC73617" w14:textId="77777777" w:rsidR="009F57F8" w:rsidRPr="0067297E" w:rsidRDefault="009F57F8" w:rsidP="00DB7892">
            <w:pPr>
              <w:pStyle w:val="Reporttext"/>
              <w:numPr>
                <w:ilvl w:val="0"/>
                <w:numId w:val="0"/>
              </w:numPr>
              <w:spacing w:before="0" w:after="0"/>
              <w:jc w:val="center"/>
              <w:rPr>
                <w:rFonts w:asciiTheme="minorHAnsi" w:hAnsiTheme="minorHAnsi" w:cs="Calibri"/>
                <w:sz w:val="22"/>
                <w:szCs w:val="22"/>
              </w:rPr>
            </w:pPr>
            <w:r w:rsidRPr="0067297E">
              <w:rPr>
                <w:rFonts w:asciiTheme="minorHAnsi" w:hAnsiTheme="minorHAnsi" w:cs="Calibri"/>
                <w:color w:val="000000"/>
                <w:sz w:val="22"/>
                <w:szCs w:val="22"/>
              </w:rPr>
              <w:t>27.4</w:t>
            </w:r>
          </w:p>
        </w:tc>
      </w:tr>
      <w:tr w:rsidR="009F57F8" w:rsidRPr="0067297E" w14:paraId="3DDA48A9" w14:textId="77777777" w:rsidTr="006C722F">
        <w:tc>
          <w:tcPr>
            <w:tcW w:w="2961" w:type="dxa"/>
            <w:vAlign w:val="bottom"/>
          </w:tcPr>
          <w:p w14:paraId="3975CA05" w14:textId="77777777" w:rsidR="009F57F8" w:rsidRPr="0067297E" w:rsidRDefault="009F57F8" w:rsidP="00DB7892">
            <w:pPr>
              <w:pStyle w:val="Reporttext"/>
              <w:numPr>
                <w:ilvl w:val="0"/>
                <w:numId w:val="0"/>
              </w:numPr>
              <w:spacing w:before="0" w:after="0"/>
              <w:jc w:val="center"/>
              <w:rPr>
                <w:rFonts w:asciiTheme="minorHAnsi" w:hAnsiTheme="minorHAnsi" w:cs="Calibri"/>
                <w:sz w:val="22"/>
                <w:szCs w:val="22"/>
              </w:rPr>
            </w:pPr>
            <w:r w:rsidRPr="0067297E">
              <w:rPr>
                <w:rFonts w:asciiTheme="minorHAnsi" w:hAnsiTheme="minorHAnsi" w:cs="Calibri"/>
                <w:color w:val="000000"/>
                <w:sz w:val="22"/>
                <w:szCs w:val="22"/>
              </w:rPr>
              <w:t>4 bed +</w:t>
            </w:r>
          </w:p>
        </w:tc>
        <w:tc>
          <w:tcPr>
            <w:tcW w:w="2835" w:type="dxa"/>
            <w:vAlign w:val="bottom"/>
          </w:tcPr>
          <w:p w14:paraId="76D3FE93" w14:textId="77777777" w:rsidR="009F57F8" w:rsidRPr="0067297E" w:rsidRDefault="009F57F8" w:rsidP="00DB7892">
            <w:pPr>
              <w:pStyle w:val="Reporttext"/>
              <w:numPr>
                <w:ilvl w:val="0"/>
                <w:numId w:val="0"/>
              </w:numPr>
              <w:spacing w:before="0" w:after="0"/>
              <w:jc w:val="center"/>
              <w:rPr>
                <w:rFonts w:asciiTheme="minorHAnsi" w:hAnsiTheme="minorHAnsi" w:cs="Calibri"/>
                <w:sz w:val="22"/>
                <w:szCs w:val="22"/>
              </w:rPr>
            </w:pPr>
            <w:r w:rsidRPr="0067297E">
              <w:rPr>
                <w:rFonts w:asciiTheme="minorHAnsi" w:hAnsiTheme="minorHAnsi" w:cs="Calibri"/>
                <w:color w:val="000000"/>
                <w:sz w:val="22"/>
                <w:szCs w:val="22"/>
              </w:rPr>
              <w:t>12.7</w:t>
            </w:r>
          </w:p>
        </w:tc>
      </w:tr>
      <w:tr w:rsidR="009F57F8" w:rsidRPr="0067297E" w14:paraId="676C9422" w14:textId="77777777" w:rsidTr="006C722F">
        <w:tc>
          <w:tcPr>
            <w:tcW w:w="2961" w:type="dxa"/>
            <w:vAlign w:val="bottom"/>
          </w:tcPr>
          <w:p w14:paraId="7A224D96" w14:textId="77777777" w:rsidR="009F57F8" w:rsidRPr="0067297E" w:rsidRDefault="009F57F8" w:rsidP="00DB7892">
            <w:pPr>
              <w:pStyle w:val="Reporttext"/>
              <w:numPr>
                <w:ilvl w:val="0"/>
                <w:numId w:val="0"/>
              </w:num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Total</w:t>
            </w:r>
          </w:p>
        </w:tc>
        <w:tc>
          <w:tcPr>
            <w:tcW w:w="2835" w:type="dxa"/>
            <w:vAlign w:val="bottom"/>
          </w:tcPr>
          <w:p w14:paraId="11077DAA" w14:textId="77777777" w:rsidR="009F57F8" w:rsidRPr="0067297E" w:rsidRDefault="009F57F8" w:rsidP="00DB7892">
            <w:pPr>
              <w:pStyle w:val="Reporttext"/>
              <w:numPr>
                <w:ilvl w:val="0"/>
                <w:numId w:val="0"/>
              </w:num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100.0</w:t>
            </w:r>
          </w:p>
        </w:tc>
      </w:tr>
    </w:tbl>
    <w:p w14:paraId="4B7BD117" w14:textId="77777777" w:rsidR="002B726A" w:rsidRPr="0067297E" w:rsidRDefault="002B726A" w:rsidP="00543A76">
      <w:pPr>
        <w:pStyle w:val="Reporttext"/>
        <w:numPr>
          <w:ilvl w:val="0"/>
          <w:numId w:val="0"/>
        </w:numPr>
        <w:ind w:left="720"/>
        <w:rPr>
          <w:rFonts w:asciiTheme="minorHAnsi" w:hAnsiTheme="minorHAnsi" w:cs="Calibri"/>
        </w:rPr>
      </w:pPr>
    </w:p>
    <w:p w14:paraId="6811390B" w14:textId="658C168F" w:rsidR="002B726A" w:rsidRPr="0067297E" w:rsidRDefault="002B726A" w:rsidP="00543A76">
      <w:pPr>
        <w:pStyle w:val="Reporttext"/>
        <w:rPr>
          <w:rFonts w:asciiTheme="minorHAnsi" w:hAnsiTheme="minorHAnsi" w:cs="Calibri"/>
        </w:rPr>
      </w:pPr>
      <w:r w:rsidRPr="0067297E">
        <w:rPr>
          <w:rFonts w:asciiTheme="minorHAnsi" w:hAnsiTheme="minorHAnsi" w:cs="Calibri"/>
        </w:rPr>
        <w:t xml:space="preserve">The </w:t>
      </w:r>
      <w:r w:rsidRPr="0067297E">
        <w:rPr>
          <w:rFonts w:asciiTheme="minorHAnsi" w:hAnsiTheme="minorHAnsi"/>
        </w:rPr>
        <w:t>assumptions</w:t>
      </w:r>
      <w:r w:rsidRPr="0067297E">
        <w:rPr>
          <w:rFonts w:asciiTheme="minorHAnsi" w:hAnsiTheme="minorHAnsi" w:cs="Calibri"/>
        </w:rPr>
        <w:t xml:space="preserve"> underpinning each stage of the needs assessment model are presented in Appendix </w:t>
      </w:r>
      <w:r w:rsidR="00255B16" w:rsidRPr="0067297E">
        <w:rPr>
          <w:rFonts w:asciiTheme="minorHAnsi" w:hAnsiTheme="minorHAnsi" w:cs="Calibri"/>
          <w:lang w:val="en-US"/>
        </w:rPr>
        <w:t>B</w:t>
      </w:r>
      <w:r w:rsidRPr="0067297E">
        <w:rPr>
          <w:rFonts w:asciiTheme="minorHAnsi" w:hAnsiTheme="minorHAnsi" w:cs="Calibri"/>
        </w:rPr>
        <w:t xml:space="preserve">. </w:t>
      </w:r>
    </w:p>
    <w:p w14:paraId="77C64517" w14:textId="142B46E4" w:rsidR="009C3189" w:rsidRPr="0067297E" w:rsidRDefault="009C3189" w:rsidP="00543A76">
      <w:pPr>
        <w:rPr>
          <w:rFonts w:asciiTheme="minorHAnsi" w:hAnsiTheme="minorHAnsi"/>
        </w:rPr>
      </w:pPr>
    </w:p>
    <w:p w14:paraId="3995BBDB" w14:textId="77777777" w:rsidR="00C12BC3" w:rsidRPr="0067297E" w:rsidRDefault="00C12BC3" w:rsidP="00C12BC3">
      <w:pPr>
        <w:pStyle w:val="Heading2"/>
        <w:rPr>
          <w:rFonts w:asciiTheme="minorHAnsi" w:hAnsiTheme="minorHAnsi"/>
        </w:rPr>
      </w:pPr>
      <w:bookmarkStart w:id="326" w:name="_Toc1385767"/>
      <w:bookmarkStart w:id="327" w:name="_Toc23151083"/>
      <w:r w:rsidRPr="0067297E">
        <w:rPr>
          <w:rFonts w:asciiTheme="minorHAnsi" w:hAnsiTheme="minorHAnsi"/>
        </w:rPr>
        <w:t>Tenure split</w:t>
      </w:r>
      <w:bookmarkEnd w:id="326"/>
      <w:bookmarkEnd w:id="327"/>
    </w:p>
    <w:p w14:paraId="40549D8B" w14:textId="704620AE" w:rsidR="00C12BC3" w:rsidRPr="0015368C" w:rsidRDefault="00C12BC3" w:rsidP="0015368C">
      <w:pPr>
        <w:pStyle w:val="Reporttext"/>
        <w:rPr>
          <w:rFonts w:asciiTheme="minorHAnsi" w:hAnsiTheme="minorHAnsi"/>
        </w:rPr>
      </w:pPr>
      <w:r w:rsidRPr="0067297E">
        <w:rPr>
          <w:rFonts w:asciiTheme="minorHAnsi" w:hAnsiTheme="minorHAnsi"/>
        </w:rPr>
        <w:t>In order to consider an ap</w:t>
      </w:r>
      <w:r w:rsidR="00320374" w:rsidRPr="0067297E">
        <w:rPr>
          <w:rFonts w:asciiTheme="minorHAnsi" w:hAnsiTheme="minorHAnsi"/>
          <w:lang w:val="en-US"/>
        </w:rPr>
        <w:t>propriate</w:t>
      </w:r>
      <w:r w:rsidRPr="0067297E">
        <w:rPr>
          <w:rFonts w:asciiTheme="minorHAnsi" w:hAnsiTheme="minorHAnsi"/>
        </w:rPr>
        <w:t xml:space="preserve"> affordable housing tenure split, the SHMA considers </w:t>
      </w:r>
      <w:r w:rsidR="00DA5DBD">
        <w:rPr>
          <w:rFonts w:asciiTheme="minorHAnsi" w:hAnsiTheme="minorHAnsi"/>
          <w:lang w:val="en-US"/>
        </w:rPr>
        <w:t xml:space="preserve">borough-level evidence of the relative affordability of alternative tenure options, past trends in delivery, London and national policy. </w:t>
      </w:r>
    </w:p>
    <w:p w14:paraId="7765DE39" w14:textId="77777777" w:rsidR="00DA5DBD" w:rsidRPr="0067297E" w:rsidRDefault="00DA5DBD" w:rsidP="00DA5DBD">
      <w:pPr>
        <w:pStyle w:val="Reporttext"/>
        <w:rPr>
          <w:rFonts w:asciiTheme="minorHAnsi" w:hAnsiTheme="minorHAnsi"/>
        </w:rPr>
      </w:pPr>
      <w:r w:rsidRPr="0067297E">
        <w:rPr>
          <w:rFonts w:asciiTheme="minorHAnsi" w:hAnsiTheme="minorHAnsi"/>
        </w:rPr>
        <w:t>As no income data is available from the housing register, CAMEO income data has been used to test the relative affordability of different affordable tenure options based on local prices (</w:t>
      </w:r>
      <w:r w:rsidRPr="0067297E">
        <w:rPr>
          <w:rFonts w:asciiTheme="minorHAnsi" w:hAnsiTheme="minorHAnsi"/>
          <w:lang w:val="en-GB"/>
        </w:rPr>
        <w:t>T</w:t>
      </w:r>
      <w:r w:rsidRPr="0067297E">
        <w:rPr>
          <w:rFonts w:asciiTheme="minorHAnsi" w:hAnsiTheme="minorHAnsi"/>
        </w:rPr>
        <w:t xml:space="preserve">able 6.4). What this analysis indicates is that rental options are more affordable than affordable home ownership options. </w:t>
      </w:r>
    </w:p>
    <w:p w14:paraId="3BE43B02" w14:textId="3C9EDAEF" w:rsidR="00DA5DBD" w:rsidRPr="0067297E" w:rsidRDefault="00DA5DBD" w:rsidP="00DA5DBD">
      <w:pPr>
        <w:rPr>
          <w:rFonts w:asciiTheme="minorHAnsi" w:hAnsiTheme="minorHAnsi"/>
          <w:lang w:val="x-none"/>
        </w:rPr>
      </w:pPr>
    </w:p>
    <w:tbl>
      <w:tblPr>
        <w:tblW w:w="8460" w:type="dxa"/>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991"/>
        <w:gridCol w:w="2800"/>
        <w:gridCol w:w="2669"/>
      </w:tblGrid>
      <w:tr w:rsidR="00DA5DBD" w:rsidRPr="0067297E" w14:paraId="6C71574E" w14:textId="77777777" w:rsidTr="00426BD8">
        <w:trPr>
          <w:trHeight w:val="340"/>
          <w:tblHeader/>
        </w:trPr>
        <w:tc>
          <w:tcPr>
            <w:tcW w:w="8460" w:type="dxa"/>
            <w:gridSpan w:val="3"/>
            <w:shd w:val="clear" w:color="auto" w:fill="009999"/>
            <w:vAlign w:val="bottom"/>
          </w:tcPr>
          <w:p w14:paraId="3DB88FCC" w14:textId="77777777" w:rsidR="00DA5DBD" w:rsidRPr="0067297E" w:rsidRDefault="00DA5DBD" w:rsidP="0015368C">
            <w:pPr>
              <w:pStyle w:val="tableheading"/>
              <w:rPr>
                <w:rFonts w:asciiTheme="minorHAnsi" w:hAnsiTheme="minorHAnsi"/>
              </w:rPr>
            </w:pPr>
            <w:bookmarkStart w:id="328" w:name="_Toc23151180"/>
            <w:r w:rsidRPr="0067297E">
              <w:rPr>
                <w:rFonts w:asciiTheme="minorHAnsi" w:hAnsiTheme="minorHAnsi"/>
              </w:rPr>
              <w:t>Table 6.4</w:t>
            </w:r>
            <w:r w:rsidRPr="0067297E">
              <w:rPr>
                <w:rFonts w:asciiTheme="minorHAnsi" w:hAnsiTheme="minorHAnsi"/>
              </w:rPr>
              <w:tab/>
              <w:t>Affor</w:t>
            </w:r>
            <w:r w:rsidRPr="0067297E">
              <w:rPr>
                <w:rFonts w:asciiTheme="minorHAnsi" w:hAnsiTheme="minorHAnsi"/>
                <w:lang w:val="en-GB"/>
              </w:rPr>
              <w:t>da</w:t>
            </w:r>
            <w:r w:rsidRPr="0067297E">
              <w:rPr>
                <w:rFonts w:asciiTheme="minorHAnsi" w:hAnsiTheme="minorHAnsi"/>
              </w:rPr>
              <w:t>bility of affordable tenure options</w:t>
            </w:r>
            <w:bookmarkEnd w:id="328"/>
          </w:p>
        </w:tc>
      </w:tr>
      <w:tr w:rsidR="00DA5DBD" w:rsidRPr="0067297E" w14:paraId="41E0C872" w14:textId="77777777" w:rsidTr="0015368C">
        <w:tc>
          <w:tcPr>
            <w:tcW w:w="2991" w:type="dxa"/>
            <w:shd w:val="clear" w:color="auto" w:fill="009999"/>
            <w:vAlign w:val="bottom"/>
            <w:hideMark/>
          </w:tcPr>
          <w:p w14:paraId="532F2F24" w14:textId="77777777" w:rsidR="00DA5DBD" w:rsidRPr="0067297E" w:rsidRDefault="00DA5DBD" w:rsidP="0015368C">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Tenure option</w:t>
            </w:r>
          </w:p>
        </w:tc>
        <w:tc>
          <w:tcPr>
            <w:tcW w:w="2800" w:type="dxa"/>
            <w:shd w:val="clear" w:color="auto" w:fill="009999"/>
            <w:noWrap/>
            <w:vAlign w:val="bottom"/>
            <w:hideMark/>
          </w:tcPr>
          <w:p w14:paraId="54304FD1" w14:textId="77777777" w:rsidR="00DA5DBD" w:rsidRPr="0067297E" w:rsidRDefault="00DA5DBD" w:rsidP="0015368C">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 can afford based on local income data</w:t>
            </w:r>
          </w:p>
        </w:tc>
        <w:tc>
          <w:tcPr>
            <w:tcW w:w="2669" w:type="dxa"/>
            <w:shd w:val="clear" w:color="auto" w:fill="009999"/>
            <w:noWrap/>
            <w:vAlign w:val="bottom"/>
            <w:hideMark/>
          </w:tcPr>
          <w:p w14:paraId="5C72F9AA" w14:textId="77777777" w:rsidR="00DA5DBD" w:rsidRPr="0067297E" w:rsidRDefault="00DA5DBD" w:rsidP="0015368C">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Rebased to 100%</w:t>
            </w:r>
            <w:r w:rsidRPr="0067297E">
              <w:rPr>
                <w:rStyle w:val="FootnoteReference"/>
                <w:rFonts w:asciiTheme="minorHAnsi" w:hAnsiTheme="minorHAnsi" w:cs="Calibri"/>
                <w:b/>
                <w:bCs/>
                <w:color w:val="FFFFFF"/>
                <w:sz w:val="22"/>
                <w:szCs w:val="22"/>
              </w:rPr>
              <w:footnoteReference w:id="38"/>
            </w:r>
          </w:p>
        </w:tc>
      </w:tr>
      <w:tr w:rsidR="00DA5DBD" w:rsidRPr="0067297E" w14:paraId="03EBF3E0" w14:textId="77777777" w:rsidTr="0015368C">
        <w:tc>
          <w:tcPr>
            <w:tcW w:w="2991" w:type="dxa"/>
            <w:shd w:val="clear" w:color="auto" w:fill="auto"/>
            <w:noWrap/>
            <w:vAlign w:val="bottom"/>
            <w:hideMark/>
          </w:tcPr>
          <w:p w14:paraId="6776A783" w14:textId="77777777" w:rsidR="00DA5DBD" w:rsidRPr="0067297E" w:rsidRDefault="00DA5DBD" w:rsidP="0015368C">
            <w:pPr>
              <w:rPr>
                <w:rFonts w:asciiTheme="minorHAnsi" w:hAnsiTheme="minorHAnsi" w:cs="Calibri"/>
                <w:color w:val="000000"/>
                <w:sz w:val="22"/>
                <w:szCs w:val="22"/>
              </w:rPr>
            </w:pPr>
            <w:r w:rsidRPr="0067297E">
              <w:rPr>
                <w:rFonts w:asciiTheme="minorHAnsi" w:hAnsiTheme="minorHAnsi" w:cs="Calibri"/>
                <w:color w:val="000000"/>
                <w:sz w:val="22"/>
                <w:szCs w:val="22"/>
              </w:rPr>
              <w:t xml:space="preserve">Social rent </w:t>
            </w:r>
          </w:p>
        </w:tc>
        <w:tc>
          <w:tcPr>
            <w:tcW w:w="2800" w:type="dxa"/>
            <w:shd w:val="clear" w:color="auto" w:fill="auto"/>
            <w:noWrap/>
            <w:vAlign w:val="bottom"/>
            <w:hideMark/>
          </w:tcPr>
          <w:p w14:paraId="4E052E39" w14:textId="77777777" w:rsidR="00DA5DBD" w:rsidRPr="0067297E" w:rsidRDefault="00DA5DBD"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70.5</w:t>
            </w:r>
          </w:p>
        </w:tc>
        <w:tc>
          <w:tcPr>
            <w:tcW w:w="2669" w:type="dxa"/>
            <w:shd w:val="clear" w:color="auto" w:fill="auto"/>
            <w:noWrap/>
            <w:vAlign w:val="bottom"/>
            <w:hideMark/>
          </w:tcPr>
          <w:p w14:paraId="37CB0E2F" w14:textId="77777777" w:rsidR="00DA5DBD" w:rsidRPr="0067297E" w:rsidRDefault="00DA5DBD"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51.5</w:t>
            </w:r>
          </w:p>
        </w:tc>
      </w:tr>
      <w:tr w:rsidR="00DA5DBD" w:rsidRPr="0067297E" w14:paraId="19213934" w14:textId="77777777" w:rsidTr="0015368C">
        <w:tc>
          <w:tcPr>
            <w:tcW w:w="2991" w:type="dxa"/>
            <w:shd w:val="clear" w:color="auto" w:fill="auto"/>
            <w:noWrap/>
            <w:vAlign w:val="bottom"/>
            <w:hideMark/>
          </w:tcPr>
          <w:p w14:paraId="0DF780D7" w14:textId="77777777" w:rsidR="00DA5DBD" w:rsidRPr="0067297E" w:rsidRDefault="00DA5DBD" w:rsidP="0015368C">
            <w:pPr>
              <w:rPr>
                <w:rFonts w:asciiTheme="minorHAnsi" w:hAnsiTheme="minorHAnsi" w:cs="Calibri"/>
                <w:color w:val="000000"/>
                <w:sz w:val="22"/>
                <w:szCs w:val="22"/>
              </w:rPr>
            </w:pPr>
            <w:r w:rsidRPr="0067297E">
              <w:rPr>
                <w:rFonts w:asciiTheme="minorHAnsi" w:hAnsiTheme="minorHAnsi" w:cs="Calibri"/>
                <w:color w:val="000000"/>
                <w:sz w:val="22"/>
                <w:szCs w:val="22"/>
              </w:rPr>
              <w:t>London Affordable rent</w:t>
            </w:r>
          </w:p>
        </w:tc>
        <w:tc>
          <w:tcPr>
            <w:tcW w:w="2800" w:type="dxa"/>
            <w:shd w:val="clear" w:color="auto" w:fill="auto"/>
            <w:noWrap/>
            <w:vAlign w:val="bottom"/>
            <w:hideMark/>
          </w:tcPr>
          <w:p w14:paraId="6B166EE0" w14:textId="77777777" w:rsidR="00DA5DBD" w:rsidRPr="0067297E" w:rsidRDefault="00DA5DBD"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45.2</w:t>
            </w:r>
          </w:p>
        </w:tc>
        <w:tc>
          <w:tcPr>
            <w:tcW w:w="2669" w:type="dxa"/>
            <w:shd w:val="clear" w:color="auto" w:fill="auto"/>
            <w:noWrap/>
            <w:vAlign w:val="bottom"/>
            <w:hideMark/>
          </w:tcPr>
          <w:p w14:paraId="56A87F1C" w14:textId="77777777" w:rsidR="00DA5DBD" w:rsidRPr="0067297E" w:rsidRDefault="00DA5DBD"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33.0</w:t>
            </w:r>
          </w:p>
        </w:tc>
      </w:tr>
      <w:tr w:rsidR="00DA5DBD" w:rsidRPr="0067297E" w14:paraId="2DA84F55" w14:textId="77777777" w:rsidTr="0015368C">
        <w:tc>
          <w:tcPr>
            <w:tcW w:w="2991" w:type="dxa"/>
            <w:shd w:val="clear" w:color="auto" w:fill="auto"/>
            <w:noWrap/>
            <w:vAlign w:val="bottom"/>
            <w:hideMark/>
          </w:tcPr>
          <w:p w14:paraId="2A9C462D" w14:textId="77777777" w:rsidR="00DA5DBD" w:rsidRPr="0067297E" w:rsidRDefault="00DA5DBD" w:rsidP="0015368C">
            <w:pPr>
              <w:rPr>
                <w:rFonts w:asciiTheme="minorHAnsi" w:hAnsiTheme="minorHAnsi" w:cs="Calibri"/>
                <w:color w:val="000000"/>
                <w:sz w:val="22"/>
                <w:szCs w:val="22"/>
              </w:rPr>
            </w:pPr>
            <w:r w:rsidRPr="0067297E">
              <w:rPr>
                <w:rFonts w:asciiTheme="minorHAnsi" w:hAnsiTheme="minorHAnsi" w:cs="Calibri"/>
                <w:color w:val="000000"/>
                <w:sz w:val="22"/>
                <w:szCs w:val="22"/>
              </w:rPr>
              <w:t>London Living Rent</w:t>
            </w:r>
          </w:p>
        </w:tc>
        <w:tc>
          <w:tcPr>
            <w:tcW w:w="2800" w:type="dxa"/>
            <w:shd w:val="clear" w:color="auto" w:fill="auto"/>
            <w:noWrap/>
            <w:vAlign w:val="bottom"/>
            <w:hideMark/>
          </w:tcPr>
          <w:p w14:paraId="483CEE5C" w14:textId="77777777" w:rsidR="00DA5DBD" w:rsidRPr="0067297E" w:rsidRDefault="00DA5DBD"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19.2</w:t>
            </w:r>
          </w:p>
        </w:tc>
        <w:tc>
          <w:tcPr>
            <w:tcW w:w="2669" w:type="dxa"/>
            <w:shd w:val="clear" w:color="auto" w:fill="auto"/>
            <w:noWrap/>
            <w:vAlign w:val="bottom"/>
            <w:hideMark/>
          </w:tcPr>
          <w:p w14:paraId="64911A3C" w14:textId="77777777" w:rsidR="00DA5DBD" w:rsidRPr="0067297E" w:rsidRDefault="00DA5DBD"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14.0</w:t>
            </w:r>
          </w:p>
        </w:tc>
      </w:tr>
      <w:tr w:rsidR="00DA5DBD" w:rsidRPr="0067297E" w14:paraId="61F8F1D0" w14:textId="77777777" w:rsidTr="0015368C">
        <w:tc>
          <w:tcPr>
            <w:tcW w:w="2991" w:type="dxa"/>
            <w:shd w:val="clear" w:color="auto" w:fill="auto"/>
            <w:noWrap/>
            <w:vAlign w:val="bottom"/>
            <w:hideMark/>
          </w:tcPr>
          <w:p w14:paraId="2CF83A0F" w14:textId="77777777" w:rsidR="00DA5DBD" w:rsidRPr="0067297E" w:rsidRDefault="00DA5DBD" w:rsidP="0015368C">
            <w:pPr>
              <w:rPr>
                <w:rFonts w:asciiTheme="minorHAnsi" w:hAnsiTheme="minorHAnsi" w:cs="Calibri"/>
                <w:color w:val="000000"/>
                <w:sz w:val="22"/>
                <w:szCs w:val="22"/>
              </w:rPr>
            </w:pPr>
            <w:r w:rsidRPr="0067297E">
              <w:rPr>
                <w:rFonts w:asciiTheme="minorHAnsi" w:hAnsiTheme="minorHAnsi" w:cs="Calibri"/>
                <w:color w:val="000000"/>
                <w:sz w:val="22"/>
                <w:szCs w:val="22"/>
              </w:rPr>
              <w:t>Shared ownership (25%)</w:t>
            </w:r>
          </w:p>
        </w:tc>
        <w:tc>
          <w:tcPr>
            <w:tcW w:w="2800" w:type="dxa"/>
            <w:shd w:val="clear" w:color="auto" w:fill="auto"/>
            <w:noWrap/>
            <w:vAlign w:val="bottom"/>
            <w:hideMark/>
          </w:tcPr>
          <w:p w14:paraId="49D8248B" w14:textId="77777777" w:rsidR="00DA5DBD" w:rsidRPr="0067297E" w:rsidRDefault="00DA5DBD"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2.0</w:t>
            </w:r>
          </w:p>
        </w:tc>
        <w:tc>
          <w:tcPr>
            <w:tcW w:w="2669" w:type="dxa"/>
            <w:shd w:val="clear" w:color="auto" w:fill="auto"/>
            <w:noWrap/>
            <w:vAlign w:val="bottom"/>
            <w:hideMark/>
          </w:tcPr>
          <w:p w14:paraId="03FED333" w14:textId="77777777" w:rsidR="00DA5DBD" w:rsidRPr="0067297E" w:rsidRDefault="00DA5DBD"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1.5</w:t>
            </w:r>
          </w:p>
        </w:tc>
      </w:tr>
    </w:tbl>
    <w:p w14:paraId="045A2788" w14:textId="77777777" w:rsidR="00585BC6" w:rsidRPr="00585BC6" w:rsidRDefault="00585BC6" w:rsidP="00585BC6">
      <w:pPr>
        <w:pStyle w:val="Reporttext"/>
        <w:numPr>
          <w:ilvl w:val="0"/>
          <w:numId w:val="0"/>
        </w:numPr>
        <w:ind w:left="709"/>
        <w:rPr>
          <w:rFonts w:asciiTheme="minorHAnsi" w:hAnsiTheme="minorHAnsi"/>
        </w:rPr>
      </w:pPr>
    </w:p>
    <w:p w14:paraId="18ED7367" w14:textId="5ABC4970" w:rsidR="00DA5DBD" w:rsidRDefault="00DC3A7C" w:rsidP="00C12BC3">
      <w:pPr>
        <w:pStyle w:val="Reporttext"/>
        <w:rPr>
          <w:rFonts w:asciiTheme="minorHAnsi" w:hAnsiTheme="minorHAnsi"/>
        </w:rPr>
      </w:pPr>
      <w:r>
        <w:rPr>
          <w:rFonts w:asciiTheme="minorHAnsi" w:hAnsiTheme="minorHAnsi"/>
          <w:lang w:val="en-US"/>
        </w:rPr>
        <w:t>This analysis points to a bespoke borough-level tenure split of 85% social/affordable rent and 15% intermediate tenure. This is based on the evidence of relative affordability of housing tenure options which are set out in paragraphs 4.72 to 4.90 and the recommendations made in paragraph 4.98.</w:t>
      </w:r>
    </w:p>
    <w:p w14:paraId="28367A66" w14:textId="4401FD99" w:rsidR="00DC3A7C" w:rsidRPr="0015368C" w:rsidRDefault="00DC3A7C" w:rsidP="0015368C">
      <w:pPr>
        <w:pStyle w:val="Reporttext"/>
        <w:rPr>
          <w:rFonts w:asciiTheme="minorHAnsi" w:hAnsiTheme="minorHAnsi"/>
        </w:rPr>
      </w:pPr>
      <w:r>
        <w:rPr>
          <w:rFonts w:asciiTheme="minorHAnsi" w:hAnsiTheme="minorHAnsi"/>
          <w:lang w:val="en-US"/>
        </w:rPr>
        <w:t xml:space="preserve">Regarding national policy, </w:t>
      </w:r>
      <w:r w:rsidR="00785D71">
        <w:rPr>
          <w:rFonts w:asciiTheme="minorHAnsi" w:hAnsiTheme="minorHAnsi"/>
          <w:lang w:val="en-US"/>
        </w:rPr>
        <w:t xml:space="preserve">the </w:t>
      </w:r>
      <w:r w:rsidR="00785D71" w:rsidRPr="0015368C">
        <w:rPr>
          <w:rFonts w:asciiTheme="minorHAnsi" w:hAnsiTheme="minorHAnsi"/>
        </w:rPr>
        <w:t>NPPF</w:t>
      </w:r>
      <w:r w:rsidRPr="0015368C">
        <w:rPr>
          <w:rFonts w:asciiTheme="minorHAnsi" w:hAnsiTheme="minorHAnsi"/>
        </w:rPr>
        <w:t xml:space="preserve"> also states that 10% of dwellings on larger sites should be made available for affordable home ownership</w:t>
      </w:r>
      <w:r>
        <w:rPr>
          <w:rFonts w:asciiTheme="minorHAnsi" w:hAnsiTheme="minorHAnsi"/>
          <w:lang w:val="en-US"/>
        </w:rPr>
        <w:t xml:space="preserve"> and the proposed tenure split is consistent with this policy.</w:t>
      </w:r>
    </w:p>
    <w:p w14:paraId="092CC74C" w14:textId="2918670F" w:rsidR="00C12BC3" w:rsidRPr="0067297E" w:rsidRDefault="00C12BC3" w:rsidP="00C12BC3">
      <w:pPr>
        <w:pStyle w:val="Reporttext"/>
        <w:rPr>
          <w:rFonts w:asciiTheme="minorHAnsi" w:hAnsiTheme="minorHAnsi"/>
        </w:rPr>
      </w:pPr>
      <w:r w:rsidRPr="0067297E">
        <w:rPr>
          <w:rFonts w:asciiTheme="minorHAnsi" w:hAnsiTheme="minorHAnsi"/>
        </w:rPr>
        <w:t>Policy H7 of the draft London Plan sets out a split of affordable products that should be applied to development:</w:t>
      </w:r>
    </w:p>
    <w:p w14:paraId="15E6745F" w14:textId="77777777" w:rsidR="00C12BC3" w:rsidRPr="0067297E" w:rsidRDefault="00C12BC3" w:rsidP="00C12BC3">
      <w:pPr>
        <w:pStyle w:val="bullet"/>
        <w:rPr>
          <w:rFonts w:asciiTheme="minorHAnsi" w:hAnsiTheme="minorHAnsi"/>
        </w:rPr>
      </w:pPr>
      <w:r w:rsidRPr="0067297E">
        <w:rPr>
          <w:rFonts w:asciiTheme="minorHAnsi" w:hAnsiTheme="minorHAnsi"/>
        </w:rPr>
        <w:t>A minimum of 30% low-cost rented homes, allocated according to need for Londoners on low incomes (Social Rent / London Affordable Rent);</w:t>
      </w:r>
    </w:p>
    <w:p w14:paraId="450B181C" w14:textId="77777777" w:rsidR="00C12BC3" w:rsidRPr="0067297E" w:rsidRDefault="00C12BC3" w:rsidP="00C12BC3">
      <w:pPr>
        <w:pStyle w:val="bullet"/>
        <w:rPr>
          <w:rFonts w:asciiTheme="minorHAnsi" w:hAnsiTheme="minorHAnsi"/>
        </w:rPr>
      </w:pPr>
      <w:r w:rsidRPr="0067297E">
        <w:rPr>
          <w:rFonts w:asciiTheme="minorHAnsi" w:hAnsiTheme="minorHAnsi"/>
        </w:rPr>
        <w:t>A minimum of 30% intermediate tenure products which meet the definition of affordable housing, including London Living Rent and London Shared Ownership;</w:t>
      </w:r>
    </w:p>
    <w:p w14:paraId="55A8BB78" w14:textId="6674500F" w:rsidR="00C12BC3" w:rsidRPr="0067297E" w:rsidRDefault="00C12BC3" w:rsidP="00C12BC3">
      <w:pPr>
        <w:pStyle w:val="bullet"/>
        <w:rPr>
          <w:rFonts w:asciiTheme="minorHAnsi" w:hAnsiTheme="minorHAnsi"/>
        </w:rPr>
      </w:pPr>
      <w:r w:rsidRPr="0067297E">
        <w:rPr>
          <w:rFonts w:asciiTheme="minorHAnsi" w:hAnsiTheme="minorHAnsi"/>
        </w:rPr>
        <w:t xml:space="preserve">40% to be </w:t>
      </w:r>
      <w:r w:rsidR="00320374" w:rsidRPr="0067297E">
        <w:rPr>
          <w:rFonts w:asciiTheme="minorHAnsi" w:hAnsiTheme="minorHAnsi"/>
          <w:lang w:val="en-GB"/>
        </w:rPr>
        <w:t>determined</w:t>
      </w:r>
      <w:r w:rsidRPr="0067297E">
        <w:rPr>
          <w:rFonts w:asciiTheme="minorHAnsi" w:hAnsiTheme="minorHAnsi"/>
        </w:rPr>
        <w:t xml:space="preserve"> by the relevant </w:t>
      </w:r>
      <w:r w:rsidR="00320374" w:rsidRPr="0067297E">
        <w:rPr>
          <w:rFonts w:asciiTheme="minorHAnsi" w:hAnsiTheme="minorHAnsi"/>
          <w:lang w:val="en-GB"/>
        </w:rPr>
        <w:t>borough</w:t>
      </w:r>
      <w:r w:rsidRPr="0067297E">
        <w:rPr>
          <w:rFonts w:asciiTheme="minorHAnsi" w:hAnsiTheme="minorHAnsi"/>
        </w:rPr>
        <w:t xml:space="preserve"> based on identified need, provided they are consistent with the definition of affordable housing </w:t>
      </w:r>
    </w:p>
    <w:p w14:paraId="2ED8B522" w14:textId="2A866BB6" w:rsidR="00DC3A7C" w:rsidRPr="00550FDD" w:rsidRDefault="00DC3A7C" w:rsidP="0015368C">
      <w:pPr>
        <w:pStyle w:val="Reporttext"/>
        <w:rPr>
          <w:lang w:val="en-GB"/>
        </w:rPr>
      </w:pPr>
      <w:r w:rsidRPr="0015368C">
        <w:rPr>
          <w:rFonts w:asciiTheme="minorHAnsi" w:hAnsiTheme="minorHAnsi"/>
        </w:rPr>
        <w:t>If</w:t>
      </w:r>
      <w:r w:rsidRPr="00550FDD">
        <w:rPr>
          <w:lang w:val="en-GB"/>
        </w:rPr>
        <w:t xml:space="preserve"> the Council is minded to adopt the approach taken in Policy H7 of the Draft London Plan, then all of the remaining 40% to be determined at the borough level should be social rent/affordable rent, creating a 70:30 tenure split.</w:t>
      </w:r>
      <w:r>
        <w:rPr>
          <w:lang w:val="en-GB"/>
        </w:rPr>
        <w:t xml:space="preserve"> This result is also consistent with the tenure split policies of the 2011 Core Strategy.</w:t>
      </w:r>
    </w:p>
    <w:p w14:paraId="1C2B18F2" w14:textId="77777777" w:rsidR="00854A79" w:rsidRDefault="00854A79" w:rsidP="00155035">
      <w:bookmarkStart w:id="329" w:name="_Toc1385768"/>
      <w:bookmarkEnd w:id="316"/>
      <w:bookmarkEnd w:id="317"/>
    </w:p>
    <w:p w14:paraId="1B6AA629" w14:textId="3F041F21" w:rsidR="00CC5CC3" w:rsidRPr="0067297E" w:rsidRDefault="00A41563" w:rsidP="00543A76">
      <w:pPr>
        <w:pStyle w:val="Heading2"/>
        <w:ind w:left="720" w:hanging="11"/>
        <w:rPr>
          <w:rFonts w:asciiTheme="minorHAnsi" w:hAnsiTheme="minorHAnsi" w:cs="Calibri"/>
          <w:lang w:val="en-GB"/>
        </w:rPr>
      </w:pPr>
      <w:bookmarkStart w:id="330" w:name="_Toc23151084"/>
      <w:r w:rsidRPr="0067297E">
        <w:rPr>
          <w:rFonts w:asciiTheme="minorHAnsi" w:hAnsiTheme="minorHAnsi" w:cs="Calibri"/>
          <w:lang w:val="en-GB"/>
        </w:rPr>
        <w:t>Identifying the need for different types of housing</w:t>
      </w:r>
      <w:bookmarkEnd w:id="329"/>
      <w:bookmarkEnd w:id="330"/>
    </w:p>
    <w:p w14:paraId="657541F1" w14:textId="77777777" w:rsidR="001511A9" w:rsidRPr="0067297E" w:rsidRDefault="001511A9" w:rsidP="00320374">
      <w:pPr>
        <w:pStyle w:val="Heading3"/>
        <w:rPr>
          <w:rFonts w:asciiTheme="minorHAnsi" w:hAnsiTheme="minorHAnsi"/>
        </w:rPr>
      </w:pPr>
      <w:bookmarkStart w:id="331" w:name="_Toc360192638"/>
      <w:bookmarkStart w:id="332" w:name="_Toc398711716"/>
      <w:bookmarkStart w:id="333" w:name="_Toc399864403"/>
      <w:bookmarkStart w:id="334" w:name="_Toc321860596"/>
      <w:bookmarkStart w:id="335" w:name="_Toc341182619"/>
      <w:r w:rsidRPr="0067297E">
        <w:rPr>
          <w:rFonts w:asciiTheme="minorHAnsi" w:hAnsiTheme="minorHAnsi"/>
        </w:rPr>
        <w:t>Introduction</w:t>
      </w:r>
      <w:bookmarkEnd w:id="331"/>
      <w:bookmarkEnd w:id="332"/>
      <w:bookmarkEnd w:id="333"/>
    </w:p>
    <w:p w14:paraId="5E6FAC97" w14:textId="6CA9FEF2" w:rsidR="002C5ED2" w:rsidRPr="0067297E" w:rsidRDefault="002C5ED2" w:rsidP="00543A76">
      <w:pPr>
        <w:pStyle w:val="Reporttext"/>
        <w:rPr>
          <w:rFonts w:asciiTheme="minorHAnsi" w:hAnsiTheme="minorHAnsi" w:cs="Calibri"/>
        </w:rPr>
      </w:pPr>
      <w:r w:rsidRPr="0067297E">
        <w:rPr>
          <w:rFonts w:asciiTheme="minorHAnsi" w:hAnsiTheme="minorHAnsi" w:cs="Calibri"/>
          <w:lang w:val="en-GB"/>
        </w:rPr>
        <w:t xml:space="preserve">The NPPF </w:t>
      </w:r>
      <w:r w:rsidR="00FF0436" w:rsidRPr="0067297E">
        <w:rPr>
          <w:rFonts w:asciiTheme="minorHAnsi" w:hAnsiTheme="minorHAnsi" w:cs="Calibri"/>
          <w:lang w:val="en-GB"/>
        </w:rPr>
        <w:t>2019</w:t>
      </w:r>
      <w:r w:rsidR="00BC6D95" w:rsidRPr="0067297E">
        <w:rPr>
          <w:rFonts w:asciiTheme="minorHAnsi" w:hAnsiTheme="minorHAnsi" w:cs="Calibri"/>
          <w:lang w:val="en-GB"/>
        </w:rPr>
        <w:t xml:space="preserve"> </w:t>
      </w:r>
      <w:r w:rsidRPr="0067297E">
        <w:rPr>
          <w:rFonts w:asciiTheme="minorHAnsi" w:hAnsiTheme="minorHAnsi" w:cs="Calibri"/>
          <w:lang w:val="en-GB"/>
        </w:rPr>
        <w:t>(Paragraph 61) acknowledges that t</w:t>
      </w:r>
      <w:r w:rsidRPr="0067297E">
        <w:rPr>
          <w:rFonts w:asciiTheme="minorHAnsi" w:hAnsiTheme="minorHAnsi" w:cs="Calibri"/>
        </w:rPr>
        <w:t>here are a range of household groups who have particular housing requirements</w:t>
      </w:r>
      <w:r w:rsidRPr="0067297E">
        <w:rPr>
          <w:rFonts w:asciiTheme="minorHAnsi" w:hAnsiTheme="minorHAnsi" w:cs="Calibri"/>
          <w:lang w:val="en-GB"/>
        </w:rPr>
        <w:t>. It sets out that the needs of different groups should be assessed and reflected in planning policy in terms of the size, type and tenure of housing. It states that these households include, but are not limited to: those who require affordable housing, families with children, older people, students, people with disabilities, service families, travellers, people who rent their homes and people wishing to commission or build their own homes.</w:t>
      </w:r>
    </w:p>
    <w:p w14:paraId="7D3D0839" w14:textId="30E22D1E" w:rsidR="001511A9" w:rsidRPr="0067297E" w:rsidRDefault="002C5ED2" w:rsidP="00543A76">
      <w:pPr>
        <w:pStyle w:val="Reporttext"/>
        <w:rPr>
          <w:rFonts w:asciiTheme="minorHAnsi" w:hAnsiTheme="minorHAnsi" w:cs="Calibri"/>
        </w:rPr>
      </w:pPr>
      <w:r w:rsidRPr="0067297E">
        <w:rPr>
          <w:rFonts w:asciiTheme="minorHAnsi" w:hAnsiTheme="minorHAnsi" w:cs="Calibri"/>
          <w:lang w:val="en-GB"/>
        </w:rPr>
        <w:t>The needs of those who require affordable housing have been addressed in the previous section of this chapter. The following sections lo</w:t>
      </w:r>
      <w:r w:rsidR="00CD7272" w:rsidRPr="0067297E">
        <w:rPr>
          <w:rFonts w:asciiTheme="minorHAnsi" w:hAnsiTheme="minorHAnsi" w:cs="Calibri"/>
          <w:lang w:val="en-GB"/>
        </w:rPr>
        <w:t>ok at other groups and consider</w:t>
      </w:r>
      <w:r w:rsidRPr="0067297E">
        <w:rPr>
          <w:rFonts w:asciiTheme="minorHAnsi" w:hAnsiTheme="minorHAnsi" w:cs="Calibri"/>
          <w:lang w:val="en-GB"/>
        </w:rPr>
        <w:t xml:space="preserve"> their particular housing needs</w:t>
      </w:r>
      <w:r w:rsidR="004609A1" w:rsidRPr="0067297E">
        <w:rPr>
          <w:rFonts w:asciiTheme="minorHAnsi" w:hAnsiTheme="minorHAnsi" w:cs="Calibri"/>
          <w:lang w:val="en-GB"/>
        </w:rPr>
        <w:t>.</w:t>
      </w:r>
    </w:p>
    <w:p w14:paraId="6FE9B016" w14:textId="77777777" w:rsidR="00496076" w:rsidRPr="0067297E" w:rsidRDefault="00496076" w:rsidP="00496076">
      <w:pPr>
        <w:pStyle w:val="Reporttext"/>
        <w:numPr>
          <w:ilvl w:val="0"/>
          <w:numId w:val="0"/>
        </w:numPr>
        <w:ind w:left="709"/>
        <w:rPr>
          <w:rFonts w:asciiTheme="minorHAnsi" w:hAnsiTheme="minorHAnsi" w:cs="Calibri"/>
        </w:rPr>
      </w:pPr>
    </w:p>
    <w:p w14:paraId="5C4159ED" w14:textId="176E52E1" w:rsidR="00C5084D" w:rsidRPr="0067297E" w:rsidRDefault="00C5084D" w:rsidP="00320374">
      <w:pPr>
        <w:pStyle w:val="Heading3"/>
        <w:rPr>
          <w:rFonts w:asciiTheme="minorHAnsi" w:hAnsiTheme="minorHAnsi"/>
        </w:rPr>
      </w:pPr>
      <w:r w:rsidRPr="0067297E">
        <w:rPr>
          <w:rFonts w:asciiTheme="minorHAnsi" w:hAnsiTheme="minorHAnsi"/>
        </w:rPr>
        <w:t>Housing for Families</w:t>
      </w:r>
    </w:p>
    <w:p w14:paraId="29717E13" w14:textId="73EE0EEE" w:rsidR="00D87564" w:rsidRPr="0067297E" w:rsidRDefault="00D87564" w:rsidP="000256AC">
      <w:pPr>
        <w:pStyle w:val="Reporttext"/>
        <w:tabs>
          <w:tab w:val="clear" w:pos="709"/>
        </w:tabs>
        <w:rPr>
          <w:rFonts w:asciiTheme="minorHAnsi" w:hAnsiTheme="minorHAnsi" w:cs="Calibri"/>
        </w:rPr>
      </w:pPr>
      <w:bookmarkStart w:id="336" w:name="_Toc360192639"/>
      <w:bookmarkStart w:id="337" w:name="_Toc398711717"/>
      <w:bookmarkStart w:id="338" w:name="_Toc399864404"/>
      <w:r w:rsidRPr="0067297E">
        <w:rPr>
          <w:rFonts w:asciiTheme="minorHAnsi" w:hAnsiTheme="minorHAnsi" w:cs="Calibri"/>
        </w:rPr>
        <w:t xml:space="preserve">The 2011 Census found that families (that is couples and lone parents) with children account for 35.9% of households across the </w:t>
      </w:r>
      <w:r w:rsidR="00F91A82" w:rsidRPr="0067297E">
        <w:rPr>
          <w:rFonts w:asciiTheme="minorHAnsi" w:hAnsiTheme="minorHAnsi" w:cs="Calibri"/>
        </w:rPr>
        <w:t>borough</w:t>
      </w:r>
      <w:r w:rsidRPr="0067297E">
        <w:rPr>
          <w:rFonts w:asciiTheme="minorHAnsi" w:hAnsiTheme="minorHAnsi" w:cs="Calibri"/>
        </w:rPr>
        <w:t>. Of these, 27.3% of households are families with dependent children and 8.7% of all households are couples and lone parents with non-dependent children (aged 18 or over) living with them.</w:t>
      </w:r>
    </w:p>
    <w:p w14:paraId="01FE730D" w14:textId="365F0800" w:rsidR="00D87564" w:rsidRPr="00364B9E" w:rsidRDefault="00D87564" w:rsidP="006C722F">
      <w:pPr>
        <w:pStyle w:val="Reporttext"/>
        <w:tabs>
          <w:tab w:val="clear" w:pos="709"/>
        </w:tabs>
        <w:rPr>
          <w:rFonts w:asciiTheme="minorHAnsi" w:hAnsiTheme="minorHAnsi" w:cs="Calibri"/>
        </w:rPr>
      </w:pPr>
      <w:r w:rsidRPr="0067297E">
        <w:rPr>
          <w:rFonts w:asciiTheme="minorHAnsi" w:hAnsiTheme="minorHAnsi" w:cs="Calibri"/>
        </w:rPr>
        <w:t>According to the 2014-based CLG household projections, the number of households with children is expected to increase by around 6,300 over the period 2018-2033</w:t>
      </w:r>
      <w:r w:rsidR="00F91A82" w:rsidRPr="0067297E">
        <w:rPr>
          <w:rFonts w:asciiTheme="minorHAnsi" w:hAnsiTheme="minorHAnsi" w:cs="Calibri"/>
        </w:rPr>
        <w:t>. Arc</w:t>
      </w:r>
      <w:r w:rsidR="00F91A82" w:rsidRPr="0067297E">
        <w:rPr>
          <w:rFonts w:asciiTheme="minorHAnsi" w:hAnsiTheme="minorHAnsi" w:cs="Calibri"/>
          <w:vertAlign w:val="superscript"/>
        </w:rPr>
        <w:t>4</w:t>
      </w:r>
      <w:r w:rsidR="00F91A82" w:rsidRPr="0067297E">
        <w:rPr>
          <w:rFonts w:asciiTheme="minorHAnsi" w:hAnsiTheme="minorHAnsi" w:cs="Calibri"/>
        </w:rPr>
        <w:t xml:space="preserve"> national data (Table </w:t>
      </w:r>
      <w:r w:rsidR="00203E57" w:rsidRPr="0067297E">
        <w:rPr>
          <w:rFonts w:asciiTheme="minorHAnsi" w:hAnsiTheme="minorHAnsi" w:cs="Calibri"/>
          <w:lang w:val="en-US"/>
        </w:rPr>
        <w:t>6.5</w:t>
      </w:r>
      <w:r w:rsidRPr="0067297E">
        <w:rPr>
          <w:rFonts w:asciiTheme="minorHAnsi" w:hAnsiTheme="minorHAnsi" w:cs="Calibri"/>
        </w:rPr>
        <w:t>) indicates that families require the following range of dwellings, with a particular emphasis on the delivery for three and four bedroom stock. Nationally, 75.3% of families live in three and four bedroom dwellings. There is a particular aspiration towards living in a four bedroom dwelling but families tend to expect to move to a three bedroom dwelling.</w:t>
      </w:r>
      <w:r w:rsidR="00FC75C2" w:rsidRPr="0067297E">
        <w:rPr>
          <w:rFonts w:asciiTheme="minorHAnsi" w:hAnsiTheme="minorHAnsi" w:cs="Calibri"/>
          <w:lang w:val="en-GB"/>
        </w:rPr>
        <w:t xml:space="preserve"> </w:t>
      </w:r>
    </w:p>
    <w:tbl>
      <w:tblPr>
        <w:tblW w:w="7893" w:type="dxa"/>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400"/>
        <w:gridCol w:w="1808"/>
        <w:gridCol w:w="1843"/>
        <w:gridCol w:w="1842"/>
      </w:tblGrid>
      <w:tr w:rsidR="00D87564" w:rsidRPr="0067297E" w:rsidDel="002742AC" w14:paraId="206C4EE8" w14:textId="05BA1FED" w:rsidTr="00426BD8">
        <w:trPr>
          <w:trHeight w:val="300"/>
          <w:tblHeader/>
        </w:trPr>
        <w:tc>
          <w:tcPr>
            <w:tcW w:w="7893" w:type="dxa"/>
            <w:gridSpan w:val="4"/>
            <w:shd w:val="clear" w:color="auto" w:fill="009999"/>
            <w:noWrap/>
            <w:vAlign w:val="bottom"/>
          </w:tcPr>
          <w:p w14:paraId="54A0305D" w14:textId="0C0E08AE" w:rsidR="00D87564" w:rsidRPr="0067297E" w:rsidDel="002742AC" w:rsidRDefault="00F91A82" w:rsidP="003F4875">
            <w:pPr>
              <w:pStyle w:val="tableheading"/>
              <w:rPr>
                <w:rFonts w:asciiTheme="minorHAnsi" w:hAnsiTheme="minorHAnsi"/>
              </w:rPr>
            </w:pPr>
            <w:bookmarkStart w:id="339" w:name="_Toc397250686"/>
            <w:bookmarkStart w:id="340" w:name="_Toc23151181"/>
            <w:r w:rsidRPr="0067297E" w:rsidDel="002742AC">
              <w:rPr>
                <w:rFonts w:asciiTheme="minorHAnsi" w:hAnsiTheme="minorHAnsi"/>
              </w:rPr>
              <w:t xml:space="preserve">Table </w:t>
            </w:r>
            <w:r w:rsidR="00203E57" w:rsidRPr="0067297E" w:rsidDel="002742AC">
              <w:rPr>
                <w:rFonts w:asciiTheme="minorHAnsi" w:hAnsiTheme="minorHAnsi"/>
              </w:rPr>
              <w:t>6.5</w:t>
            </w:r>
            <w:r w:rsidR="006C722F" w:rsidRPr="0067297E" w:rsidDel="002742AC">
              <w:rPr>
                <w:rFonts w:asciiTheme="minorHAnsi" w:hAnsiTheme="minorHAnsi"/>
              </w:rPr>
              <w:tab/>
            </w:r>
            <w:r w:rsidR="00D87564" w:rsidRPr="0067297E" w:rsidDel="002742AC">
              <w:rPr>
                <w:rFonts w:asciiTheme="minorHAnsi" w:hAnsiTheme="minorHAnsi"/>
              </w:rPr>
              <w:t>Family housing choices</w:t>
            </w:r>
            <w:bookmarkEnd w:id="339"/>
            <w:bookmarkEnd w:id="340"/>
          </w:p>
        </w:tc>
      </w:tr>
      <w:tr w:rsidR="00D87564" w:rsidRPr="0067297E" w:rsidDel="002742AC" w14:paraId="66577173" w14:textId="4CDB0FFC" w:rsidTr="00070C83">
        <w:trPr>
          <w:trHeight w:val="300"/>
        </w:trPr>
        <w:tc>
          <w:tcPr>
            <w:tcW w:w="2400" w:type="dxa"/>
            <w:shd w:val="clear" w:color="auto" w:fill="009999"/>
            <w:noWrap/>
            <w:vAlign w:val="bottom"/>
            <w:hideMark/>
          </w:tcPr>
          <w:p w14:paraId="761BDC11" w14:textId="5067727B" w:rsidR="00D87564" w:rsidRPr="0067297E" w:rsidDel="002742AC" w:rsidRDefault="00D87564" w:rsidP="006C722F">
            <w:pPr>
              <w:rPr>
                <w:rFonts w:asciiTheme="minorHAnsi" w:hAnsiTheme="minorHAnsi" w:cs="Calibri"/>
                <w:b/>
                <w:color w:val="FFFFFF" w:themeColor="background1"/>
                <w:sz w:val="22"/>
                <w:szCs w:val="22"/>
              </w:rPr>
            </w:pPr>
            <w:r w:rsidRPr="0067297E" w:rsidDel="002742AC">
              <w:rPr>
                <w:rFonts w:asciiTheme="minorHAnsi" w:hAnsiTheme="minorHAnsi" w:cs="Calibri"/>
                <w:b/>
                <w:color w:val="FFFFFF" w:themeColor="background1"/>
                <w:sz w:val="22"/>
                <w:szCs w:val="22"/>
              </w:rPr>
              <w:t> </w:t>
            </w:r>
          </w:p>
        </w:tc>
        <w:tc>
          <w:tcPr>
            <w:tcW w:w="1808" w:type="dxa"/>
            <w:shd w:val="clear" w:color="auto" w:fill="009999"/>
            <w:noWrap/>
            <w:vAlign w:val="bottom"/>
            <w:hideMark/>
          </w:tcPr>
          <w:p w14:paraId="60D7CFCB" w14:textId="298AA51A" w:rsidR="006C722F" w:rsidRPr="0067297E" w:rsidDel="002742AC" w:rsidRDefault="00D87564" w:rsidP="006C722F">
            <w:pPr>
              <w:jc w:val="center"/>
              <w:rPr>
                <w:rFonts w:asciiTheme="minorHAnsi" w:hAnsiTheme="minorHAnsi" w:cs="Calibri"/>
                <w:b/>
                <w:color w:val="FFFFFF" w:themeColor="background1"/>
                <w:sz w:val="22"/>
                <w:szCs w:val="22"/>
              </w:rPr>
            </w:pPr>
            <w:r w:rsidRPr="0067297E" w:rsidDel="002742AC">
              <w:rPr>
                <w:rFonts w:asciiTheme="minorHAnsi" w:hAnsiTheme="minorHAnsi" w:cs="Calibri"/>
                <w:b/>
                <w:color w:val="FFFFFF" w:themeColor="background1"/>
                <w:sz w:val="22"/>
                <w:szCs w:val="22"/>
              </w:rPr>
              <w:t>Current Dwelling</w:t>
            </w:r>
          </w:p>
          <w:p w14:paraId="25D66473" w14:textId="46ECA293" w:rsidR="00D87564" w:rsidRPr="0067297E" w:rsidDel="002742AC" w:rsidRDefault="00D87564" w:rsidP="006C722F">
            <w:pPr>
              <w:jc w:val="center"/>
              <w:rPr>
                <w:rFonts w:asciiTheme="minorHAnsi" w:hAnsiTheme="minorHAnsi" w:cs="Calibri"/>
                <w:b/>
                <w:color w:val="FFFFFF" w:themeColor="background1"/>
                <w:sz w:val="22"/>
                <w:szCs w:val="22"/>
              </w:rPr>
            </w:pPr>
            <w:r w:rsidRPr="0067297E" w:rsidDel="002742AC">
              <w:rPr>
                <w:rFonts w:asciiTheme="minorHAnsi" w:hAnsiTheme="minorHAnsi" w:cs="Calibri"/>
                <w:b/>
                <w:color w:val="FFFFFF" w:themeColor="background1"/>
                <w:sz w:val="22"/>
                <w:szCs w:val="22"/>
              </w:rPr>
              <w:t>(%)</w:t>
            </w:r>
          </w:p>
        </w:tc>
        <w:tc>
          <w:tcPr>
            <w:tcW w:w="1843" w:type="dxa"/>
            <w:shd w:val="clear" w:color="auto" w:fill="009999"/>
            <w:noWrap/>
            <w:vAlign w:val="bottom"/>
            <w:hideMark/>
          </w:tcPr>
          <w:p w14:paraId="2B73100A" w14:textId="62F22932" w:rsidR="006C722F" w:rsidRPr="0067297E" w:rsidDel="002742AC" w:rsidRDefault="00D87564" w:rsidP="006C722F">
            <w:pPr>
              <w:jc w:val="center"/>
              <w:rPr>
                <w:rFonts w:asciiTheme="minorHAnsi" w:hAnsiTheme="minorHAnsi" w:cs="Calibri"/>
                <w:b/>
                <w:color w:val="FFFFFF" w:themeColor="background1"/>
                <w:sz w:val="22"/>
                <w:szCs w:val="22"/>
              </w:rPr>
            </w:pPr>
            <w:r w:rsidRPr="0067297E" w:rsidDel="002742AC">
              <w:rPr>
                <w:rFonts w:asciiTheme="minorHAnsi" w:hAnsiTheme="minorHAnsi" w:cs="Calibri"/>
                <w:b/>
                <w:color w:val="FFFFFF" w:themeColor="background1"/>
                <w:sz w:val="22"/>
                <w:szCs w:val="22"/>
              </w:rPr>
              <w:t>Aspiration</w:t>
            </w:r>
          </w:p>
          <w:p w14:paraId="2CD85563" w14:textId="7F236011" w:rsidR="00D87564" w:rsidRPr="0067297E" w:rsidDel="002742AC" w:rsidRDefault="00D87564" w:rsidP="006C722F">
            <w:pPr>
              <w:jc w:val="center"/>
              <w:rPr>
                <w:rFonts w:asciiTheme="minorHAnsi" w:hAnsiTheme="minorHAnsi" w:cs="Calibri"/>
                <w:b/>
                <w:color w:val="FFFFFF" w:themeColor="background1"/>
                <w:sz w:val="22"/>
                <w:szCs w:val="22"/>
              </w:rPr>
            </w:pPr>
            <w:r w:rsidRPr="0067297E" w:rsidDel="002742AC">
              <w:rPr>
                <w:rFonts w:asciiTheme="minorHAnsi" w:hAnsiTheme="minorHAnsi" w:cs="Calibri"/>
                <w:b/>
                <w:color w:val="FFFFFF" w:themeColor="background1"/>
                <w:sz w:val="22"/>
                <w:szCs w:val="22"/>
              </w:rPr>
              <w:t>(%)</w:t>
            </w:r>
          </w:p>
        </w:tc>
        <w:tc>
          <w:tcPr>
            <w:tcW w:w="1842" w:type="dxa"/>
            <w:shd w:val="clear" w:color="auto" w:fill="009999"/>
            <w:noWrap/>
            <w:vAlign w:val="bottom"/>
            <w:hideMark/>
          </w:tcPr>
          <w:p w14:paraId="3020F0BC" w14:textId="4E01C4A3" w:rsidR="006C722F" w:rsidRPr="0067297E" w:rsidDel="002742AC" w:rsidRDefault="00D87564" w:rsidP="006C722F">
            <w:pPr>
              <w:jc w:val="center"/>
              <w:rPr>
                <w:rFonts w:asciiTheme="minorHAnsi" w:hAnsiTheme="minorHAnsi" w:cs="Calibri"/>
                <w:b/>
                <w:color w:val="FFFFFF" w:themeColor="background1"/>
                <w:sz w:val="22"/>
                <w:szCs w:val="22"/>
              </w:rPr>
            </w:pPr>
            <w:r w:rsidRPr="0067297E" w:rsidDel="002742AC">
              <w:rPr>
                <w:rFonts w:asciiTheme="minorHAnsi" w:hAnsiTheme="minorHAnsi" w:cs="Calibri"/>
                <w:b/>
                <w:color w:val="FFFFFF" w:themeColor="background1"/>
                <w:sz w:val="22"/>
                <w:szCs w:val="22"/>
              </w:rPr>
              <w:t>Expectation</w:t>
            </w:r>
          </w:p>
          <w:p w14:paraId="025086FE" w14:textId="34E19342" w:rsidR="00D87564" w:rsidRPr="0067297E" w:rsidDel="002742AC" w:rsidRDefault="00D87564" w:rsidP="006C722F">
            <w:pPr>
              <w:jc w:val="center"/>
              <w:rPr>
                <w:rFonts w:asciiTheme="minorHAnsi" w:hAnsiTheme="minorHAnsi" w:cs="Calibri"/>
                <w:b/>
                <w:color w:val="FFFFFF" w:themeColor="background1"/>
                <w:sz w:val="22"/>
                <w:szCs w:val="22"/>
              </w:rPr>
            </w:pPr>
            <w:r w:rsidRPr="0067297E" w:rsidDel="002742AC">
              <w:rPr>
                <w:rFonts w:asciiTheme="minorHAnsi" w:hAnsiTheme="minorHAnsi" w:cs="Calibri"/>
                <w:b/>
                <w:color w:val="FFFFFF" w:themeColor="background1"/>
                <w:sz w:val="22"/>
                <w:szCs w:val="22"/>
              </w:rPr>
              <w:t>(%)</w:t>
            </w:r>
          </w:p>
        </w:tc>
      </w:tr>
      <w:tr w:rsidR="00D87564" w:rsidRPr="0067297E" w:rsidDel="002742AC" w14:paraId="37446661" w14:textId="3F2FC5B8" w:rsidTr="00070C83">
        <w:trPr>
          <w:trHeight w:val="300"/>
        </w:trPr>
        <w:tc>
          <w:tcPr>
            <w:tcW w:w="2400" w:type="dxa"/>
            <w:shd w:val="clear" w:color="auto" w:fill="auto"/>
            <w:noWrap/>
            <w:vAlign w:val="bottom"/>
            <w:hideMark/>
          </w:tcPr>
          <w:p w14:paraId="43A824F1" w14:textId="448AC45E" w:rsidR="00D87564" w:rsidRPr="0067297E" w:rsidDel="002742AC" w:rsidRDefault="00D87564" w:rsidP="006C722F">
            <w:pPr>
              <w:rPr>
                <w:rFonts w:asciiTheme="minorHAnsi" w:hAnsiTheme="minorHAnsi" w:cs="Calibri"/>
                <w:color w:val="000000"/>
                <w:sz w:val="22"/>
                <w:szCs w:val="22"/>
              </w:rPr>
            </w:pPr>
            <w:r w:rsidRPr="0067297E" w:rsidDel="002742AC">
              <w:rPr>
                <w:rFonts w:asciiTheme="minorHAnsi" w:hAnsiTheme="minorHAnsi" w:cs="Calibri"/>
                <w:color w:val="000000"/>
                <w:sz w:val="22"/>
                <w:szCs w:val="22"/>
              </w:rPr>
              <w:t>1/2 Bed</w:t>
            </w:r>
          </w:p>
        </w:tc>
        <w:tc>
          <w:tcPr>
            <w:tcW w:w="1808" w:type="dxa"/>
            <w:shd w:val="clear" w:color="auto" w:fill="auto"/>
            <w:noWrap/>
            <w:vAlign w:val="bottom"/>
            <w:hideMark/>
          </w:tcPr>
          <w:p w14:paraId="249E0C11" w14:textId="1A9C2351"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17.5</w:t>
            </w:r>
          </w:p>
        </w:tc>
        <w:tc>
          <w:tcPr>
            <w:tcW w:w="1843" w:type="dxa"/>
            <w:shd w:val="clear" w:color="auto" w:fill="auto"/>
            <w:noWrap/>
            <w:vAlign w:val="bottom"/>
            <w:hideMark/>
          </w:tcPr>
          <w:p w14:paraId="5E41ABD6" w14:textId="730393BE"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7.7</w:t>
            </w:r>
          </w:p>
        </w:tc>
        <w:tc>
          <w:tcPr>
            <w:tcW w:w="1842" w:type="dxa"/>
            <w:shd w:val="clear" w:color="auto" w:fill="auto"/>
            <w:noWrap/>
            <w:vAlign w:val="bottom"/>
            <w:hideMark/>
          </w:tcPr>
          <w:p w14:paraId="186A0B68" w14:textId="6B47DE80"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16.4</w:t>
            </w:r>
          </w:p>
        </w:tc>
      </w:tr>
      <w:tr w:rsidR="00D87564" w:rsidRPr="0067297E" w:rsidDel="002742AC" w14:paraId="3C146DFF" w14:textId="39ECA1BA" w:rsidTr="00070C83">
        <w:trPr>
          <w:trHeight w:val="300"/>
        </w:trPr>
        <w:tc>
          <w:tcPr>
            <w:tcW w:w="2400" w:type="dxa"/>
            <w:shd w:val="clear" w:color="auto" w:fill="auto"/>
            <w:noWrap/>
            <w:vAlign w:val="bottom"/>
            <w:hideMark/>
          </w:tcPr>
          <w:p w14:paraId="561869A9" w14:textId="26C0E901" w:rsidR="00D87564" w:rsidRPr="0067297E" w:rsidDel="002742AC" w:rsidRDefault="00D87564" w:rsidP="006C722F">
            <w:pPr>
              <w:rPr>
                <w:rFonts w:asciiTheme="minorHAnsi" w:hAnsiTheme="minorHAnsi" w:cs="Calibri"/>
                <w:color w:val="000000"/>
                <w:sz w:val="22"/>
                <w:szCs w:val="22"/>
              </w:rPr>
            </w:pPr>
            <w:r w:rsidRPr="0067297E" w:rsidDel="002742AC">
              <w:rPr>
                <w:rFonts w:asciiTheme="minorHAnsi" w:hAnsiTheme="minorHAnsi" w:cs="Calibri"/>
                <w:color w:val="000000"/>
                <w:sz w:val="22"/>
                <w:szCs w:val="22"/>
              </w:rPr>
              <w:t>3 Bed House</w:t>
            </w:r>
          </w:p>
        </w:tc>
        <w:tc>
          <w:tcPr>
            <w:tcW w:w="1808" w:type="dxa"/>
            <w:shd w:val="clear" w:color="auto" w:fill="auto"/>
            <w:noWrap/>
            <w:vAlign w:val="bottom"/>
            <w:hideMark/>
          </w:tcPr>
          <w:p w14:paraId="019A4ABF" w14:textId="51B797F0"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45.7</w:t>
            </w:r>
          </w:p>
        </w:tc>
        <w:tc>
          <w:tcPr>
            <w:tcW w:w="1843" w:type="dxa"/>
            <w:shd w:val="clear" w:color="auto" w:fill="auto"/>
            <w:noWrap/>
            <w:vAlign w:val="bottom"/>
            <w:hideMark/>
          </w:tcPr>
          <w:p w14:paraId="17322667" w14:textId="0B4CC475"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37.8</w:t>
            </w:r>
          </w:p>
        </w:tc>
        <w:tc>
          <w:tcPr>
            <w:tcW w:w="1842" w:type="dxa"/>
            <w:shd w:val="clear" w:color="auto" w:fill="auto"/>
            <w:noWrap/>
            <w:vAlign w:val="bottom"/>
            <w:hideMark/>
          </w:tcPr>
          <w:p w14:paraId="79F80CEA" w14:textId="1B19700F"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45.3</w:t>
            </w:r>
          </w:p>
        </w:tc>
      </w:tr>
      <w:tr w:rsidR="00D87564" w:rsidRPr="0067297E" w:rsidDel="002742AC" w14:paraId="453BB5FB" w14:textId="28C6A7EA" w:rsidTr="00070C83">
        <w:trPr>
          <w:trHeight w:val="300"/>
        </w:trPr>
        <w:tc>
          <w:tcPr>
            <w:tcW w:w="2400" w:type="dxa"/>
            <w:shd w:val="clear" w:color="auto" w:fill="auto"/>
            <w:noWrap/>
            <w:vAlign w:val="bottom"/>
            <w:hideMark/>
          </w:tcPr>
          <w:p w14:paraId="76CCB0F7" w14:textId="460531D7" w:rsidR="00D87564" w:rsidRPr="0067297E" w:rsidDel="002742AC" w:rsidRDefault="00D87564" w:rsidP="006C722F">
            <w:pPr>
              <w:rPr>
                <w:rFonts w:asciiTheme="minorHAnsi" w:hAnsiTheme="minorHAnsi" w:cs="Calibri"/>
                <w:color w:val="000000"/>
                <w:sz w:val="22"/>
                <w:szCs w:val="22"/>
              </w:rPr>
            </w:pPr>
            <w:r w:rsidRPr="0067297E" w:rsidDel="002742AC">
              <w:rPr>
                <w:rFonts w:asciiTheme="minorHAnsi" w:hAnsiTheme="minorHAnsi" w:cs="Calibri"/>
                <w:color w:val="000000"/>
                <w:sz w:val="22"/>
                <w:szCs w:val="22"/>
              </w:rPr>
              <w:t>4 or more Bed House</w:t>
            </w:r>
          </w:p>
        </w:tc>
        <w:tc>
          <w:tcPr>
            <w:tcW w:w="1808" w:type="dxa"/>
            <w:shd w:val="clear" w:color="auto" w:fill="auto"/>
            <w:noWrap/>
            <w:vAlign w:val="bottom"/>
            <w:hideMark/>
          </w:tcPr>
          <w:p w14:paraId="25ADF210" w14:textId="5055D3B4"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29.6</w:t>
            </w:r>
          </w:p>
        </w:tc>
        <w:tc>
          <w:tcPr>
            <w:tcW w:w="1843" w:type="dxa"/>
            <w:shd w:val="clear" w:color="auto" w:fill="auto"/>
            <w:noWrap/>
            <w:vAlign w:val="bottom"/>
            <w:hideMark/>
          </w:tcPr>
          <w:p w14:paraId="1D2C0CE2" w14:textId="07A78EFD"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44.4</w:t>
            </w:r>
          </w:p>
        </w:tc>
        <w:tc>
          <w:tcPr>
            <w:tcW w:w="1842" w:type="dxa"/>
            <w:shd w:val="clear" w:color="auto" w:fill="auto"/>
            <w:noWrap/>
            <w:vAlign w:val="bottom"/>
            <w:hideMark/>
          </w:tcPr>
          <w:p w14:paraId="3DF6EF00" w14:textId="42253748"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28.0</w:t>
            </w:r>
          </w:p>
        </w:tc>
      </w:tr>
      <w:tr w:rsidR="00D87564" w:rsidRPr="0067297E" w:rsidDel="002742AC" w14:paraId="5A6C7E73" w14:textId="71DB84F1" w:rsidTr="00070C83">
        <w:trPr>
          <w:trHeight w:val="300"/>
        </w:trPr>
        <w:tc>
          <w:tcPr>
            <w:tcW w:w="2400" w:type="dxa"/>
            <w:shd w:val="clear" w:color="auto" w:fill="auto"/>
            <w:noWrap/>
            <w:vAlign w:val="bottom"/>
            <w:hideMark/>
          </w:tcPr>
          <w:p w14:paraId="1EC13600" w14:textId="68247EEB" w:rsidR="00D87564" w:rsidRPr="0067297E" w:rsidDel="002742AC" w:rsidRDefault="00D87564" w:rsidP="006C722F">
            <w:pPr>
              <w:rPr>
                <w:rFonts w:asciiTheme="minorHAnsi" w:hAnsiTheme="minorHAnsi" w:cs="Calibri"/>
                <w:color w:val="000000"/>
                <w:sz w:val="22"/>
                <w:szCs w:val="22"/>
              </w:rPr>
            </w:pPr>
            <w:r w:rsidRPr="0067297E" w:rsidDel="002742AC">
              <w:rPr>
                <w:rFonts w:asciiTheme="minorHAnsi" w:hAnsiTheme="minorHAnsi" w:cs="Calibri"/>
                <w:color w:val="000000"/>
                <w:sz w:val="22"/>
                <w:szCs w:val="22"/>
              </w:rPr>
              <w:t>1/2 Bed Flat</w:t>
            </w:r>
          </w:p>
        </w:tc>
        <w:tc>
          <w:tcPr>
            <w:tcW w:w="1808" w:type="dxa"/>
            <w:shd w:val="clear" w:color="auto" w:fill="auto"/>
            <w:noWrap/>
            <w:vAlign w:val="bottom"/>
            <w:hideMark/>
          </w:tcPr>
          <w:p w14:paraId="75417357" w14:textId="5B25DF14"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4.0</w:t>
            </w:r>
          </w:p>
        </w:tc>
        <w:tc>
          <w:tcPr>
            <w:tcW w:w="1843" w:type="dxa"/>
            <w:shd w:val="clear" w:color="auto" w:fill="auto"/>
            <w:noWrap/>
            <w:vAlign w:val="bottom"/>
            <w:hideMark/>
          </w:tcPr>
          <w:p w14:paraId="6AF2CC89" w14:textId="56EBD6B5"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1.9</w:t>
            </w:r>
          </w:p>
        </w:tc>
        <w:tc>
          <w:tcPr>
            <w:tcW w:w="1842" w:type="dxa"/>
            <w:shd w:val="clear" w:color="auto" w:fill="auto"/>
            <w:noWrap/>
            <w:vAlign w:val="bottom"/>
            <w:hideMark/>
          </w:tcPr>
          <w:p w14:paraId="7F9D8E64" w14:textId="3098D2CB"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3.5</w:t>
            </w:r>
          </w:p>
        </w:tc>
      </w:tr>
      <w:tr w:rsidR="00D87564" w:rsidRPr="0067297E" w:rsidDel="002742AC" w14:paraId="2B7E495B" w14:textId="084CEE29" w:rsidTr="00070C83">
        <w:trPr>
          <w:trHeight w:val="300"/>
        </w:trPr>
        <w:tc>
          <w:tcPr>
            <w:tcW w:w="2400" w:type="dxa"/>
            <w:shd w:val="clear" w:color="auto" w:fill="auto"/>
            <w:noWrap/>
            <w:vAlign w:val="bottom"/>
            <w:hideMark/>
          </w:tcPr>
          <w:p w14:paraId="0F3BDFD1" w14:textId="0D881188" w:rsidR="00D87564" w:rsidRPr="0067297E" w:rsidDel="002742AC" w:rsidRDefault="00D87564" w:rsidP="006C722F">
            <w:pPr>
              <w:rPr>
                <w:rFonts w:asciiTheme="minorHAnsi" w:hAnsiTheme="minorHAnsi" w:cs="Calibri"/>
                <w:color w:val="000000"/>
                <w:sz w:val="22"/>
                <w:szCs w:val="22"/>
              </w:rPr>
            </w:pPr>
            <w:r w:rsidRPr="0067297E" w:rsidDel="002742AC">
              <w:rPr>
                <w:rFonts w:asciiTheme="minorHAnsi" w:hAnsiTheme="minorHAnsi" w:cs="Calibri"/>
                <w:color w:val="000000"/>
                <w:sz w:val="22"/>
                <w:szCs w:val="22"/>
              </w:rPr>
              <w:t>3+ Bed Flat</w:t>
            </w:r>
          </w:p>
        </w:tc>
        <w:tc>
          <w:tcPr>
            <w:tcW w:w="1808" w:type="dxa"/>
            <w:shd w:val="clear" w:color="auto" w:fill="auto"/>
            <w:noWrap/>
            <w:vAlign w:val="bottom"/>
            <w:hideMark/>
          </w:tcPr>
          <w:p w14:paraId="070606D5" w14:textId="38154B2D"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0.6</w:t>
            </w:r>
          </w:p>
        </w:tc>
        <w:tc>
          <w:tcPr>
            <w:tcW w:w="1843" w:type="dxa"/>
            <w:shd w:val="clear" w:color="auto" w:fill="auto"/>
            <w:noWrap/>
            <w:vAlign w:val="bottom"/>
            <w:hideMark/>
          </w:tcPr>
          <w:p w14:paraId="0D40CBCF" w14:textId="23F1BCBD"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0.8</w:t>
            </w:r>
          </w:p>
        </w:tc>
        <w:tc>
          <w:tcPr>
            <w:tcW w:w="1842" w:type="dxa"/>
            <w:shd w:val="clear" w:color="auto" w:fill="auto"/>
            <w:noWrap/>
            <w:vAlign w:val="bottom"/>
            <w:hideMark/>
          </w:tcPr>
          <w:p w14:paraId="09D7810B" w14:textId="0BE26BC4"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0.7</w:t>
            </w:r>
          </w:p>
        </w:tc>
      </w:tr>
      <w:tr w:rsidR="00D87564" w:rsidRPr="0067297E" w:rsidDel="002742AC" w14:paraId="551D1B72" w14:textId="3591327D" w:rsidTr="00070C83">
        <w:trPr>
          <w:trHeight w:val="300"/>
        </w:trPr>
        <w:tc>
          <w:tcPr>
            <w:tcW w:w="2400" w:type="dxa"/>
            <w:shd w:val="clear" w:color="auto" w:fill="auto"/>
            <w:noWrap/>
            <w:vAlign w:val="bottom"/>
            <w:hideMark/>
          </w:tcPr>
          <w:p w14:paraId="26D0F10A" w14:textId="0A5957F7" w:rsidR="00D87564" w:rsidRPr="0067297E" w:rsidDel="002742AC" w:rsidRDefault="00D87564" w:rsidP="006C722F">
            <w:pPr>
              <w:rPr>
                <w:rFonts w:asciiTheme="minorHAnsi" w:hAnsiTheme="minorHAnsi" w:cs="Calibri"/>
                <w:color w:val="000000"/>
                <w:sz w:val="22"/>
                <w:szCs w:val="22"/>
              </w:rPr>
            </w:pPr>
            <w:r w:rsidRPr="0067297E" w:rsidDel="002742AC">
              <w:rPr>
                <w:rFonts w:asciiTheme="minorHAnsi" w:hAnsiTheme="minorHAnsi" w:cs="Calibri"/>
                <w:color w:val="000000"/>
                <w:sz w:val="22"/>
                <w:szCs w:val="22"/>
              </w:rPr>
              <w:t>1/2 Bed Bungalow</w:t>
            </w:r>
          </w:p>
        </w:tc>
        <w:tc>
          <w:tcPr>
            <w:tcW w:w="1808" w:type="dxa"/>
            <w:shd w:val="clear" w:color="auto" w:fill="auto"/>
            <w:noWrap/>
            <w:vAlign w:val="bottom"/>
            <w:hideMark/>
          </w:tcPr>
          <w:p w14:paraId="38BBE353" w14:textId="209053A2"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0.7</w:t>
            </w:r>
          </w:p>
        </w:tc>
        <w:tc>
          <w:tcPr>
            <w:tcW w:w="1843" w:type="dxa"/>
            <w:shd w:val="clear" w:color="auto" w:fill="auto"/>
            <w:noWrap/>
            <w:vAlign w:val="bottom"/>
            <w:hideMark/>
          </w:tcPr>
          <w:p w14:paraId="1B0CC710" w14:textId="5BE52A78"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2.5</w:t>
            </w:r>
          </w:p>
        </w:tc>
        <w:tc>
          <w:tcPr>
            <w:tcW w:w="1842" w:type="dxa"/>
            <w:shd w:val="clear" w:color="auto" w:fill="auto"/>
            <w:noWrap/>
            <w:vAlign w:val="bottom"/>
            <w:hideMark/>
          </w:tcPr>
          <w:p w14:paraId="543D7778" w14:textId="019B156A"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2.9</w:t>
            </w:r>
          </w:p>
        </w:tc>
      </w:tr>
      <w:tr w:rsidR="00D87564" w:rsidRPr="0067297E" w:rsidDel="002742AC" w14:paraId="6E801B03" w14:textId="75192CEF" w:rsidTr="00070C83">
        <w:trPr>
          <w:trHeight w:val="300"/>
        </w:trPr>
        <w:tc>
          <w:tcPr>
            <w:tcW w:w="2400" w:type="dxa"/>
            <w:shd w:val="clear" w:color="auto" w:fill="auto"/>
            <w:noWrap/>
            <w:vAlign w:val="bottom"/>
            <w:hideMark/>
          </w:tcPr>
          <w:p w14:paraId="58B2D0FC" w14:textId="1E4ABAFB" w:rsidR="00D87564" w:rsidRPr="0067297E" w:rsidDel="002742AC" w:rsidRDefault="00D87564" w:rsidP="006C722F">
            <w:pPr>
              <w:rPr>
                <w:rFonts w:asciiTheme="minorHAnsi" w:hAnsiTheme="minorHAnsi" w:cs="Calibri"/>
                <w:color w:val="000000"/>
                <w:sz w:val="22"/>
                <w:szCs w:val="22"/>
              </w:rPr>
            </w:pPr>
            <w:r w:rsidRPr="0067297E" w:rsidDel="002742AC">
              <w:rPr>
                <w:rFonts w:asciiTheme="minorHAnsi" w:hAnsiTheme="minorHAnsi" w:cs="Calibri"/>
                <w:color w:val="000000"/>
                <w:sz w:val="22"/>
                <w:szCs w:val="22"/>
              </w:rPr>
              <w:t>3+ Bed Bungalow</w:t>
            </w:r>
          </w:p>
        </w:tc>
        <w:tc>
          <w:tcPr>
            <w:tcW w:w="1808" w:type="dxa"/>
            <w:shd w:val="clear" w:color="auto" w:fill="auto"/>
            <w:noWrap/>
            <w:vAlign w:val="bottom"/>
            <w:hideMark/>
          </w:tcPr>
          <w:p w14:paraId="5F0834F4" w14:textId="33F3FEC2"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1.6</w:t>
            </w:r>
          </w:p>
        </w:tc>
        <w:tc>
          <w:tcPr>
            <w:tcW w:w="1843" w:type="dxa"/>
            <w:shd w:val="clear" w:color="auto" w:fill="auto"/>
            <w:noWrap/>
            <w:vAlign w:val="bottom"/>
            <w:hideMark/>
          </w:tcPr>
          <w:p w14:paraId="58E45393" w14:textId="32812E92"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3.6</w:t>
            </w:r>
          </w:p>
        </w:tc>
        <w:tc>
          <w:tcPr>
            <w:tcW w:w="1842" w:type="dxa"/>
            <w:shd w:val="clear" w:color="auto" w:fill="auto"/>
            <w:noWrap/>
            <w:vAlign w:val="bottom"/>
            <w:hideMark/>
          </w:tcPr>
          <w:p w14:paraId="4A670D90" w14:textId="20E46591"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2.2</w:t>
            </w:r>
          </w:p>
        </w:tc>
      </w:tr>
      <w:tr w:rsidR="00D87564" w:rsidRPr="0067297E" w:rsidDel="002742AC" w14:paraId="798C8143" w14:textId="5C19274D" w:rsidTr="00070C83">
        <w:trPr>
          <w:trHeight w:val="300"/>
        </w:trPr>
        <w:tc>
          <w:tcPr>
            <w:tcW w:w="2400" w:type="dxa"/>
            <w:shd w:val="clear" w:color="auto" w:fill="auto"/>
            <w:noWrap/>
            <w:vAlign w:val="bottom"/>
            <w:hideMark/>
          </w:tcPr>
          <w:p w14:paraId="439929CA" w14:textId="61DDD50B" w:rsidR="00D87564" w:rsidRPr="0067297E" w:rsidDel="002742AC" w:rsidRDefault="00D87564" w:rsidP="006C722F">
            <w:pPr>
              <w:rPr>
                <w:rFonts w:asciiTheme="minorHAnsi" w:hAnsiTheme="minorHAnsi" w:cs="Calibri"/>
                <w:color w:val="000000"/>
                <w:sz w:val="22"/>
                <w:szCs w:val="22"/>
              </w:rPr>
            </w:pPr>
            <w:r w:rsidRPr="0067297E" w:rsidDel="002742AC">
              <w:rPr>
                <w:rFonts w:asciiTheme="minorHAnsi" w:hAnsiTheme="minorHAnsi" w:cs="Calibri"/>
                <w:color w:val="000000"/>
                <w:sz w:val="22"/>
                <w:szCs w:val="22"/>
              </w:rPr>
              <w:t>Other</w:t>
            </w:r>
          </w:p>
        </w:tc>
        <w:tc>
          <w:tcPr>
            <w:tcW w:w="1808" w:type="dxa"/>
            <w:shd w:val="clear" w:color="auto" w:fill="auto"/>
            <w:noWrap/>
            <w:vAlign w:val="bottom"/>
            <w:hideMark/>
          </w:tcPr>
          <w:p w14:paraId="65E51335" w14:textId="1642E988"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0.2</w:t>
            </w:r>
          </w:p>
        </w:tc>
        <w:tc>
          <w:tcPr>
            <w:tcW w:w="1843" w:type="dxa"/>
            <w:shd w:val="clear" w:color="auto" w:fill="auto"/>
            <w:noWrap/>
            <w:vAlign w:val="bottom"/>
            <w:hideMark/>
          </w:tcPr>
          <w:p w14:paraId="201EB684" w14:textId="2005B46A"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1.2</w:t>
            </w:r>
          </w:p>
        </w:tc>
        <w:tc>
          <w:tcPr>
            <w:tcW w:w="1842" w:type="dxa"/>
            <w:shd w:val="clear" w:color="auto" w:fill="auto"/>
            <w:noWrap/>
            <w:vAlign w:val="bottom"/>
            <w:hideMark/>
          </w:tcPr>
          <w:p w14:paraId="554CACC2" w14:textId="15E70E38"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1.1</w:t>
            </w:r>
          </w:p>
        </w:tc>
      </w:tr>
      <w:tr w:rsidR="00D87564" w:rsidRPr="0067297E" w:rsidDel="002742AC" w14:paraId="29535C1E" w14:textId="7A4CDB8E" w:rsidTr="00070C83">
        <w:trPr>
          <w:trHeight w:val="300"/>
        </w:trPr>
        <w:tc>
          <w:tcPr>
            <w:tcW w:w="2400" w:type="dxa"/>
            <w:shd w:val="clear" w:color="auto" w:fill="auto"/>
            <w:noWrap/>
            <w:vAlign w:val="bottom"/>
            <w:hideMark/>
          </w:tcPr>
          <w:p w14:paraId="1E47F209" w14:textId="4C058E36" w:rsidR="00D87564" w:rsidRPr="0067297E" w:rsidDel="002742AC" w:rsidRDefault="00D87564" w:rsidP="006C722F">
            <w:pPr>
              <w:rPr>
                <w:rFonts w:asciiTheme="minorHAnsi" w:hAnsiTheme="minorHAnsi" w:cs="Calibri"/>
                <w:color w:val="000000"/>
                <w:sz w:val="22"/>
                <w:szCs w:val="22"/>
              </w:rPr>
            </w:pPr>
            <w:r w:rsidRPr="0067297E" w:rsidDel="002742AC">
              <w:rPr>
                <w:rFonts w:asciiTheme="minorHAnsi" w:hAnsiTheme="minorHAnsi" w:cs="Calibri"/>
                <w:color w:val="000000"/>
                <w:sz w:val="22"/>
                <w:szCs w:val="22"/>
              </w:rPr>
              <w:t>TOTAL</w:t>
            </w:r>
          </w:p>
        </w:tc>
        <w:tc>
          <w:tcPr>
            <w:tcW w:w="1808" w:type="dxa"/>
            <w:shd w:val="clear" w:color="auto" w:fill="auto"/>
            <w:noWrap/>
            <w:vAlign w:val="bottom"/>
            <w:hideMark/>
          </w:tcPr>
          <w:p w14:paraId="491CFF23" w14:textId="0C2D9446"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100.0</w:t>
            </w:r>
          </w:p>
        </w:tc>
        <w:tc>
          <w:tcPr>
            <w:tcW w:w="1843" w:type="dxa"/>
            <w:shd w:val="clear" w:color="auto" w:fill="auto"/>
            <w:noWrap/>
            <w:vAlign w:val="bottom"/>
            <w:hideMark/>
          </w:tcPr>
          <w:p w14:paraId="7874C092" w14:textId="4B9DEF10"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100.0</w:t>
            </w:r>
          </w:p>
        </w:tc>
        <w:tc>
          <w:tcPr>
            <w:tcW w:w="1842" w:type="dxa"/>
            <w:shd w:val="clear" w:color="auto" w:fill="auto"/>
            <w:noWrap/>
            <w:vAlign w:val="bottom"/>
            <w:hideMark/>
          </w:tcPr>
          <w:p w14:paraId="320C9F98" w14:textId="04E9040B"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100.0</w:t>
            </w:r>
          </w:p>
        </w:tc>
      </w:tr>
      <w:tr w:rsidR="00D87564" w:rsidRPr="0067297E" w:rsidDel="002742AC" w14:paraId="222B50B4" w14:textId="39EA273C" w:rsidTr="00070C83">
        <w:trPr>
          <w:trHeight w:val="300"/>
        </w:trPr>
        <w:tc>
          <w:tcPr>
            <w:tcW w:w="2400" w:type="dxa"/>
            <w:shd w:val="clear" w:color="auto" w:fill="auto"/>
            <w:noWrap/>
            <w:vAlign w:val="bottom"/>
            <w:hideMark/>
          </w:tcPr>
          <w:p w14:paraId="7E01B2D3" w14:textId="718FD450" w:rsidR="00D87564" w:rsidRPr="0067297E" w:rsidDel="002742AC" w:rsidRDefault="00D87564" w:rsidP="006C722F">
            <w:pPr>
              <w:rPr>
                <w:rFonts w:asciiTheme="minorHAnsi" w:hAnsiTheme="minorHAnsi" w:cs="Calibri"/>
                <w:color w:val="000000"/>
                <w:sz w:val="22"/>
                <w:szCs w:val="22"/>
              </w:rPr>
            </w:pPr>
            <w:r w:rsidRPr="0067297E" w:rsidDel="002742AC">
              <w:rPr>
                <w:rFonts w:asciiTheme="minorHAnsi" w:hAnsiTheme="minorHAnsi" w:cs="Calibri"/>
                <w:color w:val="000000"/>
                <w:sz w:val="22"/>
                <w:szCs w:val="22"/>
              </w:rPr>
              <w:t>Base</w:t>
            </w:r>
          </w:p>
        </w:tc>
        <w:tc>
          <w:tcPr>
            <w:tcW w:w="1808" w:type="dxa"/>
            <w:shd w:val="clear" w:color="auto" w:fill="auto"/>
            <w:noWrap/>
            <w:vAlign w:val="bottom"/>
            <w:hideMark/>
          </w:tcPr>
          <w:p w14:paraId="2236573E" w14:textId="5E019A81"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304</w:t>
            </w:r>
            <w:r w:rsidR="00C5084D" w:rsidRPr="0067297E" w:rsidDel="002742AC">
              <w:rPr>
                <w:rFonts w:asciiTheme="minorHAnsi" w:hAnsiTheme="minorHAnsi" w:cs="Calibri"/>
                <w:color w:val="000000"/>
                <w:sz w:val="22"/>
                <w:szCs w:val="22"/>
              </w:rPr>
              <w:t>,</w:t>
            </w:r>
            <w:r w:rsidRPr="0067297E" w:rsidDel="002742AC">
              <w:rPr>
                <w:rFonts w:asciiTheme="minorHAnsi" w:hAnsiTheme="minorHAnsi" w:cs="Calibri"/>
                <w:color w:val="000000"/>
                <w:sz w:val="22"/>
                <w:szCs w:val="22"/>
              </w:rPr>
              <w:t>451</w:t>
            </w:r>
          </w:p>
        </w:tc>
        <w:tc>
          <w:tcPr>
            <w:tcW w:w="1843" w:type="dxa"/>
            <w:shd w:val="clear" w:color="auto" w:fill="auto"/>
            <w:noWrap/>
            <w:vAlign w:val="bottom"/>
            <w:hideMark/>
          </w:tcPr>
          <w:p w14:paraId="19BDB27A" w14:textId="6A15BA0E"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70</w:t>
            </w:r>
            <w:r w:rsidR="00C5084D" w:rsidRPr="0067297E" w:rsidDel="002742AC">
              <w:rPr>
                <w:rFonts w:asciiTheme="minorHAnsi" w:hAnsiTheme="minorHAnsi" w:cs="Calibri"/>
                <w:color w:val="000000"/>
                <w:sz w:val="22"/>
                <w:szCs w:val="22"/>
              </w:rPr>
              <w:t>,</w:t>
            </w:r>
            <w:r w:rsidRPr="0067297E" w:rsidDel="002742AC">
              <w:rPr>
                <w:rFonts w:asciiTheme="minorHAnsi" w:hAnsiTheme="minorHAnsi" w:cs="Calibri"/>
                <w:color w:val="000000"/>
                <w:sz w:val="22"/>
                <w:szCs w:val="22"/>
              </w:rPr>
              <w:t>433</w:t>
            </w:r>
          </w:p>
        </w:tc>
        <w:tc>
          <w:tcPr>
            <w:tcW w:w="1842" w:type="dxa"/>
            <w:shd w:val="clear" w:color="auto" w:fill="auto"/>
            <w:noWrap/>
            <w:vAlign w:val="bottom"/>
            <w:hideMark/>
          </w:tcPr>
          <w:p w14:paraId="1D74BAB4" w14:textId="31844224" w:rsidR="00D87564" w:rsidRPr="0067297E" w:rsidDel="002742AC" w:rsidRDefault="00D87564" w:rsidP="00155035">
            <w:pPr>
              <w:jc w:val="right"/>
              <w:rPr>
                <w:rFonts w:asciiTheme="minorHAnsi" w:hAnsiTheme="minorHAnsi" w:cs="Calibri"/>
                <w:color w:val="000000"/>
                <w:sz w:val="22"/>
                <w:szCs w:val="22"/>
              </w:rPr>
            </w:pPr>
            <w:r w:rsidRPr="0067297E" w:rsidDel="002742AC">
              <w:rPr>
                <w:rFonts w:asciiTheme="minorHAnsi" w:hAnsiTheme="minorHAnsi" w:cs="Calibri"/>
                <w:color w:val="000000"/>
                <w:sz w:val="22"/>
                <w:szCs w:val="22"/>
              </w:rPr>
              <w:t>68</w:t>
            </w:r>
            <w:r w:rsidR="00C5084D" w:rsidRPr="0067297E" w:rsidDel="002742AC">
              <w:rPr>
                <w:rFonts w:asciiTheme="minorHAnsi" w:hAnsiTheme="minorHAnsi" w:cs="Calibri"/>
                <w:color w:val="000000"/>
                <w:sz w:val="22"/>
                <w:szCs w:val="22"/>
              </w:rPr>
              <w:t>,</w:t>
            </w:r>
            <w:r w:rsidRPr="0067297E" w:rsidDel="002742AC">
              <w:rPr>
                <w:rFonts w:asciiTheme="minorHAnsi" w:hAnsiTheme="minorHAnsi" w:cs="Calibri"/>
                <w:color w:val="000000"/>
                <w:sz w:val="22"/>
                <w:szCs w:val="22"/>
              </w:rPr>
              <w:t>425</w:t>
            </w:r>
          </w:p>
        </w:tc>
      </w:tr>
    </w:tbl>
    <w:p w14:paraId="72C3BD8A" w14:textId="3E9BB0FC" w:rsidR="00D87564" w:rsidRDefault="00D87564" w:rsidP="006C722F">
      <w:pPr>
        <w:ind w:left="709"/>
        <w:rPr>
          <w:rFonts w:asciiTheme="minorHAnsi" w:hAnsiTheme="minorHAnsi" w:cs="Calibri"/>
          <w:sz w:val="20"/>
        </w:rPr>
      </w:pPr>
      <w:r w:rsidRPr="0067297E" w:rsidDel="002742AC">
        <w:rPr>
          <w:rFonts w:asciiTheme="minorHAnsi" w:hAnsiTheme="minorHAnsi" w:cs="Calibri"/>
          <w:sz w:val="20"/>
        </w:rPr>
        <w:t>Source: arc4 national surveys</w:t>
      </w:r>
    </w:p>
    <w:p w14:paraId="75E1946D" w14:textId="77777777" w:rsidR="00155035" w:rsidRPr="0067297E" w:rsidDel="002742AC" w:rsidRDefault="00155035" w:rsidP="006C722F">
      <w:pPr>
        <w:ind w:left="709"/>
        <w:rPr>
          <w:rFonts w:asciiTheme="minorHAnsi" w:hAnsiTheme="minorHAnsi" w:cs="Calibri"/>
          <w:sz w:val="20"/>
        </w:rPr>
      </w:pPr>
    </w:p>
    <w:p w14:paraId="5A4B4128" w14:textId="15C0DD04" w:rsidR="00D87564" w:rsidRPr="00364B9E" w:rsidRDefault="00364B9E" w:rsidP="00364B9E">
      <w:pPr>
        <w:pStyle w:val="Reporttext"/>
        <w:tabs>
          <w:tab w:val="clear" w:pos="709"/>
        </w:tabs>
        <w:rPr>
          <w:rFonts w:asciiTheme="minorHAnsi" w:hAnsiTheme="minorHAnsi" w:cs="Calibri"/>
        </w:rPr>
      </w:pPr>
      <w:r>
        <w:rPr>
          <w:rFonts w:asciiTheme="minorHAnsi" w:hAnsiTheme="minorHAnsi" w:cs="Calibri"/>
          <w:lang w:val="en-GB"/>
        </w:rPr>
        <w:t xml:space="preserve">Table 4.3 shows that 40.5% of the current stock are 3 and 4 bedroom properties.  However, there are disparities between different tenures with only 25.9% private rented sock and 28.6% of affordable housing stock being 3 and 4 bedroom properties, compared to 59.7% in owner occupied stock.  </w:t>
      </w:r>
    </w:p>
    <w:p w14:paraId="761720C9" w14:textId="77777777" w:rsidR="00DF1657" w:rsidRDefault="00DF1657" w:rsidP="00155035">
      <w:bookmarkStart w:id="341" w:name="_Toc395193566"/>
      <w:bookmarkStart w:id="342" w:name="_Toc397250568"/>
      <w:bookmarkStart w:id="343" w:name="_Toc1385769"/>
    </w:p>
    <w:p w14:paraId="140F7646" w14:textId="2E9A7213" w:rsidR="00D87564" w:rsidRPr="0067297E" w:rsidRDefault="00D87564" w:rsidP="00944242">
      <w:pPr>
        <w:pStyle w:val="Heading2"/>
        <w:rPr>
          <w:rFonts w:asciiTheme="minorHAnsi" w:hAnsiTheme="minorHAnsi"/>
        </w:rPr>
      </w:pPr>
      <w:bookmarkStart w:id="344" w:name="_Toc23151085"/>
      <w:r w:rsidRPr="0067297E">
        <w:rPr>
          <w:rFonts w:asciiTheme="minorHAnsi" w:hAnsiTheme="minorHAnsi"/>
        </w:rPr>
        <w:t>Housing for older people</w:t>
      </w:r>
      <w:bookmarkEnd w:id="341"/>
      <w:bookmarkEnd w:id="342"/>
      <w:bookmarkEnd w:id="343"/>
      <w:bookmarkEnd w:id="344"/>
    </w:p>
    <w:p w14:paraId="30390DA2" w14:textId="775B2589" w:rsidR="00D87564" w:rsidRPr="0067297E" w:rsidRDefault="00D87564" w:rsidP="00543A76">
      <w:pPr>
        <w:pStyle w:val="Reporttext"/>
        <w:tabs>
          <w:tab w:val="clear" w:pos="709"/>
        </w:tabs>
        <w:rPr>
          <w:rFonts w:asciiTheme="minorHAnsi" w:hAnsiTheme="minorHAnsi" w:cs="Calibri"/>
        </w:rPr>
      </w:pPr>
      <w:r w:rsidRPr="0067297E">
        <w:rPr>
          <w:rFonts w:asciiTheme="minorHAnsi" w:hAnsiTheme="minorHAnsi" w:cs="Calibri"/>
        </w:rPr>
        <w:t>A major strategic challenge for the Council is to ensure a range of appropriate housing provision, adaptation and supp</w:t>
      </w:r>
      <w:r w:rsidR="00F91A82" w:rsidRPr="0067297E">
        <w:rPr>
          <w:rFonts w:asciiTheme="minorHAnsi" w:hAnsiTheme="minorHAnsi" w:cs="Calibri"/>
        </w:rPr>
        <w:t>ort for the b</w:t>
      </w:r>
      <w:r w:rsidRPr="0067297E">
        <w:rPr>
          <w:rFonts w:asciiTheme="minorHAnsi" w:hAnsiTheme="minorHAnsi" w:cs="Calibri"/>
        </w:rPr>
        <w:t xml:space="preserve">orough’s older population. The number of people across </w:t>
      </w:r>
      <w:r w:rsidR="00F91A82" w:rsidRPr="0067297E">
        <w:rPr>
          <w:rFonts w:asciiTheme="minorHAnsi" w:hAnsiTheme="minorHAnsi" w:cs="Calibri"/>
        </w:rPr>
        <w:t>the b</w:t>
      </w:r>
      <w:r w:rsidR="00D14D45" w:rsidRPr="0067297E">
        <w:rPr>
          <w:rFonts w:asciiTheme="minorHAnsi" w:hAnsiTheme="minorHAnsi" w:cs="Calibri"/>
          <w:lang w:val="en-GB"/>
        </w:rPr>
        <w:t>o</w:t>
      </w:r>
      <w:r w:rsidR="00F91A82" w:rsidRPr="0067297E">
        <w:rPr>
          <w:rFonts w:asciiTheme="minorHAnsi" w:hAnsiTheme="minorHAnsi" w:cs="Calibri"/>
        </w:rPr>
        <w:t>rough</w:t>
      </w:r>
      <w:r w:rsidRPr="0067297E">
        <w:rPr>
          <w:rFonts w:asciiTheme="minorHAnsi" w:hAnsiTheme="minorHAnsi" w:cs="Calibri"/>
        </w:rPr>
        <w:t xml:space="preserve"> aged 65 or over is projected to increase </w:t>
      </w:r>
      <w:r w:rsidR="00DF28E0">
        <w:rPr>
          <w:rFonts w:asciiTheme="minorHAnsi" w:hAnsiTheme="minorHAnsi" w:cs="Calibri"/>
          <w:lang w:val="en-US"/>
        </w:rPr>
        <w:t>considerably</w:t>
      </w:r>
      <w:r w:rsidR="00DF28E0" w:rsidRPr="0067297E">
        <w:rPr>
          <w:rFonts w:asciiTheme="minorHAnsi" w:hAnsiTheme="minorHAnsi" w:cs="Calibri"/>
        </w:rPr>
        <w:t xml:space="preserve"> </w:t>
      </w:r>
      <w:r w:rsidRPr="0067297E">
        <w:rPr>
          <w:rFonts w:asciiTheme="minorHAnsi" w:hAnsiTheme="minorHAnsi" w:cs="Calibri"/>
        </w:rPr>
        <w:t xml:space="preserve">during the Plan Period, from </w:t>
      </w:r>
      <w:r w:rsidR="00DF28E0">
        <w:rPr>
          <w:rFonts w:asciiTheme="minorHAnsi" w:hAnsiTheme="minorHAnsi" w:cs="Calibri"/>
          <w:lang w:val="en-US"/>
        </w:rPr>
        <w:t>28,500</w:t>
      </w:r>
      <w:r w:rsidRPr="0067297E">
        <w:rPr>
          <w:rFonts w:asciiTheme="minorHAnsi" w:hAnsiTheme="minorHAnsi" w:cs="Calibri"/>
        </w:rPr>
        <w:t xml:space="preserve"> </w:t>
      </w:r>
      <w:r w:rsidR="00580770" w:rsidRPr="0067297E">
        <w:rPr>
          <w:rFonts w:asciiTheme="minorHAnsi" w:hAnsiTheme="minorHAnsi" w:cs="Calibri"/>
        </w:rPr>
        <w:t xml:space="preserve">in 2018 to </w:t>
      </w:r>
      <w:r w:rsidR="00DF28E0">
        <w:rPr>
          <w:rFonts w:asciiTheme="minorHAnsi" w:hAnsiTheme="minorHAnsi" w:cs="Calibri"/>
          <w:lang w:val="en-US"/>
        </w:rPr>
        <w:t>50,400</w:t>
      </w:r>
      <w:r w:rsidR="00580770" w:rsidRPr="0067297E">
        <w:rPr>
          <w:rFonts w:asciiTheme="minorHAnsi" w:hAnsiTheme="minorHAnsi" w:cs="Calibri"/>
        </w:rPr>
        <w:t xml:space="preserve"> by </w:t>
      </w:r>
      <w:r w:rsidR="00DF28E0">
        <w:rPr>
          <w:rFonts w:asciiTheme="minorHAnsi" w:hAnsiTheme="minorHAnsi" w:cs="Calibri"/>
          <w:lang w:val="en-US"/>
        </w:rPr>
        <w:t xml:space="preserve">2040 </w:t>
      </w:r>
      <w:r w:rsidR="00580770" w:rsidRPr="0067297E">
        <w:rPr>
          <w:rFonts w:asciiTheme="minorHAnsi" w:hAnsiTheme="minorHAnsi" w:cs="Calibri"/>
        </w:rPr>
        <w:t xml:space="preserve">(a </w:t>
      </w:r>
      <w:r w:rsidR="00DF28E0">
        <w:rPr>
          <w:rFonts w:asciiTheme="minorHAnsi" w:hAnsiTheme="minorHAnsi" w:cs="Calibri"/>
          <w:lang w:val="en-US"/>
        </w:rPr>
        <w:t>76.8</w:t>
      </w:r>
      <w:r w:rsidRPr="0067297E">
        <w:rPr>
          <w:rFonts w:asciiTheme="minorHAnsi" w:hAnsiTheme="minorHAnsi" w:cs="Calibri"/>
        </w:rPr>
        <w:t>% increase)</w:t>
      </w:r>
      <w:r w:rsidRPr="0067297E">
        <w:rPr>
          <w:rFonts w:asciiTheme="minorHAnsi" w:hAnsiTheme="minorHAnsi"/>
          <w:vertAlign w:val="superscript"/>
        </w:rPr>
        <w:footnoteReference w:id="39"/>
      </w:r>
      <w:r w:rsidRPr="0067297E">
        <w:rPr>
          <w:rFonts w:asciiTheme="minorHAnsi" w:hAnsiTheme="minorHAnsi" w:cs="Calibri"/>
        </w:rPr>
        <w:t xml:space="preserve">. </w:t>
      </w:r>
      <w:r w:rsidR="00DF28E0">
        <w:rPr>
          <w:rFonts w:asciiTheme="minorHAnsi" w:hAnsiTheme="minorHAnsi" w:cs="Calibri"/>
          <w:lang w:val="en-US"/>
        </w:rPr>
        <w:t>The 75-84 age group is projected to increase by 82.8% from 9,300 to 17,000; and the 85+ age group by 63.2% from 3,800 to 6,200 over the period to 2040.</w:t>
      </w:r>
    </w:p>
    <w:p w14:paraId="17CCCE28" w14:textId="7C8DBFB7" w:rsidR="00D87564" w:rsidRPr="0067297E" w:rsidRDefault="00D87564" w:rsidP="00543A76">
      <w:pPr>
        <w:pStyle w:val="Reporttext"/>
        <w:tabs>
          <w:tab w:val="clear" w:pos="709"/>
        </w:tabs>
        <w:rPr>
          <w:rFonts w:asciiTheme="minorHAnsi" w:hAnsiTheme="minorHAnsi" w:cs="Calibri"/>
        </w:rPr>
      </w:pPr>
      <w:r w:rsidRPr="0067297E">
        <w:rPr>
          <w:rFonts w:asciiTheme="minorHAnsi" w:hAnsiTheme="minorHAnsi" w:cs="Calibri"/>
        </w:rPr>
        <w:t>According to 2014-based household projections</w:t>
      </w:r>
      <w:r w:rsidRPr="0067297E">
        <w:rPr>
          <w:rStyle w:val="FootnoteReference"/>
          <w:rFonts w:asciiTheme="minorHAnsi" w:hAnsiTheme="minorHAnsi" w:cs="Calibri"/>
        </w:rPr>
        <w:footnoteReference w:id="40"/>
      </w:r>
      <w:r w:rsidRPr="0067297E">
        <w:rPr>
          <w:rFonts w:asciiTheme="minorHAnsi" w:hAnsiTheme="minorHAnsi" w:cs="Calibri"/>
        </w:rPr>
        <w:t>,</w:t>
      </w:r>
      <w:r w:rsidR="00014D7D">
        <w:rPr>
          <w:rFonts w:asciiTheme="minorHAnsi" w:hAnsiTheme="minorHAnsi" w:cs="Calibri"/>
          <w:lang w:val="en-US"/>
        </w:rPr>
        <w:t xml:space="preserve"> over the period 2020 to 2039</w:t>
      </w:r>
      <w:r w:rsidR="00014D7D">
        <w:rPr>
          <w:rStyle w:val="FootnoteReference"/>
          <w:rFonts w:asciiTheme="minorHAnsi" w:hAnsiTheme="minorHAnsi" w:cs="Calibri"/>
          <w:lang w:val="en-US"/>
        </w:rPr>
        <w:footnoteReference w:id="41"/>
      </w:r>
      <w:r w:rsidR="00014D7D">
        <w:rPr>
          <w:rFonts w:asciiTheme="minorHAnsi" w:hAnsiTheme="minorHAnsi" w:cs="Calibri"/>
          <w:lang w:val="en-US"/>
        </w:rPr>
        <w:t xml:space="preserve"> </w:t>
      </w:r>
      <w:r w:rsidRPr="0067297E">
        <w:rPr>
          <w:rFonts w:asciiTheme="minorHAnsi" w:hAnsiTheme="minorHAnsi" w:cs="Calibri"/>
        </w:rPr>
        <w:t xml:space="preserve"> the number of households headed by someone aged 60 and o</w:t>
      </w:r>
      <w:r w:rsidR="00580770" w:rsidRPr="0067297E">
        <w:rPr>
          <w:rFonts w:asciiTheme="minorHAnsi" w:hAnsiTheme="minorHAnsi" w:cs="Calibri"/>
        </w:rPr>
        <w:t xml:space="preserve">ver is expected to increase by </w:t>
      </w:r>
      <w:r w:rsidR="00014D7D">
        <w:rPr>
          <w:rFonts w:asciiTheme="minorHAnsi" w:hAnsiTheme="minorHAnsi" w:cs="Calibri"/>
          <w:lang w:val="en-US"/>
        </w:rPr>
        <w:t>25,096</w:t>
      </w:r>
      <w:r w:rsidRPr="0067297E">
        <w:rPr>
          <w:rFonts w:asciiTheme="minorHAnsi" w:hAnsiTheme="minorHAnsi" w:cs="Calibri"/>
        </w:rPr>
        <w:t>. Arc</w:t>
      </w:r>
      <w:r w:rsidRPr="0067297E">
        <w:rPr>
          <w:rFonts w:asciiTheme="minorHAnsi" w:hAnsiTheme="minorHAnsi" w:cs="Calibri"/>
          <w:vertAlign w:val="superscript"/>
        </w:rPr>
        <w:t>4</w:t>
      </w:r>
      <w:r w:rsidRPr="0067297E">
        <w:rPr>
          <w:rFonts w:asciiTheme="minorHAnsi" w:hAnsiTheme="minorHAnsi" w:cs="Calibri"/>
        </w:rPr>
        <w:t xml:space="preserve"> </w:t>
      </w:r>
      <w:r w:rsidRPr="0067297E">
        <w:rPr>
          <w:rFonts w:asciiTheme="minorHAnsi" w:hAnsiTheme="minorHAnsi"/>
        </w:rPr>
        <w:t>national household survey evidence indicates that the majority of older people (generally upwards of 65%) want to stay in their own homes with help and support when needed. However, it is important to diversify the range of older persons’ housing provision.</w:t>
      </w:r>
    </w:p>
    <w:p w14:paraId="7AFDF15E" w14:textId="3292152B" w:rsidR="00116319" w:rsidRPr="0067297E" w:rsidRDefault="00F91A82" w:rsidP="000256AC">
      <w:pPr>
        <w:pStyle w:val="Reporttext"/>
        <w:tabs>
          <w:tab w:val="clear" w:pos="709"/>
        </w:tabs>
        <w:rPr>
          <w:rFonts w:asciiTheme="minorHAnsi" w:hAnsiTheme="minorHAnsi" w:cs="Calibri"/>
        </w:rPr>
      </w:pPr>
      <w:r w:rsidRPr="0067297E">
        <w:rPr>
          <w:rFonts w:asciiTheme="minorHAnsi" w:hAnsiTheme="minorHAnsi" w:cs="Calibri"/>
        </w:rPr>
        <w:t>Arc</w:t>
      </w:r>
      <w:r w:rsidRPr="0067297E">
        <w:rPr>
          <w:rFonts w:asciiTheme="minorHAnsi" w:hAnsiTheme="minorHAnsi" w:cs="Calibri"/>
          <w:vertAlign w:val="superscript"/>
        </w:rPr>
        <w:t>4</w:t>
      </w:r>
      <w:r w:rsidRPr="0067297E">
        <w:rPr>
          <w:rFonts w:asciiTheme="minorHAnsi" w:hAnsiTheme="minorHAnsi" w:cs="Calibri"/>
        </w:rPr>
        <w:t xml:space="preserve"> national data (Table </w:t>
      </w:r>
      <w:r w:rsidR="00203E57" w:rsidRPr="0067297E">
        <w:rPr>
          <w:rFonts w:asciiTheme="minorHAnsi" w:hAnsiTheme="minorHAnsi" w:cs="Calibri"/>
          <w:lang w:val="en-US"/>
        </w:rPr>
        <w:t>6.6</w:t>
      </w:r>
      <w:r w:rsidR="00D87564" w:rsidRPr="0067297E">
        <w:rPr>
          <w:rFonts w:asciiTheme="minorHAnsi" w:hAnsiTheme="minorHAnsi" w:cs="Calibri"/>
        </w:rPr>
        <w:t xml:space="preserve">) indicates that older people are particularly living in three and four bedroom houses but there are strong aspirations and expectations towards </w:t>
      </w:r>
      <w:r w:rsidR="00580770" w:rsidRPr="0067297E">
        <w:rPr>
          <w:rFonts w:asciiTheme="minorHAnsi" w:hAnsiTheme="minorHAnsi" w:cs="Calibri"/>
        </w:rPr>
        <w:t>smaller dwellings</w:t>
      </w:r>
      <w:r w:rsidR="00D87564" w:rsidRPr="0067297E">
        <w:rPr>
          <w:rFonts w:asciiTheme="minorHAnsi" w:hAnsiTheme="minorHAnsi" w:cs="Calibri"/>
        </w:rPr>
        <w:t>.</w:t>
      </w:r>
      <w:r w:rsidR="00116319" w:rsidRPr="0067297E">
        <w:rPr>
          <w:rFonts w:asciiTheme="minorHAnsi" w:hAnsiTheme="minorHAnsi" w:cs="Calibri"/>
          <w:lang w:val="en-US"/>
        </w:rPr>
        <w:t xml:space="preserve"> Although this data is not directly replicable to Lewisham given its underlying stock profile, a key message from this analysis is a need for smaller dwelling units to provide for an increasing number of older people.</w:t>
      </w:r>
    </w:p>
    <w:p w14:paraId="0FD86276" w14:textId="6500D1DB" w:rsidR="006C722F" w:rsidRPr="0067297E" w:rsidRDefault="006C722F">
      <w:pPr>
        <w:rPr>
          <w:rFonts w:asciiTheme="minorHAnsi" w:hAnsiTheme="minorHAnsi" w:cs="Calibri"/>
          <w:lang w:val="x-none"/>
        </w:rPr>
      </w:pPr>
    </w:p>
    <w:tbl>
      <w:tblPr>
        <w:tblW w:w="0" w:type="auto"/>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591"/>
        <w:gridCol w:w="2107"/>
        <w:gridCol w:w="1560"/>
        <w:gridCol w:w="1644"/>
      </w:tblGrid>
      <w:tr w:rsidR="00D87564" w:rsidRPr="0067297E" w14:paraId="2406B061" w14:textId="77777777" w:rsidTr="00426BD8">
        <w:trPr>
          <w:trHeight w:val="300"/>
          <w:tblHeader/>
        </w:trPr>
        <w:tc>
          <w:tcPr>
            <w:tcW w:w="0" w:type="auto"/>
            <w:gridSpan w:val="4"/>
            <w:shd w:val="clear" w:color="auto" w:fill="009999"/>
            <w:noWrap/>
            <w:vAlign w:val="bottom"/>
          </w:tcPr>
          <w:p w14:paraId="143A84D6" w14:textId="53510692" w:rsidR="00D87564" w:rsidRPr="0067297E" w:rsidRDefault="00F91A82" w:rsidP="003F4875">
            <w:pPr>
              <w:pStyle w:val="tableheading"/>
              <w:rPr>
                <w:rFonts w:asciiTheme="minorHAnsi" w:hAnsiTheme="minorHAnsi"/>
              </w:rPr>
            </w:pPr>
            <w:bookmarkStart w:id="345" w:name="_Toc397250687"/>
            <w:bookmarkStart w:id="346" w:name="_Toc23151182"/>
            <w:r w:rsidRPr="0067297E">
              <w:rPr>
                <w:rFonts w:asciiTheme="minorHAnsi" w:hAnsiTheme="minorHAnsi"/>
              </w:rPr>
              <w:t xml:space="preserve">Table </w:t>
            </w:r>
            <w:r w:rsidR="00203E57" w:rsidRPr="0067297E">
              <w:rPr>
                <w:rFonts w:asciiTheme="minorHAnsi" w:hAnsiTheme="minorHAnsi"/>
              </w:rPr>
              <w:t>6.6</w:t>
            </w:r>
            <w:r w:rsidR="006C722F" w:rsidRPr="0067297E">
              <w:rPr>
                <w:rFonts w:asciiTheme="minorHAnsi" w:hAnsiTheme="minorHAnsi"/>
              </w:rPr>
              <w:tab/>
            </w:r>
            <w:r w:rsidR="00D87564" w:rsidRPr="0067297E">
              <w:rPr>
                <w:rFonts w:asciiTheme="minorHAnsi" w:hAnsiTheme="minorHAnsi"/>
              </w:rPr>
              <w:t>Older person housing choices</w:t>
            </w:r>
            <w:bookmarkEnd w:id="345"/>
            <w:bookmarkEnd w:id="346"/>
          </w:p>
        </w:tc>
      </w:tr>
      <w:tr w:rsidR="00D87564" w:rsidRPr="0067297E" w14:paraId="6487B6E3" w14:textId="77777777" w:rsidTr="00155035">
        <w:trPr>
          <w:trHeight w:val="300"/>
        </w:trPr>
        <w:tc>
          <w:tcPr>
            <w:tcW w:w="0" w:type="auto"/>
            <w:shd w:val="clear" w:color="auto" w:fill="009999"/>
            <w:noWrap/>
            <w:vAlign w:val="bottom"/>
            <w:hideMark/>
          </w:tcPr>
          <w:p w14:paraId="2FA93A47" w14:textId="77777777" w:rsidR="00D87564" w:rsidRPr="0067297E" w:rsidRDefault="00D87564" w:rsidP="006C722F">
            <w:pP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 </w:t>
            </w:r>
          </w:p>
        </w:tc>
        <w:tc>
          <w:tcPr>
            <w:tcW w:w="0" w:type="auto"/>
            <w:shd w:val="clear" w:color="auto" w:fill="009999"/>
            <w:noWrap/>
            <w:vAlign w:val="bottom"/>
            <w:hideMark/>
          </w:tcPr>
          <w:p w14:paraId="0A2D82BF" w14:textId="77777777" w:rsidR="00D87564" w:rsidRPr="0067297E" w:rsidRDefault="00D87564" w:rsidP="006C722F">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Current Dwelling (%)</w:t>
            </w:r>
          </w:p>
        </w:tc>
        <w:tc>
          <w:tcPr>
            <w:tcW w:w="0" w:type="auto"/>
            <w:shd w:val="clear" w:color="auto" w:fill="009999"/>
            <w:noWrap/>
            <w:vAlign w:val="bottom"/>
            <w:hideMark/>
          </w:tcPr>
          <w:p w14:paraId="0EFDA1C5" w14:textId="77777777" w:rsidR="00D87564" w:rsidRPr="0067297E" w:rsidRDefault="00D87564" w:rsidP="006C722F">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Aspiration  (%)</w:t>
            </w:r>
          </w:p>
        </w:tc>
        <w:tc>
          <w:tcPr>
            <w:tcW w:w="0" w:type="auto"/>
            <w:shd w:val="clear" w:color="auto" w:fill="009999"/>
            <w:noWrap/>
            <w:vAlign w:val="bottom"/>
            <w:hideMark/>
          </w:tcPr>
          <w:p w14:paraId="3333C7E0" w14:textId="77777777" w:rsidR="00D87564" w:rsidRPr="0067297E" w:rsidRDefault="00D87564" w:rsidP="006C722F">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Expectation (%)</w:t>
            </w:r>
          </w:p>
        </w:tc>
      </w:tr>
      <w:tr w:rsidR="00D87564" w:rsidRPr="0067297E" w14:paraId="74CA6414" w14:textId="77777777" w:rsidTr="00155035">
        <w:trPr>
          <w:trHeight w:val="300"/>
        </w:trPr>
        <w:tc>
          <w:tcPr>
            <w:tcW w:w="0" w:type="auto"/>
            <w:shd w:val="clear" w:color="auto" w:fill="auto"/>
            <w:noWrap/>
            <w:vAlign w:val="bottom"/>
            <w:hideMark/>
          </w:tcPr>
          <w:p w14:paraId="45800C7D" w14:textId="1F745AAA" w:rsidR="00D87564" w:rsidRPr="0067297E" w:rsidRDefault="00D87564" w:rsidP="006C722F">
            <w:pPr>
              <w:rPr>
                <w:rFonts w:asciiTheme="minorHAnsi" w:hAnsiTheme="minorHAnsi" w:cs="Calibri"/>
                <w:color w:val="000000"/>
                <w:sz w:val="22"/>
                <w:szCs w:val="22"/>
              </w:rPr>
            </w:pPr>
            <w:r w:rsidRPr="0067297E">
              <w:rPr>
                <w:rFonts w:asciiTheme="minorHAnsi" w:hAnsiTheme="minorHAnsi" w:cs="Calibri"/>
                <w:color w:val="000000"/>
                <w:sz w:val="22"/>
                <w:szCs w:val="22"/>
              </w:rPr>
              <w:t>1/2 Bed</w:t>
            </w:r>
            <w:r w:rsidR="008A58F2" w:rsidRPr="0067297E">
              <w:rPr>
                <w:rFonts w:asciiTheme="minorHAnsi" w:hAnsiTheme="minorHAnsi" w:cs="Calibri"/>
                <w:color w:val="000000"/>
                <w:sz w:val="22"/>
                <w:szCs w:val="22"/>
              </w:rPr>
              <w:t>room</w:t>
            </w:r>
            <w:r w:rsidR="00580770" w:rsidRPr="0067297E">
              <w:rPr>
                <w:rFonts w:asciiTheme="minorHAnsi" w:hAnsiTheme="minorHAnsi" w:cs="Calibri"/>
                <w:color w:val="000000"/>
                <w:sz w:val="22"/>
                <w:szCs w:val="22"/>
              </w:rPr>
              <w:t xml:space="preserve"> House</w:t>
            </w:r>
          </w:p>
        </w:tc>
        <w:tc>
          <w:tcPr>
            <w:tcW w:w="0" w:type="auto"/>
            <w:shd w:val="clear" w:color="auto" w:fill="auto"/>
            <w:noWrap/>
            <w:vAlign w:val="bottom"/>
            <w:hideMark/>
          </w:tcPr>
          <w:p w14:paraId="5C6BF212"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14.2</w:t>
            </w:r>
          </w:p>
        </w:tc>
        <w:tc>
          <w:tcPr>
            <w:tcW w:w="0" w:type="auto"/>
            <w:shd w:val="clear" w:color="auto" w:fill="auto"/>
            <w:noWrap/>
            <w:vAlign w:val="bottom"/>
            <w:hideMark/>
          </w:tcPr>
          <w:p w14:paraId="34329480"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14.0</w:t>
            </w:r>
          </w:p>
        </w:tc>
        <w:tc>
          <w:tcPr>
            <w:tcW w:w="0" w:type="auto"/>
            <w:shd w:val="clear" w:color="auto" w:fill="auto"/>
            <w:noWrap/>
            <w:vAlign w:val="bottom"/>
            <w:hideMark/>
          </w:tcPr>
          <w:p w14:paraId="1377C4ED"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10.8</w:t>
            </w:r>
          </w:p>
        </w:tc>
      </w:tr>
      <w:tr w:rsidR="00D87564" w:rsidRPr="0067297E" w14:paraId="5351FDDB" w14:textId="77777777" w:rsidTr="00155035">
        <w:trPr>
          <w:trHeight w:val="300"/>
        </w:trPr>
        <w:tc>
          <w:tcPr>
            <w:tcW w:w="0" w:type="auto"/>
            <w:shd w:val="clear" w:color="auto" w:fill="auto"/>
            <w:noWrap/>
            <w:vAlign w:val="bottom"/>
            <w:hideMark/>
          </w:tcPr>
          <w:p w14:paraId="136E4503" w14:textId="4BC1638D" w:rsidR="00D87564" w:rsidRPr="0067297E" w:rsidRDefault="00D87564" w:rsidP="006C722F">
            <w:pPr>
              <w:rPr>
                <w:rFonts w:asciiTheme="minorHAnsi" w:hAnsiTheme="minorHAnsi" w:cs="Calibri"/>
                <w:color w:val="000000"/>
                <w:sz w:val="22"/>
                <w:szCs w:val="22"/>
              </w:rPr>
            </w:pPr>
            <w:r w:rsidRPr="0067297E">
              <w:rPr>
                <w:rFonts w:asciiTheme="minorHAnsi" w:hAnsiTheme="minorHAnsi" w:cs="Calibri"/>
                <w:color w:val="000000"/>
                <w:sz w:val="22"/>
                <w:szCs w:val="22"/>
              </w:rPr>
              <w:t>3 Bed</w:t>
            </w:r>
            <w:r w:rsidR="008A58F2" w:rsidRPr="0067297E">
              <w:rPr>
                <w:rFonts w:asciiTheme="minorHAnsi" w:hAnsiTheme="minorHAnsi" w:cs="Calibri"/>
                <w:color w:val="000000"/>
                <w:sz w:val="22"/>
                <w:szCs w:val="22"/>
              </w:rPr>
              <w:t>room</w:t>
            </w:r>
            <w:r w:rsidRPr="0067297E">
              <w:rPr>
                <w:rFonts w:asciiTheme="minorHAnsi" w:hAnsiTheme="minorHAnsi" w:cs="Calibri"/>
                <w:color w:val="000000"/>
                <w:sz w:val="22"/>
                <w:szCs w:val="22"/>
              </w:rPr>
              <w:t xml:space="preserve"> House</w:t>
            </w:r>
          </w:p>
        </w:tc>
        <w:tc>
          <w:tcPr>
            <w:tcW w:w="0" w:type="auto"/>
            <w:shd w:val="clear" w:color="auto" w:fill="auto"/>
            <w:noWrap/>
            <w:vAlign w:val="bottom"/>
            <w:hideMark/>
          </w:tcPr>
          <w:p w14:paraId="085A2D61"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36.3</w:t>
            </w:r>
          </w:p>
        </w:tc>
        <w:tc>
          <w:tcPr>
            <w:tcW w:w="0" w:type="auto"/>
            <w:shd w:val="clear" w:color="auto" w:fill="auto"/>
            <w:noWrap/>
            <w:vAlign w:val="bottom"/>
            <w:hideMark/>
          </w:tcPr>
          <w:p w14:paraId="068B98F1"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19.2</w:t>
            </w:r>
          </w:p>
        </w:tc>
        <w:tc>
          <w:tcPr>
            <w:tcW w:w="0" w:type="auto"/>
            <w:shd w:val="clear" w:color="auto" w:fill="auto"/>
            <w:noWrap/>
            <w:vAlign w:val="bottom"/>
            <w:hideMark/>
          </w:tcPr>
          <w:p w14:paraId="3476F998"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18.2</w:t>
            </w:r>
          </w:p>
        </w:tc>
      </w:tr>
      <w:tr w:rsidR="00D87564" w:rsidRPr="0067297E" w14:paraId="3CBBD9FB" w14:textId="77777777" w:rsidTr="00155035">
        <w:trPr>
          <w:trHeight w:val="300"/>
        </w:trPr>
        <w:tc>
          <w:tcPr>
            <w:tcW w:w="0" w:type="auto"/>
            <w:shd w:val="clear" w:color="auto" w:fill="auto"/>
            <w:noWrap/>
            <w:vAlign w:val="bottom"/>
            <w:hideMark/>
          </w:tcPr>
          <w:p w14:paraId="0B8498E6" w14:textId="02D3DC00" w:rsidR="00D87564" w:rsidRPr="0067297E" w:rsidRDefault="00D87564" w:rsidP="006C722F">
            <w:pPr>
              <w:rPr>
                <w:rFonts w:asciiTheme="minorHAnsi" w:hAnsiTheme="minorHAnsi" w:cs="Calibri"/>
                <w:color w:val="000000"/>
                <w:sz w:val="22"/>
                <w:szCs w:val="22"/>
              </w:rPr>
            </w:pPr>
            <w:r w:rsidRPr="0067297E">
              <w:rPr>
                <w:rFonts w:asciiTheme="minorHAnsi" w:hAnsiTheme="minorHAnsi" w:cs="Calibri"/>
                <w:color w:val="000000"/>
                <w:sz w:val="22"/>
                <w:szCs w:val="22"/>
              </w:rPr>
              <w:t>4 or more Bed</w:t>
            </w:r>
            <w:r w:rsidR="008A58F2" w:rsidRPr="0067297E">
              <w:rPr>
                <w:rFonts w:asciiTheme="minorHAnsi" w:hAnsiTheme="minorHAnsi" w:cs="Calibri"/>
                <w:color w:val="000000"/>
                <w:sz w:val="22"/>
                <w:szCs w:val="22"/>
              </w:rPr>
              <w:t>room</w:t>
            </w:r>
            <w:r w:rsidRPr="0067297E">
              <w:rPr>
                <w:rFonts w:asciiTheme="minorHAnsi" w:hAnsiTheme="minorHAnsi" w:cs="Calibri"/>
                <w:color w:val="000000"/>
                <w:sz w:val="22"/>
                <w:szCs w:val="22"/>
              </w:rPr>
              <w:t xml:space="preserve"> House</w:t>
            </w:r>
          </w:p>
        </w:tc>
        <w:tc>
          <w:tcPr>
            <w:tcW w:w="0" w:type="auto"/>
            <w:shd w:val="clear" w:color="auto" w:fill="auto"/>
            <w:noWrap/>
            <w:vAlign w:val="bottom"/>
            <w:hideMark/>
          </w:tcPr>
          <w:p w14:paraId="78EA56F7"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15.7</w:t>
            </w:r>
          </w:p>
        </w:tc>
        <w:tc>
          <w:tcPr>
            <w:tcW w:w="0" w:type="auto"/>
            <w:shd w:val="clear" w:color="auto" w:fill="auto"/>
            <w:noWrap/>
            <w:vAlign w:val="bottom"/>
            <w:hideMark/>
          </w:tcPr>
          <w:p w14:paraId="51173066"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7.0</w:t>
            </w:r>
          </w:p>
        </w:tc>
        <w:tc>
          <w:tcPr>
            <w:tcW w:w="0" w:type="auto"/>
            <w:shd w:val="clear" w:color="auto" w:fill="auto"/>
            <w:noWrap/>
            <w:vAlign w:val="bottom"/>
            <w:hideMark/>
          </w:tcPr>
          <w:p w14:paraId="01A89DD6"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5.5</w:t>
            </w:r>
          </w:p>
        </w:tc>
      </w:tr>
      <w:tr w:rsidR="00D87564" w:rsidRPr="0067297E" w14:paraId="440DF62F" w14:textId="77777777" w:rsidTr="00155035">
        <w:trPr>
          <w:trHeight w:val="300"/>
        </w:trPr>
        <w:tc>
          <w:tcPr>
            <w:tcW w:w="0" w:type="auto"/>
            <w:shd w:val="clear" w:color="auto" w:fill="auto"/>
            <w:noWrap/>
            <w:vAlign w:val="bottom"/>
            <w:hideMark/>
          </w:tcPr>
          <w:p w14:paraId="0DA657B7" w14:textId="393C551D" w:rsidR="00D87564" w:rsidRPr="0067297E" w:rsidRDefault="00D87564" w:rsidP="006C722F">
            <w:pPr>
              <w:rPr>
                <w:rFonts w:asciiTheme="minorHAnsi" w:hAnsiTheme="minorHAnsi" w:cs="Calibri"/>
                <w:color w:val="000000"/>
                <w:sz w:val="22"/>
                <w:szCs w:val="22"/>
              </w:rPr>
            </w:pPr>
            <w:r w:rsidRPr="0067297E">
              <w:rPr>
                <w:rFonts w:asciiTheme="minorHAnsi" w:hAnsiTheme="minorHAnsi" w:cs="Calibri"/>
                <w:color w:val="000000"/>
                <w:sz w:val="22"/>
                <w:szCs w:val="22"/>
              </w:rPr>
              <w:t>1/2 Bed</w:t>
            </w:r>
            <w:r w:rsidR="008A58F2" w:rsidRPr="0067297E">
              <w:rPr>
                <w:rFonts w:asciiTheme="minorHAnsi" w:hAnsiTheme="minorHAnsi" w:cs="Calibri"/>
                <w:color w:val="000000"/>
                <w:sz w:val="22"/>
                <w:szCs w:val="22"/>
              </w:rPr>
              <w:t>room</w:t>
            </w:r>
            <w:r w:rsidRPr="0067297E">
              <w:rPr>
                <w:rFonts w:asciiTheme="minorHAnsi" w:hAnsiTheme="minorHAnsi" w:cs="Calibri"/>
                <w:color w:val="000000"/>
                <w:sz w:val="22"/>
                <w:szCs w:val="22"/>
              </w:rPr>
              <w:t xml:space="preserve"> Flat</w:t>
            </w:r>
          </w:p>
        </w:tc>
        <w:tc>
          <w:tcPr>
            <w:tcW w:w="0" w:type="auto"/>
            <w:shd w:val="clear" w:color="auto" w:fill="auto"/>
            <w:noWrap/>
            <w:vAlign w:val="bottom"/>
            <w:hideMark/>
          </w:tcPr>
          <w:p w14:paraId="417FCB24"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14.4</w:t>
            </w:r>
          </w:p>
        </w:tc>
        <w:tc>
          <w:tcPr>
            <w:tcW w:w="0" w:type="auto"/>
            <w:shd w:val="clear" w:color="auto" w:fill="auto"/>
            <w:noWrap/>
            <w:vAlign w:val="bottom"/>
            <w:hideMark/>
          </w:tcPr>
          <w:p w14:paraId="5EA0FEBD"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16.1</w:t>
            </w:r>
          </w:p>
        </w:tc>
        <w:tc>
          <w:tcPr>
            <w:tcW w:w="0" w:type="auto"/>
            <w:shd w:val="clear" w:color="auto" w:fill="auto"/>
            <w:noWrap/>
            <w:vAlign w:val="bottom"/>
            <w:hideMark/>
          </w:tcPr>
          <w:p w14:paraId="6159909E"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19.7</w:t>
            </w:r>
          </w:p>
        </w:tc>
      </w:tr>
      <w:tr w:rsidR="00D87564" w:rsidRPr="0067297E" w14:paraId="1DACF4D7" w14:textId="77777777" w:rsidTr="00155035">
        <w:trPr>
          <w:trHeight w:val="300"/>
        </w:trPr>
        <w:tc>
          <w:tcPr>
            <w:tcW w:w="0" w:type="auto"/>
            <w:shd w:val="clear" w:color="auto" w:fill="auto"/>
            <w:noWrap/>
            <w:vAlign w:val="bottom"/>
            <w:hideMark/>
          </w:tcPr>
          <w:p w14:paraId="66AA3B6B" w14:textId="04309D4F" w:rsidR="00D87564" w:rsidRPr="0067297E" w:rsidRDefault="00D87564" w:rsidP="006C722F">
            <w:pPr>
              <w:rPr>
                <w:rFonts w:asciiTheme="minorHAnsi" w:hAnsiTheme="minorHAnsi" w:cs="Calibri"/>
                <w:color w:val="000000"/>
                <w:sz w:val="22"/>
                <w:szCs w:val="22"/>
              </w:rPr>
            </w:pPr>
            <w:r w:rsidRPr="0067297E">
              <w:rPr>
                <w:rFonts w:asciiTheme="minorHAnsi" w:hAnsiTheme="minorHAnsi" w:cs="Calibri"/>
                <w:color w:val="000000"/>
                <w:sz w:val="22"/>
                <w:szCs w:val="22"/>
              </w:rPr>
              <w:t>3+ Bed</w:t>
            </w:r>
            <w:r w:rsidR="008A58F2" w:rsidRPr="0067297E">
              <w:rPr>
                <w:rFonts w:asciiTheme="minorHAnsi" w:hAnsiTheme="minorHAnsi" w:cs="Calibri"/>
                <w:color w:val="000000"/>
                <w:sz w:val="22"/>
                <w:szCs w:val="22"/>
              </w:rPr>
              <w:t>room</w:t>
            </w:r>
            <w:r w:rsidRPr="0067297E">
              <w:rPr>
                <w:rFonts w:asciiTheme="minorHAnsi" w:hAnsiTheme="minorHAnsi" w:cs="Calibri"/>
                <w:color w:val="000000"/>
                <w:sz w:val="22"/>
                <w:szCs w:val="22"/>
              </w:rPr>
              <w:t xml:space="preserve"> Flat</w:t>
            </w:r>
          </w:p>
        </w:tc>
        <w:tc>
          <w:tcPr>
            <w:tcW w:w="0" w:type="auto"/>
            <w:shd w:val="clear" w:color="auto" w:fill="auto"/>
            <w:noWrap/>
            <w:vAlign w:val="bottom"/>
            <w:hideMark/>
          </w:tcPr>
          <w:p w14:paraId="2BB6699D"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0.5</w:t>
            </w:r>
          </w:p>
        </w:tc>
        <w:tc>
          <w:tcPr>
            <w:tcW w:w="0" w:type="auto"/>
            <w:shd w:val="clear" w:color="auto" w:fill="auto"/>
            <w:noWrap/>
            <w:vAlign w:val="bottom"/>
            <w:hideMark/>
          </w:tcPr>
          <w:p w14:paraId="0FFE7B8A"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0.7</w:t>
            </w:r>
          </w:p>
        </w:tc>
        <w:tc>
          <w:tcPr>
            <w:tcW w:w="0" w:type="auto"/>
            <w:shd w:val="clear" w:color="auto" w:fill="auto"/>
            <w:noWrap/>
            <w:vAlign w:val="bottom"/>
            <w:hideMark/>
          </w:tcPr>
          <w:p w14:paraId="30D605E5"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1.1</w:t>
            </w:r>
          </w:p>
        </w:tc>
      </w:tr>
      <w:tr w:rsidR="00D87564" w:rsidRPr="0067297E" w14:paraId="0EAE1179" w14:textId="77777777" w:rsidTr="00155035">
        <w:trPr>
          <w:trHeight w:val="300"/>
        </w:trPr>
        <w:tc>
          <w:tcPr>
            <w:tcW w:w="0" w:type="auto"/>
            <w:shd w:val="clear" w:color="auto" w:fill="auto"/>
            <w:noWrap/>
            <w:vAlign w:val="bottom"/>
            <w:hideMark/>
          </w:tcPr>
          <w:p w14:paraId="0F399CFF" w14:textId="3AA374E6" w:rsidR="00D87564" w:rsidRPr="0067297E" w:rsidRDefault="00D87564" w:rsidP="006C722F">
            <w:pPr>
              <w:rPr>
                <w:rFonts w:asciiTheme="minorHAnsi" w:hAnsiTheme="minorHAnsi" w:cs="Calibri"/>
                <w:color w:val="000000"/>
                <w:sz w:val="22"/>
                <w:szCs w:val="22"/>
              </w:rPr>
            </w:pPr>
            <w:r w:rsidRPr="0067297E">
              <w:rPr>
                <w:rFonts w:asciiTheme="minorHAnsi" w:hAnsiTheme="minorHAnsi" w:cs="Calibri"/>
                <w:color w:val="000000"/>
                <w:sz w:val="22"/>
                <w:szCs w:val="22"/>
              </w:rPr>
              <w:t>1/2 Bed</w:t>
            </w:r>
            <w:r w:rsidR="008A58F2" w:rsidRPr="0067297E">
              <w:rPr>
                <w:rFonts w:asciiTheme="minorHAnsi" w:hAnsiTheme="minorHAnsi" w:cs="Calibri"/>
                <w:color w:val="000000"/>
                <w:sz w:val="22"/>
                <w:szCs w:val="22"/>
              </w:rPr>
              <w:t>room</w:t>
            </w:r>
            <w:r w:rsidRPr="0067297E">
              <w:rPr>
                <w:rFonts w:asciiTheme="minorHAnsi" w:hAnsiTheme="minorHAnsi" w:cs="Calibri"/>
                <w:color w:val="000000"/>
                <w:sz w:val="22"/>
                <w:szCs w:val="22"/>
              </w:rPr>
              <w:t xml:space="preserve"> Bungalow</w:t>
            </w:r>
          </w:p>
        </w:tc>
        <w:tc>
          <w:tcPr>
            <w:tcW w:w="0" w:type="auto"/>
            <w:shd w:val="clear" w:color="auto" w:fill="auto"/>
            <w:noWrap/>
            <w:vAlign w:val="bottom"/>
            <w:hideMark/>
          </w:tcPr>
          <w:p w14:paraId="3048A1A7"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12.4</w:t>
            </w:r>
          </w:p>
        </w:tc>
        <w:tc>
          <w:tcPr>
            <w:tcW w:w="0" w:type="auto"/>
            <w:shd w:val="clear" w:color="auto" w:fill="auto"/>
            <w:noWrap/>
            <w:vAlign w:val="bottom"/>
            <w:hideMark/>
          </w:tcPr>
          <w:p w14:paraId="6D6E544A"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25.3</w:t>
            </w:r>
          </w:p>
        </w:tc>
        <w:tc>
          <w:tcPr>
            <w:tcW w:w="0" w:type="auto"/>
            <w:shd w:val="clear" w:color="auto" w:fill="auto"/>
            <w:noWrap/>
            <w:vAlign w:val="bottom"/>
            <w:hideMark/>
          </w:tcPr>
          <w:p w14:paraId="3CA485CE"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28.0</w:t>
            </w:r>
          </w:p>
        </w:tc>
      </w:tr>
      <w:tr w:rsidR="00D87564" w:rsidRPr="0067297E" w14:paraId="2DB72470" w14:textId="77777777" w:rsidTr="00155035">
        <w:trPr>
          <w:trHeight w:val="300"/>
        </w:trPr>
        <w:tc>
          <w:tcPr>
            <w:tcW w:w="0" w:type="auto"/>
            <w:shd w:val="clear" w:color="auto" w:fill="auto"/>
            <w:noWrap/>
            <w:vAlign w:val="bottom"/>
            <w:hideMark/>
          </w:tcPr>
          <w:p w14:paraId="46E0F612" w14:textId="3A8FDD8F" w:rsidR="00D87564" w:rsidRPr="0067297E" w:rsidRDefault="00D87564" w:rsidP="006C722F">
            <w:pPr>
              <w:rPr>
                <w:rFonts w:asciiTheme="minorHAnsi" w:hAnsiTheme="minorHAnsi" w:cs="Calibri"/>
                <w:color w:val="000000"/>
                <w:sz w:val="22"/>
                <w:szCs w:val="22"/>
              </w:rPr>
            </w:pPr>
            <w:r w:rsidRPr="0067297E">
              <w:rPr>
                <w:rFonts w:asciiTheme="minorHAnsi" w:hAnsiTheme="minorHAnsi" w:cs="Calibri"/>
                <w:color w:val="000000"/>
                <w:sz w:val="22"/>
                <w:szCs w:val="22"/>
              </w:rPr>
              <w:t>3+ Bed</w:t>
            </w:r>
            <w:r w:rsidR="008A58F2" w:rsidRPr="0067297E">
              <w:rPr>
                <w:rFonts w:asciiTheme="minorHAnsi" w:hAnsiTheme="minorHAnsi" w:cs="Calibri"/>
                <w:color w:val="000000"/>
                <w:sz w:val="22"/>
                <w:szCs w:val="22"/>
              </w:rPr>
              <w:t>room</w:t>
            </w:r>
            <w:r w:rsidRPr="0067297E">
              <w:rPr>
                <w:rFonts w:asciiTheme="minorHAnsi" w:hAnsiTheme="minorHAnsi" w:cs="Calibri"/>
                <w:color w:val="000000"/>
                <w:sz w:val="22"/>
                <w:szCs w:val="22"/>
              </w:rPr>
              <w:t xml:space="preserve"> Bungalow</w:t>
            </w:r>
          </w:p>
        </w:tc>
        <w:tc>
          <w:tcPr>
            <w:tcW w:w="0" w:type="auto"/>
            <w:shd w:val="clear" w:color="auto" w:fill="auto"/>
            <w:noWrap/>
            <w:vAlign w:val="bottom"/>
            <w:hideMark/>
          </w:tcPr>
          <w:p w14:paraId="3F4CE356"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5.8</w:t>
            </w:r>
          </w:p>
        </w:tc>
        <w:tc>
          <w:tcPr>
            <w:tcW w:w="0" w:type="auto"/>
            <w:shd w:val="clear" w:color="auto" w:fill="auto"/>
            <w:noWrap/>
            <w:vAlign w:val="bottom"/>
            <w:hideMark/>
          </w:tcPr>
          <w:p w14:paraId="03BA2912"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13.7</w:t>
            </w:r>
          </w:p>
        </w:tc>
        <w:tc>
          <w:tcPr>
            <w:tcW w:w="0" w:type="auto"/>
            <w:shd w:val="clear" w:color="auto" w:fill="auto"/>
            <w:noWrap/>
            <w:vAlign w:val="bottom"/>
            <w:hideMark/>
          </w:tcPr>
          <w:p w14:paraId="17C64E50"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11.1</w:t>
            </w:r>
          </w:p>
        </w:tc>
      </w:tr>
      <w:tr w:rsidR="00D87564" w:rsidRPr="0067297E" w14:paraId="6BC8A26E" w14:textId="77777777" w:rsidTr="00155035">
        <w:trPr>
          <w:trHeight w:val="300"/>
        </w:trPr>
        <w:tc>
          <w:tcPr>
            <w:tcW w:w="0" w:type="auto"/>
            <w:shd w:val="clear" w:color="auto" w:fill="auto"/>
            <w:noWrap/>
            <w:vAlign w:val="bottom"/>
            <w:hideMark/>
          </w:tcPr>
          <w:p w14:paraId="65FD9A34" w14:textId="77777777" w:rsidR="00D87564" w:rsidRPr="0067297E" w:rsidRDefault="00D87564" w:rsidP="006C722F">
            <w:pPr>
              <w:rPr>
                <w:rFonts w:asciiTheme="minorHAnsi" w:hAnsiTheme="minorHAnsi" w:cs="Calibri"/>
                <w:color w:val="000000"/>
                <w:sz w:val="22"/>
                <w:szCs w:val="22"/>
              </w:rPr>
            </w:pPr>
            <w:r w:rsidRPr="0067297E">
              <w:rPr>
                <w:rFonts w:asciiTheme="minorHAnsi" w:hAnsiTheme="minorHAnsi" w:cs="Calibri"/>
                <w:color w:val="000000"/>
                <w:sz w:val="22"/>
                <w:szCs w:val="22"/>
              </w:rPr>
              <w:t>Other</w:t>
            </w:r>
          </w:p>
        </w:tc>
        <w:tc>
          <w:tcPr>
            <w:tcW w:w="0" w:type="auto"/>
            <w:shd w:val="clear" w:color="auto" w:fill="auto"/>
            <w:noWrap/>
            <w:vAlign w:val="bottom"/>
            <w:hideMark/>
          </w:tcPr>
          <w:p w14:paraId="4D119B99"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0.7</w:t>
            </w:r>
          </w:p>
        </w:tc>
        <w:tc>
          <w:tcPr>
            <w:tcW w:w="0" w:type="auto"/>
            <w:shd w:val="clear" w:color="auto" w:fill="auto"/>
            <w:noWrap/>
            <w:vAlign w:val="bottom"/>
            <w:hideMark/>
          </w:tcPr>
          <w:p w14:paraId="378B2D33"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3.9</w:t>
            </w:r>
          </w:p>
        </w:tc>
        <w:tc>
          <w:tcPr>
            <w:tcW w:w="0" w:type="auto"/>
            <w:shd w:val="clear" w:color="auto" w:fill="auto"/>
            <w:noWrap/>
            <w:vAlign w:val="bottom"/>
            <w:hideMark/>
          </w:tcPr>
          <w:p w14:paraId="7151D797"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5.7</w:t>
            </w:r>
          </w:p>
        </w:tc>
      </w:tr>
      <w:tr w:rsidR="00D87564" w:rsidRPr="0067297E" w14:paraId="02CED88A" w14:textId="77777777" w:rsidTr="00155035">
        <w:trPr>
          <w:trHeight w:val="300"/>
        </w:trPr>
        <w:tc>
          <w:tcPr>
            <w:tcW w:w="0" w:type="auto"/>
            <w:shd w:val="clear" w:color="auto" w:fill="auto"/>
            <w:noWrap/>
            <w:vAlign w:val="bottom"/>
            <w:hideMark/>
          </w:tcPr>
          <w:p w14:paraId="0B0C496E" w14:textId="77777777" w:rsidR="00D87564" w:rsidRPr="0067297E" w:rsidRDefault="00D87564" w:rsidP="006C722F">
            <w:pPr>
              <w:rPr>
                <w:rFonts w:asciiTheme="minorHAnsi" w:hAnsiTheme="minorHAnsi" w:cs="Calibri"/>
                <w:color w:val="000000"/>
                <w:sz w:val="22"/>
                <w:szCs w:val="22"/>
              </w:rPr>
            </w:pPr>
            <w:r w:rsidRPr="0067297E">
              <w:rPr>
                <w:rFonts w:asciiTheme="minorHAnsi" w:hAnsiTheme="minorHAnsi" w:cs="Calibri"/>
                <w:color w:val="000000"/>
                <w:sz w:val="22"/>
                <w:szCs w:val="22"/>
              </w:rPr>
              <w:t>TOTAL</w:t>
            </w:r>
          </w:p>
        </w:tc>
        <w:tc>
          <w:tcPr>
            <w:tcW w:w="0" w:type="auto"/>
            <w:shd w:val="clear" w:color="auto" w:fill="auto"/>
            <w:noWrap/>
            <w:vAlign w:val="bottom"/>
            <w:hideMark/>
          </w:tcPr>
          <w:p w14:paraId="7169B0FD"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100.0</w:t>
            </w:r>
          </w:p>
        </w:tc>
        <w:tc>
          <w:tcPr>
            <w:tcW w:w="0" w:type="auto"/>
            <w:shd w:val="clear" w:color="auto" w:fill="auto"/>
            <w:noWrap/>
            <w:vAlign w:val="bottom"/>
            <w:hideMark/>
          </w:tcPr>
          <w:p w14:paraId="7EB7C44E"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100.0</w:t>
            </w:r>
          </w:p>
        </w:tc>
        <w:tc>
          <w:tcPr>
            <w:tcW w:w="0" w:type="auto"/>
            <w:shd w:val="clear" w:color="auto" w:fill="auto"/>
            <w:noWrap/>
            <w:vAlign w:val="bottom"/>
            <w:hideMark/>
          </w:tcPr>
          <w:p w14:paraId="6AF2E1D7" w14:textId="77777777"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100.0</w:t>
            </w:r>
          </w:p>
        </w:tc>
      </w:tr>
      <w:tr w:rsidR="00D87564" w:rsidRPr="0067297E" w14:paraId="697A8AF2" w14:textId="77777777" w:rsidTr="00155035">
        <w:trPr>
          <w:trHeight w:val="300"/>
        </w:trPr>
        <w:tc>
          <w:tcPr>
            <w:tcW w:w="0" w:type="auto"/>
            <w:shd w:val="clear" w:color="auto" w:fill="auto"/>
            <w:noWrap/>
            <w:vAlign w:val="bottom"/>
            <w:hideMark/>
          </w:tcPr>
          <w:p w14:paraId="5455DB1B" w14:textId="6F3B5A18" w:rsidR="00D87564" w:rsidRPr="0067297E" w:rsidRDefault="00D87564" w:rsidP="006C722F">
            <w:pPr>
              <w:rPr>
                <w:rFonts w:asciiTheme="minorHAnsi" w:hAnsiTheme="minorHAnsi" w:cs="Calibri"/>
                <w:color w:val="000000"/>
                <w:sz w:val="22"/>
                <w:szCs w:val="22"/>
              </w:rPr>
            </w:pPr>
            <w:r w:rsidRPr="0067297E">
              <w:rPr>
                <w:rFonts w:asciiTheme="minorHAnsi" w:hAnsiTheme="minorHAnsi" w:cs="Calibri"/>
                <w:color w:val="000000"/>
                <w:sz w:val="22"/>
                <w:szCs w:val="22"/>
              </w:rPr>
              <w:t>Base</w:t>
            </w:r>
          </w:p>
        </w:tc>
        <w:tc>
          <w:tcPr>
            <w:tcW w:w="0" w:type="auto"/>
            <w:shd w:val="clear" w:color="auto" w:fill="auto"/>
            <w:noWrap/>
            <w:vAlign w:val="bottom"/>
            <w:hideMark/>
          </w:tcPr>
          <w:p w14:paraId="7CC384C2" w14:textId="0EBFBE7E"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436</w:t>
            </w:r>
            <w:r w:rsidR="008A58F2" w:rsidRPr="0067297E">
              <w:rPr>
                <w:rFonts w:asciiTheme="minorHAnsi" w:hAnsiTheme="minorHAnsi" w:cs="Calibri"/>
                <w:color w:val="000000"/>
                <w:sz w:val="22"/>
                <w:szCs w:val="22"/>
              </w:rPr>
              <w:t>,</w:t>
            </w:r>
            <w:r w:rsidRPr="0067297E">
              <w:rPr>
                <w:rFonts w:asciiTheme="minorHAnsi" w:hAnsiTheme="minorHAnsi" w:cs="Calibri"/>
                <w:color w:val="000000"/>
                <w:sz w:val="22"/>
                <w:szCs w:val="22"/>
              </w:rPr>
              <w:t>735</w:t>
            </w:r>
          </w:p>
        </w:tc>
        <w:tc>
          <w:tcPr>
            <w:tcW w:w="0" w:type="auto"/>
            <w:shd w:val="clear" w:color="auto" w:fill="auto"/>
            <w:noWrap/>
            <w:vAlign w:val="bottom"/>
            <w:hideMark/>
          </w:tcPr>
          <w:p w14:paraId="73C8F12C" w14:textId="6CFBAF54"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43</w:t>
            </w:r>
            <w:r w:rsidR="008A58F2" w:rsidRPr="0067297E">
              <w:rPr>
                <w:rFonts w:asciiTheme="minorHAnsi" w:hAnsiTheme="minorHAnsi" w:cs="Calibri"/>
                <w:color w:val="000000"/>
                <w:sz w:val="22"/>
                <w:szCs w:val="22"/>
              </w:rPr>
              <w:t>,</w:t>
            </w:r>
            <w:r w:rsidRPr="0067297E">
              <w:rPr>
                <w:rFonts w:asciiTheme="minorHAnsi" w:hAnsiTheme="minorHAnsi" w:cs="Calibri"/>
                <w:color w:val="000000"/>
                <w:sz w:val="22"/>
                <w:szCs w:val="22"/>
              </w:rPr>
              <w:t>855</w:t>
            </w:r>
          </w:p>
        </w:tc>
        <w:tc>
          <w:tcPr>
            <w:tcW w:w="0" w:type="auto"/>
            <w:shd w:val="clear" w:color="auto" w:fill="auto"/>
            <w:noWrap/>
            <w:vAlign w:val="bottom"/>
            <w:hideMark/>
          </w:tcPr>
          <w:p w14:paraId="7ED917FF" w14:textId="0E821544" w:rsidR="00D87564" w:rsidRPr="0067297E" w:rsidRDefault="00D87564" w:rsidP="00155035">
            <w:pPr>
              <w:jc w:val="right"/>
              <w:rPr>
                <w:rFonts w:asciiTheme="minorHAnsi" w:hAnsiTheme="minorHAnsi" w:cs="Calibri"/>
                <w:color w:val="000000"/>
                <w:sz w:val="22"/>
                <w:szCs w:val="22"/>
              </w:rPr>
            </w:pPr>
            <w:r w:rsidRPr="0067297E">
              <w:rPr>
                <w:rFonts w:asciiTheme="minorHAnsi" w:hAnsiTheme="minorHAnsi" w:cs="Calibri"/>
                <w:color w:val="000000"/>
                <w:sz w:val="22"/>
                <w:szCs w:val="22"/>
              </w:rPr>
              <w:t>38</w:t>
            </w:r>
            <w:r w:rsidR="008A58F2" w:rsidRPr="0067297E">
              <w:rPr>
                <w:rFonts w:asciiTheme="minorHAnsi" w:hAnsiTheme="minorHAnsi" w:cs="Calibri"/>
                <w:color w:val="000000"/>
                <w:sz w:val="22"/>
                <w:szCs w:val="22"/>
              </w:rPr>
              <w:t>,</w:t>
            </w:r>
            <w:r w:rsidRPr="0067297E">
              <w:rPr>
                <w:rFonts w:asciiTheme="minorHAnsi" w:hAnsiTheme="minorHAnsi" w:cs="Calibri"/>
                <w:color w:val="000000"/>
                <w:sz w:val="22"/>
                <w:szCs w:val="22"/>
              </w:rPr>
              <w:t>615</w:t>
            </w:r>
          </w:p>
        </w:tc>
      </w:tr>
    </w:tbl>
    <w:p w14:paraId="1D3142C1" w14:textId="40B74E1C" w:rsidR="00D87564" w:rsidRPr="0067297E" w:rsidRDefault="00D87564" w:rsidP="00155035">
      <w:pPr>
        <w:ind w:left="720"/>
        <w:rPr>
          <w:rFonts w:asciiTheme="minorHAnsi" w:hAnsiTheme="minorHAnsi" w:cs="Calibri"/>
          <w:sz w:val="20"/>
        </w:rPr>
      </w:pPr>
      <w:r w:rsidRPr="0067297E">
        <w:rPr>
          <w:rFonts w:asciiTheme="minorHAnsi" w:hAnsiTheme="minorHAnsi" w:cs="Calibri"/>
          <w:sz w:val="20"/>
        </w:rPr>
        <w:t>Source: arc4 national surveys</w:t>
      </w:r>
    </w:p>
    <w:p w14:paraId="05DA9B9E" w14:textId="5CE6267A" w:rsidR="00D87564" w:rsidRPr="0067297E" w:rsidRDefault="00D87564" w:rsidP="00543A76">
      <w:pPr>
        <w:pStyle w:val="Reporttext"/>
        <w:numPr>
          <w:ilvl w:val="0"/>
          <w:numId w:val="0"/>
        </w:numPr>
        <w:rPr>
          <w:rFonts w:asciiTheme="minorHAnsi" w:hAnsiTheme="minorHAnsi" w:cs="Calibri"/>
          <w:i/>
          <w:iCs/>
        </w:rPr>
      </w:pPr>
    </w:p>
    <w:p w14:paraId="13FD6A1A" w14:textId="1423820B" w:rsidR="00116319" w:rsidRPr="0067297E" w:rsidRDefault="00116319" w:rsidP="00BC6D95">
      <w:pPr>
        <w:pStyle w:val="Reporttext"/>
        <w:rPr>
          <w:rFonts w:asciiTheme="minorHAnsi" w:hAnsiTheme="minorHAnsi" w:cs="Calibri"/>
          <w:i/>
        </w:rPr>
      </w:pPr>
      <w:r w:rsidRPr="0067297E">
        <w:rPr>
          <w:rFonts w:asciiTheme="minorHAnsi" w:hAnsiTheme="minorHAnsi" w:cs="Calibri"/>
          <w:iCs/>
          <w:lang w:val="en-US"/>
        </w:rPr>
        <w:t>The</w:t>
      </w:r>
      <w:r w:rsidRPr="0067297E">
        <w:rPr>
          <w:rFonts w:asciiTheme="minorHAnsi" w:hAnsiTheme="minorHAnsi" w:cs="Calibri"/>
          <w:iCs/>
        </w:rPr>
        <w:t xml:space="preserve"> PPG indicates that</w:t>
      </w:r>
      <w:r w:rsidRPr="0067297E">
        <w:rPr>
          <w:rFonts w:asciiTheme="minorHAnsi" w:hAnsiTheme="minorHAnsi" w:cs="Calibri"/>
          <w:i/>
        </w:rPr>
        <w:t xml:space="preserve"> ‘</w:t>
      </w:r>
      <w:r w:rsidRPr="0067297E">
        <w:rPr>
          <w:rFonts w:asciiTheme="minorHAnsi" w:hAnsiTheme="minorHAnsi"/>
          <w:i/>
          <w:lang w:val="en-US"/>
        </w:rPr>
        <w:t xml:space="preserve">The health and lifestyles of older people will differ greatly, as will their housing needs. Strategic policy-making authorities will need to determine in relation to </w:t>
      </w:r>
      <w:r w:rsidRPr="0067297E">
        <w:rPr>
          <w:rFonts w:asciiTheme="minorHAnsi" w:hAnsiTheme="minorHAnsi"/>
          <w:i/>
        </w:rPr>
        <w:t>their</w:t>
      </w:r>
      <w:r w:rsidRPr="0067297E">
        <w:rPr>
          <w:rFonts w:asciiTheme="minorHAnsi" w:hAnsiTheme="minorHAnsi"/>
          <w:i/>
          <w:lang w:val="en-US"/>
        </w:rPr>
        <w:t xml:space="preserve"> plan period the needs of people who will be approaching or reaching retirement as well as older people now’. </w:t>
      </w:r>
      <w:r w:rsidRPr="00364B9E">
        <w:rPr>
          <w:rFonts w:asciiTheme="minorHAnsi" w:hAnsiTheme="minorHAnsi"/>
          <w:lang w:val="en-US"/>
        </w:rPr>
        <w:t>It continues</w:t>
      </w:r>
      <w:r w:rsidRPr="0067297E">
        <w:rPr>
          <w:rFonts w:asciiTheme="minorHAnsi" w:hAnsiTheme="minorHAnsi"/>
          <w:i/>
          <w:lang w:val="en-US"/>
        </w:rPr>
        <w:t xml:space="preserve"> ‘Strategic policy-making authorities will need to consider the size, location and quality of dwellings needed in the future for older people in order to allow them to live independently and safely in their own home for as long as possible, or to move to more suitable accommodation if they so wish. Supporting independent living can help to reduce the costs to health and social services, and providing more options for older people to move could also free up houses that are under occupied.’</w:t>
      </w:r>
      <w:r w:rsidR="00FF0436" w:rsidRPr="0067297E">
        <w:rPr>
          <w:rStyle w:val="FootnoteReference"/>
          <w:rFonts w:asciiTheme="minorHAnsi" w:hAnsiTheme="minorHAnsi"/>
          <w:i/>
          <w:lang w:val="en-US"/>
        </w:rPr>
        <w:footnoteReference w:id="42"/>
      </w:r>
    </w:p>
    <w:p w14:paraId="7BDC2914" w14:textId="67AEDC6E" w:rsidR="00116319" w:rsidRPr="0067297E" w:rsidRDefault="00116319" w:rsidP="00FA273F">
      <w:pPr>
        <w:pStyle w:val="Reporttext"/>
        <w:numPr>
          <w:ilvl w:val="0"/>
          <w:numId w:val="0"/>
        </w:numPr>
        <w:ind w:left="709"/>
        <w:rPr>
          <w:rFonts w:asciiTheme="minorHAnsi" w:hAnsiTheme="minorHAnsi" w:cs="Calibri"/>
        </w:rPr>
      </w:pPr>
      <w:r w:rsidRPr="0067297E">
        <w:rPr>
          <w:rFonts w:asciiTheme="minorHAnsi" w:hAnsiTheme="minorHAnsi" w:cs="Calibri"/>
        </w:rPr>
        <w:t>The PPG recommends the following are considered in an assessment of older persons</w:t>
      </w:r>
      <w:r w:rsidR="00BC6D95" w:rsidRPr="0067297E">
        <w:rPr>
          <w:rFonts w:asciiTheme="minorHAnsi" w:hAnsiTheme="minorHAnsi" w:cs="Calibri"/>
          <w:lang w:val="en-GB"/>
        </w:rPr>
        <w:t>’</w:t>
      </w:r>
      <w:r w:rsidRPr="0067297E">
        <w:rPr>
          <w:rFonts w:asciiTheme="minorHAnsi" w:hAnsiTheme="minorHAnsi" w:cs="Calibri"/>
        </w:rPr>
        <w:t xml:space="preserve"> need:</w:t>
      </w:r>
    </w:p>
    <w:p w14:paraId="4820E8F7" w14:textId="77777777" w:rsidR="00116319" w:rsidRPr="0067297E" w:rsidRDefault="00116319" w:rsidP="006C722F">
      <w:pPr>
        <w:pStyle w:val="bullet"/>
        <w:rPr>
          <w:rFonts w:asciiTheme="minorHAnsi" w:hAnsiTheme="minorHAnsi"/>
        </w:rPr>
      </w:pPr>
      <w:r w:rsidRPr="0067297E">
        <w:rPr>
          <w:rFonts w:asciiTheme="minorHAnsi" w:hAnsiTheme="minorHAnsi"/>
        </w:rPr>
        <w:t>The future need for specialist accommodation (e.g. sheltered, enhanced sheltered, extra care, registered care), broken down by type and tenure;</w:t>
      </w:r>
    </w:p>
    <w:p w14:paraId="31961995" w14:textId="77777777" w:rsidR="00116319" w:rsidRPr="0067297E" w:rsidRDefault="00116319" w:rsidP="006C722F">
      <w:pPr>
        <w:pStyle w:val="bullet"/>
        <w:rPr>
          <w:rFonts w:asciiTheme="minorHAnsi" w:hAnsiTheme="minorHAnsi"/>
        </w:rPr>
      </w:pPr>
      <w:r w:rsidRPr="0067297E">
        <w:rPr>
          <w:rFonts w:asciiTheme="minorHAnsi" w:hAnsiTheme="minorHAnsi"/>
        </w:rPr>
        <w:t>The need for care in residential institutions (C2); and</w:t>
      </w:r>
    </w:p>
    <w:p w14:paraId="66603867" w14:textId="77777777" w:rsidR="00116319" w:rsidRPr="0067297E" w:rsidRDefault="00116319" w:rsidP="006C722F">
      <w:pPr>
        <w:pStyle w:val="bullet"/>
        <w:rPr>
          <w:rFonts w:asciiTheme="minorHAnsi" w:hAnsiTheme="minorHAnsi"/>
        </w:rPr>
      </w:pPr>
      <w:r w:rsidRPr="0067297E">
        <w:rPr>
          <w:rFonts w:asciiTheme="minorHAnsi" w:hAnsiTheme="minorHAnsi"/>
        </w:rPr>
        <w:t>The role of general housing and in particular bungalows and homes that can be adapted to meet a change in needs.</w:t>
      </w:r>
    </w:p>
    <w:p w14:paraId="1460A801" w14:textId="77777777" w:rsidR="00116319" w:rsidRPr="0067297E" w:rsidRDefault="00116319" w:rsidP="00543A76">
      <w:pPr>
        <w:pStyle w:val="Reporttext"/>
        <w:numPr>
          <w:ilvl w:val="0"/>
          <w:numId w:val="0"/>
        </w:numPr>
        <w:rPr>
          <w:rFonts w:asciiTheme="minorHAnsi" w:hAnsiTheme="minorHAnsi" w:cs="Calibri"/>
        </w:rPr>
      </w:pPr>
    </w:p>
    <w:p w14:paraId="5B19E702" w14:textId="77777777" w:rsidR="00116319" w:rsidRPr="0067297E" w:rsidRDefault="00116319" w:rsidP="006C722F">
      <w:pPr>
        <w:pStyle w:val="Heading3"/>
        <w:rPr>
          <w:rFonts w:asciiTheme="minorHAnsi" w:hAnsiTheme="minorHAnsi"/>
        </w:rPr>
      </w:pPr>
      <w:bookmarkStart w:id="347" w:name="_Toc400208518"/>
      <w:r w:rsidRPr="0067297E">
        <w:rPr>
          <w:rFonts w:asciiTheme="minorHAnsi" w:hAnsiTheme="minorHAnsi"/>
        </w:rPr>
        <w:t>Future need for older person accommodation and residential care institutions</w:t>
      </w:r>
      <w:bookmarkEnd w:id="347"/>
    </w:p>
    <w:p w14:paraId="0BC01DDB" w14:textId="11B06B45" w:rsidR="00116319" w:rsidRPr="0067297E" w:rsidRDefault="00116319" w:rsidP="00FA273F">
      <w:pPr>
        <w:pStyle w:val="Reporttext"/>
        <w:rPr>
          <w:rFonts w:asciiTheme="minorHAnsi" w:hAnsiTheme="minorHAnsi"/>
        </w:rPr>
      </w:pPr>
      <w:r w:rsidRPr="0067297E">
        <w:rPr>
          <w:rFonts w:asciiTheme="minorHAnsi" w:hAnsiTheme="minorHAnsi" w:cs="Arial"/>
          <w:iCs/>
          <w:color w:val="0B0B0B"/>
          <w:lang w:val="en-US"/>
        </w:rPr>
        <w:t>Table</w:t>
      </w:r>
      <w:r w:rsidRPr="0067297E">
        <w:rPr>
          <w:rFonts w:asciiTheme="minorHAnsi" w:hAnsiTheme="minorHAnsi"/>
          <w:iCs/>
        </w:rPr>
        <w:t xml:space="preserve"> </w:t>
      </w:r>
      <w:r w:rsidRPr="0067297E">
        <w:rPr>
          <w:rFonts w:asciiTheme="minorHAnsi" w:hAnsiTheme="minorHAnsi"/>
          <w:lang w:val="en-US"/>
        </w:rPr>
        <w:t>6.7</w:t>
      </w:r>
      <w:r w:rsidRPr="0067297E">
        <w:rPr>
          <w:rFonts w:asciiTheme="minorHAnsi" w:hAnsiTheme="minorHAnsi"/>
        </w:rPr>
        <w:t xml:space="preserve"> sets out the categories of older person accommodation as expressed by the Elderly Accommodation Counsel (EAC). The EAC website provides an excellent source of information regarding the current range of older persons’ provision in the </w:t>
      </w:r>
      <w:r w:rsidRPr="0067297E">
        <w:rPr>
          <w:rFonts w:asciiTheme="minorHAnsi" w:hAnsiTheme="minorHAnsi"/>
          <w:lang w:val="en-US"/>
        </w:rPr>
        <w:t>borough</w:t>
      </w:r>
      <w:r w:rsidRPr="0067297E">
        <w:rPr>
          <w:rFonts w:asciiTheme="minorHAnsi" w:hAnsiTheme="minorHAnsi"/>
        </w:rPr>
        <w:t>.</w:t>
      </w:r>
    </w:p>
    <w:p w14:paraId="67AA86E4" w14:textId="6B7F9A7E" w:rsidR="006C722F" w:rsidRPr="0067297E" w:rsidRDefault="006C722F">
      <w:pPr>
        <w:rPr>
          <w:rFonts w:asciiTheme="minorHAnsi" w:hAnsiTheme="minorHAnsi"/>
        </w:rPr>
      </w:pPr>
      <w:bookmarkStart w:id="348" w:name="_Toc400208593"/>
    </w:p>
    <w:tbl>
      <w:tblPr>
        <w:tblStyle w:val="TableGrid"/>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Caption w:val="Table 6.7 Catagories of older person accommodation"/>
      </w:tblPr>
      <w:tblGrid>
        <w:gridCol w:w="1661"/>
        <w:gridCol w:w="1027"/>
        <w:gridCol w:w="6494"/>
      </w:tblGrid>
      <w:tr w:rsidR="00116319" w:rsidRPr="0067297E" w14:paraId="020D3CB1" w14:textId="77777777" w:rsidTr="00426BD8">
        <w:trPr>
          <w:tblHeader/>
        </w:trPr>
        <w:tc>
          <w:tcPr>
            <w:tcW w:w="5000" w:type="pct"/>
            <w:gridSpan w:val="3"/>
            <w:shd w:val="clear" w:color="auto" w:fill="009999"/>
          </w:tcPr>
          <w:p w14:paraId="71E53ACA" w14:textId="5654F797" w:rsidR="00116319" w:rsidRPr="0067297E" w:rsidRDefault="00116319" w:rsidP="003F4875">
            <w:pPr>
              <w:pStyle w:val="tableheading"/>
              <w:rPr>
                <w:rFonts w:asciiTheme="minorHAnsi" w:hAnsiTheme="minorHAnsi"/>
              </w:rPr>
            </w:pPr>
            <w:bookmarkStart w:id="349" w:name="_Toc23151183"/>
            <w:r w:rsidRPr="0067297E">
              <w:rPr>
                <w:rFonts w:asciiTheme="minorHAnsi" w:hAnsiTheme="minorHAnsi"/>
              </w:rPr>
              <w:t>Table 6.7</w:t>
            </w:r>
            <w:r w:rsidR="006C722F" w:rsidRPr="0067297E">
              <w:rPr>
                <w:rFonts w:asciiTheme="minorHAnsi" w:hAnsiTheme="minorHAnsi"/>
              </w:rPr>
              <w:tab/>
            </w:r>
            <w:r w:rsidRPr="0067297E">
              <w:rPr>
                <w:rFonts w:asciiTheme="minorHAnsi" w:hAnsiTheme="minorHAnsi"/>
              </w:rPr>
              <w:t>Categories of older person accommodation</w:t>
            </w:r>
            <w:bookmarkEnd w:id="348"/>
            <w:bookmarkEnd w:id="349"/>
          </w:p>
        </w:tc>
      </w:tr>
      <w:tr w:rsidR="00116319" w:rsidRPr="0067297E" w14:paraId="311A9CFD" w14:textId="77777777" w:rsidTr="00070C83">
        <w:tc>
          <w:tcPr>
            <w:tcW w:w="905" w:type="pct"/>
            <w:shd w:val="clear" w:color="auto" w:fill="009999"/>
          </w:tcPr>
          <w:p w14:paraId="50DDF597" w14:textId="77777777" w:rsidR="00116319" w:rsidRPr="0067297E" w:rsidRDefault="00116319" w:rsidP="00070C83">
            <w:pPr>
              <w:pStyle w:val="Reporttext"/>
              <w:numPr>
                <w:ilvl w:val="0"/>
                <w:numId w:val="0"/>
              </w:numPr>
              <w:spacing w:before="60" w:after="60"/>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Category</w:t>
            </w:r>
          </w:p>
        </w:tc>
        <w:tc>
          <w:tcPr>
            <w:tcW w:w="559" w:type="pct"/>
            <w:shd w:val="clear" w:color="auto" w:fill="009999"/>
          </w:tcPr>
          <w:p w14:paraId="6E2390E6" w14:textId="77777777" w:rsidR="00116319" w:rsidRPr="0067297E" w:rsidRDefault="00116319" w:rsidP="00070C83">
            <w:pPr>
              <w:spacing w:before="60" w:after="60"/>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Number of units</w:t>
            </w:r>
          </w:p>
        </w:tc>
        <w:tc>
          <w:tcPr>
            <w:tcW w:w="3536" w:type="pct"/>
            <w:shd w:val="clear" w:color="auto" w:fill="009999"/>
          </w:tcPr>
          <w:p w14:paraId="657ABFBD" w14:textId="77777777" w:rsidR="00116319" w:rsidRPr="0067297E" w:rsidRDefault="00116319" w:rsidP="00070C83">
            <w:pPr>
              <w:spacing w:before="60" w:after="60"/>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Description</w:t>
            </w:r>
          </w:p>
        </w:tc>
      </w:tr>
      <w:tr w:rsidR="00116319" w:rsidRPr="0067297E" w14:paraId="3FD7649E" w14:textId="77777777" w:rsidTr="00070C83">
        <w:tc>
          <w:tcPr>
            <w:tcW w:w="905" w:type="pct"/>
          </w:tcPr>
          <w:p w14:paraId="65055BE4" w14:textId="77777777" w:rsidR="00116319" w:rsidRPr="0067297E" w:rsidRDefault="00116319" w:rsidP="00116319">
            <w:pPr>
              <w:pStyle w:val="Reporttext"/>
              <w:numPr>
                <w:ilvl w:val="0"/>
                <w:numId w:val="0"/>
              </w:numPr>
              <w:rPr>
                <w:rFonts w:asciiTheme="minorHAnsi" w:hAnsiTheme="minorHAnsi" w:cs="Calibri"/>
                <w:sz w:val="22"/>
                <w:szCs w:val="22"/>
              </w:rPr>
            </w:pPr>
            <w:r w:rsidRPr="0067297E">
              <w:rPr>
                <w:rFonts w:asciiTheme="minorHAnsi" w:hAnsiTheme="minorHAnsi" w:cs="Calibri"/>
                <w:sz w:val="22"/>
                <w:szCs w:val="22"/>
              </w:rPr>
              <w:t>Age-exclusive housing</w:t>
            </w:r>
          </w:p>
        </w:tc>
        <w:tc>
          <w:tcPr>
            <w:tcW w:w="559" w:type="pct"/>
          </w:tcPr>
          <w:p w14:paraId="19A32CB2" w14:textId="5EEB3A16" w:rsidR="00116319" w:rsidRPr="0067297E" w:rsidRDefault="00116319" w:rsidP="00070C83">
            <w:pPr>
              <w:jc w:val="center"/>
              <w:rPr>
                <w:rFonts w:asciiTheme="minorHAnsi" w:hAnsiTheme="minorHAnsi" w:cs="Calibri"/>
                <w:color w:val="101010"/>
                <w:sz w:val="22"/>
                <w:szCs w:val="22"/>
              </w:rPr>
            </w:pPr>
            <w:r w:rsidRPr="0067297E">
              <w:rPr>
                <w:rFonts w:asciiTheme="minorHAnsi" w:hAnsiTheme="minorHAnsi" w:cs="Calibri"/>
                <w:color w:val="101010"/>
                <w:sz w:val="22"/>
                <w:szCs w:val="22"/>
              </w:rPr>
              <w:t>979</w:t>
            </w:r>
          </w:p>
        </w:tc>
        <w:tc>
          <w:tcPr>
            <w:tcW w:w="3536" w:type="pct"/>
          </w:tcPr>
          <w:p w14:paraId="23F66D9A" w14:textId="77777777" w:rsidR="00116319" w:rsidRPr="0067297E" w:rsidRDefault="00116319" w:rsidP="00116319">
            <w:pPr>
              <w:rPr>
                <w:rFonts w:asciiTheme="minorHAnsi" w:hAnsiTheme="minorHAnsi" w:cs="Calibri"/>
                <w:sz w:val="22"/>
                <w:szCs w:val="22"/>
              </w:rPr>
            </w:pPr>
            <w:r w:rsidRPr="0067297E">
              <w:rPr>
                <w:rFonts w:asciiTheme="minorHAnsi" w:hAnsiTheme="minorHAnsi" w:cs="Calibri"/>
                <w:color w:val="101010"/>
                <w:sz w:val="22"/>
                <w:szCs w:val="22"/>
              </w:rPr>
              <w:t>Schemes or developments that cater exclusively for older people, usually incorporate design features helpful to older people, and may have communal facilities such as a residents' lounge, guest suite and shared garden, but do not provide any regular on-site support to residents.</w:t>
            </w:r>
          </w:p>
        </w:tc>
      </w:tr>
      <w:tr w:rsidR="00116319" w:rsidRPr="0067297E" w14:paraId="6E562BBF" w14:textId="77777777" w:rsidTr="00070C83">
        <w:tc>
          <w:tcPr>
            <w:tcW w:w="905" w:type="pct"/>
          </w:tcPr>
          <w:p w14:paraId="453BD9AA" w14:textId="77777777" w:rsidR="00116319" w:rsidRPr="0067297E" w:rsidRDefault="00116319" w:rsidP="00116319">
            <w:pPr>
              <w:pStyle w:val="Reporttext"/>
              <w:numPr>
                <w:ilvl w:val="0"/>
                <w:numId w:val="0"/>
              </w:numPr>
              <w:rPr>
                <w:rFonts w:asciiTheme="minorHAnsi" w:hAnsiTheme="minorHAnsi" w:cs="Calibri"/>
                <w:sz w:val="22"/>
                <w:szCs w:val="22"/>
              </w:rPr>
            </w:pPr>
            <w:r w:rsidRPr="0067297E">
              <w:rPr>
                <w:rFonts w:asciiTheme="minorHAnsi" w:hAnsiTheme="minorHAnsi" w:cs="Calibri"/>
                <w:sz w:val="22"/>
                <w:szCs w:val="22"/>
              </w:rPr>
              <w:t>Care homes</w:t>
            </w:r>
          </w:p>
        </w:tc>
        <w:tc>
          <w:tcPr>
            <w:tcW w:w="559" w:type="pct"/>
          </w:tcPr>
          <w:p w14:paraId="241A278D" w14:textId="5546C09A" w:rsidR="00116319" w:rsidRPr="0067297E" w:rsidRDefault="00116319" w:rsidP="00070C83">
            <w:pPr>
              <w:jc w:val="center"/>
              <w:rPr>
                <w:rFonts w:asciiTheme="minorHAnsi" w:hAnsiTheme="minorHAnsi" w:cs="Calibri"/>
                <w:color w:val="101010"/>
                <w:sz w:val="22"/>
                <w:szCs w:val="22"/>
              </w:rPr>
            </w:pPr>
            <w:r w:rsidRPr="0067297E">
              <w:rPr>
                <w:rFonts w:asciiTheme="minorHAnsi" w:hAnsiTheme="minorHAnsi" w:cs="Calibri"/>
                <w:color w:val="101010"/>
                <w:sz w:val="22"/>
                <w:szCs w:val="22"/>
              </w:rPr>
              <w:t>218</w:t>
            </w:r>
          </w:p>
        </w:tc>
        <w:tc>
          <w:tcPr>
            <w:tcW w:w="3536" w:type="pct"/>
          </w:tcPr>
          <w:p w14:paraId="1A6C0911" w14:textId="77777777" w:rsidR="00116319" w:rsidRPr="0067297E" w:rsidRDefault="00116319" w:rsidP="00116319">
            <w:pPr>
              <w:rPr>
                <w:rFonts w:asciiTheme="minorHAnsi" w:hAnsiTheme="minorHAnsi" w:cs="Calibri"/>
                <w:sz w:val="22"/>
                <w:szCs w:val="22"/>
              </w:rPr>
            </w:pPr>
            <w:r w:rsidRPr="0067297E">
              <w:rPr>
                <w:rFonts w:asciiTheme="minorHAnsi" w:hAnsiTheme="minorHAnsi" w:cs="Calibri"/>
                <w:color w:val="101010"/>
                <w:sz w:val="22"/>
                <w:szCs w:val="22"/>
              </w:rPr>
              <w:t>A residential setting where a number of older people live, usually in single rooms, and have access to on-site care services. Since April 2002 all homes in England, Scotland and Wales are known as ‘care homes’, but are registered to provide different levels of care</w:t>
            </w:r>
          </w:p>
          <w:p w14:paraId="3DA49789" w14:textId="77777777" w:rsidR="00116319" w:rsidRPr="0067297E" w:rsidRDefault="00116319" w:rsidP="00116319">
            <w:pPr>
              <w:rPr>
                <w:rFonts w:asciiTheme="minorHAnsi" w:hAnsiTheme="minorHAnsi" w:cs="Calibri"/>
                <w:sz w:val="22"/>
                <w:szCs w:val="22"/>
              </w:rPr>
            </w:pPr>
            <w:r w:rsidRPr="0067297E">
              <w:rPr>
                <w:rFonts w:asciiTheme="minorHAnsi" w:hAnsiTheme="minorHAnsi" w:cs="Calibri"/>
                <w:color w:val="101010"/>
                <w:sz w:val="22"/>
                <w:szCs w:val="22"/>
              </w:rPr>
              <w:t>A home registered simply as a </w:t>
            </w:r>
            <w:r w:rsidRPr="0067297E">
              <w:rPr>
                <w:rFonts w:asciiTheme="minorHAnsi" w:hAnsiTheme="minorHAnsi" w:cs="Calibri"/>
                <w:b/>
                <w:bCs/>
                <w:color w:val="101010"/>
                <w:sz w:val="22"/>
                <w:szCs w:val="22"/>
              </w:rPr>
              <w:t>care home </w:t>
            </w:r>
            <w:r w:rsidRPr="0067297E">
              <w:rPr>
                <w:rFonts w:asciiTheme="minorHAnsi" w:hAnsiTheme="minorHAnsi" w:cs="Calibri"/>
                <w:color w:val="101010"/>
                <w:sz w:val="22"/>
                <w:szCs w:val="22"/>
              </w:rPr>
              <w:t>will provide personal care only - help with washing, dressing and giving medication</w:t>
            </w:r>
          </w:p>
        </w:tc>
      </w:tr>
      <w:tr w:rsidR="00116319" w:rsidRPr="0067297E" w14:paraId="038A8DE0" w14:textId="77777777" w:rsidTr="00070C83">
        <w:tc>
          <w:tcPr>
            <w:tcW w:w="905" w:type="pct"/>
          </w:tcPr>
          <w:p w14:paraId="7AD93B70" w14:textId="77777777" w:rsidR="00116319" w:rsidRPr="0067297E" w:rsidRDefault="00116319" w:rsidP="00116319">
            <w:pPr>
              <w:pStyle w:val="Reporttext"/>
              <w:numPr>
                <w:ilvl w:val="0"/>
                <w:numId w:val="0"/>
              </w:numPr>
              <w:rPr>
                <w:rFonts w:asciiTheme="minorHAnsi" w:hAnsiTheme="minorHAnsi" w:cs="Calibri"/>
                <w:sz w:val="22"/>
                <w:szCs w:val="22"/>
              </w:rPr>
            </w:pPr>
            <w:r w:rsidRPr="0067297E">
              <w:rPr>
                <w:rFonts w:asciiTheme="minorHAnsi" w:hAnsiTheme="minorHAnsi" w:cs="Calibri"/>
                <w:sz w:val="22"/>
                <w:szCs w:val="22"/>
              </w:rPr>
              <w:t>Care home with nursing</w:t>
            </w:r>
          </w:p>
        </w:tc>
        <w:tc>
          <w:tcPr>
            <w:tcW w:w="559" w:type="pct"/>
          </w:tcPr>
          <w:p w14:paraId="7ACA3E08" w14:textId="6401CD70" w:rsidR="00116319" w:rsidRPr="0067297E" w:rsidRDefault="00116319" w:rsidP="00070C83">
            <w:pPr>
              <w:jc w:val="center"/>
              <w:rPr>
                <w:rFonts w:asciiTheme="minorHAnsi" w:hAnsiTheme="minorHAnsi" w:cs="Calibri"/>
                <w:color w:val="101010"/>
                <w:sz w:val="22"/>
                <w:szCs w:val="22"/>
              </w:rPr>
            </w:pPr>
            <w:r w:rsidRPr="0067297E">
              <w:rPr>
                <w:rFonts w:asciiTheme="minorHAnsi" w:hAnsiTheme="minorHAnsi" w:cs="Calibri"/>
                <w:color w:val="101010"/>
                <w:sz w:val="22"/>
                <w:szCs w:val="22"/>
              </w:rPr>
              <w:t>481</w:t>
            </w:r>
          </w:p>
        </w:tc>
        <w:tc>
          <w:tcPr>
            <w:tcW w:w="3536" w:type="pct"/>
          </w:tcPr>
          <w:p w14:paraId="3BBAACF9" w14:textId="77777777" w:rsidR="00116319" w:rsidRPr="0067297E" w:rsidRDefault="00116319" w:rsidP="00116319">
            <w:pPr>
              <w:rPr>
                <w:rFonts w:asciiTheme="minorHAnsi" w:hAnsiTheme="minorHAnsi" w:cs="Calibri"/>
                <w:sz w:val="22"/>
                <w:szCs w:val="22"/>
              </w:rPr>
            </w:pPr>
            <w:r w:rsidRPr="0067297E">
              <w:rPr>
                <w:rFonts w:asciiTheme="minorHAnsi" w:hAnsiTheme="minorHAnsi" w:cs="Calibri"/>
                <w:color w:val="101010"/>
                <w:sz w:val="22"/>
                <w:szCs w:val="22"/>
              </w:rPr>
              <w:t>A home registered as a </w:t>
            </w:r>
            <w:r w:rsidRPr="0067297E">
              <w:rPr>
                <w:rFonts w:asciiTheme="minorHAnsi" w:hAnsiTheme="minorHAnsi" w:cs="Calibri"/>
                <w:b/>
                <w:bCs/>
                <w:color w:val="101010"/>
                <w:sz w:val="22"/>
                <w:szCs w:val="22"/>
              </w:rPr>
              <w:t>care home with nursing </w:t>
            </w:r>
            <w:r w:rsidRPr="0067297E">
              <w:rPr>
                <w:rFonts w:asciiTheme="minorHAnsi" w:hAnsiTheme="minorHAnsi" w:cs="Calibri"/>
                <w:color w:val="101010"/>
                <w:sz w:val="22"/>
                <w:szCs w:val="22"/>
              </w:rPr>
              <w:t>will provide the same personal care but also have a qualified nurse on duty twenty-four hours a day to carry out nursing tasks. These homes are for people who are physically or mentally frail or people who need regular attention from a nurse.</w:t>
            </w:r>
          </w:p>
        </w:tc>
      </w:tr>
      <w:tr w:rsidR="00116319" w:rsidRPr="0067297E" w14:paraId="6C1F4452" w14:textId="77777777" w:rsidTr="00070C83">
        <w:tc>
          <w:tcPr>
            <w:tcW w:w="905" w:type="pct"/>
          </w:tcPr>
          <w:p w14:paraId="75716D70" w14:textId="77777777" w:rsidR="00116319" w:rsidRPr="0067297E" w:rsidRDefault="00116319" w:rsidP="00155035">
            <w:pPr>
              <w:pStyle w:val="Reporttext"/>
              <w:numPr>
                <w:ilvl w:val="0"/>
                <w:numId w:val="0"/>
              </w:numPr>
              <w:jc w:val="left"/>
              <w:rPr>
                <w:rFonts w:asciiTheme="minorHAnsi" w:hAnsiTheme="minorHAnsi" w:cs="Calibri"/>
                <w:sz w:val="22"/>
                <w:szCs w:val="22"/>
              </w:rPr>
            </w:pPr>
            <w:r w:rsidRPr="0067297E">
              <w:rPr>
                <w:rFonts w:asciiTheme="minorHAnsi" w:hAnsiTheme="minorHAnsi" w:cs="Calibri"/>
                <w:sz w:val="22"/>
                <w:szCs w:val="22"/>
              </w:rPr>
              <w:t>Enhanced sheltered/close case</w:t>
            </w:r>
          </w:p>
        </w:tc>
        <w:tc>
          <w:tcPr>
            <w:tcW w:w="559" w:type="pct"/>
          </w:tcPr>
          <w:p w14:paraId="1B806231" w14:textId="78C89938" w:rsidR="00116319" w:rsidRPr="0067297E" w:rsidRDefault="00116319" w:rsidP="00070C83">
            <w:pPr>
              <w:jc w:val="center"/>
              <w:rPr>
                <w:rFonts w:asciiTheme="minorHAnsi" w:hAnsiTheme="minorHAnsi" w:cs="Calibri"/>
                <w:color w:val="101010"/>
                <w:sz w:val="22"/>
                <w:szCs w:val="22"/>
              </w:rPr>
            </w:pPr>
            <w:r w:rsidRPr="0067297E">
              <w:rPr>
                <w:rFonts w:asciiTheme="minorHAnsi" w:hAnsiTheme="minorHAnsi" w:cs="Calibri"/>
                <w:color w:val="101010"/>
                <w:sz w:val="22"/>
                <w:szCs w:val="22"/>
              </w:rPr>
              <w:t>0</w:t>
            </w:r>
          </w:p>
        </w:tc>
        <w:tc>
          <w:tcPr>
            <w:tcW w:w="3536" w:type="pct"/>
          </w:tcPr>
          <w:p w14:paraId="2743B90F" w14:textId="77777777" w:rsidR="00116319" w:rsidRPr="0067297E" w:rsidRDefault="00116319" w:rsidP="00116319">
            <w:pPr>
              <w:rPr>
                <w:rFonts w:asciiTheme="minorHAnsi" w:hAnsiTheme="minorHAnsi" w:cs="Calibri"/>
                <w:color w:val="101010"/>
                <w:sz w:val="22"/>
                <w:szCs w:val="22"/>
              </w:rPr>
            </w:pPr>
            <w:r w:rsidRPr="0067297E">
              <w:rPr>
                <w:rFonts w:asciiTheme="minorHAnsi" w:hAnsiTheme="minorHAnsi" w:cs="Calibri"/>
                <w:color w:val="101010"/>
                <w:sz w:val="22"/>
                <w:szCs w:val="22"/>
              </w:rPr>
              <w:t>Sheltered housing that provides more in facilities and services than traditional sheltered housing but does not offer the full range of provision that is found in an Extra Care housing scheme</w:t>
            </w:r>
          </w:p>
        </w:tc>
      </w:tr>
      <w:tr w:rsidR="00116319" w:rsidRPr="0067297E" w14:paraId="595984ED" w14:textId="77777777" w:rsidTr="00070C83">
        <w:tc>
          <w:tcPr>
            <w:tcW w:w="905" w:type="pct"/>
          </w:tcPr>
          <w:p w14:paraId="068CEFC2" w14:textId="77777777" w:rsidR="00116319" w:rsidRPr="0067297E" w:rsidRDefault="00116319" w:rsidP="00155035">
            <w:pPr>
              <w:pStyle w:val="Reporttext"/>
              <w:numPr>
                <w:ilvl w:val="0"/>
                <w:numId w:val="0"/>
              </w:numPr>
              <w:jc w:val="left"/>
              <w:rPr>
                <w:rFonts w:asciiTheme="minorHAnsi" w:hAnsiTheme="minorHAnsi" w:cs="Calibri"/>
                <w:sz w:val="22"/>
                <w:szCs w:val="22"/>
              </w:rPr>
            </w:pPr>
            <w:r w:rsidRPr="0067297E">
              <w:rPr>
                <w:rFonts w:asciiTheme="minorHAnsi" w:hAnsiTheme="minorHAnsi" w:cs="Calibri"/>
                <w:sz w:val="22"/>
                <w:szCs w:val="22"/>
              </w:rPr>
              <w:t>Retirement housing</w:t>
            </w:r>
          </w:p>
        </w:tc>
        <w:tc>
          <w:tcPr>
            <w:tcW w:w="559" w:type="pct"/>
          </w:tcPr>
          <w:p w14:paraId="67D6A397" w14:textId="5093F08E" w:rsidR="00116319" w:rsidRPr="0067297E" w:rsidRDefault="00116319" w:rsidP="00070C83">
            <w:pPr>
              <w:jc w:val="center"/>
              <w:rPr>
                <w:rFonts w:asciiTheme="minorHAnsi" w:hAnsiTheme="minorHAnsi" w:cs="Calibri"/>
                <w:color w:val="101010"/>
                <w:sz w:val="22"/>
                <w:szCs w:val="22"/>
              </w:rPr>
            </w:pPr>
            <w:r w:rsidRPr="0067297E">
              <w:rPr>
                <w:rFonts w:asciiTheme="minorHAnsi" w:hAnsiTheme="minorHAnsi" w:cs="Calibri"/>
                <w:color w:val="101010"/>
                <w:sz w:val="22"/>
                <w:szCs w:val="22"/>
              </w:rPr>
              <w:t>1,227</w:t>
            </w:r>
          </w:p>
        </w:tc>
        <w:tc>
          <w:tcPr>
            <w:tcW w:w="3536" w:type="pct"/>
          </w:tcPr>
          <w:p w14:paraId="304EC7F3" w14:textId="77777777" w:rsidR="00116319" w:rsidRPr="0067297E" w:rsidRDefault="00116319" w:rsidP="00116319">
            <w:pPr>
              <w:rPr>
                <w:rFonts w:asciiTheme="minorHAnsi" w:hAnsiTheme="minorHAnsi" w:cs="Calibri"/>
                <w:sz w:val="22"/>
                <w:szCs w:val="22"/>
              </w:rPr>
            </w:pPr>
            <w:r w:rsidRPr="0067297E">
              <w:rPr>
                <w:rFonts w:asciiTheme="minorHAnsi" w:hAnsiTheme="minorHAnsi" w:cs="Calibri"/>
                <w:color w:val="101010"/>
                <w:sz w:val="22"/>
                <w:szCs w:val="22"/>
              </w:rPr>
              <w:t>Housing developments of a similar type to sheltered housing (see below), but built for sale, usually on a leasehold basis.</w:t>
            </w:r>
          </w:p>
        </w:tc>
      </w:tr>
      <w:tr w:rsidR="00116319" w:rsidRPr="0067297E" w14:paraId="5854CE01" w14:textId="77777777" w:rsidTr="00070C83">
        <w:tc>
          <w:tcPr>
            <w:tcW w:w="905" w:type="pct"/>
          </w:tcPr>
          <w:p w14:paraId="5A4D5528" w14:textId="77777777" w:rsidR="00116319" w:rsidRPr="0067297E" w:rsidRDefault="00116319" w:rsidP="00155035">
            <w:pPr>
              <w:pStyle w:val="Reporttext"/>
              <w:numPr>
                <w:ilvl w:val="0"/>
                <w:numId w:val="0"/>
              </w:numPr>
              <w:jc w:val="left"/>
              <w:rPr>
                <w:rFonts w:asciiTheme="minorHAnsi" w:hAnsiTheme="minorHAnsi" w:cs="Calibri"/>
                <w:sz w:val="22"/>
                <w:szCs w:val="22"/>
              </w:rPr>
            </w:pPr>
            <w:r w:rsidRPr="0067297E">
              <w:rPr>
                <w:rFonts w:asciiTheme="minorHAnsi" w:hAnsiTheme="minorHAnsi" w:cs="Calibri"/>
                <w:sz w:val="22"/>
                <w:szCs w:val="22"/>
              </w:rPr>
              <w:t>Extra Care housing</w:t>
            </w:r>
          </w:p>
        </w:tc>
        <w:tc>
          <w:tcPr>
            <w:tcW w:w="559" w:type="pct"/>
          </w:tcPr>
          <w:p w14:paraId="63C8D04C" w14:textId="25F918CB" w:rsidR="00116319" w:rsidRPr="0067297E" w:rsidRDefault="00116319" w:rsidP="00070C83">
            <w:pPr>
              <w:jc w:val="center"/>
              <w:rPr>
                <w:rFonts w:asciiTheme="minorHAnsi" w:hAnsiTheme="minorHAnsi" w:cs="Calibri"/>
                <w:color w:val="101010"/>
                <w:sz w:val="22"/>
                <w:szCs w:val="22"/>
              </w:rPr>
            </w:pPr>
            <w:r w:rsidRPr="0067297E">
              <w:rPr>
                <w:rFonts w:asciiTheme="minorHAnsi" w:hAnsiTheme="minorHAnsi" w:cs="Calibri"/>
                <w:color w:val="101010"/>
                <w:sz w:val="22"/>
                <w:szCs w:val="22"/>
              </w:rPr>
              <w:t>261</w:t>
            </w:r>
          </w:p>
        </w:tc>
        <w:tc>
          <w:tcPr>
            <w:tcW w:w="3536" w:type="pct"/>
          </w:tcPr>
          <w:p w14:paraId="29EBDB9D" w14:textId="32B5725A" w:rsidR="00116319" w:rsidRPr="0067297E" w:rsidRDefault="00116319" w:rsidP="00116319">
            <w:pPr>
              <w:rPr>
                <w:rFonts w:asciiTheme="minorHAnsi" w:hAnsiTheme="minorHAnsi" w:cs="Calibri"/>
                <w:sz w:val="22"/>
                <w:szCs w:val="22"/>
              </w:rPr>
            </w:pPr>
            <w:r w:rsidRPr="0067297E">
              <w:rPr>
                <w:rFonts w:asciiTheme="minorHAnsi" w:hAnsiTheme="minorHAnsi" w:cs="Calibri"/>
                <w:color w:val="101010"/>
                <w:sz w:val="22"/>
                <w:szCs w:val="22"/>
              </w:rPr>
              <w:t>Extra Care Housing is housing designed with the needs of frailer older people in mind and with varying levels of care and support available on site. People who live in Extra Care Housing have their own self</w:t>
            </w:r>
            <w:r w:rsidR="00C7253E" w:rsidRPr="0067297E">
              <w:rPr>
                <w:rFonts w:asciiTheme="minorHAnsi" w:hAnsiTheme="minorHAnsi" w:cs="Calibri"/>
                <w:color w:val="101010"/>
                <w:sz w:val="22"/>
                <w:szCs w:val="22"/>
              </w:rPr>
              <w:t>-</w:t>
            </w:r>
            <w:r w:rsidRPr="0067297E">
              <w:rPr>
                <w:rFonts w:asciiTheme="minorHAnsi" w:hAnsiTheme="minorHAnsi" w:cs="Calibri"/>
                <w:color w:val="101010"/>
                <w:sz w:val="22"/>
                <w:szCs w:val="22"/>
              </w:rPr>
              <w:t>contained homes, their own front doors and a legal right to occupy the property. Extra Care Housing is also known as very sheltered housing, assisted living, or simply as 'housing with care'.  It comes in many built forms, including blocks of flats, bungalow estates and retirement villages. It is a popular choice among older people because it can sometimes provide an alternative to a care home.</w:t>
            </w:r>
          </w:p>
        </w:tc>
      </w:tr>
      <w:tr w:rsidR="00116319" w:rsidRPr="0067297E" w14:paraId="223301CA" w14:textId="77777777" w:rsidTr="00070C83">
        <w:tc>
          <w:tcPr>
            <w:tcW w:w="905" w:type="pct"/>
          </w:tcPr>
          <w:p w14:paraId="486FF080" w14:textId="77777777" w:rsidR="00116319" w:rsidRPr="0067297E" w:rsidRDefault="00116319" w:rsidP="00155035">
            <w:pPr>
              <w:pStyle w:val="Reporttext"/>
              <w:numPr>
                <w:ilvl w:val="0"/>
                <w:numId w:val="0"/>
              </w:numPr>
              <w:jc w:val="left"/>
              <w:rPr>
                <w:rFonts w:asciiTheme="minorHAnsi" w:hAnsiTheme="minorHAnsi" w:cs="Calibri"/>
                <w:sz w:val="22"/>
                <w:szCs w:val="22"/>
              </w:rPr>
            </w:pPr>
            <w:r w:rsidRPr="0067297E">
              <w:rPr>
                <w:rFonts w:asciiTheme="minorHAnsi" w:hAnsiTheme="minorHAnsi" w:cs="Calibri"/>
                <w:sz w:val="22"/>
                <w:szCs w:val="22"/>
              </w:rPr>
              <w:t>Sheltered housing</w:t>
            </w:r>
          </w:p>
        </w:tc>
        <w:tc>
          <w:tcPr>
            <w:tcW w:w="559" w:type="pct"/>
          </w:tcPr>
          <w:p w14:paraId="096A4D2C" w14:textId="1ABF55F3" w:rsidR="00116319" w:rsidRPr="0067297E" w:rsidRDefault="00116319" w:rsidP="00070C83">
            <w:pPr>
              <w:jc w:val="center"/>
              <w:rPr>
                <w:rFonts w:asciiTheme="minorHAnsi" w:hAnsiTheme="minorHAnsi" w:cs="Calibri"/>
                <w:color w:val="101010"/>
                <w:sz w:val="22"/>
                <w:szCs w:val="22"/>
              </w:rPr>
            </w:pPr>
            <w:r w:rsidRPr="0067297E">
              <w:rPr>
                <w:rFonts w:asciiTheme="minorHAnsi" w:hAnsiTheme="minorHAnsi" w:cs="Calibri"/>
                <w:color w:val="101010"/>
                <w:sz w:val="22"/>
                <w:szCs w:val="22"/>
              </w:rPr>
              <w:t>381</w:t>
            </w:r>
          </w:p>
        </w:tc>
        <w:tc>
          <w:tcPr>
            <w:tcW w:w="3536" w:type="pct"/>
          </w:tcPr>
          <w:p w14:paraId="4E1F4F53" w14:textId="77777777" w:rsidR="00116319" w:rsidRPr="0067297E" w:rsidRDefault="00116319" w:rsidP="00116319">
            <w:pPr>
              <w:rPr>
                <w:rFonts w:asciiTheme="minorHAnsi" w:hAnsiTheme="minorHAnsi" w:cs="Calibri"/>
                <w:sz w:val="22"/>
                <w:szCs w:val="22"/>
              </w:rPr>
            </w:pPr>
            <w:r w:rsidRPr="0067297E">
              <w:rPr>
                <w:rFonts w:asciiTheme="minorHAnsi" w:hAnsiTheme="minorHAnsi" w:cs="Calibri"/>
                <w:color w:val="101010"/>
                <w:sz w:val="22"/>
                <w:szCs w:val="22"/>
              </w:rPr>
              <w:t>Sheltered housing means having your own flat or bungalow in a block, or on a small estate, where all the other residents are older people (usually over 55). With a few exceptions, all developments (or 'schemes') provide independent, self-contained homes with their own front doors.</w:t>
            </w:r>
          </w:p>
        </w:tc>
      </w:tr>
      <w:tr w:rsidR="00116319" w:rsidRPr="0067297E" w14:paraId="26B4E3AF" w14:textId="77777777" w:rsidTr="00070C83">
        <w:tc>
          <w:tcPr>
            <w:tcW w:w="905" w:type="pct"/>
          </w:tcPr>
          <w:p w14:paraId="19D865AC" w14:textId="77777777" w:rsidR="00116319" w:rsidRPr="0067297E" w:rsidRDefault="00116319" w:rsidP="00116319">
            <w:pPr>
              <w:pStyle w:val="Reporttext"/>
              <w:numPr>
                <w:ilvl w:val="0"/>
                <w:numId w:val="0"/>
              </w:numPr>
              <w:rPr>
                <w:rFonts w:asciiTheme="minorHAnsi" w:hAnsiTheme="minorHAnsi" w:cs="Calibri"/>
                <w:sz w:val="22"/>
                <w:szCs w:val="22"/>
              </w:rPr>
            </w:pPr>
            <w:r w:rsidRPr="0067297E">
              <w:rPr>
                <w:rFonts w:asciiTheme="minorHAnsi" w:hAnsiTheme="minorHAnsi" w:cs="Calibri"/>
                <w:sz w:val="22"/>
                <w:szCs w:val="22"/>
              </w:rPr>
              <w:t>Total</w:t>
            </w:r>
          </w:p>
        </w:tc>
        <w:tc>
          <w:tcPr>
            <w:tcW w:w="559" w:type="pct"/>
          </w:tcPr>
          <w:p w14:paraId="1DC12F4F" w14:textId="074F1783" w:rsidR="00116319" w:rsidRPr="0067297E" w:rsidRDefault="00116319" w:rsidP="00070C83">
            <w:pPr>
              <w:jc w:val="center"/>
              <w:rPr>
                <w:rFonts w:asciiTheme="minorHAnsi" w:hAnsiTheme="minorHAnsi" w:cs="Calibri"/>
                <w:color w:val="101010"/>
                <w:sz w:val="22"/>
                <w:szCs w:val="22"/>
              </w:rPr>
            </w:pPr>
            <w:r w:rsidRPr="0067297E">
              <w:rPr>
                <w:rFonts w:asciiTheme="minorHAnsi" w:hAnsiTheme="minorHAnsi" w:cs="Calibri"/>
                <w:color w:val="101010"/>
                <w:sz w:val="22"/>
                <w:szCs w:val="22"/>
              </w:rPr>
              <w:t>3,547</w:t>
            </w:r>
          </w:p>
        </w:tc>
        <w:tc>
          <w:tcPr>
            <w:tcW w:w="3536" w:type="pct"/>
          </w:tcPr>
          <w:p w14:paraId="1740A98A" w14:textId="77777777" w:rsidR="00116319" w:rsidRPr="0067297E" w:rsidRDefault="00116319" w:rsidP="00116319">
            <w:pPr>
              <w:rPr>
                <w:rFonts w:asciiTheme="minorHAnsi" w:hAnsiTheme="minorHAnsi" w:cs="Calibri"/>
                <w:color w:val="101010"/>
                <w:sz w:val="22"/>
                <w:szCs w:val="22"/>
              </w:rPr>
            </w:pPr>
            <w:r w:rsidRPr="0067297E">
              <w:rPr>
                <w:rFonts w:asciiTheme="minorHAnsi" w:hAnsiTheme="minorHAnsi" w:cs="Calibri"/>
                <w:color w:val="101010"/>
                <w:sz w:val="22"/>
                <w:szCs w:val="22"/>
              </w:rPr>
              <w:t>Excludes Registered Provider dwellings</w:t>
            </w:r>
          </w:p>
        </w:tc>
      </w:tr>
    </w:tbl>
    <w:p w14:paraId="048F6E2B" w14:textId="77777777" w:rsidR="00116319" w:rsidRPr="0067297E" w:rsidRDefault="00116319" w:rsidP="00543A76">
      <w:pPr>
        <w:pStyle w:val="Reporttext"/>
        <w:numPr>
          <w:ilvl w:val="0"/>
          <w:numId w:val="0"/>
        </w:numPr>
        <w:rPr>
          <w:rFonts w:asciiTheme="minorHAnsi" w:hAnsiTheme="minorHAnsi" w:cs="Calibri"/>
          <w:sz w:val="20"/>
        </w:rPr>
      </w:pPr>
      <w:r w:rsidRPr="0067297E">
        <w:rPr>
          <w:rFonts w:asciiTheme="minorHAnsi" w:hAnsiTheme="minorHAnsi" w:cs="Calibri"/>
          <w:sz w:val="20"/>
        </w:rPr>
        <w:t>Source: EAC database www.housingcare.org.uk</w:t>
      </w:r>
    </w:p>
    <w:p w14:paraId="0D8226F0" w14:textId="77777777" w:rsidR="00116319" w:rsidRPr="0067297E" w:rsidRDefault="00116319" w:rsidP="00543A76">
      <w:pPr>
        <w:pStyle w:val="Reporttext"/>
        <w:numPr>
          <w:ilvl w:val="0"/>
          <w:numId w:val="0"/>
        </w:numPr>
        <w:rPr>
          <w:rFonts w:asciiTheme="minorHAnsi" w:hAnsiTheme="minorHAnsi" w:cs="Calibri"/>
        </w:rPr>
      </w:pPr>
    </w:p>
    <w:p w14:paraId="388A0F62" w14:textId="1CE39166" w:rsidR="00116319" w:rsidRPr="0067297E" w:rsidRDefault="00116319" w:rsidP="00FA273F">
      <w:pPr>
        <w:pStyle w:val="Reporttext"/>
        <w:rPr>
          <w:rFonts w:asciiTheme="minorHAnsi" w:hAnsiTheme="minorHAnsi"/>
        </w:rPr>
      </w:pPr>
      <w:r w:rsidRPr="0067297E">
        <w:rPr>
          <w:rFonts w:asciiTheme="minorHAnsi" w:hAnsiTheme="minorHAnsi" w:cs="Calibri"/>
          <w:lang w:val="en-US"/>
        </w:rPr>
        <w:t>Across</w:t>
      </w:r>
      <w:r w:rsidRPr="0067297E">
        <w:rPr>
          <w:rFonts w:asciiTheme="minorHAnsi" w:hAnsiTheme="minorHAnsi"/>
        </w:rPr>
        <w:t xml:space="preserve"> </w:t>
      </w:r>
      <w:r w:rsidRPr="0067297E">
        <w:rPr>
          <w:rFonts w:asciiTheme="minorHAnsi" w:hAnsiTheme="minorHAnsi"/>
          <w:lang w:val="en-US"/>
        </w:rPr>
        <w:t>the borough</w:t>
      </w:r>
      <w:r w:rsidRPr="0067297E">
        <w:rPr>
          <w:rFonts w:asciiTheme="minorHAnsi" w:hAnsiTheme="minorHAnsi"/>
        </w:rPr>
        <w:t xml:space="preserve">, there are </w:t>
      </w:r>
      <w:r w:rsidRPr="0067297E">
        <w:rPr>
          <w:rFonts w:asciiTheme="minorHAnsi" w:hAnsiTheme="minorHAnsi"/>
          <w:lang w:val="en-US"/>
        </w:rPr>
        <w:t>an estimated</w:t>
      </w:r>
      <w:r w:rsidRPr="0067297E">
        <w:rPr>
          <w:rFonts w:asciiTheme="minorHAnsi" w:hAnsiTheme="minorHAnsi"/>
        </w:rPr>
        <w:t xml:space="preserve"> 3</w:t>
      </w:r>
      <w:r w:rsidRPr="0067297E">
        <w:rPr>
          <w:rFonts w:asciiTheme="minorHAnsi" w:hAnsiTheme="minorHAnsi"/>
          <w:lang w:val="en-US"/>
        </w:rPr>
        <w:t>,547</w:t>
      </w:r>
      <w:r w:rsidRPr="0067297E">
        <w:rPr>
          <w:rFonts w:asciiTheme="minorHAnsi" w:hAnsiTheme="minorHAnsi"/>
        </w:rPr>
        <w:t xml:space="preserve"> units of older persons</w:t>
      </w:r>
      <w:r w:rsidR="00BC6D95" w:rsidRPr="0067297E">
        <w:rPr>
          <w:rFonts w:asciiTheme="minorHAnsi" w:hAnsiTheme="minorHAnsi"/>
          <w:lang w:val="en-GB"/>
        </w:rPr>
        <w:t>’</w:t>
      </w:r>
      <w:r w:rsidRPr="0067297E">
        <w:rPr>
          <w:rFonts w:asciiTheme="minorHAnsi" w:hAnsiTheme="minorHAnsi"/>
        </w:rPr>
        <w:t xml:space="preserve"> accommodation. This includes </w:t>
      </w:r>
      <w:r w:rsidRPr="0067297E">
        <w:rPr>
          <w:rFonts w:asciiTheme="minorHAnsi" w:hAnsiTheme="minorHAnsi"/>
          <w:lang w:val="en-US"/>
        </w:rPr>
        <w:t>699</w:t>
      </w:r>
      <w:r w:rsidRPr="0067297E">
        <w:rPr>
          <w:rFonts w:asciiTheme="minorHAnsi" w:hAnsiTheme="minorHAnsi"/>
        </w:rPr>
        <w:t xml:space="preserve"> units of residential care (C2) dwellings. The majority of older persons</w:t>
      </w:r>
      <w:r w:rsidR="00BC6D95" w:rsidRPr="0067297E">
        <w:rPr>
          <w:rFonts w:asciiTheme="minorHAnsi" w:hAnsiTheme="minorHAnsi"/>
          <w:lang w:val="en-GB"/>
        </w:rPr>
        <w:t>’</w:t>
      </w:r>
      <w:r w:rsidRPr="0067297E">
        <w:rPr>
          <w:rFonts w:asciiTheme="minorHAnsi" w:hAnsiTheme="minorHAnsi"/>
        </w:rPr>
        <w:t xml:space="preserve"> </w:t>
      </w:r>
      <w:r w:rsidRPr="0067297E">
        <w:rPr>
          <w:rFonts w:asciiTheme="minorHAnsi" w:hAnsiTheme="minorHAnsi"/>
          <w:lang w:val="en-US"/>
        </w:rPr>
        <w:t xml:space="preserve">accommodation </w:t>
      </w:r>
      <w:r w:rsidRPr="0067297E">
        <w:rPr>
          <w:rFonts w:asciiTheme="minorHAnsi" w:hAnsiTheme="minorHAnsi"/>
        </w:rPr>
        <w:t>(</w:t>
      </w:r>
      <w:r w:rsidRPr="0067297E">
        <w:rPr>
          <w:rFonts w:asciiTheme="minorHAnsi" w:hAnsiTheme="minorHAnsi"/>
          <w:lang w:val="en-US"/>
        </w:rPr>
        <w:t>69.1</w:t>
      </w:r>
      <w:r w:rsidRPr="0067297E">
        <w:rPr>
          <w:rFonts w:asciiTheme="minorHAnsi" w:hAnsiTheme="minorHAnsi"/>
        </w:rPr>
        <w:t>%) is owned</w:t>
      </w:r>
      <w:r w:rsidRPr="0067297E">
        <w:rPr>
          <w:rFonts w:asciiTheme="minorHAnsi" w:hAnsiTheme="minorHAnsi"/>
          <w:lang w:val="en-US"/>
        </w:rPr>
        <w:t>/managed</w:t>
      </w:r>
      <w:r w:rsidR="004D26B3" w:rsidRPr="0067297E">
        <w:rPr>
          <w:rFonts w:asciiTheme="minorHAnsi" w:hAnsiTheme="minorHAnsi"/>
          <w:lang w:val="en-US"/>
        </w:rPr>
        <w:t xml:space="preserve"> by</w:t>
      </w:r>
      <w:r w:rsidRPr="0067297E">
        <w:rPr>
          <w:rFonts w:asciiTheme="minorHAnsi" w:hAnsiTheme="minorHAnsi"/>
          <w:lang w:val="en-US"/>
        </w:rPr>
        <w:t xml:space="preserve"> the </w:t>
      </w:r>
      <w:r w:rsidR="00C7253E" w:rsidRPr="0067297E">
        <w:rPr>
          <w:rFonts w:asciiTheme="minorHAnsi" w:hAnsiTheme="minorHAnsi"/>
          <w:lang w:val="en-US"/>
        </w:rPr>
        <w:t>c</w:t>
      </w:r>
      <w:r w:rsidRPr="0067297E">
        <w:rPr>
          <w:rFonts w:asciiTheme="minorHAnsi" w:hAnsiTheme="minorHAnsi"/>
          <w:lang w:val="en-US"/>
        </w:rPr>
        <w:t xml:space="preserve">ouncil or housing </w:t>
      </w:r>
      <w:r w:rsidRPr="0067297E">
        <w:rPr>
          <w:rFonts w:asciiTheme="minorHAnsi" w:hAnsiTheme="minorHAnsi"/>
        </w:rPr>
        <w:t>associations</w:t>
      </w:r>
      <w:r w:rsidRPr="0067297E">
        <w:rPr>
          <w:rFonts w:asciiTheme="minorHAnsi" w:hAnsiTheme="minorHAnsi"/>
          <w:lang w:val="en-US"/>
        </w:rPr>
        <w:t xml:space="preserve">, 3.2% </w:t>
      </w:r>
      <w:r w:rsidRPr="0067297E">
        <w:rPr>
          <w:rFonts w:asciiTheme="minorHAnsi" w:hAnsiTheme="minorHAnsi"/>
        </w:rPr>
        <w:t>by charities/non-profit organisation</w:t>
      </w:r>
      <w:r w:rsidR="00BC6D95" w:rsidRPr="0067297E">
        <w:rPr>
          <w:rFonts w:asciiTheme="minorHAnsi" w:hAnsiTheme="minorHAnsi"/>
          <w:lang w:val="en-GB"/>
        </w:rPr>
        <w:t>s</w:t>
      </w:r>
      <w:r w:rsidRPr="0067297E">
        <w:rPr>
          <w:rFonts w:asciiTheme="minorHAnsi" w:hAnsiTheme="minorHAnsi"/>
          <w:lang w:val="en-US"/>
        </w:rPr>
        <w:t xml:space="preserve"> and 27.7% by private companies/small family businesses</w:t>
      </w:r>
      <w:r w:rsidRPr="0067297E">
        <w:rPr>
          <w:rFonts w:asciiTheme="minorHAnsi" w:hAnsiTheme="minorHAnsi"/>
        </w:rPr>
        <w:t xml:space="preserve">. </w:t>
      </w:r>
      <w:r w:rsidRPr="0067297E">
        <w:rPr>
          <w:rFonts w:asciiTheme="minorHAnsi" w:hAnsiTheme="minorHAnsi"/>
          <w:lang w:val="en-US"/>
        </w:rPr>
        <w:t>All of the care home provision is owned/managed by private companies/small family businesses. Note that the</w:t>
      </w:r>
      <w:r w:rsidRPr="0067297E">
        <w:rPr>
          <w:rFonts w:asciiTheme="minorHAnsi" w:hAnsiTheme="minorHAnsi"/>
        </w:rPr>
        <w:t xml:space="preserve"> EAC data does not include detailed tenure information.</w:t>
      </w:r>
    </w:p>
    <w:p w14:paraId="63CB8210" w14:textId="253A5078" w:rsidR="00116319" w:rsidRPr="0067297E" w:rsidRDefault="00116319" w:rsidP="00FA273F">
      <w:pPr>
        <w:pStyle w:val="Reporttext"/>
        <w:rPr>
          <w:rFonts w:asciiTheme="minorHAnsi" w:hAnsiTheme="minorHAnsi"/>
        </w:rPr>
      </w:pPr>
      <w:r w:rsidRPr="0067297E">
        <w:rPr>
          <w:rFonts w:asciiTheme="minorHAnsi" w:hAnsiTheme="minorHAnsi"/>
          <w:lang w:val="en-US"/>
        </w:rPr>
        <w:t xml:space="preserve">There are an estimated 381 sheltered units </w:t>
      </w:r>
      <w:r w:rsidRPr="0067297E">
        <w:rPr>
          <w:rFonts w:asciiTheme="minorHAnsi" w:hAnsiTheme="minorHAnsi"/>
        </w:rPr>
        <w:t>not</w:t>
      </w:r>
      <w:r w:rsidRPr="0067297E">
        <w:rPr>
          <w:rFonts w:asciiTheme="minorHAnsi" w:hAnsiTheme="minorHAnsi"/>
          <w:lang w:val="en-US"/>
        </w:rPr>
        <w:t xml:space="preserve"> included in the EAC database as the 2017 </w:t>
      </w:r>
      <w:r w:rsidR="00432745" w:rsidRPr="0067297E">
        <w:rPr>
          <w:rFonts w:asciiTheme="minorHAnsi" w:hAnsiTheme="minorHAnsi"/>
          <w:lang w:val="en-US"/>
        </w:rPr>
        <w:t>Statistical Data Return (</w:t>
      </w:r>
      <w:r w:rsidRPr="0067297E">
        <w:rPr>
          <w:rFonts w:asciiTheme="minorHAnsi" w:hAnsiTheme="minorHAnsi"/>
          <w:lang w:val="en-US"/>
        </w:rPr>
        <w:t>SDR</w:t>
      </w:r>
      <w:r w:rsidR="00432745" w:rsidRPr="0067297E">
        <w:rPr>
          <w:rFonts w:asciiTheme="minorHAnsi" w:hAnsiTheme="minorHAnsi"/>
          <w:lang w:val="en-US"/>
        </w:rPr>
        <w:t>)</w:t>
      </w:r>
      <w:r w:rsidRPr="0067297E">
        <w:rPr>
          <w:rFonts w:asciiTheme="minorHAnsi" w:hAnsiTheme="minorHAnsi"/>
          <w:lang w:val="en-US"/>
        </w:rPr>
        <w:t xml:space="preserve"> return reports a total of 1,608 registered provider units for older people. </w:t>
      </w:r>
    </w:p>
    <w:p w14:paraId="537307DB" w14:textId="0DE2D512" w:rsidR="00FC75C2" w:rsidRPr="0015368C" w:rsidRDefault="00116319" w:rsidP="0015368C">
      <w:pPr>
        <w:pStyle w:val="Reporttext"/>
        <w:rPr>
          <w:rFonts w:asciiTheme="minorHAnsi" w:hAnsiTheme="minorHAnsi"/>
        </w:rPr>
      </w:pPr>
      <w:r w:rsidRPr="0067297E">
        <w:rPr>
          <w:rFonts w:asciiTheme="minorHAnsi" w:hAnsiTheme="minorHAnsi"/>
        </w:rPr>
        <w:t xml:space="preserve">Table </w:t>
      </w:r>
      <w:r w:rsidRPr="0067297E">
        <w:rPr>
          <w:rFonts w:asciiTheme="minorHAnsi" w:hAnsiTheme="minorHAnsi"/>
          <w:lang w:val="en-US"/>
        </w:rPr>
        <w:t>6.8</w:t>
      </w:r>
      <w:r w:rsidRPr="0067297E">
        <w:rPr>
          <w:rFonts w:asciiTheme="minorHAnsi" w:hAnsiTheme="minorHAnsi"/>
        </w:rPr>
        <w:t xml:space="preserve"> considers the ratio of older people to current provision and then applies this ratio to future </w:t>
      </w:r>
      <w:r w:rsidR="00014D7D">
        <w:rPr>
          <w:rFonts w:asciiTheme="minorHAnsi" w:hAnsiTheme="minorHAnsi"/>
          <w:lang w:val="en-US"/>
        </w:rPr>
        <w:t>population</w:t>
      </w:r>
      <w:r w:rsidR="00014D7D" w:rsidRPr="0067297E">
        <w:rPr>
          <w:rFonts w:asciiTheme="minorHAnsi" w:hAnsiTheme="minorHAnsi"/>
        </w:rPr>
        <w:t xml:space="preserve"> </w:t>
      </w:r>
      <w:r w:rsidRPr="0067297E">
        <w:rPr>
          <w:rFonts w:asciiTheme="minorHAnsi" w:hAnsiTheme="minorHAnsi"/>
        </w:rPr>
        <w:t xml:space="preserve">projections. This results in the need for </w:t>
      </w:r>
      <w:r w:rsidR="00014D7D">
        <w:rPr>
          <w:rFonts w:asciiTheme="minorHAnsi" w:hAnsiTheme="minorHAnsi"/>
          <w:lang w:val="en-US"/>
        </w:rPr>
        <w:t>2,196</w:t>
      </w:r>
      <w:r w:rsidRPr="0067297E">
        <w:rPr>
          <w:rFonts w:asciiTheme="minorHAnsi" w:hAnsiTheme="minorHAnsi"/>
        </w:rPr>
        <w:t xml:space="preserve"> additional specialist older persons accommodation (C3) (included within the ove</w:t>
      </w:r>
      <w:r w:rsidRPr="0067297E">
        <w:rPr>
          <w:rFonts w:asciiTheme="minorHAnsi" w:hAnsiTheme="minorHAnsi"/>
          <w:lang w:val="en-US"/>
        </w:rPr>
        <w:t>rall housing need figure</w:t>
      </w:r>
      <w:r w:rsidRPr="0067297E">
        <w:rPr>
          <w:rFonts w:asciiTheme="minorHAnsi" w:hAnsiTheme="minorHAnsi"/>
        </w:rPr>
        <w:t xml:space="preserve">) and </w:t>
      </w:r>
      <w:r w:rsidR="00014D7D">
        <w:rPr>
          <w:rFonts w:asciiTheme="minorHAnsi" w:hAnsiTheme="minorHAnsi"/>
          <w:lang w:val="en-US"/>
        </w:rPr>
        <w:t>539</w:t>
      </w:r>
      <w:r w:rsidRPr="0067297E">
        <w:rPr>
          <w:rFonts w:asciiTheme="minorHAnsi" w:hAnsiTheme="minorHAnsi"/>
        </w:rPr>
        <w:t xml:space="preserve"> additional units of residential care provision (C2) over </w:t>
      </w:r>
      <w:r w:rsidRPr="002E5612">
        <w:rPr>
          <w:rFonts w:asciiTheme="minorHAnsi" w:hAnsiTheme="minorHAnsi"/>
        </w:rPr>
        <w:t xml:space="preserve">the </w:t>
      </w:r>
      <w:r w:rsidRPr="00894104">
        <w:rPr>
          <w:rFonts w:asciiTheme="minorHAnsi" w:hAnsiTheme="minorHAnsi"/>
        </w:rPr>
        <w:t>plan peri</w:t>
      </w:r>
      <w:r w:rsidRPr="0015368C">
        <w:rPr>
          <w:rFonts w:asciiTheme="minorHAnsi" w:hAnsiTheme="minorHAnsi"/>
        </w:rPr>
        <w:t>od to</w:t>
      </w:r>
      <w:r w:rsidRPr="0067297E">
        <w:rPr>
          <w:rFonts w:asciiTheme="minorHAnsi" w:hAnsiTheme="minorHAnsi"/>
        </w:rPr>
        <w:t xml:space="preserve"> 20</w:t>
      </w:r>
      <w:r w:rsidR="00014D7D">
        <w:rPr>
          <w:rFonts w:asciiTheme="minorHAnsi" w:hAnsiTheme="minorHAnsi"/>
          <w:lang w:val="en-US"/>
        </w:rPr>
        <w:t>40</w:t>
      </w:r>
      <w:r w:rsidR="001D5931">
        <w:rPr>
          <w:rFonts w:asciiTheme="minorHAnsi" w:hAnsiTheme="minorHAnsi"/>
          <w:lang w:val="en-US"/>
        </w:rPr>
        <w:t>.</w:t>
      </w:r>
      <w:r w:rsidR="00827838">
        <w:rPr>
          <w:rFonts w:asciiTheme="minorHAnsi" w:hAnsiTheme="minorHAnsi"/>
          <w:lang w:val="en-US"/>
        </w:rPr>
        <w:t xml:space="preserve"> This translates to a need for 110 units of C3 units each year across Lewisham. This is comparable with the </w:t>
      </w:r>
      <w:r w:rsidR="00FC75C2" w:rsidRPr="0015368C">
        <w:rPr>
          <w:rFonts w:asciiTheme="minorHAnsi" w:hAnsiTheme="minorHAnsi"/>
          <w:lang w:val="en-GB"/>
        </w:rPr>
        <w:t xml:space="preserve">draft London Plan policy H15 </w:t>
      </w:r>
      <w:r w:rsidR="00827838">
        <w:rPr>
          <w:rFonts w:asciiTheme="minorHAnsi" w:hAnsiTheme="minorHAnsi"/>
          <w:lang w:val="en-GB"/>
        </w:rPr>
        <w:t xml:space="preserve">which </w:t>
      </w:r>
      <w:r w:rsidR="002742AC" w:rsidRPr="0015368C">
        <w:rPr>
          <w:rFonts w:asciiTheme="minorHAnsi" w:hAnsiTheme="minorHAnsi"/>
          <w:lang w:val="en-GB"/>
        </w:rPr>
        <w:t xml:space="preserve">identifies </w:t>
      </w:r>
      <w:r w:rsidR="00827838">
        <w:rPr>
          <w:rFonts w:asciiTheme="minorHAnsi" w:hAnsiTheme="minorHAnsi"/>
          <w:lang w:val="en-GB"/>
        </w:rPr>
        <w:t>a</w:t>
      </w:r>
      <w:r w:rsidR="00FC75C2" w:rsidRPr="0015368C">
        <w:rPr>
          <w:rFonts w:asciiTheme="minorHAnsi" w:hAnsiTheme="minorHAnsi"/>
          <w:lang w:val="en-GB"/>
        </w:rPr>
        <w:t xml:space="preserve"> benchmark of 100 additional specialist C3 units per annum</w:t>
      </w:r>
      <w:r w:rsidR="002742AC" w:rsidRPr="0015368C">
        <w:rPr>
          <w:rFonts w:asciiTheme="minorHAnsi" w:hAnsiTheme="minorHAnsi"/>
          <w:lang w:val="en-GB"/>
        </w:rPr>
        <w:t xml:space="preserve"> for Lewisham</w:t>
      </w:r>
      <w:r w:rsidR="00FC75C2" w:rsidRPr="0015368C">
        <w:rPr>
          <w:rFonts w:asciiTheme="minorHAnsi" w:hAnsiTheme="minorHAnsi"/>
          <w:lang w:val="en-GB"/>
        </w:rPr>
        <w:t xml:space="preserve">.  </w:t>
      </w:r>
    </w:p>
    <w:p w14:paraId="40AFC108" w14:textId="77777777" w:rsidR="00116319" w:rsidRPr="0067297E" w:rsidRDefault="00116319" w:rsidP="00543A76">
      <w:pPr>
        <w:pStyle w:val="Reporttext"/>
        <w:numPr>
          <w:ilvl w:val="0"/>
          <w:numId w:val="0"/>
        </w:numPr>
        <w:rPr>
          <w:rFonts w:asciiTheme="minorHAnsi" w:hAnsiTheme="minorHAnsi" w:cs="Calibri"/>
        </w:rPr>
      </w:pPr>
    </w:p>
    <w:tbl>
      <w:tblPr>
        <w:tblW w:w="9100" w:type="dxa"/>
        <w:tblInd w:w="103"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140"/>
        <w:gridCol w:w="1300"/>
        <w:gridCol w:w="2020"/>
        <w:gridCol w:w="2340"/>
        <w:gridCol w:w="1300"/>
      </w:tblGrid>
      <w:tr w:rsidR="00116319" w:rsidRPr="0067297E" w14:paraId="2A579618" w14:textId="77777777" w:rsidTr="00426BD8">
        <w:trPr>
          <w:trHeight w:val="300"/>
          <w:tblHeader/>
        </w:trPr>
        <w:tc>
          <w:tcPr>
            <w:tcW w:w="9100" w:type="dxa"/>
            <w:gridSpan w:val="5"/>
            <w:shd w:val="clear" w:color="auto" w:fill="009999"/>
            <w:vAlign w:val="bottom"/>
            <w:hideMark/>
          </w:tcPr>
          <w:p w14:paraId="5DD0B25E" w14:textId="2995D629" w:rsidR="00116319" w:rsidRPr="0067297E" w:rsidRDefault="00116319" w:rsidP="003F4875">
            <w:pPr>
              <w:pStyle w:val="tableheading"/>
              <w:rPr>
                <w:rFonts w:asciiTheme="minorHAnsi" w:hAnsiTheme="minorHAnsi"/>
              </w:rPr>
            </w:pPr>
            <w:bookmarkStart w:id="350" w:name="_Toc400208594"/>
            <w:bookmarkStart w:id="351" w:name="_Toc23151184"/>
            <w:r w:rsidRPr="0067297E">
              <w:rPr>
                <w:rFonts w:asciiTheme="minorHAnsi" w:hAnsiTheme="minorHAnsi"/>
              </w:rPr>
              <w:t xml:space="preserve">Table </w:t>
            </w:r>
            <w:r w:rsidR="006C722F" w:rsidRPr="0067297E">
              <w:rPr>
                <w:rFonts w:asciiTheme="minorHAnsi" w:hAnsiTheme="minorHAnsi"/>
              </w:rPr>
              <w:t>6.8</w:t>
            </w:r>
            <w:r w:rsidR="006C722F" w:rsidRPr="0067297E">
              <w:rPr>
                <w:rFonts w:asciiTheme="minorHAnsi" w:hAnsiTheme="minorHAnsi"/>
              </w:rPr>
              <w:tab/>
            </w:r>
            <w:r w:rsidRPr="0067297E">
              <w:rPr>
                <w:rFonts w:asciiTheme="minorHAnsi" w:hAnsiTheme="minorHAnsi"/>
              </w:rPr>
              <w:t>Analysis of future need for specialist older person accommodation</w:t>
            </w:r>
            <w:bookmarkEnd w:id="350"/>
            <w:bookmarkEnd w:id="351"/>
          </w:p>
        </w:tc>
      </w:tr>
      <w:tr w:rsidR="006C722F" w:rsidRPr="0067297E" w14:paraId="1B04EA20" w14:textId="77777777" w:rsidTr="006C722F">
        <w:tc>
          <w:tcPr>
            <w:tcW w:w="2140" w:type="dxa"/>
            <w:shd w:val="clear" w:color="auto" w:fill="009999"/>
            <w:vAlign w:val="center"/>
            <w:hideMark/>
          </w:tcPr>
          <w:p w14:paraId="7D25D74E" w14:textId="1BBDEA5F" w:rsidR="00116319" w:rsidRPr="0067297E" w:rsidRDefault="00116319" w:rsidP="006C722F">
            <w:pPr>
              <w:rPr>
                <w:rFonts w:asciiTheme="minorHAnsi" w:hAnsiTheme="minorHAnsi"/>
                <w:b/>
                <w:bCs/>
                <w:color w:val="FFFFFF" w:themeColor="background1"/>
                <w:sz w:val="22"/>
                <w:szCs w:val="22"/>
              </w:rPr>
            </w:pPr>
            <w:r w:rsidRPr="0067297E">
              <w:rPr>
                <w:rFonts w:asciiTheme="minorHAnsi" w:hAnsiTheme="minorHAnsi"/>
                <w:b/>
                <w:bCs/>
                <w:color w:val="FFFFFF" w:themeColor="background1"/>
                <w:sz w:val="22"/>
                <w:szCs w:val="22"/>
              </w:rPr>
              <w:t xml:space="preserve">Current provision </w:t>
            </w:r>
          </w:p>
        </w:tc>
        <w:tc>
          <w:tcPr>
            <w:tcW w:w="1300" w:type="dxa"/>
            <w:shd w:val="clear" w:color="auto" w:fill="009999"/>
            <w:vAlign w:val="center"/>
            <w:hideMark/>
          </w:tcPr>
          <w:p w14:paraId="2FC1BB35" w14:textId="6BC47FE8" w:rsidR="00116319" w:rsidRPr="0067297E" w:rsidRDefault="00116319" w:rsidP="006C722F">
            <w:pPr>
              <w:jc w:val="center"/>
              <w:rPr>
                <w:rFonts w:asciiTheme="minorHAnsi" w:hAnsiTheme="minorHAnsi"/>
                <w:b/>
                <w:bCs/>
                <w:color w:val="FFFFFF" w:themeColor="background1"/>
                <w:sz w:val="22"/>
                <w:szCs w:val="22"/>
              </w:rPr>
            </w:pPr>
            <w:r w:rsidRPr="0067297E">
              <w:rPr>
                <w:rFonts w:asciiTheme="minorHAnsi" w:hAnsiTheme="minorHAnsi"/>
                <w:b/>
                <w:bCs/>
                <w:color w:val="FFFFFF" w:themeColor="background1"/>
                <w:sz w:val="22"/>
                <w:szCs w:val="22"/>
              </w:rPr>
              <w:t>Number of units 2018</w:t>
            </w:r>
          </w:p>
        </w:tc>
        <w:tc>
          <w:tcPr>
            <w:tcW w:w="2020" w:type="dxa"/>
            <w:shd w:val="clear" w:color="auto" w:fill="009999"/>
            <w:vAlign w:val="center"/>
            <w:hideMark/>
          </w:tcPr>
          <w:p w14:paraId="36379B13" w14:textId="5214D793" w:rsidR="00116319" w:rsidRPr="0067297E" w:rsidRDefault="00116319" w:rsidP="006C722F">
            <w:pPr>
              <w:jc w:val="center"/>
              <w:rPr>
                <w:rFonts w:asciiTheme="minorHAnsi" w:hAnsiTheme="minorHAnsi"/>
                <w:b/>
                <w:bCs/>
                <w:color w:val="FFFFFF" w:themeColor="background1"/>
                <w:sz w:val="22"/>
                <w:szCs w:val="22"/>
              </w:rPr>
            </w:pPr>
            <w:r w:rsidRPr="0067297E">
              <w:rPr>
                <w:rFonts w:asciiTheme="minorHAnsi" w:hAnsiTheme="minorHAnsi"/>
                <w:b/>
                <w:bCs/>
                <w:color w:val="FFFFFF" w:themeColor="background1"/>
                <w:sz w:val="22"/>
                <w:szCs w:val="22"/>
              </w:rPr>
              <w:t>Number aged 75 and over 20</w:t>
            </w:r>
            <w:r w:rsidR="00827838">
              <w:rPr>
                <w:rFonts w:asciiTheme="minorHAnsi" w:hAnsiTheme="minorHAnsi"/>
                <w:b/>
                <w:bCs/>
                <w:color w:val="FFFFFF" w:themeColor="background1"/>
                <w:sz w:val="22"/>
                <w:szCs w:val="22"/>
              </w:rPr>
              <w:t>20</w:t>
            </w:r>
          </w:p>
        </w:tc>
        <w:tc>
          <w:tcPr>
            <w:tcW w:w="2340" w:type="dxa"/>
            <w:shd w:val="clear" w:color="auto" w:fill="009999"/>
            <w:vAlign w:val="center"/>
            <w:hideMark/>
          </w:tcPr>
          <w:p w14:paraId="0E44F1EF" w14:textId="049EF98C" w:rsidR="00116319" w:rsidRPr="0067297E" w:rsidRDefault="00116319" w:rsidP="006C722F">
            <w:pPr>
              <w:jc w:val="center"/>
              <w:rPr>
                <w:rFonts w:asciiTheme="minorHAnsi" w:hAnsiTheme="minorHAnsi"/>
                <w:b/>
                <w:bCs/>
                <w:color w:val="FFFFFF" w:themeColor="background1"/>
                <w:sz w:val="22"/>
                <w:szCs w:val="22"/>
              </w:rPr>
            </w:pPr>
            <w:r w:rsidRPr="0067297E">
              <w:rPr>
                <w:rFonts w:asciiTheme="minorHAnsi" w:hAnsiTheme="minorHAnsi"/>
                <w:b/>
                <w:bCs/>
                <w:color w:val="FFFFFF" w:themeColor="background1"/>
                <w:sz w:val="22"/>
                <w:szCs w:val="22"/>
              </w:rPr>
              <w:t>Number aged 75 and over 20</w:t>
            </w:r>
            <w:r w:rsidR="00014D7D">
              <w:rPr>
                <w:rFonts w:asciiTheme="minorHAnsi" w:hAnsiTheme="minorHAnsi"/>
                <w:b/>
                <w:bCs/>
                <w:color w:val="FFFFFF" w:themeColor="background1"/>
                <w:sz w:val="22"/>
                <w:szCs w:val="22"/>
              </w:rPr>
              <w:t>40</w:t>
            </w:r>
            <w:r w:rsidRPr="0067297E">
              <w:rPr>
                <w:rFonts w:asciiTheme="minorHAnsi" w:hAnsiTheme="minorHAnsi"/>
                <w:b/>
                <w:bCs/>
                <w:color w:val="FFFFFF" w:themeColor="background1"/>
                <w:sz w:val="22"/>
                <w:szCs w:val="22"/>
              </w:rPr>
              <w:t xml:space="preserve"> (projected)</w:t>
            </w:r>
          </w:p>
        </w:tc>
        <w:tc>
          <w:tcPr>
            <w:tcW w:w="1300" w:type="dxa"/>
            <w:shd w:val="clear" w:color="auto" w:fill="009999"/>
            <w:vAlign w:val="center"/>
            <w:hideMark/>
          </w:tcPr>
          <w:p w14:paraId="060222FD" w14:textId="511B347C" w:rsidR="00116319" w:rsidRPr="0067297E" w:rsidRDefault="00116319" w:rsidP="006C722F">
            <w:pPr>
              <w:jc w:val="center"/>
              <w:rPr>
                <w:rFonts w:asciiTheme="minorHAnsi" w:hAnsiTheme="minorHAnsi"/>
                <w:b/>
                <w:bCs/>
                <w:color w:val="FFFFFF" w:themeColor="background1"/>
                <w:sz w:val="22"/>
                <w:szCs w:val="22"/>
              </w:rPr>
            </w:pPr>
            <w:r w:rsidRPr="0067297E">
              <w:rPr>
                <w:rFonts w:asciiTheme="minorHAnsi" w:hAnsiTheme="minorHAnsi"/>
                <w:b/>
                <w:bCs/>
                <w:color w:val="FFFFFF" w:themeColor="background1"/>
                <w:sz w:val="22"/>
                <w:szCs w:val="22"/>
              </w:rPr>
              <w:t>Change in need</w:t>
            </w:r>
          </w:p>
        </w:tc>
      </w:tr>
      <w:tr w:rsidR="006C722F" w:rsidRPr="0067297E" w14:paraId="17AC3B02" w14:textId="77777777" w:rsidTr="006C722F">
        <w:tc>
          <w:tcPr>
            <w:tcW w:w="2140" w:type="dxa"/>
            <w:vMerge w:val="restart"/>
            <w:shd w:val="clear" w:color="auto" w:fill="auto"/>
            <w:vAlign w:val="center"/>
            <w:hideMark/>
          </w:tcPr>
          <w:p w14:paraId="0FF6F22E" w14:textId="77777777" w:rsidR="006C722F" w:rsidRPr="0067297E" w:rsidRDefault="006C722F" w:rsidP="006C722F">
            <w:pPr>
              <w:rPr>
                <w:rFonts w:asciiTheme="minorHAnsi" w:hAnsiTheme="minorHAnsi"/>
                <w:color w:val="000000"/>
                <w:sz w:val="22"/>
                <w:szCs w:val="22"/>
              </w:rPr>
            </w:pPr>
            <w:r w:rsidRPr="0067297E">
              <w:rPr>
                <w:rFonts w:asciiTheme="minorHAnsi" w:hAnsiTheme="minorHAnsi"/>
                <w:color w:val="000000"/>
                <w:sz w:val="22"/>
                <w:szCs w:val="22"/>
              </w:rPr>
              <w:t> </w:t>
            </w:r>
          </w:p>
          <w:p w14:paraId="26969987" w14:textId="0FB596DF" w:rsidR="006C722F" w:rsidRPr="0067297E" w:rsidRDefault="006C722F" w:rsidP="006C722F">
            <w:pPr>
              <w:rPr>
                <w:rFonts w:asciiTheme="minorHAnsi" w:hAnsiTheme="minorHAnsi"/>
                <w:color w:val="000000"/>
                <w:sz w:val="22"/>
                <w:szCs w:val="22"/>
              </w:rPr>
            </w:pPr>
            <w:r w:rsidRPr="0067297E">
              <w:rPr>
                <w:rFonts w:asciiTheme="minorHAnsi" w:hAnsiTheme="minorHAnsi"/>
                <w:color w:val="000000"/>
                <w:sz w:val="22"/>
                <w:szCs w:val="22"/>
              </w:rPr>
              <w:t> </w:t>
            </w:r>
          </w:p>
        </w:tc>
        <w:tc>
          <w:tcPr>
            <w:tcW w:w="1300" w:type="dxa"/>
            <w:vMerge w:val="restart"/>
            <w:shd w:val="clear" w:color="auto" w:fill="auto"/>
            <w:vAlign w:val="center"/>
            <w:hideMark/>
          </w:tcPr>
          <w:p w14:paraId="7A8CA9F4" w14:textId="664BD58B" w:rsidR="006C722F" w:rsidRPr="0067297E" w:rsidRDefault="006C722F" w:rsidP="006C722F">
            <w:pPr>
              <w:jc w:val="center"/>
              <w:rPr>
                <w:rFonts w:asciiTheme="minorHAnsi" w:hAnsiTheme="minorHAnsi"/>
                <w:color w:val="000000"/>
                <w:sz w:val="22"/>
                <w:szCs w:val="22"/>
                <w:u w:val="single"/>
              </w:rPr>
            </w:pPr>
            <w:r w:rsidRPr="0067297E">
              <w:rPr>
                <w:rFonts w:asciiTheme="minorHAnsi" w:hAnsiTheme="minorHAnsi"/>
                <w:color w:val="000000"/>
                <w:sz w:val="22"/>
                <w:szCs w:val="22"/>
                <w:u w:val="single"/>
              </w:rPr>
              <w:t> </w:t>
            </w:r>
          </w:p>
        </w:tc>
        <w:tc>
          <w:tcPr>
            <w:tcW w:w="2020" w:type="dxa"/>
            <w:shd w:val="clear" w:color="auto" w:fill="auto"/>
            <w:vAlign w:val="center"/>
            <w:hideMark/>
          </w:tcPr>
          <w:p w14:paraId="0160F4A6" w14:textId="6DA0E1F5" w:rsidR="006C722F" w:rsidRPr="0067297E" w:rsidRDefault="006C722F" w:rsidP="006C722F">
            <w:pPr>
              <w:jc w:val="center"/>
              <w:rPr>
                <w:rFonts w:asciiTheme="minorHAnsi" w:hAnsiTheme="minorHAnsi"/>
                <w:color w:val="000000"/>
                <w:sz w:val="22"/>
                <w:szCs w:val="22"/>
              </w:rPr>
            </w:pPr>
            <w:r w:rsidRPr="0067297E">
              <w:rPr>
                <w:rFonts w:asciiTheme="minorHAnsi" w:hAnsiTheme="minorHAnsi"/>
                <w:color w:val="000000"/>
                <w:sz w:val="22"/>
                <w:szCs w:val="22"/>
              </w:rPr>
              <w:t>13,100</w:t>
            </w:r>
          </w:p>
        </w:tc>
        <w:tc>
          <w:tcPr>
            <w:tcW w:w="2340" w:type="dxa"/>
            <w:shd w:val="clear" w:color="auto" w:fill="auto"/>
            <w:vAlign w:val="center"/>
            <w:hideMark/>
          </w:tcPr>
          <w:p w14:paraId="7F963348" w14:textId="61D82CD9" w:rsidR="006C722F" w:rsidRPr="0067297E" w:rsidRDefault="00014D7D" w:rsidP="006C722F">
            <w:pPr>
              <w:jc w:val="center"/>
              <w:rPr>
                <w:rFonts w:asciiTheme="minorHAnsi" w:hAnsiTheme="minorHAnsi"/>
                <w:color w:val="000000"/>
                <w:sz w:val="22"/>
                <w:szCs w:val="22"/>
              </w:rPr>
            </w:pPr>
            <w:r>
              <w:rPr>
                <w:rFonts w:asciiTheme="minorHAnsi" w:hAnsiTheme="minorHAnsi"/>
                <w:color w:val="000000"/>
                <w:sz w:val="22"/>
                <w:szCs w:val="22"/>
              </w:rPr>
              <w:t>23,200</w:t>
            </w:r>
          </w:p>
        </w:tc>
        <w:tc>
          <w:tcPr>
            <w:tcW w:w="1300" w:type="dxa"/>
            <w:vMerge w:val="restart"/>
            <w:shd w:val="clear" w:color="auto" w:fill="auto"/>
            <w:vAlign w:val="center"/>
            <w:hideMark/>
          </w:tcPr>
          <w:p w14:paraId="42547E17" w14:textId="77777777" w:rsidR="006C722F" w:rsidRPr="0067297E" w:rsidRDefault="006C722F" w:rsidP="006C722F">
            <w:pPr>
              <w:jc w:val="center"/>
              <w:rPr>
                <w:rFonts w:asciiTheme="minorHAnsi" w:hAnsiTheme="minorHAnsi"/>
                <w:color w:val="000000"/>
                <w:sz w:val="22"/>
                <w:szCs w:val="22"/>
              </w:rPr>
            </w:pPr>
            <w:r w:rsidRPr="0067297E">
              <w:rPr>
                <w:rFonts w:asciiTheme="minorHAnsi" w:hAnsiTheme="minorHAnsi"/>
                <w:color w:val="000000"/>
                <w:sz w:val="22"/>
                <w:szCs w:val="22"/>
              </w:rPr>
              <w:t> </w:t>
            </w:r>
          </w:p>
          <w:p w14:paraId="403A4D17" w14:textId="3E7618F0" w:rsidR="006C722F" w:rsidRPr="0067297E" w:rsidRDefault="006C722F" w:rsidP="006C722F">
            <w:pPr>
              <w:jc w:val="center"/>
              <w:rPr>
                <w:rFonts w:asciiTheme="minorHAnsi" w:hAnsiTheme="minorHAnsi"/>
                <w:color w:val="000000"/>
                <w:sz w:val="22"/>
                <w:szCs w:val="22"/>
              </w:rPr>
            </w:pPr>
            <w:r w:rsidRPr="0067297E">
              <w:rPr>
                <w:rFonts w:asciiTheme="minorHAnsi" w:hAnsiTheme="minorHAnsi"/>
                <w:color w:val="000000"/>
                <w:sz w:val="22"/>
                <w:szCs w:val="22"/>
              </w:rPr>
              <w:t> </w:t>
            </w:r>
          </w:p>
        </w:tc>
      </w:tr>
      <w:tr w:rsidR="006C722F" w:rsidRPr="0067297E" w14:paraId="5BD26C20" w14:textId="77777777" w:rsidTr="006C722F">
        <w:tc>
          <w:tcPr>
            <w:tcW w:w="2140" w:type="dxa"/>
            <w:vMerge/>
            <w:shd w:val="clear" w:color="auto" w:fill="auto"/>
            <w:vAlign w:val="center"/>
            <w:hideMark/>
          </w:tcPr>
          <w:p w14:paraId="4560726D" w14:textId="7F8AEEC5" w:rsidR="006C722F" w:rsidRPr="0067297E" w:rsidRDefault="006C722F" w:rsidP="006C722F">
            <w:pPr>
              <w:rPr>
                <w:rFonts w:asciiTheme="minorHAnsi" w:hAnsiTheme="minorHAnsi"/>
                <w:color w:val="000000"/>
                <w:sz w:val="22"/>
                <w:szCs w:val="22"/>
              </w:rPr>
            </w:pPr>
          </w:p>
        </w:tc>
        <w:tc>
          <w:tcPr>
            <w:tcW w:w="1300" w:type="dxa"/>
            <w:vMerge/>
            <w:shd w:val="clear" w:color="auto" w:fill="auto"/>
            <w:vAlign w:val="center"/>
            <w:hideMark/>
          </w:tcPr>
          <w:p w14:paraId="20128A01" w14:textId="5BECD9EF" w:rsidR="006C722F" w:rsidRPr="0067297E" w:rsidRDefault="006C722F" w:rsidP="006C722F">
            <w:pPr>
              <w:jc w:val="center"/>
              <w:rPr>
                <w:rFonts w:asciiTheme="minorHAnsi" w:hAnsiTheme="minorHAnsi"/>
                <w:color w:val="000000"/>
                <w:sz w:val="22"/>
                <w:szCs w:val="22"/>
                <w:u w:val="single"/>
              </w:rPr>
            </w:pPr>
          </w:p>
        </w:tc>
        <w:tc>
          <w:tcPr>
            <w:tcW w:w="2020" w:type="dxa"/>
            <w:shd w:val="clear" w:color="auto" w:fill="auto"/>
            <w:vAlign w:val="center"/>
            <w:hideMark/>
          </w:tcPr>
          <w:p w14:paraId="02450A01" w14:textId="134341E0" w:rsidR="006C722F" w:rsidRPr="0067297E" w:rsidRDefault="006C722F" w:rsidP="006C722F">
            <w:pPr>
              <w:jc w:val="center"/>
              <w:rPr>
                <w:rFonts w:asciiTheme="minorHAnsi" w:hAnsiTheme="minorHAnsi"/>
                <w:color w:val="000000"/>
                <w:sz w:val="22"/>
                <w:szCs w:val="22"/>
              </w:rPr>
            </w:pPr>
            <w:r w:rsidRPr="0067297E">
              <w:rPr>
                <w:rFonts w:asciiTheme="minorHAnsi" w:hAnsiTheme="minorHAnsi"/>
                <w:color w:val="000000"/>
                <w:sz w:val="22"/>
                <w:szCs w:val="22"/>
              </w:rPr>
              <w:t>Ratio of population to current provision</w:t>
            </w:r>
          </w:p>
        </w:tc>
        <w:tc>
          <w:tcPr>
            <w:tcW w:w="2340" w:type="dxa"/>
            <w:shd w:val="clear" w:color="auto" w:fill="auto"/>
            <w:vAlign w:val="center"/>
            <w:hideMark/>
          </w:tcPr>
          <w:p w14:paraId="2D9D8056" w14:textId="3D3D7B7D" w:rsidR="006C722F" w:rsidRPr="0067297E" w:rsidRDefault="006C722F" w:rsidP="006C722F">
            <w:pPr>
              <w:jc w:val="center"/>
              <w:rPr>
                <w:rFonts w:asciiTheme="minorHAnsi" w:hAnsiTheme="minorHAnsi"/>
                <w:color w:val="000000"/>
                <w:sz w:val="22"/>
                <w:szCs w:val="22"/>
              </w:rPr>
            </w:pPr>
            <w:r w:rsidRPr="0067297E">
              <w:rPr>
                <w:rFonts w:asciiTheme="minorHAnsi" w:hAnsiTheme="minorHAnsi"/>
                <w:color w:val="000000"/>
                <w:sz w:val="22"/>
                <w:szCs w:val="22"/>
              </w:rPr>
              <w:t>Ratio applied to 20</w:t>
            </w:r>
            <w:r w:rsidR="00014D7D">
              <w:rPr>
                <w:rFonts w:asciiTheme="minorHAnsi" w:hAnsiTheme="minorHAnsi"/>
                <w:color w:val="000000"/>
                <w:sz w:val="22"/>
                <w:szCs w:val="22"/>
              </w:rPr>
              <w:t>40</w:t>
            </w:r>
            <w:r w:rsidRPr="0067297E">
              <w:rPr>
                <w:rFonts w:asciiTheme="minorHAnsi" w:hAnsiTheme="minorHAnsi"/>
                <w:color w:val="000000"/>
                <w:sz w:val="22"/>
                <w:szCs w:val="22"/>
              </w:rPr>
              <w:t xml:space="preserve"> population</w:t>
            </w:r>
          </w:p>
        </w:tc>
        <w:tc>
          <w:tcPr>
            <w:tcW w:w="1300" w:type="dxa"/>
            <w:vMerge/>
            <w:shd w:val="clear" w:color="auto" w:fill="auto"/>
            <w:vAlign w:val="center"/>
            <w:hideMark/>
          </w:tcPr>
          <w:p w14:paraId="0E513106" w14:textId="6235BB04" w:rsidR="006C722F" w:rsidRPr="0067297E" w:rsidRDefault="006C722F" w:rsidP="006C722F">
            <w:pPr>
              <w:jc w:val="center"/>
              <w:rPr>
                <w:rFonts w:asciiTheme="minorHAnsi" w:hAnsiTheme="minorHAnsi"/>
                <w:color w:val="000000"/>
                <w:sz w:val="22"/>
                <w:szCs w:val="22"/>
              </w:rPr>
            </w:pPr>
          </w:p>
        </w:tc>
      </w:tr>
      <w:tr w:rsidR="00116319" w:rsidRPr="0067297E" w14:paraId="64FA59ED" w14:textId="77777777" w:rsidTr="006C722F">
        <w:tc>
          <w:tcPr>
            <w:tcW w:w="2140" w:type="dxa"/>
            <w:shd w:val="clear" w:color="auto" w:fill="auto"/>
            <w:vAlign w:val="center"/>
            <w:hideMark/>
          </w:tcPr>
          <w:p w14:paraId="328AE343" w14:textId="2F937F08" w:rsidR="00116319" w:rsidRPr="0067297E" w:rsidRDefault="00116319" w:rsidP="006C722F">
            <w:pPr>
              <w:rPr>
                <w:rFonts w:asciiTheme="minorHAnsi" w:hAnsiTheme="minorHAnsi"/>
                <w:color w:val="000000"/>
                <w:sz w:val="22"/>
                <w:szCs w:val="22"/>
              </w:rPr>
            </w:pPr>
            <w:r w:rsidRPr="0067297E">
              <w:rPr>
                <w:rFonts w:asciiTheme="minorHAnsi" w:hAnsiTheme="minorHAnsi"/>
                <w:color w:val="000000"/>
                <w:sz w:val="22"/>
                <w:szCs w:val="22"/>
              </w:rPr>
              <w:t>Specialist older person</w:t>
            </w:r>
          </w:p>
        </w:tc>
        <w:tc>
          <w:tcPr>
            <w:tcW w:w="1300" w:type="dxa"/>
            <w:shd w:val="clear" w:color="auto" w:fill="auto"/>
            <w:vAlign w:val="center"/>
            <w:hideMark/>
          </w:tcPr>
          <w:p w14:paraId="153D60CD" w14:textId="036A28E9" w:rsidR="00116319" w:rsidRPr="0067297E" w:rsidRDefault="00116319" w:rsidP="006C722F">
            <w:pPr>
              <w:jc w:val="center"/>
              <w:rPr>
                <w:rFonts w:asciiTheme="minorHAnsi" w:hAnsiTheme="minorHAnsi"/>
                <w:color w:val="000000"/>
                <w:sz w:val="22"/>
                <w:szCs w:val="22"/>
              </w:rPr>
            </w:pPr>
            <w:r w:rsidRPr="0067297E">
              <w:rPr>
                <w:rFonts w:asciiTheme="minorHAnsi" w:hAnsiTheme="minorHAnsi"/>
                <w:color w:val="000000"/>
                <w:sz w:val="22"/>
                <w:szCs w:val="22"/>
              </w:rPr>
              <w:t>2,848</w:t>
            </w:r>
          </w:p>
        </w:tc>
        <w:tc>
          <w:tcPr>
            <w:tcW w:w="2020" w:type="dxa"/>
            <w:shd w:val="clear" w:color="auto" w:fill="auto"/>
            <w:vAlign w:val="center"/>
            <w:hideMark/>
          </w:tcPr>
          <w:p w14:paraId="6EB75BAE" w14:textId="752308DE" w:rsidR="00116319" w:rsidRPr="0067297E" w:rsidRDefault="00116319" w:rsidP="006C722F">
            <w:pPr>
              <w:jc w:val="center"/>
              <w:rPr>
                <w:rFonts w:asciiTheme="minorHAnsi" w:hAnsiTheme="minorHAnsi"/>
                <w:color w:val="000000"/>
                <w:sz w:val="22"/>
                <w:szCs w:val="22"/>
              </w:rPr>
            </w:pPr>
            <w:r w:rsidRPr="0067297E">
              <w:rPr>
                <w:rFonts w:asciiTheme="minorHAnsi" w:hAnsiTheme="minorHAnsi"/>
                <w:color w:val="000000"/>
                <w:sz w:val="22"/>
                <w:szCs w:val="22"/>
              </w:rPr>
              <w:t>0.21740458</w:t>
            </w:r>
          </w:p>
        </w:tc>
        <w:tc>
          <w:tcPr>
            <w:tcW w:w="2340" w:type="dxa"/>
            <w:shd w:val="clear" w:color="auto" w:fill="auto"/>
            <w:vAlign w:val="center"/>
            <w:hideMark/>
          </w:tcPr>
          <w:p w14:paraId="0B451FCB" w14:textId="7AB75182" w:rsidR="00116319" w:rsidRPr="0067297E" w:rsidRDefault="00014D7D" w:rsidP="006C722F">
            <w:pPr>
              <w:jc w:val="center"/>
              <w:rPr>
                <w:rFonts w:asciiTheme="minorHAnsi" w:hAnsiTheme="minorHAnsi"/>
                <w:color w:val="000000"/>
                <w:sz w:val="22"/>
                <w:szCs w:val="22"/>
              </w:rPr>
            </w:pPr>
            <w:r>
              <w:rPr>
                <w:rFonts w:asciiTheme="minorHAnsi" w:hAnsiTheme="minorHAnsi"/>
                <w:color w:val="000000"/>
                <w:sz w:val="22"/>
                <w:szCs w:val="22"/>
              </w:rPr>
              <w:t>5,044</w:t>
            </w:r>
          </w:p>
        </w:tc>
        <w:tc>
          <w:tcPr>
            <w:tcW w:w="1300" w:type="dxa"/>
            <w:shd w:val="clear" w:color="auto" w:fill="auto"/>
            <w:vAlign w:val="center"/>
            <w:hideMark/>
          </w:tcPr>
          <w:p w14:paraId="75E172B4" w14:textId="65BEE607" w:rsidR="00116319" w:rsidRPr="0067297E" w:rsidRDefault="00014D7D" w:rsidP="006C722F">
            <w:pPr>
              <w:jc w:val="center"/>
              <w:rPr>
                <w:rFonts w:asciiTheme="minorHAnsi" w:hAnsiTheme="minorHAnsi"/>
                <w:color w:val="000000"/>
                <w:sz w:val="22"/>
                <w:szCs w:val="22"/>
              </w:rPr>
            </w:pPr>
            <w:r>
              <w:rPr>
                <w:rFonts w:asciiTheme="minorHAnsi" w:hAnsiTheme="minorHAnsi"/>
                <w:color w:val="000000"/>
                <w:sz w:val="22"/>
                <w:szCs w:val="22"/>
              </w:rPr>
              <w:t>2,196</w:t>
            </w:r>
          </w:p>
        </w:tc>
      </w:tr>
      <w:tr w:rsidR="00116319" w:rsidRPr="0067297E" w14:paraId="691A9475" w14:textId="77777777" w:rsidTr="006C722F">
        <w:tc>
          <w:tcPr>
            <w:tcW w:w="2140" w:type="dxa"/>
            <w:shd w:val="clear" w:color="auto" w:fill="auto"/>
            <w:vAlign w:val="center"/>
            <w:hideMark/>
          </w:tcPr>
          <w:p w14:paraId="7358C0B8" w14:textId="1A322201" w:rsidR="00116319" w:rsidRPr="0067297E" w:rsidRDefault="00116319" w:rsidP="006C722F">
            <w:pPr>
              <w:rPr>
                <w:rFonts w:asciiTheme="minorHAnsi" w:hAnsiTheme="minorHAnsi"/>
                <w:color w:val="000000"/>
                <w:sz w:val="22"/>
                <w:szCs w:val="22"/>
              </w:rPr>
            </w:pPr>
            <w:r w:rsidRPr="0067297E">
              <w:rPr>
                <w:rFonts w:asciiTheme="minorHAnsi" w:hAnsiTheme="minorHAnsi"/>
                <w:color w:val="000000"/>
                <w:sz w:val="22"/>
                <w:szCs w:val="22"/>
              </w:rPr>
              <w:t>Residential Care</w:t>
            </w:r>
          </w:p>
        </w:tc>
        <w:tc>
          <w:tcPr>
            <w:tcW w:w="1300" w:type="dxa"/>
            <w:shd w:val="clear" w:color="auto" w:fill="auto"/>
            <w:vAlign w:val="center"/>
            <w:hideMark/>
          </w:tcPr>
          <w:p w14:paraId="2EE65B11" w14:textId="49D22D49" w:rsidR="00116319" w:rsidRPr="0067297E" w:rsidRDefault="00116319" w:rsidP="006C722F">
            <w:pPr>
              <w:jc w:val="center"/>
              <w:rPr>
                <w:rFonts w:asciiTheme="minorHAnsi" w:hAnsiTheme="minorHAnsi"/>
                <w:color w:val="000000"/>
                <w:sz w:val="22"/>
                <w:szCs w:val="22"/>
              </w:rPr>
            </w:pPr>
            <w:r w:rsidRPr="0067297E">
              <w:rPr>
                <w:rFonts w:asciiTheme="minorHAnsi" w:hAnsiTheme="minorHAnsi"/>
                <w:color w:val="000000"/>
                <w:sz w:val="22"/>
                <w:szCs w:val="22"/>
              </w:rPr>
              <w:t>699</w:t>
            </w:r>
          </w:p>
        </w:tc>
        <w:tc>
          <w:tcPr>
            <w:tcW w:w="2020" w:type="dxa"/>
            <w:shd w:val="clear" w:color="auto" w:fill="auto"/>
            <w:vAlign w:val="center"/>
            <w:hideMark/>
          </w:tcPr>
          <w:p w14:paraId="56405758" w14:textId="2F7AAC46" w:rsidR="00116319" w:rsidRPr="0067297E" w:rsidRDefault="00116319" w:rsidP="006C722F">
            <w:pPr>
              <w:jc w:val="center"/>
              <w:rPr>
                <w:rFonts w:asciiTheme="minorHAnsi" w:hAnsiTheme="minorHAnsi"/>
                <w:color w:val="000000"/>
                <w:sz w:val="22"/>
                <w:szCs w:val="22"/>
              </w:rPr>
            </w:pPr>
            <w:r w:rsidRPr="0067297E">
              <w:rPr>
                <w:rFonts w:asciiTheme="minorHAnsi" w:hAnsiTheme="minorHAnsi"/>
                <w:color w:val="000000"/>
                <w:sz w:val="22"/>
                <w:szCs w:val="22"/>
              </w:rPr>
              <w:t>0.053358779</w:t>
            </w:r>
          </w:p>
        </w:tc>
        <w:tc>
          <w:tcPr>
            <w:tcW w:w="2340" w:type="dxa"/>
            <w:shd w:val="clear" w:color="auto" w:fill="auto"/>
            <w:vAlign w:val="center"/>
            <w:hideMark/>
          </w:tcPr>
          <w:p w14:paraId="7D639F56" w14:textId="678B99D8" w:rsidR="00116319" w:rsidRPr="0067297E" w:rsidRDefault="00014D7D" w:rsidP="006C722F">
            <w:pPr>
              <w:jc w:val="center"/>
              <w:rPr>
                <w:rFonts w:asciiTheme="minorHAnsi" w:hAnsiTheme="minorHAnsi"/>
                <w:color w:val="000000"/>
                <w:sz w:val="22"/>
                <w:szCs w:val="22"/>
              </w:rPr>
            </w:pPr>
            <w:r>
              <w:rPr>
                <w:rFonts w:asciiTheme="minorHAnsi" w:hAnsiTheme="minorHAnsi"/>
                <w:color w:val="000000"/>
                <w:sz w:val="22"/>
                <w:szCs w:val="22"/>
              </w:rPr>
              <w:t>1,238</w:t>
            </w:r>
          </w:p>
        </w:tc>
        <w:tc>
          <w:tcPr>
            <w:tcW w:w="1300" w:type="dxa"/>
            <w:shd w:val="clear" w:color="auto" w:fill="auto"/>
            <w:vAlign w:val="center"/>
            <w:hideMark/>
          </w:tcPr>
          <w:p w14:paraId="71E4944F" w14:textId="7199E49C" w:rsidR="00116319" w:rsidRPr="0067297E" w:rsidRDefault="00014D7D" w:rsidP="006C722F">
            <w:pPr>
              <w:jc w:val="center"/>
              <w:rPr>
                <w:rFonts w:asciiTheme="minorHAnsi" w:hAnsiTheme="minorHAnsi"/>
                <w:color w:val="000000"/>
                <w:sz w:val="22"/>
                <w:szCs w:val="22"/>
              </w:rPr>
            </w:pPr>
            <w:r>
              <w:rPr>
                <w:rFonts w:asciiTheme="minorHAnsi" w:hAnsiTheme="minorHAnsi"/>
                <w:color w:val="000000"/>
                <w:sz w:val="22"/>
                <w:szCs w:val="22"/>
              </w:rPr>
              <w:t>539</w:t>
            </w:r>
          </w:p>
        </w:tc>
      </w:tr>
      <w:tr w:rsidR="00116319" w:rsidRPr="0067297E" w14:paraId="0ABE4E2C" w14:textId="77777777" w:rsidTr="006C722F">
        <w:tc>
          <w:tcPr>
            <w:tcW w:w="2140" w:type="dxa"/>
            <w:shd w:val="clear" w:color="auto" w:fill="auto"/>
            <w:vAlign w:val="center"/>
            <w:hideMark/>
          </w:tcPr>
          <w:p w14:paraId="3BBE2CCA" w14:textId="6E3DDD7D" w:rsidR="00116319" w:rsidRPr="0067297E" w:rsidRDefault="00116319" w:rsidP="006C722F">
            <w:pPr>
              <w:rPr>
                <w:rFonts w:asciiTheme="minorHAnsi" w:hAnsiTheme="minorHAnsi"/>
                <w:color w:val="000000"/>
                <w:sz w:val="22"/>
                <w:szCs w:val="22"/>
              </w:rPr>
            </w:pPr>
            <w:r w:rsidRPr="0067297E">
              <w:rPr>
                <w:rFonts w:asciiTheme="minorHAnsi" w:hAnsiTheme="minorHAnsi"/>
                <w:color w:val="000000"/>
                <w:sz w:val="22"/>
                <w:szCs w:val="22"/>
              </w:rPr>
              <w:t>Total</w:t>
            </w:r>
          </w:p>
        </w:tc>
        <w:tc>
          <w:tcPr>
            <w:tcW w:w="1300" w:type="dxa"/>
            <w:shd w:val="clear" w:color="auto" w:fill="auto"/>
            <w:vAlign w:val="center"/>
            <w:hideMark/>
          </w:tcPr>
          <w:p w14:paraId="09C90486" w14:textId="496529FE" w:rsidR="00116319" w:rsidRPr="0067297E" w:rsidRDefault="00116319" w:rsidP="006C722F">
            <w:pPr>
              <w:jc w:val="center"/>
              <w:rPr>
                <w:rFonts w:asciiTheme="minorHAnsi" w:hAnsiTheme="minorHAnsi"/>
                <w:color w:val="000000"/>
                <w:sz w:val="22"/>
                <w:szCs w:val="22"/>
              </w:rPr>
            </w:pPr>
            <w:r w:rsidRPr="0067297E">
              <w:rPr>
                <w:rFonts w:asciiTheme="minorHAnsi" w:hAnsiTheme="minorHAnsi"/>
                <w:color w:val="000000"/>
                <w:sz w:val="22"/>
                <w:szCs w:val="22"/>
              </w:rPr>
              <w:t>3,547</w:t>
            </w:r>
          </w:p>
        </w:tc>
        <w:tc>
          <w:tcPr>
            <w:tcW w:w="2020" w:type="dxa"/>
            <w:shd w:val="clear" w:color="auto" w:fill="auto"/>
            <w:vAlign w:val="center"/>
            <w:hideMark/>
          </w:tcPr>
          <w:p w14:paraId="7FBF3290" w14:textId="70748EEC" w:rsidR="00116319" w:rsidRPr="0067297E" w:rsidRDefault="00116319" w:rsidP="006C722F">
            <w:pPr>
              <w:jc w:val="center"/>
              <w:rPr>
                <w:rFonts w:asciiTheme="minorHAnsi" w:hAnsiTheme="minorHAnsi"/>
                <w:color w:val="000000"/>
                <w:sz w:val="22"/>
                <w:szCs w:val="22"/>
              </w:rPr>
            </w:pPr>
            <w:r w:rsidRPr="0067297E">
              <w:rPr>
                <w:rFonts w:asciiTheme="minorHAnsi" w:hAnsiTheme="minorHAnsi"/>
                <w:color w:val="000000"/>
                <w:sz w:val="22"/>
                <w:szCs w:val="22"/>
              </w:rPr>
              <w:t> </w:t>
            </w:r>
          </w:p>
        </w:tc>
        <w:tc>
          <w:tcPr>
            <w:tcW w:w="2340" w:type="dxa"/>
            <w:shd w:val="clear" w:color="auto" w:fill="auto"/>
            <w:vAlign w:val="center"/>
            <w:hideMark/>
          </w:tcPr>
          <w:p w14:paraId="6503ACC1" w14:textId="37E41927" w:rsidR="00116319" w:rsidRPr="0067297E" w:rsidRDefault="00014D7D" w:rsidP="006C722F">
            <w:pPr>
              <w:jc w:val="center"/>
              <w:rPr>
                <w:rFonts w:asciiTheme="minorHAnsi" w:hAnsiTheme="minorHAnsi"/>
                <w:color w:val="000000"/>
                <w:sz w:val="22"/>
                <w:szCs w:val="22"/>
              </w:rPr>
            </w:pPr>
            <w:r>
              <w:rPr>
                <w:rFonts w:asciiTheme="minorHAnsi" w:hAnsiTheme="minorHAnsi"/>
                <w:color w:val="000000"/>
                <w:sz w:val="22"/>
                <w:szCs w:val="22"/>
              </w:rPr>
              <w:t>6,282</w:t>
            </w:r>
          </w:p>
        </w:tc>
        <w:tc>
          <w:tcPr>
            <w:tcW w:w="1300" w:type="dxa"/>
            <w:shd w:val="clear" w:color="auto" w:fill="auto"/>
            <w:vAlign w:val="center"/>
            <w:hideMark/>
          </w:tcPr>
          <w:p w14:paraId="59075E6D" w14:textId="44A5B6F9" w:rsidR="00116319" w:rsidRPr="0067297E" w:rsidRDefault="00014D7D" w:rsidP="006C722F">
            <w:pPr>
              <w:jc w:val="center"/>
              <w:rPr>
                <w:rFonts w:asciiTheme="minorHAnsi" w:hAnsiTheme="minorHAnsi"/>
                <w:color w:val="000000"/>
                <w:sz w:val="22"/>
                <w:szCs w:val="22"/>
              </w:rPr>
            </w:pPr>
            <w:r>
              <w:rPr>
                <w:rFonts w:asciiTheme="minorHAnsi" w:hAnsiTheme="minorHAnsi"/>
                <w:color w:val="000000"/>
                <w:sz w:val="22"/>
                <w:szCs w:val="22"/>
              </w:rPr>
              <w:t>2,735</w:t>
            </w:r>
          </w:p>
        </w:tc>
      </w:tr>
    </w:tbl>
    <w:p w14:paraId="11748043" w14:textId="77777777" w:rsidR="00BB7B84" w:rsidRPr="0067297E" w:rsidRDefault="00BB7B84" w:rsidP="00FC75C2">
      <w:pPr>
        <w:pStyle w:val="Reporttext"/>
        <w:numPr>
          <w:ilvl w:val="0"/>
          <w:numId w:val="0"/>
        </w:numPr>
        <w:ind w:left="709"/>
        <w:rPr>
          <w:rFonts w:asciiTheme="minorHAnsi" w:hAnsiTheme="minorHAnsi"/>
        </w:rPr>
      </w:pPr>
    </w:p>
    <w:p w14:paraId="2E03D62B" w14:textId="7F5BAACF" w:rsidR="00BB7B84" w:rsidRPr="0067297E" w:rsidRDefault="00BB7B84" w:rsidP="00BB7B84">
      <w:pPr>
        <w:pStyle w:val="Reporttext"/>
        <w:rPr>
          <w:rFonts w:asciiTheme="minorHAnsi" w:hAnsiTheme="minorHAnsi"/>
        </w:rPr>
      </w:pPr>
      <w:r w:rsidRPr="0067297E">
        <w:rPr>
          <w:rFonts w:asciiTheme="minorHAnsi" w:hAnsiTheme="minorHAnsi"/>
          <w:lang w:val="en-GB"/>
        </w:rPr>
        <w:t xml:space="preserve">A proportion of older people will suffer from dementia. Where severe, care homes or care homes with nursing bed-spaces will be needed specifically for this group. </w:t>
      </w:r>
    </w:p>
    <w:p w14:paraId="41C9A7E7" w14:textId="5E06FA4A" w:rsidR="00116319" w:rsidRPr="0067297E" w:rsidRDefault="00116319" w:rsidP="006C722F">
      <w:pPr>
        <w:pStyle w:val="Reporttext"/>
        <w:numPr>
          <w:ilvl w:val="0"/>
          <w:numId w:val="0"/>
        </w:numPr>
        <w:ind w:left="709"/>
        <w:rPr>
          <w:rFonts w:asciiTheme="minorHAnsi" w:hAnsiTheme="minorHAnsi" w:cs="Calibri"/>
        </w:rPr>
      </w:pPr>
    </w:p>
    <w:p w14:paraId="621381E5" w14:textId="77777777" w:rsidR="006C722F" w:rsidRPr="0067297E" w:rsidRDefault="006C722F" w:rsidP="006C722F">
      <w:pPr>
        <w:pStyle w:val="Heading3"/>
        <w:rPr>
          <w:rFonts w:asciiTheme="minorHAnsi" w:hAnsiTheme="minorHAnsi"/>
        </w:rPr>
      </w:pPr>
      <w:r w:rsidRPr="0067297E">
        <w:rPr>
          <w:rFonts w:asciiTheme="minorHAnsi" w:hAnsiTheme="minorHAnsi"/>
        </w:rPr>
        <w:t>The role of general housing and in particular bungalows and homes that can be adapted to meet a change in needs</w:t>
      </w:r>
    </w:p>
    <w:p w14:paraId="216B2135" w14:textId="19B83B0A" w:rsidR="006C722F" w:rsidRPr="0067297E" w:rsidRDefault="006C722F" w:rsidP="006C722F">
      <w:pPr>
        <w:pStyle w:val="Reporttext"/>
        <w:rPr>
          <w:rFonts w:asciiTheme="minorHAnsi" w:hAnsiTheme="minorHAnsi" w:cs="Calibri"/>
        </w:rPr>
      </w:pPr>
      <w:r w:rsidRPr="0067297E">
        <w:rPr>
          <w:rFonts w:asciiTheme="minorHAnsi" w:hAnsiTheme="minorHAnsi" w:cs="Calibri"/>
        </w:rPr>
        <w:t xml:space="preserve">PPG comments that </w:t>
      </w:r>
      <w:r w:rsidRPr="0067297E">
        <w:rPr>
          <w:rFonts w:asciiTheme="minorHAnsi" w:hAnsiTheme="minorHAnsi" w:cs="Calibri"/>
          <w:i/>
        </w:rPr>
        <w:t>‘</w:t>
      </w:r>
      <w:r w:rsidRPr="0067297E">
        <w:rPr>
          <w:rFonts w:asciiTheme="minorHAnsi" w:hAnsiTheme="minorHAnsi"/>
          <w:i/>
          <w:lang w:val="en-US"/>
        </w:rPr>
        <w:t xml:space="preserve">Many older people may not want or need specialist accommodation or care and may wish to stay or move to general housing that is already suitable, </w:t>
      </w:r>
      <w:r w:rsidRPr="0067297E">
        <w:rPr>
          <w:rFonts w:asciiTheme="minorHAnsi" w:hAnsiTheme="minorHAnsi"/>
          <w:i/>
        </w:rPr>
        <w:t>such</w:t>
      </w:r>
      <w:r w:rsidRPr="0067297E">
        <w:rPr>
          <w:rFonts w:asciiTheme="minorHAnsi" w:hAnsiTheme="minorHAnsi"/>
          <w:i/>
          <w:lang w:val="en-US"/>
        </w:rPr>
        <w:t xml:space="preserve"> as bungalows, or homes which can be adapted to meet a change in their needs. Local authorities will therefore need to identify the role that general housing may play as part of their assessment.’</w:t>
      </w:r>
      <w:r w:rsidR="00FF0436" w:rsidRPr="0067297E">
        <w:rPr>
          <w:rStyle w:val="FootnoteReference"/>
          <w:rFonts w:asciiTheme="minorHAnsi" w:hAnsiTheme="minorHAnsi"/>
          <w:i/>
          <w:lang w:val="en-US"/>
        </w:rPr>
        <w:footnoteReference w:id="43"/>
      </w:r>
      <w:r w:rsidRPr="0067297E">
        <w:rPr>
          <w:rFonts w:asciiTheme="minorHAnsi" w:hAnsiTheme="minorHAnsi"/>
          <w:lang w:val="en-US"/>
        </w:rPr>
        <w:t xml:space="preserve"> There are only 460 bungalows in the borough accounting for 0.4% of overall stock but there are 68,600 flats accounting for 57.7% of stock.</w:t>
      </w:r>
    </w:p>
    <w:p w14:paraId="25E5C120" w14:textId="54440745" w:rsidR="006C722F" w:rsidRPr="0067297E" w:rsidRDefault="006C722F" w:rsidP="006C722F">
      <w:pPr>
        <w:pStyle w:val="Reporttext"/>
        <w:rPr>
          <w:rFonts w:asciiTheme="minorHAnsi" w:hAnsiTheme="minorHAnsi"/>
        </w:rPr>
      </w:pPr>
      <w:r w:rsidRPr="0067297E">
        <w:rPr>
          <w:rFonts w:asciiTheme="minorHAnsi" w:hAnsiTheme="minorHAnsi"/>
        </w:rPr>
        <w:t xml:space="preserve">Given that the majority of older people want to remain in their own homes with help and support when necessary, there will be an increasing need to adapt existing homes. The actual scale of existing adaptations in the home nationally has been explored in the 2015/16 English Housing Survey (Table </w:t>
      </w:r>
      <w:r w:rsidRPr="0067297E">
        <w:rPr>
          <w:rFonts w:asciiTheme="minorHAnsi" w:hAnsiTheme="minorHAnsi"/>
          <w:lang w:val="en-US"/>
        </w:rPr>
        <w:t>6.</w:t>
      </w:r>
      <w:r w:rsidR="00A869ED" w:rsidRPr="0067297E">
        <w:rPr>
          <w:rFonts w:asciiTheme="minorHAnsi" w:hAnsiTheme="minorHAnsi"/>
          <w:lang w:val="en-US"/>
        </w:rPr>
        <w:t>9)</w:t>
      </w:r>
      <w:r w:rsidRPr="0067297E">
        <w:rPr>
          <w:rFonts w:asciiTheme="minorHAnsi" w:hAnsiTheme="minorHAnsi"/>
        </w:rPr>
        <w:t xml:space="preserve">. This identifies that, adaptations to bathroom and grab rails are most frequently found in existing dwellings.  Table </w:t>
      </w:r>
      <w:r w:rsidRPr="0067297E">
        <w:rPr>
          <w:rFonts w:asciiTheme="minorHAnsi" w:hAnsiTheme="minorHAnsi"/>
          <w:lang w:val="en-US"/>
        </w:rPr>
        <w:t>6.</w:t>
      </w:r>
      <w:r w:rsidR="00A869ED" w:rsidRPr="0067297E">
        <w:rPr>
          <w:rFonts w:asciiTheme="minorHAnsi" w:hAnsiTheme="minorHAnsi"/>
          <w:lang w:val="en-US"/>
        </w:rPr>
        <w:t>9</w:t>
      </w:r>
      <w:r w:rsidRPr="0067297E">
        <w:rPr>
          <w:rFonts w:asciiTheme="minorHAnsi" w:hAnsiTheme="minorHAnsi"/>
        </w:rPr>
        <w:t xml:space="preserve"> estimates the number of households likely to have adaptations in</w:t>
      </w:r>
      <w:r w:rsidRPr="0067297E">
        <w:rPr>
          <w:rFonts w:asciiTheme="minorHAnsi" w:hAnsiTheme="minorHAnsi"/>
          <w:lang w:val="en-US"/>
        </w:rPr>
        <w:t xml:space="preserve"> the borough</w:t>
      </w:r>
      <w:r w:rsidRPr="0067297E">
        <w:rPr>
          <w:rFonts w:asciiTheme="minorHAnsi" w:hAnsiTheme="minorHAnsi"/>
        </w:rPr>
        <w:t xml:space="preserve"> based on national data.</w:t>
      </w:r>
    </w:p>
    <w:p w14:paraId="7A2EBE6A" w14:textId="3E408273" w:rsidR="006C722F" w:rsidRPr="0067297E" w:rsidRDefault="006C722F" w:rsidP="00944242">
      <w:pPr>
        <w:pStyle w:val="Reporttext"/>
        <w:rPr>
          <w:rFonts w:asciiTheme="minorHAnsi" w:hAnsiTheme="minorHAnsi"/>
        </w:rPr>
      </w:pPr>
      <w:r w:rsidRPr="0067297E">
        <w:rPr>
          <w:rFonts w:asciiTheme="minorHAnsi" w:hAnsiTheme="minorHAnsi"/>
        </w:rPr>
        <w:t xml:space="preserve">Table </w:t>
      </w:r>
      <w:r w:rsidRPr="0067297E">
        <w:rPr>
          <w:rFonts w:asciiTheme="minorHAnsi" w:hAnsiTheme="minorHAnsi"/>
          <w:lang w:val="en-US"/>
        </w:rPr>
        <w:t>6.</w:t>
      </w:r>
      <w:r w:rsidR="00944242" w:rsidRPr="0067297E">
        <w:rPr>
          <w:rFonts w:asciiTheme="minorHAnsi" w:hAnsiTheme="minorHAnsi"/>
          <w:lang w:val="en-US"/>
        </w:rPr>
        <w:t>9</w:t>
      </w:r>
      <w:r w:rsidRPr="0067297E">
        <w:rPr>
          <w:rFonts w:asciiTheme="minorHAnsi" w:hAnsiTheme="minorHAnsi"/>
        </w:rPr>
        <w:t xml:space="preserve"> then factors in the likely change in older person households (a </w:t>
      </w:r>
      <w:r w:rsidRPr="0067297E">
        <w:rPr>
          <w:rFonts w:asciiTheme="minorHAnsi" w:hAnsiTheme="minorHAnsi"/>
          <w:lang w:val="en-US"/>
        </w:rPr>
        <w:t>64.8</w:t>
      </w:r>
      <w:r w:rsidRPr="0067297E">
        <w:rPr>
          <w:rFonts w:asciiTheme="minorHAnsi" w:hAnsiTheme="minorHAnsi"/>
        </w:rPr>
        <w:t>% increase by 203</w:t>
      </w:r>
      <w:r w:rsidRPr="0067297E">
        <w:rPr>
          <w:rFonts w:asciiTheme="minorHAnsi" w:hAnsiTheme="minorHAnsi"/>
          <w:lang w:val="en-US"/>
        </w:rPr>
        <w:t>3</w:t>
      </w:r>
      <w:r w:rsidRPr="0067297E">
        <w:rPr>
          <w:rFonts w:asciiTheme="minorHAnsi" w:hAnsiTheme="minorHAnsi"/>
        </w:rPr>
        <w:t xml:space="preserve"> of </w:t>
      </w:r>
      <w:r w:rsidRPr="0067297E">
        <w:rPr>
          <w:rFonts w:asciiTheme="minorHAnsi" w:hAnsiTheme="minorHAnsi"/>
          <w:lang w:val="en-US"/>
        </w:rPr>
        <w:t>14,500</w:t>
      </w:r>
      <w:r w:rsidRPr="0067297E">
        <w:rPr>
          <w:rFonts w:asciiTheme="minorHAnsi" w:hAnsiTheme="minorHAnsi"/>
        </w:rPr>
        <w:t xml:space="preserve"> households) to establish the likely increase in the need to adapt existing dwellings.</w:t>
      </w:r>
      <w:r w:rsidR="002742AC">
        <w:rPr>
          <w:rFonts w:asciiTheme="minorHAnsi" w:hAnsiTheme="minorHAnsi"/>
          <w:lang w:val="en-GB"/>
        </w:rPr>
        <w:t xml:space="preserve"> Table 6.9 shows an increase of 3,222 dwellings needing adaptions, equivalent to a 22% uplift.</w:t>
      </w:r>
      <w:r w:rsidRPr="0067297E">
        <w:rPr>
          <w:rFonts w:asciiTheme="minorHAnsi" w:hAnsiTheme="minorHAnsi"/>
        </w:rPr>
        <w:t xml:space="preserve">  </w:t>
      </w:r>
    </w:p>
    <w:p w14:paraId="6F48B4EA" w14:textId="77777777" w:rsidR="006C722F" w:rsidRPr="0067297E" w:rsidRDefault="006C722F" w:rsidP="006C722F">
      <w:pPr>
        <w:pStyle w:val="Reporttext"/>
        <w:numPr>
          <w:ilvl w:val="0"/>
          <w:numId w:val="0"/>
        </w:numPr>
        <w:spacing w:before="0"/>
        <w:ind w:left="709"/>
        <w:jc w:val="left"/>
        <w:rPr>
          <w:rFonts w:asciiTheme="minorHAnsi" w:hAnsiTheme="minorHAnsi" w:cs="Calibri"/>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2405"/>
        <w:gridCol w:w="1418"/>
        <w:gridCol w:w="1842"/>
        <w:gridCol w:w="1559"/>
        <w:gridCol w:w="1958"/>
      </w:tblGrid>
      <w:tr w:rsidR="006C722F" w:rsidRPr="0067297E" w14:paraId="710BC135" w14:textId="77777777" w:rsidTr="00426BD8">
        <w:trPr>
          <w:trHeight w:val="300"/>
          <w:tblHeader/>
        </w:trPr>
        <w:tc>
          <w:tcPr>
            <w:tcW w:w="5000" w:type="pct"/>
            <w:gridSpan w:val="5"/>
            <w:shd w:val="clear" w:color="auto" w:fill="009999"/>
            <w:noWrap/>
            <w:vAlign w:val="bottom"/>
          </w:tcPr>
          <w:p w14:paraId="6E4BE7E2" w14:textId="780E0BA5" w:rsidR="006C722F" w:rsidRPr="0067297E" w:rsidRDefault="006C722F" w:rsidP="003F4875">
            <w:pPr>
              <w:pStyle w:val="tableheading"/>
              <w:rPr>
                <w:rFonts w:asciiTheme="minorHAnsi" w:hAnsiTheme="minorHAnsi"/>
              </w:rPr>
            </w:pPr>
            <w:bookmarkStart w:id="352" w:name="_Toc23151185"/>
            <w:r w:rsidRPr="0067297E">
              <w:rPr>
                <w:rFonts w:asciiTheme="minorHAnsi" w:hAnsiTheme="minorHAnsi"/>
              </w:rPr>
              <w:t>Table 6.9</w:t>
            </w:r>
            <w:r w:rsidRPr="0067297E">
              <w:rPr>
                <w:rFonts w:asciiTheme="minorHAnsi" w:hAnsiTheme="minorHAnsi"/>
              </w:rPr>
              <w:tab/>
              <w:t>Likely level of property adaptation in Lewisham and future need for adaptations in the home</w:t>
            </w:r>
            <w:bookmarkEnd w:id="352"/>
          </w:p>
        </w:tc>
      </w:tr>
      <w:tr w:rsidR="006C722F" w:rsidRPr="0067297E" w14:paraId="5AE7D4B3" w14:textId="77777777" w:rsidTr="00496076">
        <w:trPr>
          <w:trHeight w:val="300"/>
        </w:trPr>
        <w:tc>
          <w:tcPr>
            <w:tcW w:w="1310" w:type="pct"/>
            <w:shd w:val="clear" w:color="auto" w:fill="009999"/>
            <w:noWrap/>
            <w:vAlign w:val="bottom"/>
            <w:hideMark/>
          </w:tcPr>
          <w:p w14:paraId="6B00150C" w14:textId="7A5EDE38" w:rsidR="006C722F" w:rsidRPr="0067297E" w:rsidRDefault="005012D6" w:rsidP="006C722F">
            <w:pP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 xml:space="preserve">Type </w:t>
            </w:r>
            <w:r w:rsidR="006C722F" w:rsidRPr="0067297E">
              <w:rPr>
                <w:rFonts w:asciiTheme="minorHAnsi" w:hAnsiTheme="minorHAnsi" w:cs="Calibri"/>
                <w:b/>
                <w:bCs/>
                <w:color w:val="FFFFFF" w:themeColor="background1"/>
                <w:sz w:val="22"/>
                <w:szCs w:val="22"/>
              </w:rPr>
              <w:t>of adaptation</w:t>
            </w:r>
          </w:p>
        </w:tc>
        <w:tc>
          <w:tcPr>
            <w:tcW w:w="772" w:type="pct"/>
            <w:shd w:val="clear" w:color="auto" w:fill="009999"/>
            <w:noWrap/>
            <w:vAlign w:val="bottom"/>
            <w:hideMark/>
          </w:tcPr>
          <w:p w14:paraId="7D3464DE" w14:textId="77777777" w:rsidR="006C722F" w:rsidRPr="0067297E" w:rsidRDefault="006C722F" w:rsidP="006C722F">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 dwellings with adaptations from EHS</w:t>
            </w:r>
          </w:p>
        </w:tc>
        <w:tc>
          <w:tcPr>
            <w:tcW w:w="1003" w:type="pct"/>
            <w:shd w:val="clear" w:color="auto" w:fill="009999"/>
            <w:vAlign w:val="bottom"/>
          </w:tcPr>
          <w:p w14:paraId="5E0E8E0F" w14:textId="77777777" w:rsidR="006C722F" w:rsidRPr="0067297E" w:rsidRDefault="006C722F" w:rsidP="006C722F">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Lewisham expected adaptations 2018</w:t>
            </w:r>
          </w:p>
        </w:tc>
        <w:tc>
          <w:tcPr>
            <w:tcW w:w="849" w:type="pct"/>
            <w:shd w:val="clear" w:color="auto" w:fill="009999"/>
            <w:vAlign w:val="bottom"/>
          </w:tcPr>
          <w:p w14:paraId="6F6CC790" w14:textId="45678184" w:rsidR="006C722F" w:rsidRPr="0067297E" w:rsidRDefault="006C722F" w:rsidP="006C722F">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Lewisham expected adaptations 203</w:t>
            </w:r>
            <w:r w:rsidR="00FB0012" w:rsidRPr="0067297E">
              <w:rPr>
                <w:rFonts w:asciiTheme="minorHAnsi" w:hAnsiTheme="minorHAnsi" w:cs="Calibri"/>
                <w:b/>
                <w:color w:val="FFFFFF" w:themeColor="background1"/>
                <w:sz w:val="22"/>
                <w:szCs w:val="22"/>
              </w:rPr>
              <w:t>3</w:t>
            </w:r>
          </w:p>
        </w:tc>
        <w:tc>
          <w:tcPr>
            <w:tcW w:w="1066" w:type="pct"/>
            <w:shd w:val="clear" w:color="auto" w:fill="009999"/>
            <w:vAlign w:val="bottom"/>
          </w:tcPr>
          <w:p w14:paraId="3B30D1A7" w14:textId="77777777" w:rsidR="006C722F" w:rsidRPr="0067297E" w:rsidRDefault="006C722F" w:rsidP="006C722F">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Change in number of dwellings needing adaptations</w:t>
            </w:r>
          </w:p>
        </w:tc>
      </w:tr>
      <w:tr w:rsidR="006C722F" w:rsidRPr="0067297E" w14:paraId="67C4A8A3" w14:textId="77777777" w:rsidTr="00496076">
        <w:trPr>
          <w:trHeight w:val="300"/>
        </w:trPr>
        <w:tc>
          <w:tcPr>
            <w:tcW w:w="1310" w:type="pct"/>
            <w:shd w:val="clear" w:color="000000" w:fill="FFFFFF"/>
            <w:noWrap/>
            <w:vAlign w:val="bottom"/>
            <w:hideMark/>
          </w:tcPr>
          <w:p w14:paraId="0AD7B97D" w14:textId="77777777" w:rsidR="006C722F" w:rsidRPr="0067297E" w:rsidRDefault="006C722F" w:rsidP="006C722F">
            <w:pPr>
              <w:rPr>
                <w:rFonts w:asciiTheme="minorHAnsi" w:hAnsiTheme="minorHAnsi" w:cs="Calibri"/>
                <w:sz w:val="22"/>
                <w:szCs w:val="22"/>
              </w:rPr>
            </w:pPr>
            <w:r w:rsidRPr="0067297E">
              <w:rPr>
                <w:rFonts w:asciiTheme="minorHAnsi" w:hAnsiTheme="minorHAnsi" w:cs="Calibri"/>
                <w:sz w:val="22"/>
                <w:szCs w:val="22"/>
              </w:rPr>
              <w:t>Adapted bathroom</w:t>
            </w:r>
          </w:p>
        </w:tc>
        <w:tc>
          <w:tcPr>
            <w:tcW w:w="772" w:type="pct"/>
            <w:shd w:val="clear" w:color="000000" w:fill="FFFFFF"/>
            <w:noWrap/>
            <w:vAlign w:val="bottom"/>
            <w:hideMark/>
          </w:tcPr>
          <w:p w14:paraId="10F39773" w14:textId="77777777" w:rsidR="006C722F" w:rsidRPr="0067297E" w:rsidRDefault="006C722F" w:rsidP="00425A04">
            <w:pPr>
              <w:jc w:val="right"/>
              <w:rPr>
                <w:rFonts w:asciiTheme="minorHAnsi" w:hAnsiTheme="minorHAnsi" w:cs="Calibri"/>
                <w:sz w:val="22"/>
                <w:szCs w:val="22"/>
              </w:rPr>
            </w:pPr>
            <w:r w:rsidRPr="0067297E">
              <w:rPr>
                <w:rFonts w:asciiTheme="minorHAnsi" w:hAnsiTheme="minorHAnsi" w:cs="Calibri"/>
                <w:sz w:val="22"/>
                <w:szCs w:val="22"/>
              </w:rPr>
              <w:t>6.9</w:t>
            </w:r>
          </w:p>
        </w:tc>
        <w:tc>
          <w:tcPr>
            <w:tcW w:w="1003" w:type="pct"/>
            <w:shd w:val="clear" w:color="000000" w:fill="FFFFFF"/>
            <w:vAlign w:val="center"/>
          </w:tcPr>
          <w:p w14:paraId="6C05E29A" w14:textId="7AB4D662"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BC6D95" w:rsidRPr="0067297E">
              <w:rPr>
                <w:rFonts w:asciiTheme="minorHAnsi" w:hAnsiTheme="minorHAnsi" w:cs="Calibri"/>
                <w:color w:val="000000"/>
                <w:sz w:val="22"/>
                <w:szCs w:val="22"/>
              </w:rPr>
              <w:t>,</w:t>
            </w:r>
            <w:r w:rsidRPr="0067297E">
              <w:rPr>
                <w:rFonts w:asciiTheme="minorHAnsi" w:hAnsiTheme="minorHAnsi" w:cs="Calibri"/>
                <w:color w:val="000000"/>
                <w:sz w:val="22"/>
                <w:szCs w:val="22"/>
              </w:rPr>
              <w:t>545</w:t>
            </w:r>
          </w:p>
        </w:tc>
        <w:tc>
          <w:tcPr>
            <w:tcW w:w="849" w:type="pct"/>
            <w:shd w:val="clear" w:color="000000" w:fill="FFFFFF"/>
            <w:vAlign w:val="center"/>
          </w:tcPr>
          <w:p w14:paraId="38D32741" w14:textId="14DAC1D3"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2</w:t>
            </w:r>
            <w:r w:rsidR="00BC6D95" w:rsidRPr="0067297E">
              <w:rPr>
                <w:rFonts w:asciiTheme="minorHAnsi" w:hAnsiTheme="minorHAnsi" w:cs="Calibri"/>
                <w:color w:val="000000"/>
                <w:sz w:val="22"/>
                <w:szCs w:val="22"/>
              </w:rPr>
              <w:t>,</w:t>
            </w:r>
            <w:r w:rsidRPr="0067297E">
              <w:rPr>
                <w:rFonts w:asciiTheme="minorHAnsi" w:hAnsiTheme="minorHAnsi" w:cs="Calibri"/>
                <w:color w:val="000000"/>
                <w:sz w:val="22"/>
                <w:szCs w:val="22"/>
              </w:rPr>
              <w:t>547</w:t>
            </w:r>
          </w:p>
        </w:tc>
        <w:tc>
          <w:tcPr>
            <w:tcW w:w="1066" w:type="pct"/>
            <w:shd w:val="clear" w:color="000000" w:fill="FFFFFF"/>
            <w:vAlign w:val="center"/>
          </w:tcPr>
          <w:p w14:paraId="1795C574" w14:textId="01FBA039"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BC6D95" w:rsidRPr="0067297E">
              <w:rPr>
                <w:rFonts w:asciiTheme="minorHAnsi" w:hAnsiTheme="minorHAnsi" w:cs="Calibri"/>
                <w:color w:val="000000"/>
                <w:sz w:val="22"/>
                <w:szCs w:val="22"/>
              </w:rPr>
              <w:t>,</w:t>
            </w:r>
            <w:r w:rsidRPr="0067297E">
              <w:rPr>
                <w:rFonts w:asciiTheme="minorHAnsi" w:hAnsiTheme="minorHAnsi" w:cs="Calibri"/>
                <w:color w:val="000000"/>
                <w:sz w:val="22"/>
                <w:szCs w:val="22"/>
              </w:rPr>
              <w:t>001</w:t>
            </w:r>
          </w:p>
        </w:tc>
      </w:tr>
      <w:tr w:rsidR="006C722F" w:rsidRPr="0067297E" w14:paraId="08ADF1D9" w14:textId="77777777" w:rsidTr="00496076">
        <w:trPr>
          <w:trHeight w:val="300"/>
        </w:trPr>
        <w:tc>
          <w:tcPr>
            <w:tcW w:w="1310" w:type="pct"/>
            <w:shd w:val="clear" w:color="000000" w:fill="FFFFFF"/>
            <w:noWrap/>
            <w:vAlign w:val="bottom"/>
            <w:hideMark/>
          </w:tcPr>
          <w:p w14:paraId="7E866993" w14:textId="77777777" w:rsidR="006C722F" w:rsidRPr="0067297E" w:rsidRDefault="006C722F" w:rsidP="006C722F">
            <w:pPr>
              <w:rPr>
                <w:rFonts w:asciiTheme="minorHAnsi" w:hAnsiTheme="minorHAnsi" w:cs="Calibri"/>
                <w:sz w:val="22"/>
                <w:szCs w:val="22"/>
              </w:rPr>
            </w:pPr>
            <w:r w:rsidRPr="0067297E">
              <w:rPr>
                <w:rFonts w:asciiTheme="minorHAnsi" w:hAnsiTheme="minorHAnsi" w:cs="Calibri"/>
                <w:sz w:val="22"/>
                <w:szCs w:val="22"/>
              </w:rPr>
              <w:t>Grab rails</w:t>
            </w:r>
          </w:p>
        </w:tc>
        <w:tc>
          <w:tcPr>
            <w:tcW w:w="772" w:type="pct"/>
            <w:shd w:val="clear" w:color="000000" w:fill="FFFFFF"/>
            <w:noWrap/>
            <w:vAlign w:val="bottom"/>
            <w:hideMark/>
          </w:tcPr>
          <w:p w14:paraId="058D2FFB" w14:textId="77777777" w:rsidR="006C722F" w:rsidRPr="0067297E" w:rsidRDefault="006C722F" w:rsidP="00425A04">
            <w:pPr>
              <w:jc w:val="right"/>
              <w:rPr>
                <w:rFonts w:asciiTheme="minorHAnsi" w:hAnsiTheme="minorHAnsi" w:cs="Calibri"/>
                <w:sz w:val="22"/>
                <w:szCs w:val="22"/>
              </w:rPr>
            </w:pPr>
            <w:r w:rsidRPr="0067297E">
              <w:rPr>
                <w:rFonts w:asciiTheme="minorHAnsi" w:hAnsiTheme="minorHAnsi" w:cs="Calibri"/>
                <w:sz w:val="22"/>
                <w:szCs w:val="22"/>
              </w:rPr>
              <w:t>6.6</w:t>
            </w:r>
          </w:p>
        </w:tc>
        <w:tc>
          <w:tcPr>
            <w:tcW w:w="1003" w:type="pct"/>
            <w:shd w:val="clear" w:color="000000" w:fill="FFFFFF"/>
            <w:vAlign w:val="center"/>
          </w:tcPr>
          <w:p w14:paraId="1476622A" w14:textId="0691724E"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BC6D95" w:rsidRPr="0067297E">
              <w:rPr>
                <w:rFonts w:asciiTheme="minorHAnsi" w:hAnsiTheme="minorHAnsi" w:cs="Calibri"/>
                <w:color w:val="000000"/>
                <w:sz w:val="22"/>
                <w:szCs w:val="22"/>
              </w:rPr>
              <w:t>,</w:t>
            </w:r>
            <w:r w:rsidRPr="0067297E">
              <w:rPr>
                <w:rFonts w:asciiTheme="minorHAnsi" w:hAnsiTheme="minorHAnsi" w:cs="Calibri"/>
                <w:color w:val="000000"/>
                <w:sz w:val="22"/>
                <w:szCs w:val="22"/>
              </w:rPr>
              <w:t>478</w:t>
            </w:r>
          </w:p>
        </w:tc>
        <w:tc>
          <w:tcPr>
            <w:tcW w:w="849" w:type="pct"/>
            <w:shd w:val="clear" w:color="000000" w:fill="FFFFFF"/>
            <w:vAlign w:val="center"/>
          </w:tcPr>
          <w:p w14:paraId="1CA09EA8" w14:textId="274A8AEE"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2</w:t>
            </w:r>
            <w:r w:rsidR="00BC6D95" w:rsidRPr="0067297E">
              <w:rPr>
                <w:rFonts w:asciiTheme="minorHAnsi" w:hAnsiTheme="minorHAnsi" w:cs="Calibri"/>
                <w:color w:val="000000"/>
                <w:sz w:val="22"/>
                <w:szCs w:val="22"/>
              </w:rPr>
              <w:t>,</w:t>
            </w:r>
            <w:r w:rsidRPr="0067297E">
              <w:rPr>
                <w:rFonts w:asciiTheme="minorHAnsi" w:hAnsiTheme="minorHAnsi" w:cs="Calibri"/>
                <w:color w:val="000000"/>
                <w:sz w:val="22"/>
                <w:szCs w:val="22"/>
              </w:rPr>
              <w:t>436</w:t>
            </w:r>
          </w:p>
        </w:tc>
        <w:tc>
          <w:tcPr>
            <w:tcW w:w="1066" w:type="pct"/>
            <w:shd w:val="clear" w:color="000000" w:fill="FFFFFF"/>
            <w:vAlign w:val="center"/>
          </w:tcPr>
          <w:p w14:paraId="58F34BC0"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958</w:t>
            </w:r>
          </w:p>
        </w:tc>
      </w:tr>
      <w:tr w:rsidR="006C722F" w:rsidRPr="0067297E" w14:paraId="51F05CB0" w14:textId="77777777" w:rsidTr="00496076">
        <w:trPr>
          <w:trHeight w:val="300"/>
        </w:trPr>
        <w:tc>
          <w:tcPr>
            <w:tcW w:w="1310" w:type="pct"/>
            <w:shd w:val="clear" w:color="000000" w:fill="FFFFFF"/>
            <w:noWrap/>
            <w:vAlign w:val="bottom"/>
            <w:hideMark/>
          </w:tcPr>
          <w:p w14:paraId="1423D74B" w14:textId="77777777" w:rsidR="006C722F" w:rsidRPr="0067297E" w:rsidRDefault="006C722F" w:rsidP="006C722F">
            <w:pPr>
              <w:rPr>
                <w:rFonts w:asciiTheme="minorHAnsi" w:hAnsiTheme="minorHAnsi" w:cs="Calibri"/>
                <w:sz w:val="22"/>
                <w:szCs w:val="22"/>
              </w:rPr>
            </w:pPr>
            <w:r w:rsidRPr="0067297E">
              <w:rPr>
                <w:rFonts w:asciiTheme="minorHAnsi" w:hAnsiTheme="minorHAnsi" w:cs="Calibri"/>
                <w:sz w:val="22"/>
                <w:szCs w:val="22"/>
              </w:rPr>
              <w:t xml:space="preserve">Adapted kitchen </w:t>
            </w:r>
          </w:p>
        </w:tc>
        <w:tc>
          <w:tcPr>
            <w:tcW w:w="772" w:type="pct"/>
            <w:shd w:val="clear" w:color="000000" w:fill="FFFFFF"/>
            <w:noWrap/>
            <w:vAlign w:val="bottom"/>
            <w:hideMark/>
          </w:tcPr>
          <w:p w14:paraId="3E071A55" w14:textId="77777777" w:rsidR="006C722F" w:rsidRPr="0067297E" w:rsidRDefault="006C722F" w:rsidP="00425A04">
            <w:pPr>
              <w:jc w:val="right"/>
              <w:rPr>
                <w:rFonts w:asciiTheme="minorHAnsi" w:hAnsiTheme="minorHAnsi" w:cs="Calibri"/>
                <w:sz w:val="22"/>
                <w:szCs w:val="22"/>
              </w:rPr>
            </w:pPr>
            <w:r w:rsidRPr="0067297E">
              <w:rPr>
                <w:rFonts w:asciiTheme="minorHAnsi" w:hAnsiTheme="minorHAnsi" w:cs="Calibri"/>
                <w:sz w:val="22"/>
                <w:szCs w:val="22"/>
              </w:rPr>
              <w:t>2.8</w:t>
            </w:r>
          </w:p>
        </w:tc>
        <w:tc>
          <w:tcPr>
            <w:tcW w:w="1003" w:type="pct"/>
            <w:shd w:val="clear" w:color="000000" w:fill="FFFFFF"/>
            <w:vAlign w:val="center"/>
          </w:tcPr>
          <w:p w14:paraId="318A10A9"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627</w:t>
            </w:r>
          </w:p>
        </w:tc>
        <w:tc>
          <w:tcPr>
            <w:tcW w:w="849" w:type="pct"/>
            <w:shd w:val="clear" w:color="000000" w:fill="FFFFFF"/>
            <w:vAlign w:val="center"/>
          </w:tcPr>
          <w:p w14:paraId="18ADFECF" w14:textId="71C086AD"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1</w:t>
            </w:r>
            <w:r w:rsidR="00BC6D95" w:rsidRPr="0067297E">
              <w:rPr>
                <w:rFonts w:asciiTheme="minorHAnsi" w:hAnsiTheme="minorHAnsi" w:cs="Calibri"/>
                <w:color w:val="000000"/>
                <w:sz w:val="22"/>
                <w:szCs w:val="22"/>
              </w:rPr>
              <w:t>,</w:t>
            </w:r>
            <w:r w:rsidRPr="0067297E">
              <w:rPr>
                <w:rFonts w:asciiTheme="minorHAnsi" w:hAnsiTheme="minorHAnsi" w:cs="Calibri"/>
                <w:color w:val="000000"/>
                <w:sz w:val="22"/>
                <w:szCs w:val="22"/>
              </w:rPr>
              <w:t>033</w:t>
            </w:r>
          </w:p>
        </w:tc>
        <w:tc>
          <w:tcPr>
            <w:tcW w:w="1066" w:type="pct"/>
            <w:shd w:val="clear" w:color="000000" w:fill="FFFFFF"/>
            <w:vAlign w:val="center"/>
          </w:tcPr>
          <w:p w14:paraId="661515C0"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406</w:t>
            </w:r>
          </w:p>
        </w:tc>
      </w:tr>
      <w:tr w:rsidR="006C722F" w:rsidRPr="0067297E" w14:paraId="0E9C80FE" w14:textId="77777777" w:rsidTr="00496076">
        <w:trPr>
          <w:trHeight w:val="300"/>
        </w:trPr>
        <w:tc>
          <w:tcPr>
            <w:tcW w:w="1310" w:type="pct"/>
            <w:shd w:val="clear" w:color="000000" w:fill="FFFFFF"/>
            <w:noWrap/>
            <w:vAlign w:val="bottom"/>
            <w:hideMark/>
          </w:tcPr>
          <w:p w14:paraId="0D20A209" w14:textId="77777777" w:rsidR="006C722F" w:rsidRPr="0067297E" w:rsidRDefault="006C722F" w:rsidP="006C722F">
            <w:pPr>
              <w:rPr>
                <w:rFonts w:asciiTheme="minorHAnsi" w:hAnsiTheme="minorHAnsi" w:cs="Calibri"/>
                <w:sz w:val="22"/>
                <w:szCs w:val="22"/>
              </w:rPr>
            </w:pPr>
            <w:r w:rsidRPr="0067297E">
              <w:rPr>
                <w:rFonts w:asciiTheme="minorHAnsi" w:hAnsiTheme="minorHAnsi" w:cs="Calibri"/>
                <w:sz w:val="22"/>
                <w:szCs w:val="22"/>
              </w:rPr>
              <w:t>Electrical modifications</w:t>
            </w:r>
          </w:p>
        </w:tc>
        <w:tc>
          <w:tcPr>
            <w:tcW w:w="772" w:type="pct"/>
            <w:shd w:val="clear" w:color="000000" w:fill="FFFFFF"/>
            <w:noWrap/>
            <w:vAlign w:val="center"/>
            <w:hideMark/>
          </w:tcPr>
          <w:p w14:paraId="37F4DB6F" w14:textId="77777777" w:rsidR="006C722F" w:rsidRPr="0067297E" w:rsidRDefault="006C722F" w:rsidP="00425A04">
            <w:pPr>
              <w:jc w:val="right"/>
              <w:rPr>
                <w:rFonts w:asciiTheme="minorHAnsi" w:hAnsiTheme="minorHAnsi" w:cs="Calibri"/>
                <w:sz w:val="22"/>
                <w:szCs w:val="22"/>
              </w:rPr>
            </w:pPr>
            <w:r w:rsidRPr="0067297E">
              <w:rPr>
                <w:rFonts w:asciiTheme="minorHAnsi" w:hAnsiTheme="minorHAnsi" w:cs="Calibri"/>
                <w:sz w:val="22"/>
                <w:szCs w:val="22"/>
              </w:rPr>
              <w:t>2.1</w:t>
            </w:r>
          </w:p>
        </w:tc>
        <w:tc>
          <w:tcPr>
            <w:tcW w:w="1003" w:type="pct"/>
            <w:shd w:val="clear" w:color="000000" w:fill="FFFFFF"/>
            <w:vAlign w:val="center"/>
          </w:tcPr>
          <w:p w14:paraId="4792F296"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470</w:t>
            </w:r>
          </w:p>
        </w:tc>
        <w:tc>
          <w:tcPr>
            <w:tcW w:w="849" w:type="pct"/>
            <w:shd w:val="clear" w:color="000000" w:fill="FFFFFF"/>
            <w:vAlign w:val="center"/>
          </w:tcPr>
          <w:p w14:paraId="6B714659"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775</w:t>
            </w:r>
          </w:p>
        </w:tc>
        <w:tc>
          <w:tcPr>
            <w:tcW w:w="1066" w:type="pct"/>
            <w:shd w:val="clear" w:color="000000" w:fill="FFFFFF"/>
            <w:vAlign w:val="center"/>
          </w:tcPr>
          <w:p w14:paraId="73A4A6B6"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305</w:t>
            </w:r>
          </w:p>
        </w:tc>
      </w:tr>
      <w:tr w:rsidR="006C722F" w:rsidRPr="0067297E" w14:paraId="75B6BF4F" w14:textId="77777777" w:rsidTr="00496076">
        <w:trPr>
          <w:trHeight w:val="300"/>
        </w:trPr>
        <w:tc>
          <w:tcPr>
            <w:tcW w:w="1310" w:type="pct"/>
            <w:shd w:val="clear" w:color="000000" w:fill="FFFFFF"/>
            <w:noWrap/>
            <w:vAlign w:val="bottom"/>
            <w:hideMark/>
          </w:tcPr>
          <w:p w14:paraId="250D40E7" w14:textId="77777777" w:rsidR="006C722F" w:rsidRPr="0067297E" w:rsidRDefault="006C722F" w:rsidP="006C722F">
            <w:pPr>
              <w:rPr>
                <w:rFonts w:asciiTheme="minorHAnsi" w:hAnsiTheme="minorHAnsi" w:cs="Calibri"/>
                <w:sz w:val="22"/>
                <w:szCs w:val="22"/>
              </w:rPr>
            </w:pPr>
            <w:r w:rsidRPr="0067297E">
              <w:rPr>
                <w:rFonts w:asciiTheme="minorHAnsi" w:hAnsiTheme="minorHAnsi" w:cs="Calibri"/>
                <w:sz w:val="22"/>
                <w:szCs w:val="22"/>
              </w:rPr>
              <w:t>Stair lift</w:t>
            </w:r>
          </w:p>
        </w:tc>
        <w:tc>
          <w:tcPr>
            <w:tcW w:w="772" w:type="pct"/>
            <w:shd w:val="clear" w:color="000000" w:fill="auto"/>
            <w:noWrap/>
            <w:vAlign w:val="bottom"/>
            <w:hideMark/>
          </w:tcPr>
          <w:p w14:paraId="087FB357" w14:textId="77777777" w:rsidR="006C722F" w:rsidRPr="0067297E" w:rsidRDefault="006C722F" w:rsidP="00425A04">
            <w:pPr>
              <w:jc w:val="right"/>
              <w:rPr>
                <w:rFonts w:asciiTheme="minorHAnsi" w:hAnsiTheme="minorHAnsi" w:cs="Calibri"/>
                <w:sz w:val="22"/>
                <w:szCs w:val="22"/>
              </w:rPr>
            </w:pPr>
            <w:r w:rsidRPr="0067297E">
              <w:rPr>
                <w:rFonts w:asciiTheme="minorHAnsi" w:hAnsiTheme="minorHAnsi" w:cs="Calibri"/>
                <w:sz w:val="22"/>
                <w:szCs w:val="22"/>
              </w:rPr>
              <w:t>1.7</w:t>
            </w:r>
          </w:p>
        </w:tc>
        <w:tc>
          <w:tcPr>
            <w:tcW w:w="1003" w:type="pct"/>
            <w:shd w:val="clear" w:color="000000" w:fill="auto"/>
            <w:vAlign w:val="center"/>
          </w:tcPr>
          <w:p w14:paraId="260FC6C8"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381</w:t>
            </w:r>
          </w:p>
        </w:tc>
        <w:tc>
          <w:tcPr>
            <w:tcW w:w="849" w:type="pct"/>
            <w:shd w:val="clear" w:color="000000" w:fill="auto"/>
            <w:vAlign w:val="center"/>
          </w:tcPr>
          <w:p w14:paraId="4649A6A5"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627</w:t>
            </w:r>
          </w:p>
        </w:tc>
        <w:tc>
          <w:tcPr>
            <w:tcW w:w="1066" w:type="pct"/>
            <w:shd w:val="clear" w:color="000000" w:fill="auto"/>
            <w:vAlign w:val="center"/>
          </w:tcPr>
          <w:p w14:paraId="128AE66E"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247</w:t>
            </w:r>
          </w:p>
        </w:tc>
      </w:tr>
      <w:tr w:rsidR="006C722F" w:rsidRPr="0067297E" w14:paraId="4D00DD82" w14:textId="77777777" w:rsidTr="00496076">
        <w:trPr>
          <w:trHeight w:val="300"/>
        </w:trPr>
        <w:tc>
          <w:tcPr>
            <w:tcW w:w="1310" w:type="pct"/>
            <w:shd w:val="clear" w:color="000000" w:fill="FFFFFF"/>
            <w:noWrap/>
            <w:vAlign w:val="bottom"/>
            <w:hideMark/>
          </w:tcPr>
          <w:p w14:paraId="7ED6201F" w14:textId="77777777" w:rsidR="006C722F" w:rsidRPr="0067297E" w:rsidRDefault="006C722F" w:rsidP="006C722F">
            <w:pPr>
              <w:rPr>
                <w:rFonts w:asciiTheme="minorHAnsi" w:hAnsiTheme="minorHAnsi" w:cs="Calibri"/>
                <w:sz w:val="22"/>
                <w:szCs w:val="22"/>
              </w:rPr>
            </w:pPr>
            <w:r w:rsidRPr="0067297E">
              <w:rPr>
                <w:rFonts w:asciiTheme="minorHAnsi" w:hAnsiTheme="minorHAnsi" w:cs="Calibri"/>
                <w:sz w:val="22"/>
                <w:szCs w:val="22"/>
              </w:rPr>
              <w:t>Ramps</w:t>
            </w:r>
          </w:p>
        </w:tc>
        <w:tc>
          <w:tcPr>
            <w:tcW w:w="772" w:type="pct"/>
            <w:shd w:val="clear" w:color="000000" w:fill="FFFFFF"/>
            <w:noWrap/>
            <w:vAlign w:val="bottom"/>
            <w:hideMark/>
          </w:tcPr>
          <w:p w14:paraId="779B5126" w14:textId="77777777" w:rsidR="006C722F" w:rsidRPr="0067297E" w:rsidRDefault="006C722F" w:rsidP="00425A04">
            <w:pPr>
              <w:jc w:val="right"/>
              <w:rPr>
                <w:rFonts w:asciiTheme="minorHAnsi" w:hAnsiTheme="minorHAnsi" w:cs="Calibri"/>
                <w:sz w:val="22"/>
                <w:szCs w:val="22"/>
              </w:rPr>
            </w:pPr>
            <w:r w:rsidRPr="0067297E">
              <w:rPr>
                <w:rFonts w:asciiTheme="minorHAnsi" w:hAnsiTheme="minorHAnsi" w:cs="Calibri"/>
                <w:sz w:val="22"/>
                <w:szCs w:val="22"/>
              </w:rPr>
              <w:t>1.6</w:t>
            </w:r>
          </w:p>
        </w:tc>
        <w:tc>
          <w:tcPr>
            <w:tcW w:w="1003" w:type="pct"/>
            <w:shd w:val="clear" w:color="000000" w:fill="FFFFFF"/>
            <w:vAlign w:val="center"/>
          </w:tcPr>
          <w:p w14:paraId="1C8523CE"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358</w:t>
            </w:r>
          </w:p>
        </w:tc>
        <w:tc>
          <w:tcPr>
            <w:tcW w:w="849" w:type="pct"/>
            <w:shd w:val="clear" w:color="000000" w:fill="FFFFFF"/>
            <w:vAlign w:val="center"/>
          </w:tcPr>
          <w:p w14:paraId="3ABB5932"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591</w:t>
            </w:r>
          </w:p>
        </w:tc>
        <w:tc>
          <w:tcPr>
            <w:tcW w:w="1066" w:type="pct"/>
            <w:shd w:val="clear" w:color="000000" w:fill="FFFFFF"/>
            <w:vAlign w:val="center"/>
          </w:tcPr>
          <w:p w14:paraId="4059B851"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232</w:t>
            </w:r>
          </w:p>
        </w:tc>
      </w:tr>
      <w:tr w:rsidR="006C722F" w:rsidRPr="0067297E" w14:paraId="3D6DACE0" w14:textId="77777777" w:rsidTr="00496076">
        <w:trPr>
          <w:trHeight w:val="300"/>
        </w:trPr>
        <w:tc>
          <w:tcPr>
            <w:tcW w:w="1310" w:type="pct"/>
            <w:shd w:val="clear" w:color="000000" w:fill="auto"/>
            <w:noWrap/>
            <w:vAlign w:val="bottom"/>
            <w:hideMark/>
          </w:tcPr>
          <w:p w14:paraId="353E9526" w14:textId="77777777" w:rsidR="006C722F" w:rsidRPr="0067297E" w:rsidRDefault="006C722F" w:rsidP="006C722F">
            <w:pPr>
              <w:rPr>
                <w:rFonts w:asciiTheme="minorHAnsi" w:hAnsiTheme="minorHAnsi" w:cs="Calibri"/>
                <w:sz w:val="22"/>
                <w:szCs w:val="22"/>
              </w:rPr>
            </w:pPr>
            <w:r w:rsidRPr="0067297E">
              <w:rPr>
                <w:rFonts w:asciiTheme="minorHAnsi" w:hAnsiTheme="minorHAnsi" w:cs="Calibri"/>
                <w:sz w:val="22"/>
                <w:szCs w:val="22"/>
              </w:rPr>
              <w:t>Hoists</w:t>
            </w:r>
          </w:p>
        </w:tc>
        <w:tc>
          <w:tcPr>
            <w:tcW w:w="772" w:type="pct"/>
            <w:shd w:val="clear" w:color="000000" w:fill="FFFFFF"/>
            <w:noWrap/>
            <w:vAlign w:val="bottom"/>
            <w:hideMark/>
          </w:tcPr>
          <w:p w14:paraId="3CECB33D" w14:textId="77777777" w:rsidR="006C722F" w:rsidRPr="0067297E" w:rsidRDefault="006C722F" w:rsidP="00425A04">
            <w:pPr>
              <w:jc w:val="right"/>
              <w:rPr>
                <w:rFonts w:asciiTheme="minorHAnsi" w:hAnsiTheme="minorHAnsi" w:cs="Calibri"/>
                <w:sz w:val="22"/>
                <w:szCs w:val="22"/>
              </w:rPr>
            </w:pPr>
            <w:r w:rsidRPr="0067297E">
              <w:rPr>
                <w:rFonts w:asciiTheme="minorHAnsi" w:hAnsiTheme="minorHAnsi" w:cs="Calibri"/>
                <w:sz w:val="22"/>
                <w:szCs w:val="22"/>
              </w:rPr>
              <w:t>0.5</w:t>
            </w:r>
          </w:p>
        </w:tc>
        <w:tc>
          <w:tcPr>
            <w:tcW w:w="1003" w:type="pct"/>
            <w:shd w:val="clear" w:color="000000" w:fill="FFFFFF"/>
            <w:vAlign w:val="center"/>
          </w:tcPr>
          <w:p w14:paraId="5FA4FC3B"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112</w:t>
            </w:r>
          </w:p>
        </w:tc>
        <w:tc>
          <w:tcPr>
            <w:tcW w:w="849" w:type="pct"/>
            <w:shd w:val="clear" w:color="000000" w:fill="FFFFFF"/>
            <w:vAlign w:val="center"/>
          </w:tcPr>
          <w:p w14:paraId="576D51CD"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185</w:t>
            </w:r>
          </w:p>
        </w:tc>
        <w:tc>
          <w:tcPr>
            <w:tcW w:w="1066" w:type="pct"/>
            <w:shd w:val="clear" w:color="000000" w:fill="FFFFFF"/>
            <w:vAlign w:val="center"/>
          </w:tcPr>
          <w:p w14:paraId="17E814AB" w14:textId="77777777" w:rsidR="006C722F" w:rsidRPr="0067297E" w:rsidRDefault="006C722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73</w:t>
            </w:r>
          </w:p>
        </w:tc>
      </w:tr>
      <w:tr w:rsidR="006C722F" w:rsidRPr="0067297E" w14:paraId="703831EC" w14:textId="77777777" w:rsidTr="00496076">
        <w:trPr>
          <w:trHeight w:val="300"/>
        </w:trPr>
        <w:tc>
          <w:tcPr>
            <w:tcW w:w="1310" w:type="pct"/>
            <w:shd w:val="clear" w:color="000000" w:fill="FFFFFF"/>
            <w:noWrap/>
            <w:vAlign w:val="bottom"/>
            <w:hideMark/>
          </w:tcPr>
          <w:p w14:paraId="338DF587" w14:textId="77777777" w:rsidR="006C722F" w:rsidRPr="0067297E" w:rsidRDefault="006C722F" w:rsidP="006C722F">
            <w:pPr>
              <w:rPr>
                <w:rFonts w:asciiTheme="minorHAnsi" w:hAnsiTheme="minorHAnsi" w:cs="Calibri"/>
                <w:sz w:val="22"/>
                <w:szCs w:val="22"/>
              </w:rPr>
            </w:pPr>
            <w:r w:rsidRPr="0067297E">
              <w:rPr>
                <w:rFonts w:asciiTheme="minorHAnsi" w:hAnsiTheme="minorHAnsi" w:cs="Calibri"/>
                <w:sz w:val="22"/>
                <w:szCs w:val="22"/>
              </w:rPr>
              <w:t>Base</w:t>
            </w:r>
          </w:p>
        </w:tc>
        <w:tc>
          <w:tcPr>
            <w:tcW w:w="772" w:type="pct"/>
            <w:shd w:val="clear" w:color="auto" w:fill="auto"/>
            <w:noWrap/>
            <w:vAlign w:val="bottom"/>
            <w:hideMark/>
          </w:tcPr>
          <w:p w14:paraId="681101F3" w14:textId="77777777" w:rsidR="006C722F" w:rsidRPr="0067297E" w:rsidRDefault="006C722F" w:rsidP="00425A04">
            <w:pPr>
              <w:jc w:val="right"/>
              <w:rPr>
                <w:rFonts w:asciiTheme="minorHAnsi" w:hAnsiTheme="minorHAnsi" w:cs="Calibri"/>
                <w:sz w:val="22"/>
                <w:szCs w:val="22"/>
              </w:rPr>
            </w:pPr>
          </w:p>
        </w:tc>
        <w:tc>
          <w:tcPr>
            <w:tcW w:w="1003" w:type="pct"/>
            <w:vAlign w:val="center"/>
          </w:tcPr>
          <w:p w14:paraId="6F84B32C" w14:textId="77777777" w:rsidR="006C722F" w:rsidRPr="0067297E" w:rsidRDefault="006C722F" w:rsidP="00425A04">
            <w:pPr>
              <w:jc w:val="right"/>
              <w:rPr>
                <w:rFonts w:asciiTheme="minorHAnsi" w:hAnsiTheme="minorHAnsi" w:cs="Calibri"/>
                <w:sz w:val="22"/>
                <w:szCs w:val="22"/>
              </w:rPr>
            </w:pPr>
            <w:r w:rsidRPr="0067297E">
              <w:rPr>
                <w:rFonts w:asciiTheme="minorHAnsi" w:hAnsiTheme="minorHAnsi" w:cs="Calibri"/>
                <w:sz w:val="22"/>
                <w:szCs w:val="22"/>
              </w:rPr>
              <w:t>22,396</w:t>
            </w:r>
          </w:p>
        </w:tc>
        <w:tc>
          <w:tcPr>
            <w:tcW w:w="849" w:type="pct"/>
            <w:vAlign w:val="center"/>
          </w:tcPr>
          <w:p w14:paraId="50DA8E67" w14:textId="77777777" w:rsidR="006C722F" w:rsidRPr="0067297E" w:rsidRDefault="006C722F" w:rsidP="00425A04">
            <w:pPr>
              <w:jc w:val="right"/>
              <w:rPr>
                <w:rFonts w:asciiTheme="minorHAnsi" w:hAnsiTheme="minorHAnsi" w:cs="Calibri"/>
                <w:sz w:val="22"/>
                <w:szCs w:val="22"/>
              </w:rPr>
            </w:pPr>
            <w:r w:rsidRPr="0067297E">
              <w:rPr>
                <w:rFonts w:asciiTheme="minorHAnsi" w:hAnsiTheme="minorHAnsi" w:cs="Calibri"/>
                <w:sz w:val="22"/>
                <w:szCs w:val="22"/>
              </w:rPr>
              <w:t>36,909</w:t>
            </w:r>
          </w:p>
        </w:tc>
        <w:tc>
          <w:tcPr>
            <w:tcW w:w="1066" w:type="pct"/>
            <w:vAlign w:val="center"/>
          </w:tcPr>
          <w:p w14:paraId="6B95E327" w14:textId="77777777" w:rsidR="006C722F" w:rsidRPr="0067297E" w:rsidRDefault="006C722F" w:rsidP="00425A04">
            <w:pPr>
              <w:jc w:val="right"/>
              <w:rPr>
                <w:rFonts w:asciiTheme="minorHAnsi" w:hAnsiTheme="minorHAnsi" w:cs="Calibri"/>
                <w:sz w:val="22"/>
                <w:szCs w:val="22"/>
              </w:rPr>
            </w:pPr>
            <w:r w:rsidRPr="0067297E">
              <w:rPr>
                <w:rFonts w:asciiTheme="minorHAnsi" w:hAnsiTheme="minorHAnsi" w:cs="Calibri"/>
                <w:sz w:val="22"/>
                <w:szCs w:val="22"/>
              </w:rPr>
              <w:t> </w:t>
            </w:r>
          </w:p>
        </w:tc>
      </w:tr>
    </w:tbl>
    <w:p w14:paraId="36E01429" w14:textId="77777777" w:rsidR="006C722F" w:rsidRPr="0067297E" w:rsidRDefault="006C722F" w:rsidP="006C722F">
      <w:pPr>
        <w:pStyle w:val="Reporttext"/>
        <w:numPr>
          <w:ilvl w:val="0"/>
          <w:numId w:val="0"/>
        </w:numPr>
        <w:ind w:left="709" w:hanging="709"/>
        <w:rPr>
          <w:rFonts w:asciiTheme="minorHAnsi" w:hAnsiTheme="minorHAnsi" w:cs="Calibri"/>
          <w:sz w:val="20"/>
        </w:rPr>
      </w:pPr>
      <w:r w:rsidRPr="0067297E">
        <w:rPr>
          <w:rFonts w:asciiTheme="minorHAnsi" w:hAnsiTheme="minorHAnsi" w:cs="Calibri"/>
          <w:sz w:val="20"/>
        </w:rPr>
        <w:t>Source: English Housing Survey 2015-16</w:t>
      </w:r>
    </w:p>
    <w:p w14:paraId="4D723240" w14:textId="77777777" w:rsidR="006C722F" w:rsidRPr="0067297E" w:rsidRDefault="006C722F" w:rsidP="006C722F">
      <w:pPr>
        <w:pStyle w:val="Reporttext"/>
        <w:numPr>
          <w:ilvl w:val="0"/>
          <w:numId w:val="0"/>
        </w:numPr>
        <w:ind w:left="709"/>
        <w:rPr>
          <w:rFonts w:asciiTheme="minorHAnsi" w:hAnsiTheme="minorHAnsi" w:cs="Calibri"/>
        </w:rPr>
      </w:pPr>
    </w:p>
    <w:p w14:paraId="30FE946C" w14:textId="77777777" w:rsidR="006C722F" w:rsidRPr="0067297E" w:rsidRDefault="006C722F" w:rsidP="006C722F">
      <w:pPr>
        <w:pStyle w:val="Heading3"/>
        <w:rPr>
          <w:rFonts w:asciiTheme="minorHAnsi" w:hAnsiTheme="minorHAnsi"/>
        </w:rPr>
      </w:pPr>
      <w:r w:rsidRPr="0067297E">
        <w:rPr>
          <w:rFonts w:asciiTheme="minorHAnsi" w:hAnsiTheme="minorHAnsi"/>
        </w:rPr>
        <w:t>Wheelchair accessible dwellings</w:t>
      </w:r>
    </w:p>
    <w:p w14:paraId="3190BE8A" w14:textId="3C821FD9" w:rsidR="006C722F" w:rsidRPr="0067297E" w:rsidRDefault="006C722F" w:rsidP="006C722F">
      <w:pPr>
        <w:pStyle w:val="Reporttext"/>
        <w:rPr>
          <w:rFonts w:asciiTheme="minorHAnsi" w:hAnsiTheme="minorHAnsi"/>
        </w:rPr>
      </w:pPr>
      <w:r w:rsidRPr="0067297E">
        <w:rPr>
          <w:rFonts w:asciiTheme="minorHAnsi" w:hAnsiTheme="minorHAnsi"/>
        </w:rPr>
        <w:t xml:space="preserve">According to the English Housing Survey 2015/16, nationally 3.4% of households include </w:t>
      </w:r>
      <w:r w:rsidR="00BC6D95" w:rsidRPr="0067297E">
        <w:rPr>
          <w:rFonts w:asciiTheme="minorHAnsi" w:hAnsiTheme="minorHAnsi"/>
          <w:lang w:val="en-GB"/>
        </w:rPr>
        <w:t xml:space="preserve">a </w:t>
      </w:r>
      <w:r w:rsidRPr="0067297E">
        <w:rPr>
          <w:rFonts w:asciiTheme="minorHAnsi" w:hAnsiTheme="minorHAnsi"/>
        </w:rPr>
        <w:t xml:space="preserve">wheelchair user: 1% use the wheelchair inside the home and 2.4% use a wheelchair only outside. </w:t>
      </w:r>
      <w:r w:rsidR="001475C0" w:rsidRPr="0067297E">
        <w:rPr>
          <w:rFonts w:asciiTheme="minorHAnsi" w:hAnsiTheme="minorHAnsi"/>
          <w:lang w:val="en-US"/>
        </w:rPr>
        <w:t>The Draft London Plan policy D5 specifies the need for 10% new build dwellings to be wheelchair user dwellings M4(3) and all other dwellings to be accessible and adaptable. The Council’s Core Strategy Policy 1 requires 10% of new</w:t>
      </w:r>
      <w:r w:rsidR="00BC6D95" w:rsidRPr="0067297E">
        <w:rPr>
          <w:rFonts w:asciiTheme="minorHAnsi" w:hAnsiTheme="minorHAnsi"/>
          <w:lang w:val="en-US"/>
        </w:rPr>
        <w:t xml:space="preserve"> </w:t>
      </w:r>
      <w:r w:rsidR="001475C0" w:rsidRPr="0067297E">
        <w:rPr>
          <w:rFonts w:asciiTheme="minorHAnsi" w:hAnsiTheme="minorHAnsi"/>
          <w:lang w:val="en-US"/>
        </w:rPr>
        <w:t xml:space="preserve">build to be wheelchair/accessible housing. </w:t>
      </w:r>
      <w:r w:rsidRPr="0067297E">
        <w:rPr>
          <w:rFonts w:asciiTheme="minorHAnsi" w:hAnsiTheme="minorHAnsi"/>
        </w:rPr>
        <w:t xml:space="preserve"> </w:t>
      </w:r>
    </w:p>
    <w:p w14:paraId="6C07AB84" w14:textId="77777777" w:rsidR="00116319" w:rsidRPr="0067297E" w:rsidRDefault="00116319" w:rsidP="00543A76">
      <w:pPr>
        <w:pStyle w:val="Reporttext"/>
        <w:numPr>
          <w:ilvl w:val="0"/>
          <w:numId w:val="0"/>
        </w:numPr>
        <w:rPr>
          <w:rFonts w:asciiTheme="minorHAnsi" w:hAnsiTheme="minorHAnsi" w:cs="Calibri"/>
        </w:rPr>
      </w:pPr>
    </w:p>
    <w:p w14:paraId="34EE2B04" w14:textId="77777777" w:rsidR="00D87564" w:rsidRPr="0067297E" w:rsidRDefault="00D87564" w:rsidP="00944242">
      <w:pPr>
        <w:pStyle w:val="Heading2"/>
        <w:rPr>
          <w:rFonts w:asciiTheme="minorHAnsi" w:hAnsiTheme="minorHAnsi"/>
        </w:rPr>
      </w:pPr>
      <w:bookmarkStart w:id="353" w:name="_Toc397250570"/>
      <w:bookmarkStart w:id="354" w:name="_Toc1385770"/>
      <w:bookmarkStart w:id="355" w:name="_Toc23151086"/>
      <w:r w:rsidRPr="0067297E">
        <w:rPr>
          <w:rFonts w:asciiTheme="minorHAnsi" w:hAnsiTheme="minorHAnsi"/>
        </w:rPr>
        <w:t>People with disabilities</w:t>
      </w:r>
      <w:bookmarkEnd w:id="353"/>
      <w:bookmarkEnd w:id="354"/>
      <w:bookmarkEnd w:id="355"/>
    </w:p>
    <w:p w14:paraId="2FF4F825" w14:textId="065767D8" w:rsidR="00D87564" w:rsidRPr="0067297E" w:rsidRDefault="00D87564" w:rsidP="00543A76">
      <w:pPr>
        <w:pStyle w:val="Reporttext"/>
        <w:tabs>
          <w:tab w:val="clear" w:pos="709"/>
        </w:tabs>
        <w:rPr>
          <w:rFonts w:asciiTheme="minorHAnsi" w:hAnsiTheme="minorHAnsi" w:cs="Calibri"/>
        </w:rPr>
      </w:pPr>
      <w:r w:rsidRPr="0067297E">
        <w:rPr>
          <w:rFonts w:asciiTheme="minorHAnsi" w:hAnsiTheme="minorHAnsi" w:cs="Calibri"/>
        </w:rPr>
        <w:t xml:space="preserve">A range of data are available which can be used to estimate the number of people in Lewisham </w:t>
      </w:r>
      <w:r w:rsidR="00D27AF3" w:rsidRPr="0067297E">
        <w:rPr>
          <w:rFonts w:asciiTheme="minorHAnsi" w:hAnsiTheme="minorHAnsi" w:cs="Calibri"/>
          <w:lang w:val="en-GB"/>
        </w:rPr>
        <w:t xml:space="preserve">with disabilities </w:t>
      </w:r>
      <w:r w:rsidRPr="0067297E">
        <w:rPr>
          <w:rFonts w:asciiTheme="minorHAnsi" w:hAnsiTheme="minorHAnsi" w:cs="Calibri"/>
        </w:rPr>
        <w:t xml:space="preserve">including the </w:t>
      </w:r>
      <w:r w:rsidR="00BC6D95" w:rsidRPr="0067297E">
        <w:rPr>
          <w:rFonts w:asciiTheme="minorHAnsi" w:hAnsiTheme="minorHAnsi" w:cs="Calibri"/>
          <w:lang w:val="en-GB"/>
        </w:rPr>
        <w:t>C</w:t>
      </w:r>
      <w:r w:rsidRPr="0067297E">
        <w:rPr>
          <w:rFonts w:asciiTheme="minorHAnsi" w:hAnsiTheme="minorHAnsi" w:cs="Calibri"/>
        </w:rPr>
        <w:t xml:space="preserve">ensus, national disability prevalence rates applied to the local population and the number receiving Disability Living Allowance. </w:t>
      </w:r>
    </w:p>
    <w:p w14:paraId="5508D84C" w14:textId="73AAE72F" w:rsidR="00D87564" w:rsidRPr="0067297E" w:rsidRDefault="00D87564" w:rsidP="00543A76">
      <w:pPr>
        <w:pStyle w:val="Reporttext"/>
        <w:tabs>
          <w:tab w:val="clear" w:pos="709"/>
        </w:tabs>
        <w:rPr>
          <w:rFonts w:asciiTheme="minorHAnsi" w:hAnsiTheme="minorHAnsi"/>
          <w:lang w:val="en-US"/>
        </w:rPr>
      </w:pPr>
      <w:r w:rsidRPr="0067297E">
        <w:rPr>
          <w:rFonts w:asciiTheme="minorHAnsi" w:hAnsiTheme="minorHAnsi"/>
          <w:lang w:val="en-US"/>
        </w:rPr>
        <w:t xml:space="preserve">The </w:t>
      </w:r>
      <w:r w:rsidR="00BC6D95" w:rsidRPr="0067297E">
        <w:rPr>
          <w:rFonts w:asciiTheme="minorHAnsi" w:hAnsiTheme="minorHAnsi"/>
          <w:lang w:val="en-US"/>
        </w:rPr>
        <w:t>C</w:t>
      </w:r>
      <w:r w:rsidRPr="0067297E">
        <w:rPr>
          <w:rFonts w:asciiTheme="minorHAnsi" w:hAnsiTheme="minorHAnsi"/>
          <w:lang w:val="en-US"/>
        </w:rPr>
        <w:t>ensus records a baseline of broad measures of disability a</w:t>
      </w:r>
      <w:r w:rsidR="00F91A82" w:rsidRPr="0067297E">
        <w:rPr>
          <w:rFonts w:asciiTheme="minorHAnsi" w:hAnsiTheme="minorHAnsi"/>
          <w:lang w:val="en-US"/>
        </w:rPr>
        <w:t xml:space="preserve">cross the population. Table </w:t>
      </w:r>
      <w:r w:rsidR="00203E57" w:rsidRPr="0067297E">
        <w:rPr>
          <w:rFonts w:asciiTheme="minorHAnsi" w:hAnsiTheme="minorHAnsi"/>
          <w:lang w:val="en-US"/>
        </w:rPr>
        <w:t>6.</w:t>
      </w:r>
      <w:r w:rsidR="00944242" w:rsidRPr="0067297E">
        <w:rPr>
          <w:rFonts w:asciiTheme="minorHAnsi" w:hAnsiTheme="minorHAnsi"/>
          <w:lang w:val="en-US"/>
        </w:rPr>
        <w:t>10</w:t>
      </w:r>
      <w:r w:rsidRPr="0067297E">
        <w:rPr>
          <w:rFonts w:asciiTheme="minorHAnsi" w:hAnsiTheme="minorHAnsi"/>
          <w:lang w:val="en-US"/>
        </w:rPr>
        <w:t xml:space="preserve"> reports that across </w:t>
      </w:r>
      <w:r w:rsidR="000D48BF" w:rsidRPr="0067297E">
        <w:rPr>
          <w:rFonts w:asciiTheme="minorHAnsi" w:hAnsiTheme="minorHAnsi"/>
          <w:lang w:val="en-US"/>
        </w:rPr>
        <w:t xml:space="preserve">the </w:t>
      </w:r>
      <w:r w:rsidR="00F91A82" w:rsidRPr="0067297E">
        <w:rPr>
          <w:rFonts w:asciiTheme="minorHAnsi" w:hAnsiTheme="minorHAnsi"/>
          <w:lang w:val="en-US"/>
        </w:rPr>
        <w:t>borough</w:t>
      </w:r>
      <w:r w:rsidR="000D48BF" w:rsidRPr="0067297E">
        <w:rPr>
          <w:rFonts w:asciiTheme="minorHAnsi" w:hAnsiTheme="minorHAnsi"/>
          <w:lang w:val="en-US"/>
        </w:rPr>
        <w:t>, 5.0</w:t>
      </w:r>
      <w:r w:rsidRPr="0067297E">
        <w:rPr>
          <w:rFonts w:asciiTheme="minorHAnsi" w:hAnsiTheme="minorHAnsi"/>
          <w:lang w:val="en-US"/>
        </w:rPr>
        <w:t>% of residents stated they were in bad or very bad health (and particularly associated with ol</w:t>
      </w:r>
      <w:r w:rsidR="000D48BF" w:rsidRPr="0067297E">
        <w:rPr>
          <w:rFonts w:asciiTheme="minorHAnsi" w:hAnsiTheme="minorHAnsi"/>
          <w:lang w:val="en-US"/>
        </w:rPr>
        <w:t>der age groups) and a further 11.6</w:t>
      </w:r>
      <w:r w:rsidRPr="0067297E">
        <w:rPr>
          <w:rFonts w:asciiTheme="minorHAnsi" w:hAnsiTheme="minorHAnsi"/>
          <w:lang w:val="en-US"/>
        </w:rPr>
        <w:t>% were in ‘</w:t>
      </w:r>
      <w:r w:rsidR="009B202F" w:rsidRPr="0067297E">
        <w:rPr>
          <w:rFonts w:asciiTheme="minorHAnsi" w:hAnsiTheme="minorHAnsi"/>
          <w:lang w:val="en-US"/>
        </w:rPr>
        <w:t>fair’ health. The majority (83.4</w:t>
      </w:r>
      <w:r w:rsidRPr="0067297E">
        <w:rPr>
          <w:rFonts w:asciiTheme="minorHAnsi" w:hAnsiTheme="minorHAnsi"/>
          <w:lang w:val="en-US"/>
        </w:rPr>
        <w:t xml:space="preserve">%) were in ‘very good or good health’. Overall, the 2011 </w:t>
      </w:r>
      <w:r w:rsidR="00BC6D95" w:rsidRPr="0067297E">
        <w:rPr>
          <w:rFonts w:asciiTheme="minorHAnsi" w:hAnsiTheme="minorHAnsi"/>
          <w:lang w:val="en-US"/>
        </w:rPr>
        <w:t>C</w:t>
      </w:r>
      <w:r w:rsidRPr="0067297E">
        <w:rPr>
          <w:rFonts w:asciiTheme="minorHAnsi" w:hAnsiTheme="minorHAnsi"/>
          <w:lang w:val="en-US"/>
        </w:rPr>
        <w:t xml:space="preserve">ensus estimated that around </w:t>
      </w:r>
      <w:r w:rsidR="009B202F" w:rsidRPr="0067297E">
        <w:rPr>
          <w:rFonts w:asciiTheme="minorHAnsi" w:hAnsiTheme="minorHAnsi"/>
          <w:lang w:val="en-US"/>
        </w:rPr>
        <w:t>45,400</w:t>
      </w:r>
      <w:r w:rsidRPr="0067297E">
        <w:rPr>
          <w:rFonts w:asciiTheme="minorHAnsi" w:hAnsiTheme="minorHAnsi"/>
          <w:lang w:val="en-US"/>
        </w:rPr>
        <w:t xml:space="preserve"> residents were in fair or bad/very bad health.</w:t>
      </w:r>
      <w:r w:rsidR="00FC75A4" w:rsidRPr="0067297E">
        <w:rPr>
          <w:rFonts w:asciiTheme="minorHAnsi" w:hAnsiTheme="minorHAnsi"/>
          <w:lang w:val="en-US"/>
        </w:rPr>
        <w:t xml:space="preserve"> (16.6% of residents).</w:t>
      </w:r>
      <w:r w:rsidRPr="0067297E">
        <w:rPr>
          <w:rFonts w:asciiTheme="minorHAnsi" w:hAnsiTheme="minorHAnsi"/>
          <w:lang w:val="en-US"/>
        </w:rPr>
        <w:t xml:space="preserve"> </w:t>
      </w:r>
    </w:p>
    <w:p w14:paraId="4F5ECF26" w14:textId="77777777" w:rsidR="00D87564" w:rsidRPr="0067297E" w:rsidRDefault="00D87564" w:rsidP="00543A76">
      <w:pPr>
        <w:pStyle w:val="Reporttext"/>
        <w:numPr>
          <w:ilvl w:val="0"/>
          <w:numId w:val="0"/>
        </w:numPr>
        <w:rPr>
          <w:rFonts w:asciiTheme="minorHAnsi" w:hAnsiTheme="minorHAnsi"/>
          <w:highlight w:val="yellow"/>
          <w:lang w:val="en-US"/>
        </w:rPr>
      </w:pPr>
    </w:p>
    <w:tbl>
      <w:tblPr>
        <w:tblW w:w="8347"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819"/>
        <w:gridCol w:w="1843"/>
        <w:gridCol w:w="1843"/>
        <w:gridCol w:w="1842"/>
      </w:tblGrid>
      <w:tr w:rsidR="00D87564" w:rsidRPr="0067297E" w14:paraId="734BCBA9" w14:textId="77777777" w:rsidTr="00426BD8">
        <w:trPr>
          <w:trHeight w:val="300"/>
          <w:tblHeader/>
        </w:trPr>
        <w:tc>
          <w:tcPr>
            <w:tcW w:w="8347" w:type="dxa"/>
            <w:gridSpan w:val="4"/>
            <w:shd w:val="clear" w:color="auto" w:fill="009999"/>
            <w:noWrap/>
            <w:vAlign w:val="bottom"/>
          </w:tcPr>
          <w:p w14:paraId="033DC218" w14:textId="2E11320B" w:rsidR="00D87564" w:rsidRPr="0067297E" w:rsidRDefault="00F91A82" w:rsidP="003F4875">
            <w:pPr>
              <w:pStyle w:val="tableheading"/>
              <w:rPr>
                <w:rFonts w:asciiTheme="minorHAnsi" w:hAnsiTheme="minorHAnsi"/>
              </w:rPr>
            </w:pPr>
            <w:bookmarkStart w:id="356" w:name="_Toc397250688"/>
            <w:bookmarkStart w:id="357" w:name="_Toc23151186"/>
            <w:r w:rsidRPr="0067297E">
              <w:rPr>
                <w:rFonts w:asciiTheme="minorHAnsi" w:hAnsiTheme="minorHAnsi"/>
              </w:rPr>
              <w:t xml:space="preserve">Table </w:t>
            </w:r>
            <w:r w:rsidR="00203E57" w:rsidRPr="0067297E">
              <w:rPr>
                <w:rFonts w:asciiTheme="minorHAnsi" w:hAnsiTheme="minorHAnsi"/>
              </w:rPr>
              <w:t>6.</w:t>
            </w:r>
            <w:r w:rsidR="00944242" w:rsidRPr="0067297E">
              <w:rPr>
                <w:rFonts w:asciiTheme="minorHAnsi" w:hAnsiTheme="minorHAnsi"/>
              </w:rPr>
              <w:t>10</w:t>
            </w:r>
            <w:r w:rsidR="00944242" w:rsidRPr="0067297E">
              <w:rPr>
                <w:rFonts w:asciiTheme="minorHAnsi" w:hAnsiTheme="minorHAnsi"/>
              </w:rPr>
              <w:tab/>
            </w:r>
            <w:r w:rsidR="00D87564" w:rsidRPr="0067297E">
              <w:rPr>
                <w:rFonts w:asciiTheme="minorHAnsi" w:hAnsiTheme="minorHAnsi"/>
              </w:rPr>
              <w:t>Long-term health problem or disability</w:t>
            </w:r>
            <w:bookmarkEnd w:id="356"/>
            <w:bookmarkEnd w:id="357"/>
          </w:p>
        </w:tc>
      </w:tr>
      <w:tr w:rsidR="00944242" w:rsidRPr="0067297E" w14:paraId="6F7DA1E3" w14:textId="77777777" w:rsidTr="00944242">
        <w:trPr>
          <w:trHeight w:val="300"/>
        </w:trPr>
        <w:tc>
          <w:tcPr>
            <w:tcW w:w="2819" w:type="dxa"/>
            <w:vMerge w:val="restart"/>
            <w:shd w:val="clear" w:color="auto" w:fill="009999"/>
            <w:noWrap/>
            <w:vAlign w:val="bottom"/>
            <w:hideMark/>
          </w:tcPr>
          <w:p w14:paraId="3DD11466" w14:textId="77777777" w:rsidR="00944242" w:rsidRPr="0067297E" w:rsidRDefault="00944242" w:rsidP="00944242">
            <w:pP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Age Group</w:t>
            </w:r>
          </w:p>
        </w:tc>
        <w:tc>
          <w:tcPr>
            <w:tcW w:w="5528" w:type="dxa"/>
            <w:gridSpan w:val="3"/>
            <w:shd w:val="clear" w:color="auto" w:fill="009999"/>
            <w:noWrap/>
            <w:vAlign w:val="bottom"/>
            <w:hideMark/>
          </w:tcPr>
          <w:p w14:paraId="70EA81AC" w14:textId="50B8E7BE" w:rsidR="00944242" w:rsidRPr="0067297E" w:rsidRDefault="00944242" w:rsidP="00944242">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Measure of health (%)</w:t>
            </w:r>
          </w:p>
        </w:tc>
      </w:tr>
      <w:tr w:rsidR="00944242" w:rsidRPr="0067297E" w14:paraId="0AD8A0D6" w14:textId="77777777" w:rsidTr="00944242">
        <w:trPr>
          <w:trHeight w:val="720"/>
        </w:trPr>
        <w:tc>
          <w:tcPr>
            <w:tcW w:w="2819" w:type="dxa"/>
            <w:vMerge/>
            <w:shd w:val="clear" w:color="auto" w:fill="009999"/>
            <w:noWrap/>
            <w:vAlign w:val="bottom"/>
            <w:hideMark/>
          </w:tcPr>
          <w:p w14:paraId="41B86BCA" w14:textId="1A6140B8" w:rsidR="00944242" w:rsidRPr="0067297E" w:rsidRDefault="00944242" w:rsidP="00944242">
            <w:pPr>
              <w:jc w:val="center"/>
              <w:rPr>
                <w:rFonts w:asciiTheme="minorHAnsi" w:hAnsiTheme="minorHAnsi" w:cs="Calibri"/>
                <w:color w:val="FFFFFF" w:themeColor="background1"/>
                <w:sz w:val="22"/>
                <w:szCs w:val="22"/>
              </w:rPr>
            </w:pPr>
          </w:p>
        </w:tc>
        <w:tc>
          <w:tcPr>
            <w:tcW w:w="1843" w:type="dxa"/>
            <w:shd w:val="clear" w:color="auto" w:fill="009999"/>
            <w:vAlign w:val="bottom"/>
            <w:hideMark/>
          </w:tcPr>
          <w:p w14:paraId="6350BE61" w14:textId="77777777" w:rsidR="00944242" w:rsidRPr="0067297E" w:rsidRDefault="00944242" w:rsidP="00944242">
            <w:pPr>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Very good or good health</w:t>
            </w:r>
          </w:p>
          <w:p w14:paraId="5B0BF4A1" w14:textId="756FF682" w:rsidR="00944242" w:rsidRPr="0067297E" w:rsidRDefault="00944242" w:rsidP="00944242">
            <w:pPr>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w:t>
            </w:r>
          </w:p>
        </w:tc>
        <w:tc>
          <w:tcPr>
            <w:tcW w:w="1843" w:type="dxa"/>
            <w:shd w:val="clear" w:color="auto" w:fill="009999"/>
            <w:vAlign w:val="bottom"/>
            <w:hideMark/>
          </w:tcPr>
          <w:p w14:paraId="52A4E13A" w14:textId="77777777" w:rsidR="00944242" w:rsidRPr="0067297E" w:rsidRDefault="00944242" w:rsidP="00944242">
            <w:pPr>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Fair health</w:t>
            </w:r>
          </w:p>
          <w:p w14:paraId="74B4B2EE" w14:textId="5303C4E2" w:rsidR="00944242" w:rsidRPr="0067297E" w:rsidRDefault="00944242" w:rsidP="00944242">
            <w:pPr>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w:t>
            </w:r>
          </w:p>
        </w:tc>
        <w:tc>
          <w:tcPr>
            <w:tcW w:w="1842" w:type="dxa"/>
            <w:shd w:val="clear" w:color="auto" w:fill="009999"/>
            <w:vAlign w:val="bottom"/>
            <w:hideMark/>
          </w:tcPr>
          <w:p w14:paraId="53414A9F" w14:textId="77777777" w:rsidR="00944242" w:rsidRPr="0067297E" w:rsidRDefault="00944242" w:rsidP="00944242">
            <w:pPr>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Bad or very bad health (%)</w:t>
            </w:r>
          </w:p>
        </w:tc>
      </w:tr>
      <w:tr w:rsidR="000D48BF" w:rsidRPr="0067297E" w14:paraId="31DFDACD" w14:textId="77777777" w:rsidTr="00944242">
        <w:trPr>
          <w:trHeight w:val="300"/>
        </w:trPr>
        <w:tc>
          <w:tcPr>
            <w:tcW w:w="2819" w:type="dxa"/>
            <w:shd w:val="clear" w:color="auto" w:fill="auto"/>
            <w:noWrap/>
            <w:vAlign w:val="center"/>
            <w:hideMark/>
          </w:tcPr>
          <w:p w14:paraId="339EFAE0" w14:textId="77777777" w:rsidR="000D48BF" w:rsidRPr="0067297E" w:rsidRDefault="000D48BF" w:rsidP="00944242">
            <w:pPr>
              <w:rPr>
                <w:rFonts w:asciiTheme="minorHAnsi" w:hAnsiTheme="minorHAnsi" w:cs="Calibri"/>
                <w:sz w:val="22"/>
                <w:szCs w:val="22"/>
              </w:rPr>
            </w:pPr>
            <w:r w:rsidRPr="0067297E">
              <w:rPr>
                <w:rFonts w:asciiTheme="minorHAnsi" w:hAnsiTheme="minorHAnsi" w:cs="Calibri"/>
                <w:sz w:val="22"/>
                <w:szCs w:val="22"/>
              </w:rPr>
              <w:t>Age 0 to 15</w:t>
            </w:r>
          </w:p>
        </w:tc>
        <w:tc>
          <w:tcPr>
            <w:tcW w:w="1843" w:type="dxa"/>
            <w:shd w:val="clear" w:color="auto" w:fill="auto"/>
            <w:noWrap/>
            <w:vAlign w:val="center"/>
            <w:hideMark/>
          </w:tcPr>
          <w:p w14:paraId="750B21A3" w14:textId="77777777" w:rsidR="000D48BF" w:rsidRPr="0067297E" w:rsidRDefault="000D48B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96.3</w:t>
            </w:r>
          </w:p>
        </w:tc>
        <w:tc>
          <w:tcPr>
            <w:tcW w:w="1843" w:type="dxa"/>
            <w:shd w:val="clear" w:color="auto" w:fill="auto"/>
            <w:noWrap/>
            <w:vAlign w:val="center"/>
            <w:hideMark/>
          </w:tcPr>
          <w:p w14:paraId="4716683E" w14:textId="77777777" w:rsidR="000D48BF" w:rsidRPr="0067297E" w:rsidRDefault="000D48B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2.9</w:t>
            </w:r>
          </w:p>
        </w:tc>
        <w:tc>
          <w:tcPr>
            <w:tcW w:w="1842" w:type="dxa"/>
            <w:shd w:val="clear" w:color="auto" w:fill="auto"/>
            <w:noWrap/>
            <w:vAlign w:val="center"/>
            <w:hideMark/>
          </w:tcPr>
          <w:p w14:paraId="41AA0072" w14:textId="77777777" w:rsidR="000D48BF" w:rsidRPr="0067297E" w:rsidRDefault="000D48BF"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0.8</w:t>
            </w:r>
          </w:p>
        </w:tc>
      </w:tr>
      <w:tr w:rsidR="000D48BF" w:rsidRPr="0067297E" w14:paraId="6783B6AA" w14:textId="77777777" w:rsidTr="00944242">
        <w:trPr>
          <w:trHeight w:val="300"/>
        </w:trPr>
        <w:tc>
          <w:tcPr>
            <w:tcW w:w="2819" w:type="dxa"/>
            <w:shd w:val="clear" w:color="auto" w:fill="auto"/>
            <w:noWrap/>
            <w:vAlign w:val="center"/>
            <w:hideMark/>
          </w:tcPr>
          <w:p w14:paraId="73D9A597" w14:textId="77777777" w:rsidR="000D48BF" w:rsidRPr="0067297E" w:rsidRDefault="000D48BF" w:rsidP="00944242">
            <w:pPr>
              <w:rPr>
                <w:rFonts w:asciiTheme="minorHAnsi" w:hAnsiTheme="minorHAnsi" w:cs="Calibri"/>
                <w:sz w:val="22"/>
                <w:szCs w:val="22"/>
                <w:highlight w:val="yellow"/>
              </w:rPr>
            </w:pPr>
            <w:r w:rsidRPr="0067297E">
              <w:rPr>
                <w:rFonts w:asciiTheme="minorHAnsi" w:hAnsiTheme="minorHAnsi" w:cs="Calibri"/>
                <w:sz w:val="22"/>
                <w:szCs w:val="22"/>
              </w:rPr>
              <w:t>Age 16 to 24</w:t>
            </w:r>
          </w:p>
        </w:tc>
        <w:tc>
          <w:tcPr>
            <w:tcW w:w="1843" w:type="dxa"/>
            <w:shd w:val="clear" w:color="auto" w:fill="auto"/>
            <w:noWrap/>
            <w:vAlign w:val="center"/>
            <w:hideMark/>
          </w:tcPr>
          <w:p w14:paraId="7FB277C1"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93.4</w:t>
            </w:r>
          </w:p>
        </w:tc>
        <w:tc>
          <w:tcPr>
            <w:tcW w:w="1843" w:type="dxa"/>
            <w:shd w:val="clear" w:color="auto" w:fill="auto"/>
            <w:noWrap/>
            <w:vAlign w:val="center"/>
            <w:hideMark/>
          </w:tcPr>
          <w:p w14:paraId="7CA92883"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5.3</w:t>
            </w:r>
          </w:p>
        </w:tc>
        <w:tc>
          <w:tcPr>
            <w:tcW w:w="1842" w:type="dxa"/>
            <w:shd w:val="clear" w:color="auto" w:fill="auto"/>
            <w:noWrap/>
            <w:vAlign w:val="center"/>
            <w:hideMark/>
          </w:tcPr>
          <w:p w14:paraId="00841E1C"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1.3</w:t>
            </w:r>
          </w:p>
        </w:tc>
      </w:tr>
      <w:tr w:rsidR="000D48BF" w:rsidRPr="0067297E" w14:paraId="558706C6" w14:textId="77777777" w:rsidTr="00944242">
        <w:trPr>
          <w:trHeight w:val="300"/>
        </w:trPr>
        <w:tc>
          <w:tcPr>
            <w:tcW w:w="2819" w:type="dxa"/>
            <w:shd w:val="clear" w:color="auto" w:fill="auto"/>
            <w:noWrap/>
            <w:vAlign w:val="center"/>
            <w:hideMark/>
          </w:tcPr>
          <w:p w14:paraId="43039530" w14:textId="77777777" w:rsidR="000D48BF" w:rsidRPr="0067297E" w:rsidRDefault="000D48BF" w:rsidP="00944242">
            <w:pPr>
              <w:rPr>
                <w:rFonts w:asciiTheme="minorHAnsi" w:hAnsiTheme="minorHAnsi" w:cs="Calibri"/>
                <w:sz w:val="22"/>
                <w:szCs w:val="22"/>
                <w:highlight w:val="yellow"/>
              </w:rPr>
            </w:pPr>
            <w:r w:rsidRPr="0067297E">
              <w:rPr>
                <w:rFonts w:asciiTheme="minorHAnsi" w:hAnsiTheme="minorHAnsi" w:cs="Calibri"/>
                <w:sz w:val="22"/>
                <w:szCs w:val="22"/>
              </w:rPr>
              <w:t>Age 25 to 34</w:t>
            </w:r>
          </w:p>
        </w:tc>
        <w:tc>
          <w:tcPr>
            <w:tcW w:w="1843" w:type="dxa"/>
            <w:shd w:val="clear" w:color="auto" w:fill="auto"/>
            <w:noWrap/>
            <w:vAlign w:val="center"/>
            <w:hideMark/>
          </w:tcPr>
          <w:p w14:paraId="7B7F3A49"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92.3</w:t>
            </w:r>
          </w:p>
        </w:tc>
        <w:tc>
          <w:tcPr>
            <w:tcW w:w="1843" w:type="dxa"/>
            <w:shd w:val="clear" w:color="auto" w:fill="auto"/>
            <w:noWrap/>
            <w:vAlign w:val="center"/>
            <w:hideMark/>
          </w:tcPr>
          <w:p w14:paraId="5AEBF948"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5.9</w:t>
            </w:r>
          </w:p>
        </w:tc>
        <w:tc>
          <w:tcPr>
            <w:tcW w:w="1842" w:type="dxa"/>
            <w:shd w:val="clear" w:color="auto" w:fill="auto"/>
            <w:noWrap/>
            <w:vAlign w:val="center"/>
            <w:hideMark/>
          </w:tcPr>
          <w:p w14:paraId="29C71540"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1.8</w:t>
            </w:r>
          </w:p>
        </w:tc>
      </w:tr>
      <w:tr w:rsidR="000D48BF" w:rsidRPr="0067297E" w14:paraId="2B01216D" w14:textId="77777777" w:rsidTr="00944242">
        <w:trPr>
          <w:trHeight w:val="300"/>
        </w:trPr>
        <w:tc>
          <w:tcPr>
            <w:tcW w:w="2819" w:type="dxa"/>
            <w:shd w:val="clear" w:color="auto" w:fill="auto"/>
            <w:noWrap/>
            <w:vAlign w:val="center"/>
            <w:hideMark/>
          </w:tcPr>
          <w:p w14:paraId="381BC18E" w14:textId="77777777" w:rsidR="000D48BF" w:rsidRPr="0067297E" w:rsidRDefault="000D48BF" w:rsidP="00944242">
            <w:pPr>
              <w:rPr>
                <w:rFonts w:asciiTheme="minorHAnsi" w:hAnsiTheme="minorHAnsi" w:cs="Calibri"/>
                <w:sz w:val="22"/>
                <w:szCs w:val="22"/>
                <w:highlight w:val="yellow"/>
              </w:rPr>
            </w:pPr>
            <w:r w:rsidRPr="0067297E">
              <w:rPr>
                <w:rFonts w:asciiTheme="minorHAnsi" w:hAnsiTheme="minorHAnsi" w:cs="Calibri"/>
                <w:sz w:val="22"/>
                <w:szCs w:val="22"/>
              </w:rPr>
              <w:t>Age 35 to 49</w:t>
            </w:r>
          </w:p>
        </w:tc>
        <w:tc>
          <w:tcPr>
            <w:tcW w:w="1843" w:type="dxa"/>
            <w:shd w:val="clear" w:color="auto" w:fill="auto"/>
            <w:noWrap/>
            <w:vAlign w:val="center"/>
            <w:hideMark/>
          </w:tcPr>
          <w:p w14:paraId="1BDD4672"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83.9</w:t>
            </w:r>
          </w:p>
        </w:tc>
        <w:tc>
          <w:tcPr>
            <w:tcW w:w="1843" w:type="dxa"/>
            <w:shd w:val="clear" w:color="auto" w:fill="auto"/>
            <w:noWrap/>
            <w:vAlign w:val="center"/>
            <w:hideMark/>
          </w:tcPr>
          <w:p w14:paraId="12E43F6F"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11.3</w:t>
            </w:r>
          </w:p>
        </w:tc>
        <w:tc>
          <w:tcPr>
            <w:tcW w:w="1842" w:type="dxa"/>
            <w:shd w:val="clear" w:color="auto" w:fill="auto"/>
            <w:noWrap/>
            <w:vAlign w:val="center"/>
            <w:hideMark/>
          </w:tcPr>
          <w:p w14:paraId="59624BC1"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4.8</w:t>
            </w:r>
          </w:p>
        </w:tc>
      </w:tr>
      <w:tr w:rsidR="000D48BF" w:rsidRPr="0067297E" w14:paraId="369416CF" w14:textId="77777777" w:rsidTr="00944242">
        <w:trPr>
          <w:trHeight w:val="300"/>
        </w:trPr>
        <w:tc>
          <w:tcPr>
            <w:tcW w:w="2819" w:type="dxa"/>
            <w:shd w:val="clear" w:color="auto" w:fill="auto"/>
            <w:noWrap/>
            <w:vAlign w:val="center"/>
            <w:hideMark/>
          </w:tcPr>
          <w:p w14:paraId="656C252B" w14:textId="77777777" w:rsidR="000D48BF" w:rsidRPr="0067297E" w:rsidRDefault="000D48BF" w:rsidP="00944242">
            <w:pPr>
              <w:rPr>
                <w:rFonts w:asciiTheme="minorHAnsi" w:hAnsiTheme="minorHAnsi" w:cs="Calibri"/>
                <w:sz w:val="22"/>
                <w:szCs w:val="22"/>
                <w:highlight w:val="yellow"/>
              </w:rPr>
            </w:pPr>
            <w:r w:rsidRPr="0067297E">
              <w:rPr>
                <w:rFonts w:asciiTheme="minorHAnsi" w:hAnsiTheme="minorHAnsi" w:cs="Calibri"/>
                <w:sz w:val="22"/>
                <w:szCs w:val="22"/>
              </w:rPr>
              <w:t>Age 50 to 64</w:t>
            </w:r>
          </w:p>
        </w:tc>
        <w:tc>
          <w:tcPr>
            <w:tcW w:w="1843" w:type="dxa"/>
            <w:shd w:val="clear" w:color="auto" w:fill="auto"/>
            <w:noWrap/>
            <w:vAlign w:val="center"/>
            <w:hideMark/>
          </w:tcPr>
          <w:p w14:paraId="00DAC2E8"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67.5</w:t>
            </w:r>
          </w:p>
        </w:tc>
        <w:tc>
          <w:tcPr>
            <w:tcW w:w="1843" w:type="dxa"/>
            <w:shd w:val="clear" w:color="auto" w:fill="auto"/>
            <w:noWrap/>
            <w:vAlign w:val="center"/>
            <w:hideMark/>
          </w:tcPr>
          <w:p w14:paraId="6374016A"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21.2</w:t>
            </w:r>
          </w:p>
        </w:tc>
        <w:tc>
          <w:tcPr>
            <w:tcW w:w="1842" w:type="dxa"/>
            <w:shd w:val="clear" w:color="auto" w:fill="auto"/>
            <w:noWrap/>
            <w:vAlign w:val="center"/>
            <w:hideMark/>
          </w:tcPr>
          <w:p w14:paraId="7467361E"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11.4</w:t>
            </w:r>
          </w:p>
        </w:tc>
      </w:tr>
      <w:tr w:rsidR="000D48BF" w:rsidRPr="0067297E" w14:paraId="5098E14D" w14:textId="77777777" w:rsidTr="00944242">
        <w:trPr>
          <w:trHeight w:val="300"/>
        </w:trPr>
        <w:tc>
          <w:tcPr>
            <w:tcW w:w="2819" w:type="dxa"/>
            <w:shd w:val="clear" w:color="auto" w:fill="auto"/>
            <w:noWrap/>
            <w:vAlign w:val="center"/>
            <w:hideMark/>
          </w:tcPr>
          <w:p w14:paraId="6A3BCB0E" w14:textId="77777777" w:rsidR="000D48BF" w:rsidRPr="0067297E" w:rsidRDefault="000D48BF" w:rsidP="00944242">
            <w:pPr>
              <w:rPr>
                <w:rFonts w:asciiTheme="minorHAnsi" w:hAnsiTheme="minorHAnsi" w:cs="Calibri"/>
                <w:sz w:val="22"/>
                <w:szCs w:val="22"/>
                <w:highlight w:val="yellow"/>
              </w:rPr>
            </w:pPr>
            <w:r w:rsidRPr="0067297E">
              <w:rPr>
                <w:rFonts w:asciiTheme="minorHAnsi" w:hAnsiTheme="minorHAnsi" w:cs="Calibri"/>
                <w:sz w:val="22"/>
                <w:szCs w:val="22"/>
              </w:rPr>
              <w:t>Age 65 to 74</w:t>
            </w:r>
          </w:p>
        </w:tc>
        <w:tc>
          <w:tcPr>
            <w:tcW w:w="1843" w:type="dxa"/>
            <w:shd w:val="clear" w:color="auto" w:fill="auto"/>
            <w:noWrap/>
            <w:vAlign w:val="center"/>
            <w:hideMark/>
          </w:tcPr>
          <w:p w14:paraId="12E9B959"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50.5</w:t>
            </w:r>
          </w:p>
        </w:tc>
        <w:tc>
          <w:tcPr>
            <w:tcW w:w="1843" w:type="dxa"/>
            <w:shd w:val="clear" w:color="auto" w:fill="auto"/>
            <w:noWrap/>
            <w:vAlign w:val="center"/>
            <w:hideMark/>
          </w:tcPr>
          <w:p w14:paraId="2B7835F8"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34.2</w:t>
            </w:r>
          </w:p>
        </w:tc>
        <w:tc>
          <w:tcPr>
            <w:tcW w:w="1842" w:type="dxa"/>
            <w:shd w:val="clear" w:color="auto" w:fill="auto"/>
            <w:noWrap/>
            <w:vAlign w:val="center"/>
            <w:hideMark/>
          </w:tcPr>
          <w:p w14:paraId="3DBB2C22"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15.2</w:t>
            </w:r>
          </w:p>
        </w:tc>
      </w:tr>
      <w:tr w:rsidR="000D48BF" w:rsidRPr="0067297E" w14:paraId="7B758075" w14:textId="77777777" w:rsidTr="00944242">
        <w:trPr>
          <w:trHeight w:val="300"/>
        </w:trPr>
        <w:tc>
          <w:tcPr>
            <w:tcW w:w="2819" w:type="dxa"/>
            <w:shd w:val="clear" w:color="auto" w:fill="auto"/>
            <w:noWrap/>
            <w:vAlign w:val="center"/>
            <w:hideMark/>
          </w:tcPr>
          <w:p w14:paraId="140835B8" w14:textId="77777777" w:rsidR="000D48BF" w:rsidRPr="0067297E" w:rsidRDefault="000D48BF" w:rsidP="00944242">
            <w:pPr>
              <w:rPr>
                <w:rFonts w:asciiTheme="minorHAnsi" w:hAnsiTheme="minorHAnsi" w:cs="Calibri"/>
                <w:sz w:val="22"/>
                <w:szCs w:val="22"/>
                <w:highlight w:val="yellow"/>
              </w:rPr>
            </w:pPr>
            <w:r w:rsidRPr="0067297E">
              <w:rPr>
                <w:rFonts w:asciiTheme="minorHAnsi" w:hAnsiTheme="minorHAnsi" w:cs="Calibri"/>
                <w:sz w:val="22"/>
                <w:szCs w:val="22"/>
              </w:rPr>
              <w:t>Age 75 to 84</w:t>
            </w:r>
          </w:p>
        </w:tc>
        <w:tc>
          <w:tcPr>
            <w:tcW w:w="1843" w:type="dxa"/>
            <w:shd w:val="clear" w:color="auto" w:fill="auto"/>
            <w:noWrap/>
            <w:vAlign w:val="center"/>
            <w:hideMark/>
          </w:tcPr>
          <w:p w14:paraId="1A019928"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37.5</w:t>
            </w:r>
          </w:p>
        </w:tc>
        <w:tc>
          <w:tcPr>
            <w:tcW w:w="1843" w:type="dxa"/>
            <w:shd w:val="clear" w:color="auto" w:fill="auto"/>
            <w:noWrap/>
            <w:vAlign w:val="center"/>
            <w:hideMark/>
          </w:tcPr>
          <w:p w14:paraId="4A5D47AE"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41.9</w:t>
            </w:r>
          </w:p>
        </w:tc>
        <w:tc>
          <w:tcPr>
            <w:tcW w:w="1842" w:type="dxa"/>
            <w:shd w:val="clear" w:color="auto" w:fill="auto"/>
            <w:noWrap/>
            <w:vAlign w:val="center"/>
            <w:hideMark/>
          </w:tcPr>
          <w:p w14:paraId="7793C83B"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20.6</w:t>
            </w:r>
          </w:p>
        </w:tc>
      </w:tr>
      <w:tr w:rsidR="000D48BF" w:rsidRPr="0067297E" w14:paraId="439BB1D2" w14:textId="77777777" w:rsidTr="00944242">
        <w:trPr>
          <w:trHeight w:val="300"/>
        </w:trPr>
        <w:tc>
          <w:tcPr>
            <w:tcW w:w="2819" w:type="dxa"/>
            <w:shd w:val="clear" w:color="auto" w:fill="auto"/>
            <w:noWrap/>
            <w:vAlign w:val="center"/>
            <w:hideMark/>
          </w:tcPr>
          <w:p w14:paraId="65CE009D" w14:textId="77777777" w:rsidR="000D48BF" w:rsidRPr="0067297E" w:rsidRDefault="000D48BF" w:rsidP="00944242">
            <w:pPr>
              <w:rPr>
                <w:rFonts w:asciiTheme="minorHAnsi" w:hAnsiTheme="minorHAnsi" w:cs="Calibri"/>
                <w:sz w:val="22"/>
                <w:szCs w:val="22"/>
                <w:highlight w:val="yellow"/>
              </w:rPr>
            </w:pPr>
            <w:r w:rsidRPr="0067297E">
              <w:rPr>
                <w:rFonts w:asciiTheme="minorHAnsi" w:hAnsiTheme="minorHAnsi" w:cs="Calibri"/>
                <w:sz w:val="22"/>
                <w:szCs w:val="22"/>
              </w:rPr>
              <w:t>Age 85 and over</w:t>
            </w:r>
          </w:p>
        </w:tc>
        <w:tc>
          <w:tcPr>
            <w:tcW w:w="1843" w:type="dxa"/>
            <w:shd w:val="clear" w:color="auto" w:fill="auto"/>
            <w:noWrap/>
            <w:vAlign w:val="center"/>
            <w:hideMark/>
          </w:tcPr>
          <w:p w14:paraId="2AFA6778"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29.3</w:t>
            </w:r>
          </w:p>
        </w:tc>
        <w:tc>
          <w:tcPr>
            <w:tcW w:w="1843" w:type="dxa"/>
            <w:shd w:val="clear" w:color="auto" w:fill="auto"/>
            <w:noWrap/>
            <w:vAlign w:val="center"/>
            <w:hideMark/>
          </w:tcPr>
          <w:p w14:paraId="636037AA"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45.1</w:t>
            </w:r>
          </w:p>
        </w:tc>
        <w:tc>
          <w:tcPr>
            <w:tcW w:w="1842" w:type="dxa"/>
            <w:shd w:val="clear" w:color="auto" w:fill="auto"/>
            <w:noWrap/>
            <w:vAlign w:val="center"/>
            <w:hideMark/>
          </w:tcPr>
          <w:p w14:paraId="7D446320"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25.7</w:t>
            </w:r>
          </w:p>
        </w:tc>
      </w:tr>
      <w:tr w:rsidR="000D48BF" w:rsidRPr="0067297E" w14:paraId="650DAF82" w14:textId="77777777" w:rsidTr="00944242">
        <w:trPr>
          <w:trHeight w:val="300"/>
        </w:trPr>
        <w:tc>
          <w:tcPr>
            <w:tcW w:w="2819" w:type="dxa"/>
            <w:shd w:val="clear" w:color="auto" w:fill="auto"/>
            <w:noWrap/>
            <w:vAlign w:val="center"/>
            <w:hideMark/>
          </w:tcPr>
          <w:p w14:paraId="47018E0B" w14:textId="77777777" w:rsidR="000D48BF" w:rsidRPr="0067297E" w:rsidRDefault="000D48BF" w:rsidP="00944242">
            <w:pPr>
              <w:rPr>
                <w:rFonts w:asciiTheme="minorHAnsi" w:hAnsiTheme="minorHAnsi" w:cs="Calibri"/>
                <w:sz w:val="22"/>
                <w:szCs w:val="22"/>
                <w:highlight w:val="yellow"/>
              </w:rPr>
            </w:pPr>
            <w:r w:rsidRPr="0067297E">
              <w:rPr>
                <w:rFonts w:asciiTheme="minorHAnsi" w:hAnsiTheme="minorHAnsi" w:cs="Calibri"/>
                <w:sz w:val="22"/>
                <w:szCs w:val="22"/>
              </w:rPr>
              <w:t>All categories: Age</w:t>
            </w:r>
          </w:p>
        </w:tc>
        <w:tc>
          <w:tcPr>
            <w:tcW w:w="1843" w:type="dxa"/>
            <w:shd w:val="clear" w:color="auto" w:fill="auto"/>
            <w:noWrap/>
            <w:vAlign w:val="center"/>
            <w:hideMark/>
          </w:tcPr>
          <w:p w14:paraId="21B32426"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83.4</w:t>
            </w:r>
          </w:p>
        </w:tc>
        <w:tc>
          <w:tcPr>
            <w:tcW w:w="1843" w:type="dxa"/>
            <w:shd w:val="clear" w:color="auto" w:fill="auto"/>
            <w:noWrap/>
            <w:vAlign w:val="center"/>
            <w:hideMark/>
          </w:tcPr>
          <w:p w14:paraId="707E8BB6"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11.6</w:t>
            </w:r>
          </w:p>
        </w:tc>
        <w:tc>
          <w:tcPr>
            <w:tcW w:w="1842" w:type="dxa"/>
            <w:shd w:val="clear" w:color="auto" w:fill="auto"/>
            <w:noWrap/>
            <w:vAlign w:val="center"/>
            <w:hideMark/>
          </w:tcPr>
          <w:p w14:paraId="41C2B104"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5.0</w:t>
            </w:r>
          </w:p>
        </w:tc>
      </w:tr>
      <w:tr w:rsidR="000D48BF" w:rsidRPr="0067297E" w14:paraId="68CD8365" w14:textId="77777777" w:rsidTr="00944242">
        <w:trPr>
          <w:trHeight w:val="300"/>
        </w:trPr>
        <w:tc>
          <w:tcPr>
            <w:tcW w:w="2819" w:type="dxa"/>
            <w:shd w:val="clear" w:color="auto" w:fill="auto"/>
            <w:noWrap/>
            <w:vAlign w:val="center"/>
          </w:tcPr>
          <w:p w14:paraId="5912EBE3" w14:textId="77777777" w:rsidR="000D48BF" w:rsidRPr="0067297E" w:rsidRDefault="000D48BF" w:rsidP="00944242">
            <w:pPr>
              <w:rPr>
                <w:rFonts w:asciiTheme="minorHAnsi" w:hAnsiTheme="minorHAnsi" w:cs="Calibri"/>
                <w:sz w:val="22"/>
                <w:szCs w:val="22"/>
                <w:highlight w:val="yellow"/>
              </w:rPr>
            </w:pPr>
            <w:r w:rsidRPr="0067297E">
              <w:rPr>
                <w:rFonts w:asciiTheme="minorHAnsi" w:hAnsiTheme="minorHAnsi" w:cs="Calibri"/>
                <w:sz w:val="22"/>
                <w:szCs w:val="22"/>
              </w:rPr>
              <w:t>Total by measure of health</w:t>
            </w:r>
          </w:p>
        </w:tc>
        <w:tc>
          <w:tcPr>
            <w:tcW w:w="1843" w:type="dxa"/>
            <w:shd w:val="clear" w:color="auto" w:fill="auto"/>
            <w:noWrap/>
            <w:vAlign w:val="center"/>
          </w:tcPr>
          <w:p w14:paraId="45F03F41"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227,918</w:t>
            </w:r>
          </w:p>
        </w:tc>
        <w:tc>
          <w:tcPr>
            <w:tcW w:w="1843" w:type="dxa"/>
            <w:shd w:val="clear" w:color="auto" w:fill="auto"/>
            <w:noWrap/>
            <w:vAlign w:val="center"/>
          </w:tcPr>
          <w:p w14:paraId="2CB767A6"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31,621</w:t>
            </w:r>
          </w:p>
        </w:tc>
        <w:tc>
          <w:tcPr>
            <w:tcW w:w="1842" w:type="dxa"/>
            <w:shd w:val="clear" w:color="auto" w:fill="auto"/>
            <w:noWrap/>
            <w:vAlign w:val="center"/>
          </w:tcPr>
          <w:p w14:paraId="13100647" w14:textId="77777777" w:rsidR="000D48BF" w:rsidRPr="0067297E" w:rsidRDefault="000D48BF"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13,803</w:t>
            </w:r>
          </w:p>
        </w:tc>
      </w:tr>
    </w:tbl>
    <w:p w14:paraId="2F369CF9" w14:textId="77777777" w:rsidR="00D87564" w:rsidRPr="0067297E" w:rsidRDefault="00D87564" w:rsidP="00FA273F">
      <w:pPr>
        <w:pStyle w:val="Reporttext"/>
        <w:numPr>
          <w:ilvl w:val="0"/>
          <w:numId w:val="0"/>
        </w:numPr>
        <w:ind w:left="1336" w:hanging="709"/>
        <w:rPr>
          <w:rFonts w:asciiTheme="minorHAnsi" w:hAnsiTheme="minorHAnsi"/>
          <w:sz w:val="20"/>
          <w:lang w:val="en-US"/>
        </w:rPr>
      </w:pPr>
      <w:r w:rsidRPr="0067297E">
        <w:rPr>
          <w:rFonts w:asciiTheme="minorHAnsi" w:hAnsiTheme="minorHAnsi"/>
          <w:sz w:val="20"/>
          <w:lang w:val="en-US"/>
        </w:rPr>
        <w:t>Source: 2011 Census Table DC3302EW</w:t>
      </w:r>
    </w:p>
    <w:p w14:paraId="5D30C9C8" w14:textId="77777777" w:rsidR="00D87564" w:rsidRPr="0067297E" w:rsidRDefault="00D87564" w:rsidP="00FA273F">
      <w:pPr>
        <w:pStyle w:val="Reporttext"/>
        <w:numPr>
          <w:ilvl w:val="0"/>
          <w:numId w:val="0"/>
        </w:numPr>
        <w:ind w:left="709"/>
        <w:rPr>
          <w:rFonts w:asciiTheme="minorHAnsi" w:hAnsiTheme="minorHAnsi"/>
          <w:highlight w:val="yellow"/>
          <w:lang w:val="en-US"/>
        </w:rPr>
      </w:pPr>
    </w:p>
    <w:p w14:paraId="33B9E8E1" w14:textId="42348E1C" w:rsidR="00D87564" w:rsidRPr="0067297E" w:rsidRDefault="00D87564" w:rsidP="00543A76">
      <w:pPr>
        <w:pStyle w:val="Reporttext"/>
        <w:tabs>
          <w:tab w:val="clear" w:pos="709"/>
        </w:tabs>
        <w:rPr>
          <w:rFonts w:asciiTheme="minorHAnsi" w:hAnsiTheme="minorHAnsi"/>
          <w:lang w:val="en-US"/>
        </w:rPr>
      </w:pPr>
      <w:r w:rsidRPr="0067297E">
        <w:rPr>
          <w:rFonts w:asciiTheme="minorHAnsi" w:hAnsiTheme="minorHAnsi"/>
          <w:lang w:val="en-US"/>
        </w:rPr>
        <w:t xml:space="preserve">The </w:t>
      </w:r>
      <w:r w:rsidR="00BC6D95" w:rsidRPr="0067297E">
        <w:rPr>
          <w:rFonts w:asciiTheme="minorHAnsi" w:hAnsiTheme="minorHAnsi"/>
          <w:lang w:val="en-US"/>
        </w:rPr>
        <w:t>C</w:t>
      </w:r>
      <w:r w:rsidRPr="0067297E">
        <w:rPr>
          <w:rFonts w:asciiTheme="minorHAnsi" w:hAnsiTheme="minorHAnsi"/>
          <w:lang w:val="en-US"/>
        </w:rPr>
        <w:t xml:space="preserve">ensus also </w:t>
      </w:r>
      <w:r w:rsidR="009B202F" w:rsidRPr="0067297E">
        <w:rPr>
          <w:rFonts w:asciiTheme="minorHAnsi" w:hAnsiTheme="minorHAnsi"/>
          <w:lang w:val="en-US"/>
        </w:rPr>
        <w:t xml:space="preserve">reported that around 18,500 (6.8%) of </w:t>
      </w:r>
      <w:r w:rsidRPr="0067297E">
        <w:rPr>
          <w:rFonts w:asciiTheme="minorHAnsi" w:hAnsiTheme="minorHAnsi"/>
          <w:lang w:val="en-US"/>
        </w:rPr>
        <w:t xml:space="preserve">residents reported that their daily activities were </w:t>
      </w:r>
      <w:r w:rsidR="009B202F" w:rsidRPr="0067297E">
        <w:rPr>
          <w:rFonts w:asciiTheme="minorHAnsi" w:hAnsiTheme="minorHAnsi"/>
          <w:lang w:val="en-US"/>
        </w:rPr>
        <w:t>limited ‘a lot’ and 19,900 (7.3</w:t>
      </w:r>
      <w:r w:rsidR="00FC75A4" w:rsidRPr="0067297E">
        <w:rPr>
          <w:rFonts w:asciiTheme="minorHAnsi" w:hAnsiTheme="minorHAnsi"/>
          <w:lang w:val="en-US"/>
        </w:rPr>
        <w:t>%) ‘</w:t>
      </w:r>
      <w:r w:rsidRPr="0067297E">
        <w:rPr>
          <w:rFonts w:asciiTheme="minorHAnsi" w:hAnsiTheme="minorHAnsi"/>
          <w:lang w:val="en-US"/>
        </w:rPr>
        <w:t>a little</w:t>
      </w:r>
      <w:r w:rsidR="00FC75A4" w:rsidRPr="0067297E">
        <w:rPr>
          <w:rFonts w:asciiTheme="minorHAnsi" w:hAnsiTheme="minorHAnsi"/>
          <w:lang w:val="en-US"/>
        </w:rPr>
        <w:t>’</w:t>
      </w:r>
      <w:r w:rsidRPr="0067297E">
        <w:rPr>
          <w:rFonts w:asciiTheme="minorHAnsi" w:hAnsiTheme="minorHAnsi"/>
          <w:lang w:val="en-US"/>
        </w:rPr>
        <w:t>. Th</w:t>
      </w:r>
      <w:r w:rsidR="009B202F" w:rsidRPr="0067297E">
        <w:rPr>
          <w:rFonts w:asciiTheme="minorHAnsi" w:hAnsiTheme="minorHAnsi"/>
          <w:lang w:val="en-US"/>
        </w:rPr>
        <w:t xml:space="preserve">is compares with higher </w:t>
      </w:r>
      <w:r w:rsidRPr="0067297E">
        <w:rPr>
          <w:rFonts w:asciiTheme="minorHAnsi" w:hAnsiTheme="minorHAnsi"/>
          <w:lang w:val="en-US"/>
        </w:rPr>
        <w:t xml:space="preserve">figures for England (8.3% and 9.3% respectively). </w:t>
      </w:r>
    </w:p>
    <w:p w14:paraId="7E27D6CD" w14:textId="77777777" w:rsidR="00D87564" w:rsidRPr="0067297E" w:rsidRDefault="00D87564" w:rsidP="00543A76">
      <w:pPr>
        <w:pStyle w:val="Reporttext"/>
        <w:numPr>
          <w:ilvl w:val="0"/>
          <w:numId w:val="0"/>
        </w:numPr>
        <w:rPr>
          <w:rFonts w:asciiTheme="minorHAnsi" w:hAnsiTheme="minorHAnsi" w:cs="Calibri"/>
        </w:rPr>
      </w:pPr>
    </w:p>
    <w:p w14:paraId="59687939" w14:textId="77777777" w:rsidR="00D87564" w:rsidRPr="0067297E" w:rsidRDefault="00D87564" w:rsidP="00543A76">
      <w:pPr>
        <w:pStyle w:val="Heading3"/>
        <w:rPr>
          <w:rFonts w:asciiTheme="minorHAnsi" w:hAnsiTheme="minorHAnsi"/>
          <w:lang w:val="en-US"/>
        </w:rPr>
      </w:pPr>
      <w:r w:rsidRPr="0067297E">
        <w:rPr>
          <w:rFonts w:asciiTheme="minorHAnsi" w:hAnsiTheme="minorHAnsi"/>
          <w:lang w:val="en-US"/>
        </w:rPr>
        <w:t>National disability prevalence rates appli</w:t>
      </w:r>
      <w:r w:rsidR="00B972F5" w:rsidRPr="0067297E">
        <w:rPr>
          <w:rFonts w:asciiTheme="minorHAnsi" w:hAnsiTheme="minorHAnsi"/>
          <w:lang w:val="en-US"/>
        </w:rPr>
        <w:t>ed to Lewisham</w:t>
      </w:r>
    </w:p>
    <w:p w14:paraId="17FF5833" w14:textId="2E520EDB" w:rsidR="00D87564" w:rsidRPr="0067297E" w:rsidRDefault="00D87564" w:rsidP="00543A76">
      <w:pPr>
        <w:pStyle w:val="Reporttext"/>
        <w:tabs>
          <w:tab w:val="clear" w:pos="709"/>
        </w:tabs>
        <w:rPr>
          <w:rFonts w:asciiTheme="minorHAnsi" w:hAnsiTheme="minorHAnsi"/>
          <w:lang w:val="en-US"/>
        </w:rPr>
      </w:pPr>
      <w:r w:rsidRPr="0067297E">
        <w:rPr>
          <w:rFonts w:asciiTheme="minorHAnsi" w:hAnsiTheme="minorHAnsi"/>
          <w:lang w:val="en-US"/>
        </w:rPr>
        <w:t xml:space="preserve">The ONS Family Resources Survey provides national data on the number of people with disabilities by age group and the nature of the disability. This can be applied to population projections by age group to establish the likely number of residents who have a disability at the start of the plan period and how this is likely to </w:t>
      </w:r>
      <w:r w:rsidR="009B202F" w:rsidRPr="0067297E">
        <w:rPr>
          <w:rFonts w:asciiTheme="minorHAnsi" w:hAnsiTheme="minorHAnsi"/>
          <w:lang w:val="en-US"/>
        </w:rPr>
        <w:t xml:space="preserve">change over the plan period </w:t>
      </w:r>
      <w:r w:rsidR="00014D7D">
        <w:rPr>
          <w:rFonts w:asciiTheme="minorHAnsi" w:hAnsiTheme="minorHAnsi"/>
          <w:lang w:val="en-US"/>
        </w:rPr>
        <w:t>2020-2040</w:t>
      </w:r>
      <w:r w:rsidR="00F91A82" w:rsidRPr="0067297E">
        <w:rPr>
          <w:rFonts w:asciiTheme="minorHAnsi" w:hAnsiTheme="minorHAnsi"/>
          <w:lang w:val="en-US"/>
        </w:rPr>
        <w:t xml:space="preserve"> (Table </w:t>
      </w:r>
      <w:r w:rsidR="00203E57" w:rsidRPr="0067297E">
        <w:rPr>
          <w:rFonts w:asciiTheme="minorHAnsi" w:hAnsiTheme="minorHAnsi"/>
          <w:lang w:val="en-US"/>
        </w:rPr>
        <w:t>6.</w:t>
      </w:r>
      <w:r w:rsidR="00944242" w:rsidRPr="0067297E">
        <w:rPr>
          <w:rFonts w:asciiTheme="minorHAnsi" w:hAnsiTheme="minorHAnsi"/>
          <w:lang w:val="en-US"/>
        </w:rPr>
        <w:t>11</w:t>
      </w:r>
      <w:r w:rsidR="009F57F8" w:rsidRPr="0067297E">
        <w:rPr>
          <w:rFonts w:asciiTheme="minorHAnsi" w:hAnsiTheme="minorHAnsi"/>
          <w:lang w:val="en-US"/>
        </w:rPr>
        <w:t>)</w:t>
      </w:r>
      <w:r w:rsidRPr="0067297E">
        <w:rPr>
          <w:rFonts w:asciiTheme="minorHAnsi" w:hAnsiTheme="minorHAnsi"/>
          <w:lang w:val="en-US"/>
        </w:rPr>
        <w:t xml:space="preserve">. Although the number of people does not necessarily translate to a specific housing need, it provides a further insight into the likely range of disabilities experienced by residents in </w:t>
      </w:r>
      <w:r w:rsidR="009B202F" w:rsidRPr="0067297E">
        <w:rPr>
          <w:rFonts w:asciiTheme="minorHAnsi" w:hAnsiTheme="minorHAnsi"/>
          <w:lang w:val="en-US"/>
        </w:rPr>
        <w:t xml:space="preserve">the </w:t>
      </w:r>
      <w:r w:rsidR="00014D7D">
        <w:rPr>
          <w:rFonts w:asciiTheme="minorHAnsi" w:hAnsiTheme="minorHAnsi"/>
          <w:lang w:val="en-US"/>
        </w:rPr>
        <w:t>b</w:t>
      </w:r>
      <w:r w:rsidR="009B202F" w:rsidRPr="0067297E">
        <w:rPr>
          <w:rFonts w:asciiTheme="minorHAnsi" w:hAnsiTheme="minorHAnsi"/>
          <w:lang w:val="en-US"/>
        </w:rPr>
        <w:t>orough.</w:t>
      </w:r>
      <w:r w:rsidR="0070326E" w:rsidRPr="0067297E">
        <w:rPr>
          <w:rFonts w:asciiTheme="minorHAnsi" w:hAnsiTheme="minorHAnsi"/>
          <w:lang w:val="en-US"/>
        </w:rPr>
        <w:t xml:space="preserve">  The baseline of around </w:t>
      </w:r>
      <w:r w:rsidR="00014D7D">
        <w:rPr>
          <w:rFonts w:asciiTheme="minorHAnsi" w:hAnsiTheme="minorHAnsi"/>
          <w:lang w:val="en-US"/>
        </w:rPr>
        <w:t>55,613</w:t>
      </w:r>
      <w:r w:rsidRPr="0067297E">
        <w:rPr>
          <w:rFonts w:asciiTheme="minorHAnsi" w:hAnsiTheme="minorHAnsi"/>
          <w:lang w:val="en-US"/>
        </w:rPr>
        <w:t xml:space="preserve"> people with an illness/disability</w:t>
      </w:r>
      <w:r w:rsidR="00A71E43">
        <w:rPr>
          <w:rFonts w:asciiTheme="minorHAnsi" w:hAnsiTheme="minorHAnsi"/>
          <w:lang w:val="en-US"/>
        </w:rPr>
        <w:t>,</w:t>
      </w:r>
      <w:r w:rsidR="00A71E43" w:rsidRPr="0067297E">
        <w:rPr>
          <w:rFonts w:asciiTheme="minorHAnsi" w:hAnsiTheme="minorHAnsi"/>
          <w:lang w:val="en-US"/>
        </w:rPr>
        <w:t xml:space="preserve"> </w:t>
      </w:r>
      <w:r w:rsidR="00E2770E" w:rsidRPr="0067297E">
        <w:rPr>
          <w:rFonts w:asciiTheme="minorHAnsi" w:hAnsiTheme="minorHAnsi"/>
          <w:lang w:val="en-US"/>
        </w:rPr>
        <w:t xml:space="preserve">based on national estimates is suggested (Table 6.11) and further analysis </w:t>
      </w:r>
      <w:r w:rsidRPr="0067297E">
        <w:rPr>
          <w:rFonts w:asciiTheme="minorHAnsi" w:hAnsiTheme="minorHAnsi"/>
          <w:lang w:val="en-US"/>
        </w:rPr>
        <w:t>est</w:t>
      </w:r>
      <w:r w:rsidR="0070326E" w:rsidRPr="0067297E">
        <w:rPr>
          <w:rFonts w:asciiTheme="minorHAnsi" w:hAnsiTheme="minorHAnsi"/>
          <w:lang w:val="en-US"/>
        </w:rPr>
        <w:t>imates that 17.</w:t>
      </w:r>
      <w:r w:rsidR="00014D7D">
        <w:rPr>
          <w:rFonts w:asciiTheme="minorHAnsi" w:hAnsiTheme="minorHAnsi"/>
          <w:lang w:val="en-US"/>
        </w:rPr>
        <w:t>7</w:t>
      </w:r>
      <w:r w:rsidRPr="0067297E">
        <w:rPr>
          <w:rFonts w:asciiTheme="minorHAnsi" w:hAnsiTheme="minorHAnsi"/>
          <w:lang w:val="en-US"/>
        </w:rPr>
        <w:t xml:space="preserve">% of residents in households </w:t>
      </w:r>
      <w:r w:rsidR="00E2770E" w:rsidRPr="0067297E">
        <w:rPr>
          <w:rFonts w:asciiTheme="minorHAnsi" w:hAnsiTheme="minorHAnsi"/>
          <w:lang w:val="en-US"/>
        </w:rPr>
        <w:t>in 20</w:t>
      </w:r>
      <w:r w:rsidR="00014D7D">
        <w:rPr>
          <w:rFonts w:asciiTheme="minorHAnsi" w:hAnsiTheme="minorHAnsi"/>
          <w:lang w:val="en-US"/>
        </w:rPr>
        <w:t xml:space="preserve">20 are expected to </w:t>
      </w:r>
      <w:r w:rsidR="00785D71">
        <w:rPr>
          <w:rFonts w:asciiTheme="minorHAnsi" w:hAnsiTheme="minorHAnsi"/>
          <w:lang w:val="en-US"/>
        </w:rPr>
        <w:t xml:space="preserve">have </w:t>
      </w:r>
      <w:r w:rsidR="00785D71" w:rsidRPr="0067297E">
        <w:rPr>
          <w:rFonts w:asciiTheme="minorHAnsi" w:hAnsiTheme="minorHAnsi"/>
          <w:lang w:val="en-US"/>
        </w:rPr>
        <w:t>a</w:t>
      </w:r>
      <w:r w:rsidRPr="0067297E">
        <w:rPr>
          <w:rFonts w:asciiTheme="minorHAnsi" w:hAnsiTheme="minorHAnsi"/>
          <w:lang w:val="en-US"/>
        </w:rPr>
        <w:t xml:space="preserve"> disability </w:t>
      </w:r>
      <w:r w:rsidR="00014D7D">
        <w:rPr>
          <w:rFonts w:asciiTheme="minorHAnsi" w:hAnsiTheme="minorHAnsi"/>
          <w:lang w:val="en-US"/>
        </w:rPr>
        <w:t xml:space="preserve">increasing to </w:t>
      </w:r>
      <w:r w:rsidR="0070326E" w:rsidRPr="0067297E">
        <w:rPr>
          <w:rFonts w:asciiTheme="minorHAnsi" w:hAnsiTheme="minorHAnsi"/>
          <w:lang w:val="en-US"/>
        </w:rPr>
        <w:t>19</w:t>
      </w:r>
      <w:r w:rsidR="00014D7D">
        <w:rPr>
          <w:rFonts w:asciiTheme="minorHAnsi" w:hAnsiTheme="minorHAnsi"/>
          <w:lang w:val="en-US"/>
        </w:rPr>
        <w:t>.6</w:t>
      </w:r>
      <w:r w:rsidR="0070326E" w:rsidRPr="0067297E">
        <w:rPr>
          <w:rFonts w:asciiTheme="minorHAnsi" w:hAnsiTheme="minorHAnsi"/>
          <w:lang w:val="en-US"/>
        </w:rPr>
        <w:t>% by 20</w:t>
      </w:r>
      <w:r w:rsidR="00014D7D">
        <w:rPr>
          <w:rFonts w:asciiTheme="minorHAnsi" w:hAnsiTheme="minorHAnsi"/>
          <w:lang w:val="en-US"/>
        </w:rPr>
        <w:t>40</w:t>
      </w:r>
      <w:r w:rsidR="0070326E" w:rsidRPr="0067297E">
        <w:rPr>
          <w:rFonts w:asciiTheme="minorHAnsi" w:hAnsiTheme="minorHAnsi"/>
          <w:lang w:val="en-US"/>
        </w:rPr>
        <w:t>.</w:t>
      </w:r>
    </w:p>
    <w:p w14:paraId="15049981" w14:textId="0D467DFA" w:rsidR="005012D6" w:rsidRDefault="005012D6">
      <w:pPr>
        <w:rPr>
          <w:rFonts w:asciiTheme="minorHAnsi" w:hAnsiTheme="minorHAnsi"/>
          <w:highlight w:val="yellow"/>
          <w:lang w:val="en-US"/>
        </w:rPr>
      </w:pPr>
    </w:p>
    <w:p w14:paraId="645BA294" w14:textId="2A7901E6" w:rsidR="00425A04" w:rsidRDefault="00425A04">
      <w:pPr>
        <w:rPr>
          <w:rFonts w:asciiTheme="minorHAnsi" w:hAnsiTheme="minorHAnsi"/>
          <w:highlight w:val="yellow"/>
          <w:lang w:val="en-US"/>
        </w:rPr>
      </w:pPr>
      <w:r>
        <w:rPr>
          <w:rFonts w:asciiTheme="minorHAnsi" w:hAnsiTheme="minorHAnsi"/>
          <w:highlight w:val="yellow"/>
          <w:lang w:val="en-US"/>
        </w:rPr>
        <w:br w:type="page"/>
      </w:r>
    </w:p>
    <w:tbl>
      <w:tblPr>
        <w:tblStyle w:val="arc4table"/>
        <w:tblW w:w="8622" w:type="dxa"/>
        <w:tblInd w:w="607" w:type="dxa"/>
        <w:tblLook w:val="04A0" w:firstRow="1" w:lastRow="0" w:firstColumn="1" w:lastColumn="0" w:noHBand="0" w:noVBand="1"/>
        <w:tblCaption w:val="Table 6.11 Estimate of the number of people with a particular disability"/>
      </w:tblPr>
      <w:tblGrid>
        <w:gridCol w:w="4313"/>
        <w:gridCol w:w="1284"/>
        <w:gridCol w:w="1624"/>
        <w:gridCol w:w="1401"/>
      </w:tblGrid>
      <w:tr w:rsidR="00D87564" w:rsidRPr="00425A04" w14:paraId="475AB7CA" w14:textId="77777777" w:rsidTr="00426BD8">
        <w:trPr>
          <w:cnfStyle w:val="100000000000" w:firstRow="1" w:lastRow="0" w:firstColumn="0" w:lastColumn="0" w:oddVBand="0" w:evenVBand="0" w:oddHBand="0" w:evenHBand="0" w:firstRowFirstColumn="0" w:firstRowLastColumn="0" w:lastRowFirstColumn="0" w:lastRowLastColumn="0"/>
          <w:trHeight w:val="320"/>
          <w:tblHeader/>
        </w:trPr>
        <w:tc>
          <w:tcPr>
            <w:tcW w:w="8622" w:type="dxa"/>
            <w:gridSpan w:val="4"/>
            <w:noWrap/>
          </w:tcPr>
          <w:p w14:paraId="6C81B71D" w14:textId="040AD6E3" w:rsidR="00D87564" w:rsidRPr="00425A04" w:rsidRDefault="00F91A82" w:rsidP="003F4875">
            <w:pPr>
              <w:pStyle w:val="tableheading"/>
              <w:rPr>
                <w:rFonts w:asciiTheme="minorHAnsi" w:hAnsiTheme="minorHAnsi"/>
                <w:b/>
                <w:szCs w:val="22"/>
              </w:rPr>
            </w:pPr>
            <w:bookmarkStart w:id="358" w:name="_Toc397250689"/>
            <w:bookmarkStart w:id="359" w:name="_Toc23151187"/>
            <w:r w:rsidRPr="00425A04">
              <w:rPr>
                <w:rFonts w:asciiTheme="minorHAnsi" w:hAnsiTheme="minorHAnsi"/>
                <w:b/>
                <w:szCs w:val="22"/>
              </w:rPr>
              <w:t xml:space="preserve">Table </w:t>
            </w:r>
            <w:r w:rsidR="00203E57" w:rsidRPr="00425A04">
              <w:rPr>
                <w:rFonts w:asciiTheme="minorHAnsi" w:hAnsiTheme="minorHAnsi"/>
                <w:b/>
                <w:szCs w:val="22"/>
              </w:rPr>
              <w:t>6</w:t>
            </w:r>
            <w:r w:rsidR="00944242" w:rsidRPr="00425A04">
              <w:rPr>
                <w:rFonts w:asciiTheme="minorHAnsi" w:hAnsiTheme="minorHAnsi"/>
                <w:b/>
                <w:szCs w:val="22"/>
              </w:rPr>
              <w:t>.11</w:t>
            </w:r>
            <w:r w:rsidR="00944242" w:rsidRPr="00425A04">
              <w:rPr>
                <w:rFonts w:asciiTheme="minorHAnsi" w:hAnsiTheme="minorHAnsi"/>
                <w:b/>
                <w:szCs w:val="22"/>
              </w:rPr>
              <w:tab/>
            </w:r>
            <w:r w:rsidR="00D87564" w:rsidRPr="00425A04">
              <w:rPr>
                <w:rFonts w:asciiTheme="minorHAnsi" w:hAnsiTheme="minorHAnsi"/>
                <w:b/>
                <w:szCs w:val="22"/>
              </w:rPr>
              <w:t>Estimate of the number of people with a particular disability</w:t>
            </w:r>
            <w:bookmarkEnd w:id="358"/>
            <w:bookmarkEnd w:id="359"/>
          </w:p>
        </w:tc>
      </w:tr>
      <w:tr w:rsidR="00944242" w:rsidRPr="00425A04" w14:paraId="1F81FE98" w14:textId="77777777" w:rsidTr="006B6473">
        <w:trPr>
          <w:trHeight w:val="320"/>
        </w:trPr>
        <w:tc>
          <w:tcPr>
            <w:tcW w:w="4313" w:type="dxa"/>
            <w:shd w:val="clear" w:color="auto" w:fill="009999"/>
            <w:noWrap/>
          </w:tcPr>
          <w:p w14:paraId="7E499BB8" w14:textId="77777777" w:rsidR="00D87564" w:rsidRPr="00425A04" w:rsidRDefault="00D87564" w:rsidP="00FA273F">
            <w:pPr>
              <w:spacing w:before="0" w:after="0"/>
              <w:jc w:val="center"/>
              <w:rPr>
                <w:rFonts w:asciiTheme="minorHAnsi" w:hAnsiTheme="minorHAnsi" w:cs="Calibri"/>
                <w:b/>
                <w:color w:val="FFFFFF" w:themeColor="background1"/>
                <w:sz w:val="22"/>
                <w:szCs w:val="22"/>
              </w:rPr>
            </w:pPr>
            <w:r w:rsidRPr="00425A04">
              <w:rPr>
                <w:rFonts w:asciiTheme="minorHAnsi" w:hAnsiTheme="minorHAnsi" w:cs="Calibri"/>
                <w:b/>
                <w:color w:val="FFFFFF" w:themeColor="background1"/>
                <w:sz w:val="22"/>
                <w:szCs w:val="22"/>
              </w:rPr>
              <w:t>Disability</w:t>
            </w:r>
          </w:p>
        </w:tc>
        <w:tc>
          <w:tcPr>
            <w:tcW w:w="4309" w:type="dxa"/>
            <w:gridSpan w:val="3"/>
            <w:shd w:val="clear" w:color="auto" w:fill="009999"/>
            <w:vAlign w:val="bottom"/>
          </w:tcPr>
          <w:p w14:paraId="68E7CBCA" w14:textId="77777777" w:rsidR="00D87564" w:rsidRPr="00425A04" w:rsidRDefault="00D87564" w:rsidP="00FA273F">
            <w:pPr>
              <w:spacing w:before="0" w:after="0"/>
              <w:jc w:val="center"/>
              <w:rPr>
                <w:rFonts w:asciiTheme="minorHAnsi" w:hAnsiTheme="minorHAnsi" w:cs="Calibri"/>
                <w:b/>
                <w:color w:val="FFFFFF" w:themeColor="background1"/>
                <w:sz w:val="22"/>
                <w:szCs w:val="22"/>
              </w:rPr>
            </w:pPr>
            <w:r w:rsidRPr="00425A04">
              <w:rPr>
                <w:rFonts w:asciiTheme="minorHAnsi" w:hAnsiTheme="minorHAnsi" w:cs="Calibri"/>
                <w:b/>
                <w:bCs/>
                <w:color w:val="FFFFFF" w:themeColor="background1"/>
                <w:sz w:val="22"/>
                <w:szCs w:val="22"/>
              </w:rPr>
              <w:t xml:space="preserve">Estimated of residents with Disability </w:t>
            </w:r>
          </w:p>
        </w:tc>
      </w:tr>
      <w:tr w:rsidR="0070326E" w:rsidRPr="00425A04" w14:paraId="1817735C" w14:textId="77777777" w:rsidTr="006B6473">
        <w:trPr>
          <w:trHeight w:val="320"/>
        </w:trPr>
        <w:tc>
          <w:tcPr>
            <w:tcW w:w="4313" w:type="dxa"/>
            <w:noWrap/>
            <w:hideMark/>
          </w:tcPr>
          <w:p w14:paraId="5910CA82" w14:textId="77777777" w:rsidR="0070326E" w:rsidRPr="00425A04" w:rsidRDefault="0070326E" w:rsidP="00FA273F">
            <w:pPr>
              <w:spacing w:before="0" w:after="0"/>
              <w:jc w:val="center"/>
              <w:rPr>
                <w:rFonts w:asciiTheme="minorHAnsi" w:hAnsiTheme="minorHAnsi" w:cs="Calibri"/>
                <w:sz w:val="22"/>
                <w:szCs w:val="22"/>
              </w:rPr>
            </w:pPr>
          </w:p>
        </w:tc>
        <w:tc>
          <w:tcPr>
            <w:tcW w:w="1284" w:type="dxa"/>
            <w:vAlign w:val="bottom"/>
            <w:hideMark/>
          </w:tcPr>
          <w:p w14:paraId="7435CD64" w14:textId="77777777" w:rsidR="0070326E" w:rsidRPr="00425A04" w:rsidRDefault="0070326E" w:rsidP="00FA273F">
            <w:pPr>
              <w:spacing w:before="0" w:after="0"/>
              <w:jc w:val="center"/>
              <w:rPr>
                <w:rFonts w:asciiTheme="minorHAnsi" w:hAnsiTheme="minorHAnsi" w:cs="Calibri"/>
                <w:b/>
                <w:bCs/>
                <w:color w:val="000000"/>
                <w:sz w:val="22"/>
                <w:szCs w:val="22"/>
              </w:rPr>
            </w:pPr>
            <w:r w:rsidRPr="00425A04">
              <w:rPr>
                <w:rFonts w:asciiTheme="minorHAnsi" w:hAnsiTheme="minorHAnsi" w:cs="Calibri"/>
                <w:b/>
                <w:bCs/>
                <w:color w:val="000000"/>
                <w:sz w:val="22"/>
                <w:szCs w:val="22"/>
              </w:rPr>
              <w:t>2018</w:t>
            </w:r>
          </w:p>
        </w:tc>
        <w:tc>
          <w:tcPr>
            <w:tcW w:w="1624" w:type="dxa"/>
            <w:vAlign w:val="bottom"/>
            <w:hideMark/>
          </w:tcPr>
          <w:p w14:paraId="4F15724F" w14:textId="77777777" w:rsidR="0070326E" w:rsidRPr="00425A04" w:rsidRDefault="0070326E" w:rsidP="00FA273F">
            <w:pPr>
              <w:spacing w:before="0" w:after="0"/>
              <w:jc w:val="center"/>
              <w:rPr>
                <w:rFonts w:asciiTheme="minorHAnsi" w:hAnsiTheme="minorHAnsi" w:cs="Calibri"/>
                <w:b/>
                <w:bCs/>
                <w:color w:val="000000"/>
                <w:sz w:val="22"/>
                <w:szCs w:val="22"/>
              </w:rPr>
            </w:pPr>
            <w:r w:rsidRPr="00425A04">
              <w:rPr>
                <w:rFonts w:asciiTheme="minorHAnsi" w:hAnsiTheme="minorHAnsi" w:cs="Calibri"/>
                <w:b/>
                <w:bCs/>
                <w:color w:val="000000"/>
                <w:sz w:val="22"/>
                <w:szCs w:val="22"/>
              </w:rPr>
              <w:t>2033</w:t>
            </w:r>
          </w:p>
        </w:tc>
        <w:tc>
          <w:tcPr>
            <w:tcW w:w="1401" w:type="dxa"/>
            <w:noWrap/>
            <w:vAlign w:val="bottom"/>
            <w:hideMark/>
          </w:tcPr>
          <w:p w14:paraId="04CF19A5" w14:textId="77777777" w:rsidR="0070326E" w:rsidRPr="00425A04" w:rsidRDefault="0070326E" w:rsidP="00FA273F">
            <w:pPr>
              <w:spacing w:before="0" w:after="0"/>
              <w:jc w:val="center"/>
              <w:rPr>
                <w:rFonts w:asciiTheme="minorHAnsi" w:hAnsiTheme="minorHAnsi" w:cs="Calibri"/>
                <w:b/>
                <w:color w:val="000000"/>
                <w:sz w:val="22"/>
                <w:szCs w:val="22"/>
              </w:rPr>
            </w:pPr>
            <w:r w:rsidRPr="00425A04">
              <w:rPr>
                <w:rFonts w:asciiTheme="minorHAnsi" w:hAnsiTheme="minorHAnsi" w:cs="Calibri"/>
                <w:b/>
                <w:color w:val="000000"/>
                <w:sz w:val="22"/>
                <w:szCs w:val="22"/>
              </w:rPr>
              <w:t>Change</w:t>
            </w:r>
          </w:p>
        </w:tc>
      </w:tr>
      <w:tr w:rsidR="00014D7D" w:rsidRPr="00425A04" w14:paraId="66589DBD" w14:textId="77777777" w:rsidTr="006B6473">
        <w:trPr>
          <w:trHeight w:val="320"/>
        </w:trPr>
        <w:tc>
          <w:tcPr>
            <w:tcW w:w="4313" w:type="dxa"/>
            <w:noWrap/>
            <w:hideMark/>
          </w:tcPr>
          <w:p w14:paraId="56B14E89" w14:textId="77777777" w:rsidR="00014D7D" w:rsidRPr="00425A04" w:rsidRDefault="00014D7D" w:rsidP="00014D7D">
            <w:pPr>
              <w:spacing w:before="0" w:after="0"/>
              <w:rPr>
                <w:rFonts w:asciiTheme="minorHAnsi" w:hAnsiTheme="minorHAnsi" w:cs="Calibri"/>
                <w:color w:val="000000"/>
                <w:sz w:val="22"/>
                <w:szCs w:val="22"/>
              </w:rPr>
            </w:pPr>
            <w:r w:rsidRPr="00425A04">
              <w:rPr>
                <w:rFonts w:asciiTheme="minorHAnsi" w:hAnsiTheme="minorHAnsi" w:cs="Calibri"/>
                <w:color w:val="000000"/>
                <w:sz w:val="22"/>
                <w:szCs w:val="22"/>
              </w:rPr>
              <w:t>Mobility</w:t>
            </w:r>
          </w:p>
        </w:tc>
        <w:tc>
          <w:tcPr>
            <w:tcW w:w="1284" w:type="dxa"/>
            <w:noWrap/>
            <w:vAlign w:val="bottom"/>
            <w:hideMark/>
          </w:tcPr>
          <w:p w14:paraId="6B1ECDDC" w14:textId="4C157F0A"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28,919</w:t>
            </w:r>
          </w:p>
        </w:tc>
        <w:tc>
          <w:tcPr>
            <w:tcW w:w="1624" w:type="dxa"/>
            <w:noWrap/>
            <w:vAlign w:val="bottom"/>
            <w:hideMark/>
          </w:tcPr>
          <w:p w14:paraId="17CC66F0" w14:textId="081D1399"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37,169</w:t>
            </w:r>
          </w:p>
        </w:tc>
        <w:tc>
          <w:tcPr>
            <w:tcW w:w="1401" w:type="dxa"/>
            <w:noWrap/>
            <w:vAlign w:val="bottom"/>
            <w:hideMark/>
          </w:tcPr>
          <w:p w14:paraId="1795BBF6" w14:textId="1401DA16"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8,251</w:t>
            </w:r>
          </w:p>
        </w:tc>
      </w:tr>
      <w:tr w:rsidR="00014D7D" w:rsidRPr="00425A04" w14:paraId="2F5F4325" w14:textId="77777777" w:rsidTr="006B6473">
        <w:trPr>
          <w:trHeight w:val="320"/>
        </w:trPr>
        <w:tc>
          <w:tcPr>
            <w:tcW w:w="4313" w:type="dxa"/>
            <w:noWrap/>
            <w:hideMark/>
          </w:tcPr>
          <w:p w14:paraId="70A83F89" w14:textId="77777777" w:rsidR="00014D7D" w:rsidRPr="00425A04" w:rsidRDefault="00014D7D" w:rsidP="00014D7D">
            <w:pPr>
              <w:spacing w:before="0" w:after="0"/>
              <w:rPr>
                <w:rFonts w:asciiTheme="minorHAnsi" w:hAnsiTheme="minorHAnsi" w:cs="Calibri"/>
                <w:color w:val="000000"/>
                <w:sz w:val="22"/>
                <w:szCs w:val="22"/>
              </w:rPr>
            </w:pPr>
            <w:r w:rsidRPr="00425A04">
              <w:rPr>
                <w:rFonts w:asciiTheme="minorHAnsi" w:hAnsiTheme="minorHAnsi" w:cs="Calibri"/>
                <w:color w:val="000000"/>
                <w:sz w:val="22"/>
                <w:szCs w:val="22"/>
              </w:rPr>
              <w:t>Stamina/breathing/fatigue</w:t>
            </w:r>
          </w:p>
        </w:tc>
        <w:tc>
          <w:tcPr>
            <w:tcW w:w="1284" w:type="dxa"/>
            <w:noWrap/>
            <w:vAlign w:val="bottom"/>
            <w:hideMark/>
          </w:tcPr>
          <w:p w14:paraId="019A6FD9" w14:textId="635D6F3D"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21,504</w:t>
            </w:r>
          </w:p>
        </w:tc>
        <w:tc>
          <w:tcPr>
            <w:tcW w:w="1624" w:type="dxa"/>
            <w:noWrap/>
            <w:vAlign w:val="bottom"/>
            <w:hideMark/>
          </w:tcPr>
          <w:p w14:paraId="1CC17BBA" w14:textId="1922808C"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27,639</w:t>
            </w:r>
          </w:p>
        </w:tc>
        <w:tc>
          <w:tcPr>
            <w:tcW w:w="1401" w:type="dxa"/>
            <w:noWrap/>
            <w:vAlign w:val="bottom"/>
            <w:hideMark/>
          </w:tcPr>
          <w:p w14:paraId="45B44246" w14:textId="6B8EBCA3"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6,135</w:t>
            </w:r>
          </w:p>
        </w:tc>
      </w:tr>
      <w:tr w:rsidR="00014D7D" w:rsidRPr="00425A04" w14:paraId="1C796FBF" w14:textId="77777777" w:rsidTr="006B6473">
        <w:trPr>
          <w:trHeight w:val="320"/>
        </w:trPr>
        <w:tc>
          <w:tcPr>
            <w:tcW w:w="4313" w:type="dxa"/>
            <w:noWrap/>
            <w:hideMark/>
          </w:tcPr>
          <w:p w14:paraId="749FBE27" w14:textId="77777777" w:rsidR="00014D7D" w:rsidRPr="00425A04" w:rsidRDefault="00014D7D" w:rsidP="00014D7D">
            <w:pPr>
              <w:spacing w:before="0" w:after="0"/>
              <w:rPr>
                <w:rFonts w:asciiTheme="minorHAnsi" w:hAnsiTheme="minorHAnsi" w:cs="Calibri"/>
                <w:color w:val="000000"/>
                <w:sz w:val="22"/>
                <w:szCs w:val="22"/>
              </w:rPr>
            </w:pPr>
            <w:r w:rsidRPr="00425A04">
              <w:rPr>
                <w:rFonts w:asciiTheme="minorHAnsi" w:hAnsiTheme="minorHAnsi" w:cs="Calibri"/>
                <w:color w:val="000000"/>
                <w:sz w:val="22"/>
                <w:szCs w:val="22"/>
              </w:rPr>
              <w:t>Dexterity</w:t>
            </w:r>
          </w:p>
        </w:tc>
        <w:tc>
          <w:tcPr>
            <w:tcW w:w="1284" w:type="dxa"/>
            <w:noWrap/>
            <w:vAlign w:val="bottom"/>
            <w:hideMark/>
          </w:tcPr>
          <w:p w14:paraId="2F4EC499" w14:textId="4FE4E4E0"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15,572</w:t>
            </w:r>
          </w:p>
        </w:tc>
        <w:tc>
          <w:tcPr>
            <w:tcW w:w="1624" w:type="dxa"/>
            <w:noWrap/>
            <w:vAlign w:val="bottom"/>
            <w:hideMark/>
          </w:tcPr>
          <w:p w14:paraId="7BD8E0BE" w14:textId="27E7F1A6"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20,014</w:t>
            </w:r>
          </w:p>
        </w:tc>
        <w:tc>
          <w:tcPr>
            <w:tcW w:w="1401" w:type="dxa"/>
            <w:noWrap/>
            <w:vAlign w:val="bottom"/>
            <w:hideMark/>
          </w:tcPr>
          <w:p w14:paraId="4A32DDF2" w14:textId="34B62AD7"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4,443</w:t>
            </w:r>
          </w:p>
        </w:tc>
      </w:tr>
      <w:tr w:rsidR="00014D7D" w:rsidRPr="00425A04" w14:paraId="179C7838" w14:textId="77777777" w:rsidTr="006B6473">
        <w:trPr>
          <w:trHeight w:val="320"/>
        </w:trPr>
        <w:tc>
          <w:tcPr>
            <w:tcW w:w="4313" w:type="dxa"/>
            <w:noWrap/>
            <w:hideMark/>
          </w:tcPr>
          <w:p w14:paraId="79C0BC43" w14:textId="77777777" w:rsidR="00014D7D" w:rsidRPr="00425A04" w:rsidRDefault="00014D7D" w:rsidP="00014D7D">
            <w:pPr>
              <w:spacing w:before="0" w:after="0"/>
              <w:rPr>
                <w:rFonts w:asciiTheme="minorHAnsi" w:hAnsiTheme="minorHAnsi" w:cs="Calibri"/>
                <w:color w:val="000000"/>
                <w:sz w:val="22"/>
                <w:szCs w:val="22"/>
              </w:rPr>
            </w:pPr>
            <w:r w:rsidRPr="00425A04">
              <w:rPr>
                <w:rFonts w:asciiTheme="minorHAnsi" w:hAnsiTheme="minorHAnsi" w:cs="Calibri"/>
                <w:color w:val="000000"/>
                <w:sz w:val="22"/>
                <w:szCs w:val="22"/>
              </w:rPr>
              <w:t>Mental health</w:t>
            </w:r>
          </w:p>
        </w:tc>
        <w:tc>
          <w:tcPr>
            <w:tcW w:w="1284" w:type="dxa"/>
            <w:noWrap/>
            <w:vAlign w:val="bottom"/>
            <w:hideMark/>
          </w:tcPr>
          <w:p w14:paraId="72035A49" w14:textId="3F7DC772"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12,235</w:t>
            </w:r>
          </w:p>
        </w:tc>
        <w:tc>
          <w:tcPr>
            <w:tcW w:w="1624" w:type="dxa"/>
            <w:noWrap/>
            <w:vAlign w:val="bottom"/>
            <w:hideMark/>
          </w:tcPr>
          <w:p w14:paraId="05AB9DC8" w14:textId="5F426FAB"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15,725</w:t>
            </w:r>
          </w:p>
        </w:tc>
        <w:tc>
          <w:tcPr>
            <w:tcW w:w="1401" w:type="dxa"/>
            <w:noWrap/>
            <w:vAlign w:val="bottom"/>
            <w:hideMark/>
          </w:tcPr>
          <w:p w14:paraId="23D0AD7E" w14:textId="2CFF56D0"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3,491</w:t>
            </w:r>
          </w:p>
        </w:tc>
      </w:tr>
      <w:tr w:rsidR="00014D7D" w:rsidRPr="00425A04" w14:paraId="66C5C8CF" w14:textId="77777777" w:rsidTr="006B6473">
        <w:trPr>
          <w:trHeight w:val="320"/>
        </w:trPr>
        <w:tc>
          <w:tcPr>
            <w:tcW w:w="4313" w:type="dxa"/>
            <w:noWrap/>
            <w:hideMark/>
          </w:tcPr>
          <w:p w14:paraId="68BCADB8" w14:textId="77777777" w:rsidR="00014D7D" w:rsidRPr="00425A04" w:rsidRDefault="00014D7D" w:rsidP="00014D7D">
            <w:pPr>
              <w:spacing w:before="0" w:after="0"/>
              <w:rPr>
                <w:rFonts w:asciiTheme="minorHAnsi" w:hAnsiTheme="minorHAnsi" w:cs="Calibri"/>
                <w:color w:val="000000"/>
                <w:sz w:val="22"/>
                <w:szCs w:val="22"/>
              </w:rPr>
            </w:pPr>
            <w:r w:rsidRPr="00425A04">
              <w:rPr>
                <w:rFonts w:asciiTheme="minorHAnsi" w:hAnsiTheme="minorHAnsi" w:cs="Calibri"/>
                <w:color w:val="000000"/>
                <w:sz w:val="22"/>
                <w:szCs w:val="22"/>
              </w:rPr>
              <w:t>Memory</w:t>
            </w:r>
          </w:p>
        </w:tc>
        <w:tc>
          <w:tcPr>
            <w:tcW w:w="1284" w:type="dxa"/>
            <w:noWrap/>
            <w:vAlign w:val="bottom"/>
            <w:hideMark/>
          </w:tcPr>
          <w:p w14:paraId="29616095" w14:textId="6CEB1098"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9,083</w:t>
            </w:r>
          </w:p>
        </w:tc>
        <w:tc>
          <w:tcPr>
            <w:tcW w:w="1624" w:type="dxa"/>
            <w:noWrap/>
            <w:vAlign w:val="bottom"/>
            <w:hideMark/>
          </w:tcPr>
          <w:p w14:paraId="17C30DD2" w14:textId="1B26EBDF"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11,675</w:t>
            </w:r>
          </w:p>
        </w:tc>
        <w:tc>
          <w:tcPr>
            <w:tcW w:w="1401" w:type="dxa"/>
            <w:noWrap/>
            <w:vAlign w:val="bottom"/>
            <w:hideMark/>
          </w:tcPr>
          <w:p w14:paraId="30F5F507" w14:textId="685FDAA6"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2,592</w:t>
            </w:r>
          </w:p>
        </w:tc>
      </w:tr>
      <w:tr w:rsidR="00014D7D" w:rsidRPr="00425A04" w14:paraId="1C2080E8" w14:textId="77777777" w:rsidTr="006B6473">
        <w:trPr>
          <w:trHeight w:val="320"/>
        </w:trPr>
        <w:tc>
          <w:tcPr>
            <w:tcW w:w="4313" w:type="dxa"/>
            <w:noWrap/>
            <w:hideMark/>
          </w:tcPr>
          <w:p w14:paraId="4CB5A10A" w14:textId="77777777" w:rsidR="00014D7D" w:rsidRPr="00425A04" w:rsidRDefault="00014D7D" w:rsidP="00014D7D">
            <w:pPr>
              <w:spacing w:before="0" w:after="0"/>
              <w:rPr>
                <w:rFonts w:asciiTheme="minorHAnsi" w:hAnsiTheme="minorHAnsi" w:cs="Calibri"/>
                <w:color w:val="000000"/>
                <w:sz w:val="22"/>
                <w:szCs w:val="22"/>
              </w:rPr>
            </w:pPr>
            <w:r w:rsidRPr="00425A04">
              <w:rPr>
                <w:rFonts w:asciiTheme="minorHAnsi" w:hAnsiTheme="minorHAnsi" w:cs="Calibri"/>
                <w:color w:val="000000"/>
                <w:sz w:val="22"/>
                <w:szCs w:val="22"/>
              </w:rPr>
              <w:t>Hearing</w:t>
            </w:r>
          </w:p>
        </w:tc>
        <w:tc>
          <w:tcPr>
            <w:tcW w:w="1284" w:type="dxa"/>
            <w:noWrap/>
            <w:vAlign w:val="bottom"/>
            <w:hideMark/>
          </w:tcPr>
          <w:p w14:paraId="6EEFCF6D" w14:textId="3B40D603"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8,157</w:t>
            </w:r>
          </w:p>
        </w:tc>
        <w:tc>
          <w:tcPr>
            <w:tcW w:w="1624" w:type="dxa"/>
            <w:noWrap/>
            <w:vAlign w:val="bottom"/>
            <w:hideMark/>
          </w:tcPr>
          <w:p w14:paraId="00F57DCA" w14:textId="3C46C9DB"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10,484</w:t>
            </w:r>
          </w:p>
        </w:tc>
        <w:tc>
          <w:tcPr>
            <w:tcW w:w="1401" w:type="dxa"/>
            <w:noWrap/>
            <w:vAlign w:val="bottom"/>
            <w:hideMark/>
          </w:tcPr>
          <w:p w14:paraId="64E76527" w14:textId="3BC8BA6D"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2,327</w:t>
            </w:r>
          </w:p>
        </w:tc>
      </w:tr>
      <w:tr w:rsidR="00014D7D" w:rsidRPr="00425A04" w14:paraId="4AEC150F" w14:textId="77777777" w:rsidTr="006B6473">
        <w:trPr>
          <w:trHeight w:val="320"/>
        </w:trPr>
        <w:tc>
          <w:tcPr>
            <w:tcW w:w="4313" w:type="dxa"/>
            <w:noWrap/>
            <w:hideMark/>
          </w:tcPr>
          <w:p w14:paraId="25FE0D43" w14:textId="77777777" w:rsidR="00014D7D" w:rsidRPr="00425A04" w:rsidRDefault="00014D7D" w:rsidP="00014D7D">
            <w:pPr>
              <w:spacing w:before="0" w:after="0"/>
              <w:rPr>
                <w:rFonts w:asciiTheme="minorHAnsi" w:hAnsiTheme="minorHAnsi" w:cs="Calibri"/>
                <w:color w:val="000000"/>
                <w:sz w:val="22"/>
                <w:szCs w:val="22"/>
              </w:rPr>
            </w:pPr>
            <w:r w:rsidRPr="00425A04">
              <w:rPr>
                <w:rFonts w:asciiTheme="minorHAnsi" w:hAnsiTheme="minorHAnsi" w:cs="Calibri"/>
                <w:color w:val="000000"/>
                <w:sz w:val="22"/>
                <w:szCs w:val="22"/>
              </w:rPr>
              <w:t>Vision</w:t>
            </w:r>
          </w:p>
        </w:tc>
        <w:tc>
          <w:tcPr>
            <w:tcW w:w="1284" w:type="dxa"/>
            <w:noWrap/>
            <w:vAlign w:val="bottom"/>
            <w:hideMark/>
          </w:tcPr>
          <w:p w14:paraId="1E4F9A09" w14:textId="3066A286"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7,230</w:t>
            </w:r>
          </w:p>
        </w:tc>
        <w:tc>
          <w:tcPr>
            <w:tcW w:w="1624" w:type="dxa"/>
            <w:noWrap/>
            <w:vAlign w:val="bottom"/>
            <w:hideMark/>
          </w:tcPr>
          <w:p w14:paraId="6ED504D0" w14:textId="39CA38EA"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9,292</w:t>
            </w:r>
          </w:p>
        </w:tc>
        <w:tc>
          <w:tcPr>
            <w:tcW w:w="1401" w:type="dxa"/>
            <w:noWrap/>
            <w:vAlign w:val="bottom"/>
            <w:hideMark/>
          </w:tcPr>
          <w:p w14:paraId="7D268C94" w14:textId="765EC7A5"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2,063</w:t>
            </w:r>
          </w:p>
        </w:tc>
      </w:tr>
      <w:tr w:rsidR="00014D7D" w:rsidRPr="00425A04" w14:paraId="3185B4FE" w14:textId="77777777" w:rsidTr="006B6473">
        <w:trPr>
          <w:trHeight w:val="320"/>
        </w:trPr>
        <w:tc>
          <w:tcPr>
            <w:tcW w:w="4313" w:type="dxa"/>
            <w:noWrap/>
            <w:hideMark/>
          </w:tcPr>
          <w:p w14:paraId="5DF0ADB3" w14:textId="77777777" w:rsidR="00014D7D" w:rsidRPr="00425A04" w:rsidRDefault="00014D7D" w:rsidP="00014D7D">
            <w:pPr>
              <w:spacing w:before="0" w:after="0"/>
              <w:rPr>
                <w:rFonts w:asciiTheme="minorHAnsi" w:hAnsiTheme="minorHAnsi" w:cs="Calibri"/>
                <w:color w:val="000000"/>
                <w:sz w:val="22"/>
                <w:szCs w:val="22"/>
              </w:rPr>
            </w:pPr>
            <w:r w:rsidRPr="00425A04">
              <w:rPr>
                <w:rFonts w:asciiTheme="minorHAnsi" w:hAnsiTheme="minorHAnsi" w:cs="Calibri"/>
                <w:color w:val="000000"/>
                <w:sz w:val="22"/>
                <w:szCs w:val="22"/>
              </w:rPr>
              <w:t>Learning</w:t>
            </w:r>
          </w:p>
        </w:tc>
        <w:tc>
          <w:tcPr>
            <w:tcW w:w="1284" w:type="dxa"/>
            <w:noWrap/>
            <w:vAlign w:val="bottom"/>
            <w:hideMark/>
          </w:tcPr>
          <w:p w14:paraId="75449047" w14:textId="435591A3"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7,415</w:t>
            </w:r>
          </w:p>
        </w:tc>
        <w:tc>
          <w:tcPr>
            <w:tcW w:w="1624" w:type="dxa"/>
            <w:noWrap/>
            <w:vAlign w:val="bottom"/>
            <w:hideMark/>
          </w:tcPr>
          <w:p w14:paraId="625FF558" w14:textId="70766A8E"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9,531</w:t>
            </w:r>
          </w:p>
        </w:tc>
        <w:tc>
          <w:tcPr>
            <w:tcW w:w="1401" w:type="dxa"/>
            <w:noWrap/>
            <w:vAlign w:val="bottom"/>
            <w:hideMark/>
          </w:tcPr>
          <w:p w14:paraId="16540D0F" w14:textId="3EA8C4DE"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2,116</w:t>
            </w:r>
          </w:p>
        </w:tc>
      </w:tr>
      <w:tr w:rsidR="00014D7D" w:rsidRPr="00425A04" w14:paraId="7D597EBE" w14:textId="77777777" w:rsidTr="006B6473">
        <w:trPr>
          <w:trHeight w:val="320"/>
        </w:trPr>
        <w:tc>
          <w:tcPr>
            <w:tcW w:w="4313" w:type="dxa"/>
            <w:noWrap/>
            <w:hideMark/>
          </w:tcPr>
          <w:p w14:paraId="717D451E" w14:textId="77777777" w:rsidR="00014D7D" w:rsidRPr="00425A04" w:rsidRDefault="00014D7D" w:rsidP="00014D7D">
            <w:pPr>
              <w:spacing w:before="0" w:after="0"/>
              <w:rPr>
                <w:rFonts w:asciiTheme="minorHAnsi" w:hAnsiTheme="minorHAnsi" w:cs="Calibri"/>
                <w:color w:val="000000"/>
                <w:sz w:val="22"/>
                <w:szCs w:val="22"/>
              </w:rPr>
            </w:pPr>
            <w:r w:rsidRPr="00425A04">
              <w:rPr>
                <w:rFonts w:asciiTheme="minorHAnsi" w:hAnsiTheme="minorHAnsi" w:cs="Calibri"/>
                <w:color w:val="000000"/>
                <w:sz w:val="22"/>
                <w:szCs w:val="22"/>
              </w:rPr>
              <w:t>Social/behavioural</w:t>
            </w:r>
          </w:p>
        </w:tc>
        <w:tc>
          <w:tcPr>
            <w:tcW w:w="1284" w:type="dxa"/>
            <w:noWrap/>
            <w:vAlign w:val="bottom"/>
            <w:hideMark/>
          </w:tcPr>
          <w:p w14:paraId="6DD18FB9" w14:textId="56FBBCED"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4,264</w:t>
            </w:r>
          </w:p>
        </w:tc>
        <w:tc>
          <w:tcPr>
            <w:tcW w:w="1624" w:type="dxa"/>
            <w:noWrap/>
            <w:vAlign w:val="bottom"/>
            <w:hideMark/>
          </w:tcPr>
          <w:p w14:paraId="1B83A7EB" w14:textId="4121BBCB"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5,480</w:t>
            </w:r>
          </w:p>
        </w:tc>
        <w:tc>
          <w:tcPr>
            <w:tcW w:w="1401" w:type="dxa"/>
            <w:noWrap/>
            <w:vAlign w:val="bottom"/>
            <w:hideMark/>
          </w:tcPr>
          <w:p w14:paraId="24CD91A7" w14:textId="462E27FF"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1,216</w:t>
            </w:r>
          </w:p>
        </w:tc>
      </w:tr>
      <w:tr w:rsidR="00014D7D" w:rsidRPr="00425A04" w14:paraId="186CABE2" w14:textId="77777777" w:rsidTr="006B6473">
        <w:trPr>
          <w:trHeight w:val="320"/>
        </w:trPr>
        <w:tc>
          <w:tcPr>
            <w:tcW w:w="4313" w:type="dxa"/>
            <w:noWrap/>
            <w:hideMark/>
          </w:tcPr>
          <w:p w14:paraId="6D603F60" w14:textId="77777777" w:rsidR="00014D7D" w:rsidRPr="00425A04" w:rsidRDefault="00014D7D" w:rsidP="00014D7D">
            <w:pPr>
              <w:spacing w:before="0" w:after="0"/>
              <w:rPr>
                <w:rFonts w:asciiTheme="minorHAnsi" w:hAnsiTheme="minorHAnsi" w:cs="Calibri"/>
                <w:color w:val="000000"/>
                <w:sz w:val="22"/>
                <w:szCs w:val="22"/>
              </w:rPr>
            </w:pPr>
            <w:r w:rsidRPr="00425A04">
              <w:rPr>
                <w:rFonts w:asciiTheme="minorHAnsi" w:hAnsiTheme="minorHAnsi" w:cs="Calibri"/>
                <w:color w:val="000000"/>
                <w:sz w:val="22"/>
                <w:szCs w:val="22"/>
              </w:rPr>
              <w:t>Other</w:t>
            </w:r>
          </w:p>
        </w:tc>
        <w:tc>
          <w:tcPr>
            <w:tcW w:w="1284" w:type="dxa"/>
            <w:noWrap/>
            <w:vAlign w:val="bottom"/>
            <w:hideMark/>
          </w:tcPr>
          <w:p w14:paraId="206C2590" w14:textId="03B6D08B"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8,342</w:t>
            </w:r>
          </w:p>
        </w:tc>
        <w:tc>
          <w:tcPr>
            <w:tcW w:w="1624" w:type="dxa"/>
            <w:noWrap/>
            <w:vAlign w:val="bottom"/>
            <w:hideMark/>
          </w:tcPr>
          <w:p w14:paraId="6FE9B723" w14:textId="28AC4126"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10,722</w:t>
            </w:r>
          </w:p>
        </w:tc>
        <w:tc>
          <w:tcPr>
            <w:tcW w:w="1401" w:type="dxa"/>
            <w:noWrap/>
            <w:vAlign w:val="bottom"/>
            <w:hideMark/>
          </w:tcPr>
          <w:p w14:paraId="7423B1E6" w14:textId="6DAFA233" w:rsidR="00014D7D" w:rsidRPr="00425A04" w:rsidRDefault="00014D7D" w:rsidP="00425A04">
            <w:pPr>
              <w:spacing w:before="0" w:after="0"/>
              <w:jc w:val="right"/>
              <w:rPr>
                <w:rFonts w:asciiTheme="minorHAnsi" w:hAnsiTheme="minorHAnsi" w:cs="Calibri"/>
                <w:color w:val="000000"/>
                <w:sz w:val="22"/>
                <w:szCs w:val="22"/>
              </w:rPr>
            </w:pPr>
            <w:r w:rsidRPr="00425A04">
              <w:rPr>
                <w:color w:val="000000"/>
                <w:sz w:val="22"/>
                <w:szCs w:val="22"/>
              </w:rPr>
              <w:t>2,380</w:t>
            </w:r>
          </w:p>
        </w:tc>
      </w:tr>
      <w:tr w:rsidR="00014D7D" w:rsidRPr="00425A04" w14:paraId="7A6AA709" w14:textId="77777777" w:rsidTr="006B6473">
        <w:trPr>
          <w:trHeight w:val="320"/>
        </w:trPr>
        <w:tc>
          <w:tcPr>
            <w:tcW w:w="4313" w:type="dxa"/>
            <w:noWrap/>
            <w:vAlign w:val="bottom"/>
            <w:hideMark/>
          </w:tcPr>
          <w:p w14:paraId="1C0AC329" w14:textId="77777777" w:rsidR="00014D7D" w:rsidRPr="00425A04" w:rsidRDefault="00014D7D" w:rsidP="00014D7D">
            <w:pPr>
              <w:spacing w:before="0" w:after="0"/>
              <w:rPr>
                <w:rFonts w:asciiTheme="minorHAnsi" w:hAnsiTheme="minorHAnsi" w:cs="Calibri"/>
                <w:b/>
                <w:color w:val="000000"/>
                <w:sz w:val="22"/>
                <w:szCs w:val="22"/>
              </w:rPr>
            </w:pPr>
            <w:r w:rsidRPr="00425A04">
              <w:rPr>
                <w:rFonts w:asciiTheme="minorHAnsi" w:hAnsiTheme="minorHAnsi" w:cs="Calibri"/>
                <w:color w:val="000000"/>
                <w:sz w:val="22"/>
                <w:szCs w:val="22"/>
              </w:rPr>
              <w:t>Base (total in households with disability)</w:t>
            </w:r>
          </w:p>
        </w:tc>
        <w:tc>
          <w:tcPr>
            <w:tcW w:w="1284" w:type="dxa"/>
            <w:noWrap/>
            <w:vAlign w:val="bottom"/>
            <w:hideMark/>
          </w:tcPr>
          <w:p w14:paraId="63EDCF5D" w14:textId="051E4D4E" w:rsidR="00014D7D" w:rsidRPr="00425A04" w:rsidRDefault="00014D7D" w:rsidP="00425A04">
            <w:pPr>
              <w:spacing w:before="0" w:after="0"/>
              <w:jc w:val="right"/>
              <w:rPr>
                <w:rFonts w:asciiTheme="minorHAnsi" w:hAnsiTheme="minorHAnsi" w:cs="Calibri"/>
                <w:b/>
                <w:color w:val="000000"/>
                <w:sz w:val="22"/>
                <w:szCs w:val="22"/>
              </w:rPr>
            </w:pPr>
            <w:r w:rsidRPr="00425A04">
              <w:rPr>
                <w:color w:val="000000"/>
                <w:sz w:val="22"/>
                <w:szCs w:val="22"/>
              </w:rPr>
              <w:t>55,613</w:t>
            </w:r>
          </w:p>
        </w:tc>
        <w:tc>
          <w:tcPr>
            <w:tcW w:w="1624" w:type="dxa"/>
            <w:noWrap/>
            <w:vAlign w:val="bottom"/>
            <w:hideMark/>
          </w:tcPr>
          <w:p w14:paraId="353909F6" w14:textId="765A9377" w:rsidR="00014D7D" w:rsidRPr="00425A04" w:rsidRDefault="00014D7D" w:rsidP="00425A04">
            <w:pPr>
              <w:spacing w:before="0" w:after="0"/>
              <w:jc w:val="right"/>
              <w:rPr>
                <w:rFonts w:asciiTheme="minorHAnsi" w:hAnsiTheme="minorHAnsi" w:cs="Calibri"/>
                <w:b/>
                <w:color w:val="000000"/>
                <w:sz w:val="22"/>
                <w:szCs w:val="22"/>
              </w:rPr>
            </w:pPr>
            <w:r w:rsidRPr="00425A04">
              <w:rPr>
                <w:color w:val="000000"/>
                <w:sz w:val="22"/>
                <w:szCs w:val="22"/>
              </w:rPr>
              <w:t>71,479</w:t>
            </w:r>
          </w:p>
        </w:tc>
        <w:tc>
          <w:tcPr>
            <w:tcW w:w="1401" w:type="dxa"/>
            <w:noWrap/>
            <w:vAlign w:val="bottom"/>
            <w:hideMark/>
          </w:tcPr>
          <w:p w14:paraId="684000C6" w14:textId="272C8A1E" w:rsidR="00014D7D" w:rsidRPr="00425A04" w:rsidRDefault="00014D7D" w:rsidP="00425A04">
            <w:pPr>
              <w:spacing w:before="0" w:after="0"/>
              <w:jc w:val="right"/>
              <w:rPr>
                <w:rFonts w:asciiTheme="minorHAnsi" w:hAnsiTheme="minorHAnsi" w:cs="Calibri"/>
                <w:b/>
                <w:color w:val="000000"/>
                <w:sz w:val="22"/>
                <w:szCs w:val="22"/>
              </w:rPr>
            </w:pPr>
            <w:r w:rsidRPr="00425A04">
              <w:rPr>
                <w:color w:val="000000"/>
                <w:sz w:val="22"/>
                <w:szCs w:val="22"/>
              </w:rPr>
              <w:t>15,867</w:t>
            </w:r>
          </w:p>
        </w:tc>
      </w:tr>
      <w:tr w:rsidR="0070326E" w:rsidRPr="00425A04" w14:paraId="75112EBF" w14:textId="77777777" w:rsidTr="006B6473">
        <w:trPr>
          <w:trHeight w:val="320"/>
        </w:trPr>
        <w:tc>
          <w:tcPr>
            <w:tcW w:w="4313" w:type="dxa"/>
            <w:noWrap/>
          </w:tcPr>
          <w:p w14:paraId="6896EED1" w14:textId="77777777" w:rsidR="0070326E" w:rsidRPr="00425A04" w:rsidRDefault="0070326E" w:rsidP="00FA273F">
            <w:pPr>
              <w:spacing w:before="0" w:after="0"/>
              <w:rPr>
                <w:rFonts w:asciiTheme="minorHAnsi" w:hAnsiTheme="minorHAnsi" w:cs="Calibri"/>
                <w:b/>
                <w:color w:val="000000"/>
                <w:sz w:val="22"/>
                <w:szCs w:val="22"/>
              </w:rPr>
            </w:pPr>
            <w:r w:rsidRPr="00425A04">
              <w:rPr>
                <w:rFonts w:asciiTheme="minorHAnsi" w:hAnsiTheme="minorHAnsi" w:cs="Calibri"/>
                <w:b/>
                <w:color w:val="000000"/>
                <w:sz w:val="22"/>
                <w:szCs w:val="22"/>
              </w:rPr>
              <w:t>% of population with disability</w:t>
            </w:r>
          </w:p>
        </w:tc>
        <w:tc>
          <w:tcPr>
            <w:tcW w:w="1284" w:type="dxa"/>
            <w:noWrap/>
            <w:vAlign w:val="bottom"/>
          </w:tcPr>
          <w:p w14:paraId="0154AD28" w14:textId="72BB67DA" w:rsidR="0070326E" w:rsidRPr="00425A04" w:rsidRDefault="0070326E" w:rsidP="00425A04">
            <w:pPr>
              <w:spacing w:before="0" w:after="0"/>
              <w:jc w:val="right"/>
              <w:rPr>
                <w:rFonts w:asciiTheme="minorHAnsi" w:hAnsiTheme="minorHAnsi" w:cs="Calibri"/>
                <w:color w:val="000000"/>
                <w:sz w:val="22"/>
                <w:szCs w:val="22"/>
              </w:rPr>
            </w:pPr>
            <w:r w:rsidRPr="00425A04">
              <w:rPr>
                <w:rFonts w:asciiTheme="minorHAnsi" w:hAnsiTheme="minorHAnsi" w:cs="Calibri"/>
                <w:color w:val="000000"/>
                <w:sz w:val="22"/>
                <w:szCs w:val="22"/>
              </w:rPr>
              <w:t>17.</w:t>
            </w:r>
            <w:r w:rsidR="00014D7D" w:rsidRPr="00425A04">
              <w:rPr>
                <w:rFonts w:asciiTheme="minorHAnsi" w:hAnsiTheme="minorHAnsi" w:cs="Calibri"/>
                <w:color w:val="000000"/>
                <w:sz w:val="22"/>
                <w:szCs w:val="22"/>
              </w:rPr>
              <w:t>7</w:t>
            </w:r>
          </w:p>
        </w:tc>
        <w:tc>
          <w:tcPr>
            <w:tcW w:w="1624" w:type="dxa"/>
            <w:noWrap/>
            <w:vAlign w:val="bottom"/>
          </w:tcPr>
          <w:p w14:paraId="28839A38" w14:textId="1A8C16ED" w:rsidR="0070326E" w:rsidRPr="00425A04" w:rsidRDefault="0070326E" w:rsidP="00425A04">
            <w:pPr>
              <w:spacing w:before="0" w:after="0"/>
              <w:jc w:val="right"/>
              <w:rPr>
                <w:rFonts w:asciiTheme="minorHAnsi" w:hAnsiTheme="minorHAnsi" w:cs="Calibri"/>
                <w:color w:val="000000"/>
                <w:sz w:val="22"/>
                <w:szCs w:val="22"/>
              </w:rPr>
            </w:pPr>
            <w:r w:rsidRPr="00425A04">
              <w:rPr>
                <w:rFonts w:asciiTheme="minorHAnsi" w:hAnsiTheme="minorHAnsi" w:cs="Calibri"/>
                <w:color w:val="000000"/>
                <w:sz w:val="22"/>
                <w:szCs w:val="22"/>
              </w:rPr>
              <w:t>19.</w:t>
            </w:r>
            <w:r w:rsidR="00014D7D" w:rsidRPr="00425A04">
              <w:rPr>
                <w:rFonts w:asciiTheme="minorHAnsi" w:hAnsiTheme="minorHAnsi" w:cs="Calibri"/>
                <w:color w:val="000000"/>
                <w:sz w:val="22"/>
                <w:szCs w:val="22"/>
              </w:rPr>
              <w:t>6</w:t>
            </w:r>
          </w:p>
        </w:tc>
        <w:tc>
          <w:tcPr>
            <w:tcW w:w="1401" w:type="dxa"/>
            <w:noWrap/>
            <w:vAlign w:val="bottom"/>
          </w:tcPr>
          <w:p w14:paraId="5BC02325" w14:textId="77777777" w:rsidR="0070326E" w:rsidRPr="00425A04" w:rsidRDefault="0070326E" w:rsidP="00425A04">
            <w:pPr>
              <w:spacing w:before="0" w:after="0"/>
              <w:jc w:val="right"/>
              <w:rPr>
                <w:rFonts w:asciiTheme="minorHAnsi" w:hAnsiTheme="minorHAnsi" w:cs="Calibri"/>
                <w:color w:val="000000"/>
                <w:sz w:val="22"/>
                <w:szCs w:val="22"/>
              </w:rPr>
            </w:pPr>
          </w:p>
        </w:tc>
      </w:tr>
    </w:tbl>
    <w:p w14:paraId="2F3B57EA" w14:textId="77777777" w:rsidR="00D87564" w:rsidRPr="0067297E" w:rsidRDefault="00D87564" w:rsidP="006B6473">
      <w:pPr>
        <w:pStyle w:val="Reporttext"/>
        <w:numPr>
          <w:ilvl w:val="0"/>
          <w:numId w:val="0"/>
        </w:numPr>
        <w:ind w:left="709"/>
        <w:rPr>
          <w:rFonts w:asciiTheme="minorHAnsi" w:hAnsiTheme="minorHAnsi"/>
          <w:sz w:val="20"/>
          <w:lang w:val="en-US"/>
        </w:rPr>
      </w:pPr>
      <w:r w:rsidRPr="0067297E">
        <w:rPr>
          <w:rFonts w:asciiTheme="minorHAnsi" w:hAnsiTheme="minorHAnsi"/>
          <w:sz w:val="20"/>
          <w:lang w:val="en-US"/>
        </w:rPr>
        <w:t>Source: ONS Family Resources Survey 2016/17 and ONS 2016-based population projections</w:t>
      </w:r>
    </w:p>
    <w:p w14:paraId="12A86FAC" w14:textId="77777777" w:rsidR="00D87564" w:rsidRPr="0067297E" w:rsidRDefault="00D87564" w:rsidP="00FA273F">
      <w:pPr>
        <w:pStyle w:val="Reporttext"/>
        <w:numPr>
          <w:ilvl w:val="0"/>
          <w:numId w:val="0"/>
        </w:numPr>
        <w:ind w:left="709"/>
        <w:rPr>
          <w:rFonts w:asciiTheme="minorHAnsi" w:hAnsiTheme="minorHAnsi"/>
          <w:highlight w:val="yellow"/>
          <w:lang w:val="en-US"/>
        </w:rPr>
      </w:pPr>
    </w:p>
    <w:p w14:paraId="62D0CDC8" w14:textId="77777777" w:rsidR="00D87564" w:rsidRPr="0067297E" w:rsidRDefault="00D87564" w:rsidP="00744345">
      <w:pPr>
        <w:pStyle w:val="Heading2"/>
        <w:ind w:left="720" w:hanging="11"/>
        <w:rPr>
          <w:rFonts w:asciiTheme="minorHAnsi" w:hAnsiTheme="minorHAnsi"/>
        </w:rPr>
      </w:pPr>
      <w:bookmarkStart w:id="360" w:name="_Toc391751930"/>
      <w:bookmarkStart w:id="361" w:name="_Toc397250571"/>
      <w:bookmarkStart w:id="362" w:name="_Toc1385771"/>
      <w:bookmarkStart w:id="363" w:name="_Toc23151087"/>
      <w:r w:rsidRPr="0067297E">
        <w:rPr>
          <w:rFonts w:asciiTheme="minorHAnsi" w:hAnsiTheme="minorHAnsi"/>
        </w:rPr>
        <w:t>Benefit claimants - disability living allowance (DLA) by disabling condition</w:t>
      </w:r>
      <w:bookmarkEnd w:id="360"/>
      <w:bookmarkEnd w:id="361"/>
      <w:bookmarkEnd w:id="362"/>
      <w:bookmarkEnd w:id="363"/>
    </w:p>
    <w:p w14:paraId="7F73699D" w14:textId="449165F1" w:rsidR="00D87564" w:rsidRPr="0067297E" w:rsidRDefault="00D87564" w:rsidP="00543A76">
      <w:pPr>
        <w:pStyle w:val="Reporttext"/>
        <w:tabs>
          <w:tab w:val="clear" w:pos="709"/>
        </w:tabs>
        <w:rPr>
          <w:rFonts w:asciiTheme="minorHAnsi" w:hAnsiTheme="minorHAnsi"/>
          <w:lang w:val="en-US"/>
        </w:rPr>
      </w:pPr>
      <w:r w:rsidRPr="0067297E">
        <w:rPr>
          <w:rFonts w:asciiTheme="minorHAnsi" w:hAnsiTheme="minorHAnsi"/>
          <w:lang w:val="en-US"/>
        </w:rPr>
        <w:t>The Department of Work and Pensions (DWP) publishes information about the number of people receiving Disability Living Allowance (D</w:t>
      </w:r>
      <w:r w:rsidR="00BC6D95" w:rsidRPr="0067297E">
        <w:rPr>
          <w:rFonts w:asciiTheme="minorHAnsi" w:hAnsiTheme="minorHAnsi"/>
          <w:lang w:val="en-US"/>
        </w:rPr>
        <w:t>L</w:t>
      </w:r>
      <w:r w:rsidRPr="0067297E">
        <w:rPr>
          <w:rFonts w:asciiTheme="minorHAnsi" w:hAnsiTheme="minorHAnsi"/>
          <w:lang w:val="en-US"/>
        </w:rPr>
        <w:t>A) and the conditions associated with the claim. Table</w:t>
      </w:r>
      <w:r w:rsidR="00F91A82" w:rsidRPr="0067297E">
        <w:rPr>
          <w:rFonts w:asciiTheme="minorHAnsi" w:hAnsiTheme="minorHAnsi"/>
          <w:lang w:val="en-US"/>
        </w:rPr>
        <w:t xml:space="preserve"> </w:t>
      </w:r>
      <w:r w:rsidR="00203E57" w:rsidRPr="0067297E">
        <w:rPr>
          <w:rFonts w:asciiTheme="minorHAnsi" w:hAnsiTheme="minorHAnsi"/>
          <w:lang w:val="en-US"/>
        </w:rPr>
        <w:t>6.</w:t>
      </w:r>
      <w:r w:rsidR="00744345" w:rsidRPr="0067297E">
        <w:rPr>
          <w:rFonts w:asciiTheme="minorHAnsi" w:hAnsiTheme="minorHAnsi"/>
          <w:lang w:val="en-US"/>
        </w:rPr>
        <w:t>12</w:t>
      </w:r>
      <w:r w:rsidRPr="0067297E">
        <w:rPr>
          <w:rFonts w:asciiTheme="minorHAnsi" w:hAnsiTheme="minorHAnsi"/>
          <w:lang w:val="en-US"/>
        </w:rPr>
        <w:t xml:space="preserve"> indicates that 2</w:t>
      </w:r>
      <w:r w:rsidR="00CD4489" w:rsidRPr="0067297E">
        <w:rPr>
          <w:rFonts w:asciiTheme="minorHAnsi" w:hAnsiTheme="minorHAnsi"/>
          <w:lang w:val="en-US"/>
        </w:rPr>
        <w:t>.9</w:t>
      </w:r>
      <w:r w:rsidRPr="0067297E">
        <w:rPr>
          <w:rFonts w:asciiTheme="minorHAnsi" w:hAnsiTheme="minorHAnsi"/>
          <w:lang w:val="en-US"/>
        </w:rPr>
        <w:t xml:space="preserve">% of the </w:t>
      </w:r>
      <w:r w:rsidR="00CD4489" w:rsidRPr="0067297E">
        <w:rPr>
          <w:rFonts w:asciiTheme="minorHAnsi" w:hAnsiTheme="minorHAnsi"/>
          <w:lang w:val="en-US"/>
        </w:rPr>
        <w:t>population receive DLA, with 4.0</w:t>
      </w:r>
      <w:r w:rsidRPr="0067297E">
        <w:rPr>
          <w:rFonts w:asciiTheme="minorHAnsi" w:hAnsiTheme="minorHAnsi"/>
          <w:lang w:val="en-US"/>
        </w:rPr>
        <w:t>% of all residents under 16</w:t>
      </w:r>
      <w:r w:rsidR="00CD4489" w:rsidRPr="0067297E">
        <w:rPr>
          <w:rFonts w:asciiTheme="minorHAnsi" w:hAnsiTheme="minorHAnsi"/>
          <w:lang w:val="en-US"/>
        </w:rPr>
        <w:t>, 4.5% of residents aged 50-64 and 7.6</w:t>
      </w:r>
      <w:r w:rsidRPr="0067297E">
        <w:rPr>
          <w:rFonts w:asciiTheme="minorHAnsi" w:hAnsiTheme="minorHAnsi"/>
          <w:lang w:val="en-US"/>
        </w:rPr>
        <w:t xml:space="preserve">% of all residents aged 65 and over in receipt of DLA. The disabling conditions reported by </w:t>
      </w:r>
      <w:r w:rsidR="00F91A82" w:rsidRPr="0067297E">
        <w:rPr>
          <w:rFonts w:asciiTheme="minorHAnsi" w:hAnsiTheme="minorHAnsi"/>
          <w:lang w:val="en-US"/>
        </w:rPr>
        <w:t>borough</w:t>
      </w:r>
      <w:r w:rsidRPr="0067297E">
        <w:rPr>
          <w:rFonts w:asciiTheme="minorHAnsi" w:hAnsiTheme="minorHAnsi"/>
          <w:lang w:val="en-US"/>
        </w:rPr>
        <w:t xml:space="preserve"> residents in receip</w:t>
      </w:r>
      <w:r w:rsidR="00F91A82" w:rsidRPr="0067297E">
        <w:rPr>
          <w:rFonts w:asciiTheme="minorHAnsi" w:hAnsiTheme="minorHAnsi"/>
          <w:lang w:val="en-US"/>
        </w:rPr>
        <w:t xml:space="preserve">t of DLA are shown in Table </w:t>
      </w:r>
      <w:r w:rsidR="00203E57" w:rsidRPr="0067297E">
        <w:rPr>
          <w:rFonts w:asciiTheme="minorHAnsi" w:hAnsiTheme="minorHAnsi"/>
          <w:lang w:val="en-US"/>
        </w:rPr>
        <w:t>6.1</w:t>
      </w:r>
      <w:r w:rsidR="00744345" w:rsidRPr="0067297E">
        <w:rPr>
          <w:rFonts w:asciiTheme="minorHAnsi" w:hAnsiTheme="minorHAnsi"/>
          <w:lang w:val="en-US"/>
        </w:rPr>
        <w:t>3</w:t>
      </w:r>
      <w:r w:rsidRPr="0067297E">
        <w:rPr>
          <w:rFonts w:asciiTheme="minorHAnsi" w:hAnsiTheme="minorHAnsi"/>
          <w:lang w:val="en-US"/>
        </w:rPr>
        <w:t xml:space="preserve"> and indicates that the most prevalent conditions are learning difficulties</w:t>
      </w:r>
      <w:r w:rsidR="00935821" w:rsidRPr="0067297E">
        <w:rPr>
          <w:rFonts w:asciiTheme="minorHAnsi" w:hAnsiTheme="minorHAnsi"/>
          <w:lang w:val="en-US"/>
        </w:rPr>
        <w:t xml:space="preserve"> and arthritis</w:t>
      </w:r>
      <w:r w:rsidRPr="0067297E">
        <w:rPr>
          <w:rFonts w:asciiTheme="minorHAnsi" w:hAnsiTheme="minorHAnsi"/>
          <w:lang w:val="en-US"/>
        </w:rPr>
        <w:t xml:space="preserve">. </w:t>
      </w:r>
    </w:p>
    <w:p w14:paraId="5F68B900" w14:textId="77777777" w:rsidR="00014D7D" w:rsidRPr="0067297E" w:rsidRDefault="00014D7D" w:rsidP="006C722F">
      <w:pPr>
        <w:pStyle w:val="Reporttext"/>
        <w:numPr>
          <w:ilvl w:val="0"/>
          <w:numId w:val="0"/>
        </w:numPr>
        <w:rPr>
          <w:rFonts w:asciiTheme="minorHAnsi" w:hAnsiTheme="minorHAnsi"/>
          <w:lang w:val="en-US"/>
        </w:rPr>
      </w:pPr>
    </w:p>
    <w:tbl>
      <w:tblPr>
        <w:tblW w:w="7440"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827"/>
        <w:gridCol w:w="1417"/>
        <w:gridCol w:w="1276"/>
        <w:gridCol w:w="1418"/>
        <w:gridCol w:w="1502"/>
      </w:tblGrid>
      <w:tr w:rsidR="00D87564" w:rsidRPr="0067297E" w14:paraId="34CA13B5" w14:textId="77777777" w:rsidTr="00426BD8">
        <w:trPr>
          <w:trHeight w:val="300"/>
          <w:tblHeader/>
        </w:trPr>
        <w:tc>
          <w:tcPr>
            <w:tcW w:w="7440" w:type="dxa"/>
            <w:gridSpan w:val="5"/>
            <w:shd w:val="clear" w:color="auto" w:fill="009999"/>
            <w:noWrap/>
            <w:vAlign w:val="bottom"/>
          </w:tcPr>
          <w:p w14:paraId="62E6369D" w14:textId="23CDC115" w:rsidR="00D87564" w:rsidRPr="0067297E" w:rsidRDefault="00F91A82" w:rsidP="003F4875">
            <w:pPr>
              <w:pStyle w:val="tableheading"/>
              <w:rPr>
                <w:rFonts w:asciiTheme="minorHAnsi" w:hAnsiTheme="minorHAnsi"/>
              </w:rPr>
            </w:pPr>
            <w:bookmarkStart w:id="364" w:name="_Toc397250690"/>
            <w:bookmarkStart w:id="365" w:name="_Toc23151188"/>
            <w:r w:rsidRPr="0067297E">
              <w:rPr>
                <w:rFonts w:asciiTheme="minorHAnsi" w:hAnsiTheme="minorHAnsi"/>
              </w:rPr>
              <w:t xml:space="preserve">Table </w:t>
            </w:r>
            <w:r w:rsidR="00203E57" w:rsidRPr="0067297E">
              <w:rPr>
                <w:rFonts w:asciiTheme="minorHAnsi" w:hAnsiTheme="minorHAnsi"/>
              </w:rPr>
              <w:t>6.</w:t>
            </w:r>
            <w:r w:rsidR="00744345" w:rsidRPr="0067297E">
              <w:rPr>
                <w:rFonts w:asciiTheme="minorHAnsi" w:hAnsiTheme="minorHAnsi"/>
              </w:rPr>
              <w:t>12</w:t>
            </w:r>
            <w:r w:rsidR="00D87564" w:rsidRPr="0067297E">
              <w:rPr>
                <w:rFonts w:asciiTheme="minorHAnsi" w:hAnsiTheme="minorHAnsi"/>
              </w:rPr>
              <w:tab/>
              <w:t>DLA claimants by age group</w:t>
            </w:r>
            <w:bookmarkEnd w:id="364"/>
            <w:bookmarkEnd w:id="365"/>
          </w:p>
        </w:tc>
      </w:tr>
      <w:tr w:rsidR="00D87564" w:rsidRPr="0067297E" w14:paraId="058B9710" w14:textId="77777777" w:rsidTr="00744345">
        <w:trPr>
          <w:trHeight w:val="300"/>
        </w:trPr>
        <w:tc>
          <w:tcPr>
            <w:tcW w:w="1827" w:type="dxa"/>
            <w:shd w:val="clear" w:color="auto" w:fill="009999"/>
            <w:noWrap/>
            <w:vAlign w:val="bottom"/>
            <w:hideMark/>
          </w:tcPr>
          <w:p w14:paraId="4762C518" w14:textId="77777777" w:rsidR="00D87564" w:rsidRPr="0067297E" w:rsidRDefault="00D87564" w:rsidP="00744345">
            <w:pP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Age group</w:t>
            </w:r>
          </w:p>
        </w:tc>
        <w:tc>
          <w:tcPr>
            <w:tcW w:w="1417" w:type="dxa"/>
            <w:shd w:val="clear" w:color="auto" w:fill="009999"/>
            <w:noWrap/>
            <w:vAlign w:val="bottom"/>
            <w:hideMark/>
          </w:tcPr>
          <w:p w14:paraId="3330085B" w14:textId="77777777" w:rsidR="00D87564" w:rsidRPr="0067297E" w:rsidRDefault="00D87564" w:rsidP="00744345">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Number of claimants</w:t>
            </w:r>
          </w:p>
        </w:tc>
        <w:tc>
          <w:tcPr>
            <w:tcW w:w="1276" w:type="dxa"/>
            <w:shd w:val="clear" w:color="auto" w:fill="009999"/>
            <w:noWrap/>
            <w:vAlign w:val="bottom"/>
            <w:hideMark/>
          </w:tcPr>
          <w:p w14:paraId="54BD4E58" w14:textId="77777777" w:rsidR="00D87564" w:rsidRPr="0067297E" w:rsidRDefault="00D87564" w:rsidP="00744345">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 of claimants</w:t>
            </w:r>
          </w:p>
        </w:tc>
        <w:tc>
          <w:tcPr>
            <w:tcW w:w="1418" w:type="dxa"/>
            <w:shd w:val="clear" w:color="auto" w:fill="009999"/>
            <w:noWrap/>
            <w:vAlign w:val="bottom"/>
            <w:hideMark/>
          </w:tcPr>
          <w:p w14:paraId="7D736426" w14:textId="77777777" w:rsidR="00D87564" w:rsidRPr="0067297E" w:rsidRDefault="00D87564" w:rsidP="00744345">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Population 2018 est</w:t>
            </w:r>
          </w:p>
        </w:tc>
        <w:tc>
          <w:tcPr>
            <w:tcW w:w="1502" w:type="dxa"/>
            <w:shd w:val="clear" w:color="auto" w:fill="009999"/>
            <w:noWrap/>
            <w:vAlign w:val="bottom"/>
            <w:hideMark/>
          </w:tcPr>
          <w:p w14:paraId="4ED6125F" w14:textId="77777777" w:rsidR="00D87564" w:rsidRPr="0067297E" w:rsidRDefault="00D87564" w:rsidP="00744345">
            <w:pPr>
              <w:jc w:val="center"/>
              <w:rPr>
                <w:rFonts w:asciiTheme="minorHAnsi" w:hAnsiTheme="minorHAnsi" w:cs="Calibri"/>
                <w:b/>
                <w:color w:val="FFFFFF" w:themeColor="background1"/>
                <w:sz w:val="22"/>
                <w:szCs w:val="22"/>
              </w:rPr>
            </w:pPr>
            <w:r w:rsidRPr="0067297E">
              <w:rPr>
                <w:rFonts w:asciiTheme="minorHAnsi" w:hAnsiTheme="minorHAnsi" w:cs="Calibri"/>
                <w:b/>
                <w:color w:val="FFFFFF" w:themeColor="background1"/>
                <w:sz w:val="22"/>
                <w:szCs w:val="22"/>
              </w:rPr>
              <w:t>% population DLA claimant</w:t>
            </w:r>
          </w:p>
        </w:tc>
      </w:tr>
      <w:tr w:rsidR="00CD4489" w:rsidRPr="0067297E" w14:paraId="1173BDE3" w14:textId="77777777" w:rsidTr="00744345">
        <w:trPr>
          <w:trHeight w:val="300"/>
        </w:trPr>
        <w:tc>
          <w:tcPr>
            <w:tcW w:w="1827" w:type="dxa"/>
            <w:shd w:val="clear" w:color="auto" w:fill="auto"/>
            <w:noWrap/>
            <w:vAlign w:val="bottom"/>
            <w:hideMark/>
          </w:tcPr>
          <w:p w14:paraId="572EFE67" w14:textId="77777777" w:rsidR="00CD4489" w:rsidRPr="0067297E" w:rsidRDefault="00CD4489" w:rsidP="00744345">
            <w:pPr>
              <w:rPr>
                <w:rFonts w:asciiTheme="minorHAnsi" w:hAnsiTheme="minorHAnsi" w:cs="Calibri"/>
                <w:color w:val="000000"/>
                <w:sz w:val="22"/>
                <w:szCs w:val="22"/>
              </w:rPr>
            </w:pPr>
            <w:r w:rsidRPr="0067297E">
              <w:rPr>
                <w:rFonts w:asciiTheme="minorHAnsi" w:hAnsiTheme="minorHAnsi" w:cs="Calibri"/>
                <w:color w:val="000000"/>
                <w:sz w:val="22"/>
                <w:szCs w:val="22"/>
              </w:rPr>
              <w:t>Under 16</w:t>
            </w:r>
          </w:p>
        </w:tc>
        <w:tc>
          <w:tcPr>
            <w:tcW w:w="1417" w:type="dxa"/>
            <w:shd w:val="clear" w:color="auto" w:fill="auto"/>
            <w:noWrap/>
            <w:vAlign w:val="bottom"/>
            <w:hideMark/>
          </w:tcPr>
          <w:p w14:paraId="40E29B19"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2,420</w:t>
            </w:r>
          </w:p>
        </w:tc>
        <w:tc>
          <w:tcPr>
            <w:tcW w:w="1276" w:type="dxa"/>
            <w:shd w:val="clear" w:color="auto" w:fill="auto"/>
            <w:noWrap/>
            <w:vAlign w:val="bottom"/>
            <w:hideMark/>
          </w:tcPr>
          <w:p w14:paraId="5064D437"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27.6</w:t>
            </w:r>
          </w:p>
        </w:tc>
        <w:tc>
          <w:tcPr>
            <w:tcW w:w="1418" w:type="dxa"/>
            <w:shd w:val="clear" w:color="auto" w:fill="auto"/>
            <w:noWrap/>
            <w:vAlign w:val="bottom"/>
          </w:tcPr>
          <w:p w14:paraId="472E1C6B"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60,700</w:t>
            </w:r>
          </w:p>
        </w:tc>
        <w:tc>
          <w:tcPr>
            <w:tcW w:w="1502" w:type="dxa"/>
            <w:shd w:val="clear" w:color="auto" w:fill="auto"/>
            <w:noWrap/>
            <w:vAlign w:val="bottom"/>
          </w:tcPr>
          <w:p w14:paraId="4F0517ED"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4.0</w:t>
            </w:r>
          </w:p>
        </w:tc>
      </w:tr>
      <w:tr w:rsidR="00CD4489" w:rsidRPr="0067297E" w14:paraId="766CA1E0" w14:textId="77777777" w:rsidTr="00744345">
        <w:trPr>
          <w:trHeight w:val="300"/>
        </w:trPr>
        <w:tc>
          <w:tcPr>
            <w:tcW w:w="1827" w:type="dxa"/>
            <w:shd w:val="clear" w:color="auto" w:fill="auto"/>
            <w:noWrap/>
            <w:vAlign w:val="bottom"/>
            <w:hideMark/>
          </w:tcPr>
          <w:p w14:paraId="20485853" w14:textId="77777777" w:rsidR="00CD4489" w:rsidRPr="0067297E" w:rsidRDefault="00CD4489" w:rsidP="00744345">
            <w:pPr>
              <w:rPr>
                <w:rFonts w:asciiTheme="minorHAnsi" w:hAnsiTheme="minorHAnsi" w:cs="Calibri"/>
                <w:color w:val="000000"/>
                <w:sz w:val="22"/>
                <w:szCs w:val="22"/>
              </w:rPr>
            </w:pPr>
            <w:r w:rsidRPr="0067297E">
              <w:rPr>
                <w:rFonts w:asciiTheme="minorHAnsi" w:hAnsiTheme="minorHAnsi" w:cs="Calibri"/>
                <w:color w:val="000000"/>
                <w:sz w:val="22"/>
                <w:szCs w:val="22"/>
              </w:rPr>
              <w:t>16-24</w:t>
            </w:r>
          </w:p>
        </w:tc>
        <w:tc>
          <w:tcPr>
            <w:tcW w:w="1417" w:type="dxa"/>
            <w:shd w:val="clear" w:color="auto" w:fill="auto"/>
            <w:noWrap/>
            <w:vAlign w:val="bottom"/>
            <w:hideMark/>
          </w:tcPr>
          <w:p w14:paraId="12713E19"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420</w:t>
            </w:r>
          </w:p>
        </w:tc>
        <w:tc>
          <w:tcPr>
            <w:tcW w:w="1276" w:type="dxa"/>
            <w:shd w:val="clear" w:color="auto" w:fill="auto"/>
            <w:noWrap/>
            <w:vAlign w:val="bottom"/>
            <w:hideMark/>
          </w:tcPr>
          <w:p w14:paraId="1D6805AC"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4.8</w:t>
            </w:r>
          </w:p>
        </w:tc>
        <w:tc>
          <w:tcPr>
            <w:tcW w:w="1418" w:type="dxa"/>
            <w:shd w:val="clear" w:color="auto" w:fill="auto"/>
            <w:noWrap/>
            <w:vAlign w:val="bottom"/>
          </w:tcPr>
          <w:p w14:paraId="3AAE60FD"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33,400</w:t>
            </w:r>
          </w:p>
        </w:tc>
        <w:tc>
          <w:tcPr>
            <w:tcW w:w="1502" w:type="dxa"/>
            <w:shd w:val="clear" w:color="auto" w:fill="auto"/>
            <w:noWrap/>
            <w:vAlign w:val="bottom"/>
          </w:tcPr>
          <w:p w14:paraId="4ECBAB04"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1.3</w:t>
            </w:r>
          </w:p>
        </w:tc>
      </w:tr>
      <w:tr w:rsidR="00CD4489" w:rsidRPr="0067297E" w14:paraId="465F106F" w14:textId="77777777" w:rsidTr="00744345">
        <w:trPr>
          <w:trHeight w:val="300"/>
        </w:trPr>
        <w:tc>
          <w:tcPr>
            <w:tcW w:w="1827" w:type="dxa"/>
            <w:shd w:val="clear" w:color="auto" w:fill="auto"/>
            <w:noWrap/>
            <w:vAlign w:val="bottom"/>
            <w:hideMark/>
          </w:tcPr>
          <w:p w14:paraId="408AFE05" w14:textId="77777777" w:rsidR="00CD4489" w:rsidRPr="0067297E" w:rsidRDefault="00CD4489" w:rsidP="00744345">
            <w:pPr>
              <w:rPr>
                <w:rFonts w:asciiTheme="minorHAnsi" w:hAnsiTheme="minorHAnsi" w:cs="Calibri"/>
                <w:color w:val="000000"/>
                <w:sz w:val="22"/>
                <w:szCs w:val="22"/>
              </w:rPr>
            </w:pPr>
            <w:r w:rsidRPr="0067297E">
              <w:rPr>
                <w:rFonts w:asciiTheme="minorHAnsi" w:hAnsiTheme="minorHAnsi" w:cs="Calibri"/>
                <w:color w:val="000000"/>
                <w:sz w:val="22"/>
                <w:szCs w:val="22"/>
              </w:rPr>
              <w:t>25-49</w:t>
            </w:r>
          </w:p>
        </w:tc>
        <w:tc>
          <w:tcPr>
            <w:tcW w:w="1417" w:type="dxa"/>
            <w:shd w:val="clear" w:color="auto" w:fill="auto"/>
            <w:noWrap/>
            <w:vAlign w:val="bottom"/>
            <w:hideMark/>
          </w:tcPr>
          <w:p w14:paraId="2F3FD22B"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1,600</w:t>
            </w:r>
          </w:p>
        </w:tc>
        <w:tc>
          <w:tcPr>
            <w:tcW w:w="1276" w:type="dxa"/>
            <w:shd w:val="clear" w:color="auto" w:fill="auto"/>
            <w:noWrap/>
            <w:vAlign w:val="bottom"/>
            <w:hideMark/>
          </w:tcPr>
          <w:p w14:paraId="3E6E98FB"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18.2</w:t>
            </w:r>
          </w:p>
        </w:tc>
        <w:tc>
          <w:tcPr>
            <w:tcW w:w="1418" w:type="dxa"/>
            <w:shd w:val="clear" w:color="auto" w:fill="auto"/>
            <w:noWrap/>
            <w:vAlign w:val="bottom"/>
          </w:tcPr>
          <w:p w14:paraId="33EFBB76"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136,400</w:t>
            </w:r>
          </w:p>
        </w:tc>
        <w:tc>
          <w:tcPr>
            <w:tcW w:w="1502" w:type="dxa"/>
            <w:shd w:val="clear" w:color="auto" w:fill="auto"/>
            <w:noWrap/>
            <w:vAlign w:val="bottom"/>
          </w:tcPr>
          <w:p w14:paraId="0EF77563"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1.2</w:t>
            </w:r>
          </w:p>
        </w:tc>
      </w:tr>
      <w:tr w:rsidR="00CD4489" w:rsidRPr="0067297E" w14:paraId="32C7E9A4" w14:textId="77777777" w:rsidTr="00744345">
        <w:trPr>
          <w:trHeight w:val="300"/>
        </w:trPr>
        <w:tc>
          <w:tcPr>
            <w:tcW w:w="1827" w:type="dxa"/>
            <w:shd w:val="clear" w:color="auto" w:fill="auto"/>
            <w:noWrap/>
            <w:vAlign w:val="bottom"/>
            <w:hideMark/>
          </w:tcPr>
          <w:p w14:paraId="48065860" w14:textId="77777777" w:rsidR="00CD4489" w:rsidRPr="0067297E" w:rsidRDefault="00CD4489" w:rsidP="00744345">
            <w:pPr>
              <w:rPr>
                <w:rFonts w:asciiTheme="minorHAnsi" w:hAnsiTheme="minorHAnsi" w:cs="Calibri"/>
                <w:color w:val="000000"/>
                <w:sz w:val="22"/>
                <w:szCs w:val="22"/>
              </w:rPr>
            </w:pPr>
            <w:r w:rsidRPr="0067297E">
              <w:rPr>
                <w:rFonts w:asciiTheme="minorHAnsi" w:hAnsiTheme="minorHAnsi" w:cs="Calibri"/>
                <w:color w:val="000000"/>
                <w:sz w:val="22"/>
                <w:szCs w:val="22"/>
              </w:rPr>
              <w:t>50-64</w:t>
            </w:r>
          </w:p>
        </w:tc>
        <w:tc>
          <w:tcPr>
            <w:tcW w:w="1417" w:type="dxa"/>
            <w:shd w:val="clear" w:color="auto" w:fill="auto"/>
            <w:noWrap/>
            <w:vAlign w:val="bottom"/>
            <w:hideMark/>
          </w:tcPr>
          <w:p w14:paraId="367943DA"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2,170</w:t>
            </w:r>
          </w:p>
        </w:tc>
        <w:tc>
          <w:tcPr>
            <w:tcW w:w="1276" w:type="dxa"/>
            <w:shd w:val="clear" w:color="auto" w:fill="auto"/>
            <w:noWrap/>
            <w:vAlign w:val="bottom"/>
            <w:hideMark/>
          </w:tcPr>
          <w:p w14:paraId="652CC807"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24.7</w:t>
            </w:r>
          </w:p>
        </w:tc>
        <w:tc>
          <w:tcPr>
            <w:tcW w:w="1418" w:type="dxa"/>
            <w:shd w:val="clear" w:color="auto" w:fill="auto"/>
            <w:noWrap/>
            <w:vAlign w:val="bottom"/>
          </w:tcPr>
          <w:p w14:paraId="0202997A"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48,100</w:t>
            </w:r>
          </w:p>
        </w:tc>
        <w:tc>
          <w:tcPr>
            <w:tcW w:w="1502" w:type="dxa"/>
            <w:shd w:val="clear" w:color="auto" w:fill="auto"/>
            <w:noWrap/>
            <w:vAlign w:val="bottom"/>
          </w:tcPr>
          <w:p w14:paraId="38C68422"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4.5</w:t>
            </w:r>
          </w:p>
        </w:tc>
      </w:tr>
      <w:tr w:rsidR="00CD4489" w:rsidRPr="0067297E" w14:paraId="2032166A" w14:textId="77777777" w:rsidTr="00744345">
        <w:trPr>
          <w:trHeight w:val="300"/>
        </w:trPr>
        <w:tc>
          <w:tcPr>
            <w:tcW w:w="1827" w:type="dxa"/>
            <w:shd w:val="clear" w:color="auto" w:fill="auto"/>
            <w:noWrap/>
            <w:vAlign w:val="bottom"/>
            <w:hideMark/>
          </w:tcPr>
          <w:p w14:paraId="3A5B0887" w14:textId="77777777" w:rsidR="00CD4489" w:rsidRPr="0067297E" w:rsidRDefault="00CD4489" w:rsidP="00744345">
            <w:pPr>
              <w:rPr>
                <w:rFonts w:asciiTheme="minorHAnsi" w:hAnsiTheme="minorHAnsi" w:cs="Calibri"/>
                <w:color w:val="000000"/>
                <w:sz w:val="22"/>
                <w:szCs w:val="22"/>
              </w:rPr>
            </w:pPr>
            <w:r w:rsidRPr="0067297E">
              <w:rPr>
                <w:rFonts w:asciiTheme="minorHAnsi" w:hAnsiTheme="minorHAnsi" w:cs="Calibri"/>
                <w:color w:val="000000"/>
                <w:sz w:val="22"/>
                <w:szCs w:val="22"/>
              </w:rPr>
              <w:t>65 and over</w:t>
            </w:r>
          </w:p>
        </w:tc>
        <w:tc>
          <w:tcPr>
            <w:tcW w:w="1417" w:type="dxa"/>
            <w:shd w:val="clear" w:color="auto" w:fill="auto"/>
            <w:noWrap/>
            <w:vAlign w:val="bottom"/>
            <w:hideMark/>
          </w:tcPr>
          <w:p w14:paraId="5162F59D"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2,170</w:t>
            </w:r>
          </w:p>
        </w:tc>
        <w:tc>
          <w:tcPr>
            <w:tcW w:w="1276" w:type="dxa"/>
            <w:shd w:val="clear" w:color="auto" w:fill="auto"/>
            <w:noWrap/>
            <w:vAlign w:val="bottom"/>
            <w:hideMark/>
          </w:tcPr>
          <w:p w14:paraId="5C756851"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24.7</w:t>
            </w:r>
          </w:p>
        </w:tc>
        <w:tc>
          <w:tcPr>
            <w:tcW w:w="1418" w:type="dxa"/>
            <w:shd w:val="clear" w:color="auto" w:fill="auto"/>
            <w:noWrap/>
            <w:vAlign w:val="bottom"/>
          </w:tcPr>
          <w:p w14:paraId="1F2FD4ED"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28,500</w:t>
            </w:r>
          </w:p>
        </w:tc>
        <w:tc>
          <w:tcPr>
            <w:tcW w:w="1502" w:type="dxa"/>
            <w:shd w:val="clear" w:color="auto" w:fill="auto"/>
            <w:noWrap/>
            <w:vAlign w:val="bottom"/>
          </w:tcPr>
          <w:p w14:paraId="09085859"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7.6</w:t>
            </w:r>
          </w:p>
        </w:tc>
      </w:tr>
      <w:tr w:rsidR="00CD4489" w:rsidRPr="0067297E" w14:paraId="0E02CFF1" w14:textId="77777777" w:rsidTr="00744345">
        <w:trPr>
          <w:trHeight w:val="300"/>
        </w:trPr>
        <w:tc>
          <w:tcPr>
            <w:tcW w:w="1827" w:type="dxa"/>
            <w:shd w:val="clear" w:color="auto" w:fill="auto"/>
            <w:noWrap/>
            <w:vAlign w:val="bottom"/>
            <w:hideMark/>
          </w:tcPr>
          <w:p w14:paraId="3C92B04F" w14:textId="77777777" w:rsidR="00CD4489" w:rsidRPr="0067297E" w:rsidRDefault="00CD4489" w:rsidP="00744345">
            <w:pPr>
              <w:rPr>
                <w:rFonts w:asciiTheme="minorHAnsi" w:hAnsiTheme="minorHAnsi" w:cs="Calibri"/>
                <w:color w:val="000000"/>
                <w:sz w:val="22"/>
                <w:szCs w:val="22"/>
              </w:rPr>
            </w:pPr>
            <w:r w:rsidRPr="0067297E">
              <w:rPr>
                <w:rFonts w:asciiTheme="minorHAnsi" w:hAnsiTheme="minorHAnsi" w:cs="Calibri"/>
                <w:color w:val="000000"/>
                <w:sz w:val="22"/>
                <w:szCs w:val="22"/>
              </w:rPr>
              <w:t>Total</w:t>
            </w:r>
          </w:p>
        </w:tc>
        <w:tc>
          <w:tcPr>
            <w:tcW w:w="1417" w:type="dxa"/>
            <w:shd w:val="clear" w:color="auto" w:fill="auto"/>
            <w:noWrap/>
            <w:vAlign w:val="bottom"/>
            <w:hideMark/>
          </w:tcPr>
          <w:p w14:paraId="62828B55"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8,780</w:t>
            </w:r>
          </w:p>
        </w:tc>
        <w:tc>
          <w:tcPr>
            <w:tcW w:w="1276" w:type="dxa"/>
            <w:shd w:val="clear" w:color="auto" w:fill="auto"/>
            <w:noWrap/>
            <w:vAlign w:val="bottom"/>
            <w:hideMark/>
          </w:tcPr>
          <w:p w14:paraId="45282467"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100.0</w:t>
            </w:r>
          </w:p>
        </w:tc>
        <w:tc>
          <w:tcPr>
            <w:tcW w:w="1418" w:type="dxa"/>
            <w:shd w:val="clear" w:color="auto" w:fill="auto"/>
            <w:noWrap/>
            <w:vAlign w:val="bottom"/>
          </w:tcPr>
          <w:p w14:paraId="30096C2B"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307,100</w:t>
            </w:r>
          </w:p>
        </w:tc>
        <w:tc>
          <w:tcPr>
            <w:tcW w:w="1502" w:type="dxa"/>
            <w:shd w:val="clear" w:color="auto" w:fill="auto"/>
            <w:noWrap/>
            <w:vAlign w:val="bottom"/>
          </w:tcPr>
          <w:p w14:paraId="748784E9" w14:textId="77777777" w:rsidR="00CD4489" w:rsidRPr="0067297E" w:rsidRDefault="00CD4489" w:rsidP="00425A04">
            <w:pPr>
              <w:jc w:val="right"/>
              <w:rPr>
                <w:rFonts w:asciiTheme="minorHAnsi" w:hAnsiTheme="minorHAnsi" w:cs="Calibri"/>
                <w:color w:val="000000"/>
                <w:sz w:val="22"/>
                <w:szCs w:val="22"/>
              </w:rPr>
            </w:pPr>
            <w:r w:rsidRPr="0067297E">
              <w:rPr>
                <w:rFonts w:asciiTheme="minorHAnsi" w:hAnsiTheme="minorHAnsi" w:cs="Calibri"/>
                <w:sz w:val="22"/>
                <w:szCs w:val="22"/>
              </w:rPr>
              <w:t>2.9</w:t>
            </w:r>
          </w:p>
        </w:tc>
      </w:tr>
    </w:tbl>
    <w:p w14:paraId="1CEFF63E" w14:textId="77777777" w:rsidR="00D87564" w:rsidRPr="0067297E" w:rsidRDefault="00CD4489" w:rsidP="00FA273F">
      <w:pPr>
        <w:pStyle w:val="Reporttext"/>
        <w:numPr>
          <w:ilvl w:val="0"/>
          <w:numId w:val="0"/>
        </w:numPr>
        <w:ind w:left="709" w:hanging="709"/>
        <w:rPr>
          <w:rFonts w:asciiTheme="minorHAnsi" w:hAnsiTheme="minorHAnsi"/>
          <w:sz w:val="20"/>
          <w:lang w:val="en-US"/>
        </w:rPr>
      </w:pPr>
      <w:r w:rsidRPr="0067297E">
        <w:rPr>
          <w:rFonts w:asciiTheme="minorHAnsi" w:hAnsiTheme="minorHAnsi"/>
          <w:sz w:val="20"/>
          <w:lang w:val="en-US"/>
        </w:rPr>
        <w:tab/>
      </w:r>
      <w:r w:rsidR="00D87564" w:rsidRPr="0067297E">
        <w:rPr>
          <w:rFonts w:asciiTheme="minorHAnsi" w:hAnsiTheme="minorHAnsi"/>
          <w:sz w:val="20"/>
          <w:lang w:val="en-US"/>
        </w:rPr>
        <w:t xml:space="preserve">Source: NOMIS </w:t>
      </w:r>
    </w:p>
    <w:p w14:paraId="22DDC57D" w14:textId="0E2FDF80" w:rsidR="00D87564" w:rsidRDefault="00D87564" w:rsidP="00744345">
      <w:pPr>
        <w:autoSpaceDE w:val="0"/>
        <w:autoSpaceDN w:val="0"/>
        <w:adjustRightInd w:val="0"/>
        <w:rPr>
          <w:rFonts w:asciiTheme="minorHAnsi" w:hAnsiTheme="minorHAnsi" w:cs="Arial"/>
          <w:color w:val="000000"/>
          <w:sz w:val="23"/>
          <w:szCs w:val="23"/>
          <w:highlight w:val="yellow"/>
          <w:lang w:val="en-US"/>
        </w:rPr>
      </w:pPr>
    </w:p>
    <w:p w14:paraId="5DB30C93" w14:textId="77777777" w:rsidR="00A71E43" w:rsidRPr="0067297E" w:rsidRDefault="00A71E43" w:rsidP="00744345">
      <w:pPr>
        <w:autoSpaceDE w:val="0"/>
        <w:autoSpaceDN w:val="0"/>
        <w:adjustRightInd w:val="0"/>
        <w:rPr>
          <w:rFonts w:asciiTheme="minorHAnsi" w:hAnsiTheme="minorHAnsi" w:cs="Arial"/>
          <w:color w:val="000000"/>
          <w:sz w:val="23"/>
          <w:szCs w:val="23"/>
          <w:highlight w:val="yellow"/>
          <w:lang w:val="en-US"/>
        </w:rPr>
      </w:pPr>
    </w:p>
    <w:p w14:paraId="5D9DE280" w14:textId="00A97570" w:rsidR="00744345" w:rsidRPr="0067297E" w:rsidRDefault="00744345">
      <w:pPr>
        <w:rPr>
          <w:rFonts w:asciiTheme="minorHAnsi" w:hAnsiTheme="minorHAnsi" w:cs="Arial"/>
          <w:color w:val="000000"/>
          <w:sz w:val="23"/>
          <w:szCs w:val="23"/>
          <w:highlight w:val="yellow"/>
          <w:lang w:val="en-US"/>
        </w:rPr>
      </w:pPr>
    </w:p>
    <w:tbl>
      <w:tblPr>
        <w:tblW w:w="5000" w:type="pct"/>
        <w:tblLook w:val="04A0" w:firstRow="1" w:lastRow="0" w:firstColumn="1" w:lastColumn="0" w:noHBand="0" w:noVBand="1"/>
      </w:tblPr>
      <w:tblGrid>
        <w:gridCol w:w="6311"/>
        <w:gridCol w:w="754"/>
        <w:gridCol w:w="717"/>
        <w:gridCol w:w="717"/>
        <w:gridCol w:w="683"/>
      </w:tblGrid>
      <w:tr w:rsidR="00D87564" w:rsidRPr="0067297E" w14:paraId="3AAB9D85" w14:textId="77777777" w:rsidTr="00426BD8">
        <w:trPr>
          <w:trHeight w:val="300"/>
          <w:tblHeader/>
        </w:trPr>
        <w:tc>
          <w:tcPr>
            <w:tcW w:w="5000" w:type="pct"/>
            <w:gridSpan w:val="5"/>
            <w:tcBorders>
              <w:top w:val="single" w:sz="4" w:space="0" w:color="006666"/>
              <w:left w:val="single" w:sz="4" w:space="0" w:color="006666"/>
              <w:bottom w:val="single" w:sz="4" w:space="0" w:color="006666"/>
              <w:right w:val="single" w:sz="4" w:space="0" w:color="006666"/>
            </w:tcBorders>
            <w:shd w:val="clear" w:color="auto" w:fill="009999"/>
            <w:vAlign w:val="center"/>
          </w:tcPr>
          <w:p w14:paraId="30EE226E" w14:textId="4D81F8BA" w:rsidR="00D87564" w:rsidRPr="0067297E" w:rsidRDefault="00F91A82" w:rsidP="003F4875">
            <w:pPr>
              <w:pStyle w:val="tableheading"/>
              <w:rPr>
                <w:rFonts w:asciiTheme="minorHAnsi" w:hAnsiTheme="minorHAnsi"/>
              </w:rPr>
            </w:pPr>
            <w:bookmarkStart w:id="366" w:name="_Toc397250691"/>
            <w:bookmarkStart w:id="367" w:name="_Toc23151189"/>
            <w:r w:rsidRPr="0067297E">
              <w:rPr>
                <w:rFonts w:asciiTheme="minorHAnsi" w:hAnsiTheme="minorHAnsi"/>
              </w:rPr>
              <w:t xml:space="preserve">Table </w:t>
            </w:r>
            <w:r w:rsidR="00203E57" w:rsidRPr="0067297E">
              <w:rPr>
                <w:rFonts w:asciiTheme="minorHAnsi" w:hAnsiTheme="minorHAnsi"/>
              </w:rPr>
              <w:t>6.1</w:t>
            </w:r>
            <w:r w:rsidR="00744345" w:rsidRPr="0067297E">
              <w:rPr>
                <w:rFonts w:asciiTheme="minorHAnsi" w:hAnsiTheme="minorHAnsi"/>
              </w:rPr>
              <w:t>3</w:t>
            </w:r>
            <w:r w:rsidR="00D87564" w:rsidRPr="0067297E">
              <w:rPr>
                <w:rFonts w:asciiTheme="minorHAnsi" w:hAnsiTheme="minorHAnsi"/>
              </w:rPr>
              <w:tab/>
              <w:t>DLA claimants by disabling condition</w:t>
            </w:r>
            <w:bookmarkEnd w:id="366"/>
            <w:bookmarkEnd w:id="367"/>
          </w:p>
        </w:tc>
      </w:tr>
      <w:tr w:rsidR="00744345" w:rsidRPr="0067297E" w14:paraId="7A1A6120" w14:textId="77777777" w:rsidTr="005012D6">
        <w:trPr>
          <w:trHeight w:val="300"/>
        </w:trPr>
        <w:tc>
          <w:tcPr>
            <w:tcW w:w="2699" w:type="pct"/>
            <w:vMerge w:val="restart"/>
            <w:tcBorders>
              <w:top w:val="single" w:sz="4" w:space="0" w:color="006666"/>
              <w:left w:val="single" w:sz="4" w:space="0" w:color="006666"/>
              <w:right w:val="single" w:sz="4" w:space="0" w:color="006666"/>
            </w:tcBorders>
            <w:shd w:val="clear" w:color="auto" w:fill="009999"/>
            <w:vAlign w:val="bottom"/>
            <w:hideMark/>
          </w:tcPr>
          <w:p w14:paraId="64C6BCB3" w14:textId="1A423119" w:rsidR="00744345" w:rsidRPr="0067297E" w:rsidRDefault="00744345" w:rsidP="00744345">
            <w:pP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Disabling Condition </w:t>
            </w:r>
          </w:p>
        </w:tc>
        <w:tc>
          <w:tcPr>
            <w:tcW w:w="2301" w:type="pct"/>
            <w:gridSpan w:val="4"/>
            <w:tcBorders>
              <w:top w:val="single" w:sz="4" w:space="0" w:color="006666"/>
              <w:left w:val="single" w:sz="4" w:space="0" w:color="006666"/>
              <w:bottom w:val="single" w:sz="4" w:space="0" w:color="006666"/>
              <w:right w:val="single" w:sz="4" w:space="0" w:color="006666"/>
            </w:tcBorders>
            <w:shd w:val="clear" w:color="auto" w:fill="009999"/>
            <w:noWrap/>
            <w:vAlign w:val="bottom"/>
            <w:hideMark/>
          </w:tcPr>
          <w:p w14:paraId="37420083" w14:textId="77777777" w:rsidR="00744345" w:rsidRPr="0067297E" w:rsidRDefault="00744345" w:rsidP="00744345">
            <w:pPr>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Age Group</w:t>
            </w:r>
          </w:p>
        </w:tc>
      </w:tr>
      <w:tr w:rsidR="00744345" w:rsidRPr="0067297E" w14:paraId="2A05D725" w14:textId="77777777" w:rsidTr="005012D6">
        <w:trPr>
          <w:trHeight w:val="480"/>
        </w:trPr>
        <w:tc>
          <w:tcPr>
            <w:tcW w:w="2699" w:type="pct"/>
            <w:vMerge/>
            <w:tcBorders>
              <w:left w:val="single" w:sz="4" w:space="0" w:color="006666"/>
              <w:bottom w:val="single" w:sz="4" w:space="0" w:color="006666"/>
              <w:right w:val="single" w:sz="4" w:space="0" w:color="006666"/>
            </w:tcBorders>
            <w:shd w:val="clear" w:color="auto" w:fill="009999"/>
            <w:vAlign w:val="center"/>
            <w:hideMark/>
          </w:tcPr>
          <w:p w14:paraId="610D0A06" w14:textId="2F07A881" w:rsidR="00744345" w:rsidRPr="0067297E" w:rsidRDefault="00744345" w:rsidP="00744345">
            <w:pPr>
              <w:jc w:val="center"/>
              <w:rPr>
                <w:rFonts w:asciiTheme="minorHAnsi" w:hAnsiTheme="minorHAnsi" w:cs="Calibri"/>
                <w:b/>
                <w:bCs/>
                <w:color w:val="FFFFFF" w:themeColor="background1"/>
                <w:sz w:val="22"/>
                <w:szCs w:val="22"/>
              </w:rPr>
            </w:pPr>
          </w:p>
        </w:tc>
        <w:tc>
          <w:tcPr>
            <w:tcW w:w="695" w:type="pct"/>
            <w:tcBorders>
              <w:top w:val="single" w:sz="4" w:space="0" w:color="006666"/>
              <w:left w:val="single" w:sz="4" w:space="0" w:color="006666"/>
              <w:bottom w:val="single" w:sz="4" w:space="0" w:color="006666"/>
              <w:right w:val="single" w:sz="4" w:space="0" w:color="006666"/>
            </w:tcBorders>
            <w:shd w:val="clear" w:color="auto" w:fill="009999"/>
            <w:vAlign w:val="bottom"/>
            <w:hideMark/>
          </w:tcPr>
          <w:p w14:paraId="4C467CB1" w14:textId="77777777" w:rsidR="00744345" w:rsidRPr="0067297E" w:rsidRDefault="00744345" w:rsidP="00744345">
            <w:pPr>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&lt;65</w:t>
            </w:r>
          </w:p>
        </w:tc>
        <w:tc>
          <w:tcPr>
            <w:tcW w:w="540" w:type="pct"/>
            <w:tcBorders>
              <w:top w:val="single" w:sz="4" w:space="0" w:color="006666"/>
              <w:left w:val="single" w:sz="4" w:space="0" w:color="006666"/>
              <w:bottom w:val="single" w:sz="4" w:space="0" w:color="006666"/>
              <w:right w:val="single" w:sz="4" w:space="0" w:color="006666"/>
            </w:tcBorders>
            <w:shd w:val="clear" w:color="auto" w:fill="009999"/>
            <w:vAlign w:val="bottom"/>
            <w:hideMark/>
          </w:tcPr>
          <w:p w14:paraId="472A7D73" w14:textId="77777777" w:rsidR="00744345" w:rsidRPr="0067297E" w:rsidRDefault="00744345" w:rsidP="00744345">
            <w:pPr>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65+</w:t>
            </w:r>
          </w:p>
        </w:tc>
        <w:tc>
          <w:tcPr>
            <w:tcW w:w="540" w:type="pct"/>
            <w:tcBorders>
              <w:top w:val="single" w:sz="4" w:space="0" w:color="006666"/>
              <w:left w:val="single" w:sz="4" w:space="0" w:color="006666"/>
              <w:bottom w:val="single" w:sz="4" w:space="0" w:color="006666"/>
              <w:right w:val="single" w:sz="4" w:space="0" w:color="006666"/>
            </w:tcBorders>
            <w:shd w:val="clear" w:color="auto" w:fill="009999"/>
            <w:vAlign w:val="bottom"/>
            <w:hideMark/>
          </w:tcPr>
          <w:p w14:paraId="441B74E0" w14:textId="77777777" w:rsidR="00744345" w:rsidRPr="0067297E" w:rsidRDefault="00744345" w:rsidP="00744345">
            <w:pPr>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Total</w:t>
            </w:r>
          </w:p>
        </w:tc>
        <w:tc>
          <w:tcPr>
            <w:tcW w:w="526" w:type="pct"/>
            <w:tcBorders>
              <w:top w:val="single" w:sz="4" w:space="0" w:color="006666"/>
              <w:left w:val="single" w:sz="4" w:space="0" w:color="006666"/>
              <w:bottom w:val="single" w:sz="4" w:space="0" w:color="006666"/>
              <w:right w:val="single" w:sz="4" w:space="0" w:color="006666"/>
            </w:tcBorders>
            <w:shd w:val="clear" w:color="auto" w:fill="009999"/>
            <w:vAlign w:val="bottom"/>
            <w:hideMark/>
          </w:tcPr>
          <w:p w14:paraId="6C5F95E1" w14:textId="77777777" w:rsidR="00744345" w:rsidRPr="0067297E" w:rsidRDefault="00744345" w:rsidP="00744345">
            <w:pPr>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Total %</w:t>
            </w:r>
          </w:p>
        </w:tc>
      </w:tr>
      <w:tr w:rsidR="00935821" w:rsidRPr="0067297E" w14:paraId="065246FC"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3D1B6A67"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Total</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FCDC197"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6,610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388A554"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2,170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C3B81CC"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8,780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1EF59BB" w14:textId="77777777" w:rsidR="00935821" w:rsidRPr="0067297E" w:rsidRDefault="00935821" w:rsidP="00425A04">
            <w:pPr>
              <w:jc w:val="right"/>
              <w:rPr>
                <w:rFonts w:asciiTheme="minorHAnsi" w:hAnsiTheme="minorHAnsi" w:cs="Calibri"/>
                <w:color w:val="000000"/>
                <w:sz w:val="22"/>
                <w:szCs w:val="22"/>
                <w:highlight w:val="yellow"/>
              </w:rPr>
            </w:pPr>
          </w:p>
        </w:tc>
      </w:tr>
      <w:tr w:rsidR="00935821" w:rsidRPr="0067297E" w14:paraId="2D17FAEE"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1D79E254"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Learning Difficulties</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67EC6D81"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2,260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431E885"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50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39B21D6B"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2,310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11F6951"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26.3</w:t>
            </w:r>
          </w:p>
        </w:tc>
      </w:tr>
      <w:tr w:rsidR="00935821" w:rsidRPr="0067297E" w14:paraId="735FE7F4"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C024047"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Arthritis</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4D688B2B"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310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3EAFC8A0"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700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8B075BE"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1,010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4A1EF23"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11.5</w:t>
            </w:r>
          </w:p>
        </w:tc>
      </w:tr>
      <w:tr w:rsidR="00935821" w:rsidRPr="0067297E" w14:paraId="61B8106F"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41527E77"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Psychosis</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14CA7AC4"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810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36D47B62"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140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108E31B3"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950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3A15645D"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10.8</w:t>
            </w:r>
          </w:p>
        </w:tc>
      </w:tr>
      <w:tr w:rsidR="00935821" w:rsidRPr="0067297E" w14:paraId="180821F7"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6D5B6B8E"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Disease of the Muscles, Bones or Joints</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673A22BD"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250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3C53AC1D"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150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0FEAD3F"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400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5494C7C"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4.6</w:t>
            </w:r>
          </w:p>
        </w:tc>
      </w:tr>
      <w:tr w:rsidR="00935821" w:rsidRPr="0067297E" w14:paraId="76C0FAE4"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B0BD062"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Back pain - other / Precise diagnosis not Specified</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F45F64C"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200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1A06B261"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110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DF5F4E1"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310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FC013B6"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3.5</w:t>
            </w:r>
          </w:p>
        </w:tc>
      </w:tr>
      <w:tr w:rsidR="00935821" w:rsidRPr="0067297E" w14:paraId="1230C4AD"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6465EB7F"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Psychoneurosis</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35084BEB"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240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1A55359D"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70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1F68733"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310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9AD8E15"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3.5</w:t>
            </w:r>
          </w:p>
        </w:tc>
      </w:tr>
      <w:tr w:rsidR="00935821" w:rsidRPr="0067297E" w14:paraId="60D2452D"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3F5DCDD"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Neurological Diseases</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3A26F715"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250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3E1B095"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40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43FF057"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290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3F3F387"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3.3</w:t>
            </w:r>
          </w:p>
        </w:tc>
      </w:tr>
      <w:tr w:rsidR="00935821" w:rsidRPr="0067297E" w14:paraId="387E92AA"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DB4C5F5"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Unknown / Transfer from Attendance Allowance</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1B1B3673"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220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E04A9B9"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60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13F01725"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280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CB4A082"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3.2</w:t>
            </w:r>
          </w:p>
        </w:tc>
      </w:tr>
      <w:tr w:rsidR="00935821" w:rsidRPr="0067297E" w14:paraId="4D8EA9E0"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6ACD4BE9"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Blindness</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60E626C6"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150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86A60F4"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70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416677B"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220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A8C9076"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2.5</w:t>
            </w:r>
          </w:p>
        </w:tc>
      </w:tr>
      <w:tr w:rsidR="00935821" w:rsidRPr="0067297E" w14:paraId="233EE121"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517DA40"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Cerebrovascular Disease</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F1CCE53"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90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F241067"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130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5963FD9"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220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101C2833"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2.5</w:t>
            </w:r>
          </w:p>
        </w:tc>
      </w:tr>
      <w:tr w:rsidR="00935821" w:rsidRPr="0067297E" w14:paraId="15B3FAAA"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3E4F7618"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Behavioural Disorder</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9725F06"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220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3B416AA"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ED6350D"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220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6ABDFD86"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2.5</w:t>
            </w:r>
          </w:p>
        </w:tc>
      </w:tr>
      <w:tr w:rsidR="00935821" w:rsidRPr="0067297E" w14:paraId="5A9C2CAC"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34A3FE56"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Deafness</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1260F406"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180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C7E484C"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3A85558"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200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6BDEBA40"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2.3</w:t>
            </w:r>
          </w:p>
        </w:tc>
      </w:tr>
      <w:tr w:rsidR="00935821" w:rsidRPr="0067297E" w14:paraId="0B948AEC"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346AB367"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Hyperkinetic Syndromes</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C7145FD"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200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096F75E"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A9C9FBF"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200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45A950FB"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2.3</w:t>
            </w:r>
          </w:p>
        </w:tc>
      </w:tr>
      <w:tr w:rsidR="00935821" w:rsidRPr="0067297E" w14:paraId="695E1FDC"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CA23C20"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Heart Disease</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6E980E6"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60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702D943"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110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355B3C9"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170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9DEF4B2"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1.9</w:t>
            </w:r>
          </w:p>
        </w:tc>
      </w:tr>
      <w:tr w:rsidR="00935821" w:rsidRPr="0067297E" w14:paraId="141068EA"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AF93AE6"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Chest Disease</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6556CB0"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60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36375B54"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90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4B7729F"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150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CB4EDB8"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1.7</w:t>
            </w:r>
          </w:p>
        </w:tc>
      </w:tr>
      <w:tr w:rsidR="00935821" w:rsidRPr="0067297E" w14:paraId="56D90B06"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4958DE8"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Epilepsy</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871E044"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120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13B54229"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20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BB7CDE0"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140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4561DFF1"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1.6</w:t>
            </w:r>
          </w:p>
        </w:tc>
      </w:tr>
      <w:tr w:rsidR="00935821" w:rsidRPr="0067297E" w14:paraId="746A3E3E"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F88C34A"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Diabetes Mellitus</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1CB8CD1F"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80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8A1CC90"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40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231BA41"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120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8C338E2"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1.4</w:t>
            </w:r>
          </w:p>
        </w:tc>
      </w:tr>
      <w:tr w:rsidR="00935821" w:rsidRPr="0067297E" w14:paraId="7A766082"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AE2D260"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Spondylosis</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AAD7E78"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50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4CD9BA61"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60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7CFED95"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110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EDA5EDE"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1.3</w:t>
            </w:r>
          </w:p>
        </w:tc>
      </w:tr>
      <w:tr w:rsidR="00935821" w:rsidRPr="0067297E" w14:paraId="16D3D601"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A6150B7"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Multiple Sclerosis</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2624F20"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80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408265E0"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30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658B27E7"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110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2686A77B"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1.3</w:t>
            </w:r>
          </w:p>
        </w:tc>
      </w:tr>
      <w:tr w:rsidR="00935821" w:rsidRPr="0067297E" w14:paraId="7B10F379"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7C5A04E"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AIDS</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3A3B62A"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100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4A903D54"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1A8D91B7"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110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441BD6EC"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1.3</w:t>
            </w:r>
          </w:p>
        </w:tc>
      </w:tr>
      <w:tr w:rsidR="00935821" w:rsidRPr="0067297E" w14:paraId="4860FDE2"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4595DB2"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Trauma to Limbs</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36C4F82"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60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6D32D988"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30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52D03628"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90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18BA9133"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1.0</w:t>
            </w:r>
          </w:p>
        </w:tc>
      </w:tr>
      <w:tr w:rsidR="00935821" w:rsidRPr="0067297E" w14:paraId="4A2F06AB"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4BF8B552" w14:textId="77777777" w:rsidR="00935821" w:rsidRPr="0067297E" w:rsidRDefault="00935821" w:rsidP="00744345">
            <w:pPr>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Malignant Disease</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1F50EC0C"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50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7E7C595A"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40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037CDF77"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90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bottom"/>
            <w:hideMark/>
          </w:tcPr>
          <w:p w14:paraId="68957ED1" w14:textId="77777777" w:rsidR="00935821" w:rsidRPr="0067297E" w:rsidRDefault="00935821" w:rsidP="00425A04">
            <w:pPr>
              <w:jc w:val="right"/>
              <w:rPr>
                <w:rFonts w:asciiTheme="minorHAnsi" w:hAnsiTheme="minorHAnsi" w:cs="Calibri"/>
                <w:color w:val="000000"/>
                <w:sz w:val="22"/>
                <w:szCs w:val="22"/>
                <w:highlight w:val="yellow"/>
              </w:rPr>
            </w:pPr>
            <w:r w:rsidRPr="0067297E">
              <w:rPr>
                <w:rFonts w:asciiTheme="minorHAnsi" w:hAnsiTheme="minorHAnsi" w:cs="Calibri"/>
                <w:color w:val="000000"/>
                <w:sz w:val="22"/>
                <w:szCs w:val="22"/>
              </w:rPr>
              <w:t>1.0</w:t>
            </w:r>
          </w:p>
        </w:tc>
      </w:tr>
      <w:tr w:rsidR="00935821" w:rsidRPr="0067297E" w14:paraId="7D49667B" w14:textId="77777777" w:rsidTr="005012D6">
        <w:trPr>
          <w:trHeight w:val="300"/>
        </w:trPr>
        <w:tc>
          <w:tcPr>
            <w:tcW w:w="2699" w:type="pct"/>
            <w:tcBorders>
              <w:top w:val="single" w:sz="4" w:space="0" w:color="006666"/>
              <w:left w:val="single" w:sz="4" w:space="0" w:color="006666"/>
              <w:bottom w:val="single" w:sz="4" w:space="0" w:color="006666"/>
              <w:right w:val="single" w:sz="4" w:space="0" w:color="006666"/>
            </w:tcBorders>
            <w:shd w:val="clear" w:color="auto" w:fill="auto"/>
            <w:noWrap/>
            <w:vAlign w:val="bottom"/>
          </w:tcPr>
          <w:p w14:paraId="091FB9CC" w14:textId="000B00EA" w:rsidR="00935821" w:rsidRPr="0067297E" w:rsidRDefault="00935821" w:rsidP="00744345">
            <w:pPr>
              <w:rPr>
                <w:rFonts w:asciiTheme="minorHAnsi" w:hAnsiTheme="minorHAnsi" w:cs="Calibri"/>
                <w:color w:val="000000"/>
                <w:sz w:val="22"/>
                <w:szCs w:val="22"/>
              </w:rPr>
            </w:pPr>
            <w:r w:rsidRPr="0067297E">
              <w:rPr>
                <w:rFonts w:asciiTheme="minorHAnsi" w:hAnsiTheme="minorHAnsi" w:cs="Calibri"/>
                <w:color w:val="000000"/>
                <w:sz w:val="22"/>
                <w:szCs w:val="22"/>
              </w:rPr>
              <w:t xml:space="preserve">Other (conditions each representing less than 1% of total </w:t>
            </w:r>
            <w:r w:rsidR="005B2517" w:rsidRPr="0067297E">
              <w:rPr>
                <w:rFonts w:asciiTheme="minorHAnsi" w:hAnsiTheme="minorHAnsi" w:cs="Calibri"/>
                <w:color w:val="000000"/>
                <w:sz w:val="22"/>
                <w:szCs w:val="22"/>
              </w:rPr>
              <w:t>recipients</w:t>
            </w:r>
            <w:r w:rsidRPr="0067297E">
              <w:rPr>
                <w:rFonts w:asciiTheme="minorHAnsi" w:hAnsiTheme="minorHAnsi" w:cs="Calibri"/>
                <w:color w:val="000000"/>
                <w:sz w:val="22"/>
                <w:szCs w:val="22"/>
              </w:rPr>
              <w:t>)</w:t>
            </w:r>
          </w:p>
        </w:tc>
        <w:tc>
          <w:tcPr>
            <w:tcW w:w="695" w:type="pct"/>
            <w:tcBorders>
              <w:top w:val="single" w:sz="4" w:space="0" w:color="006666"/>
              <w:left w:val="single" w:sz="4" w:space="0" w:color="006666"/>
              <w:bottom w:val="single" w:sz="4" w:space="0" w:color="006666"/>
              <w:right w:val="single" w:sz="4" w:space="0" w:color="006666"/>
            </w:tcBorders>
            <w:shd w:val="clear" w:color="auto" w:fill="auto"/>
            <w:noWrap/>
            <w:vAlign w:val="center"/>
          </w:tcPr>
          <w:p w14:paraId="21277B43" w14:textId="77777777" w:rsidR="00935821" w:rsidRPr="0067297E" w:rsidRDefault="00935821"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490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center"/>
          </w:tcPr>
          <w:p w14:paraId="02B07D01" w14:textId="77777777" w:rsidR="00935821" w:rsidRPr="0067297E" w:rsidRDefault="00935821"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210</w:t>
            </w:r>
          </w:p>
        </w:tc>
        <w:tc>
          <w:tcPr>
            <w:tcW w:w="540" w:type="pct"/>
            <w:tcBorders>
              <w:top w:val="single" w:sz="4" w:space="0" w:color="006666"/>
              <w:left w:val="single" w:sz="4" w:space="0" w:color="006666"/>
              <w:bottom w:val="single" w:sz="4" w:space="0" w:color="006666"/>
              <w:right w:val="single" w:sz="4" w:space="0" w:color="006666"/>
            </w:tcBorders>
            <w:shd w:val="clear" w:color="auto" w:fill="auto"/>
            <w:noWrap/>
            <w:vAlign w:val="center"/>
          </w:tcPr>
          <w:p w14:paraId="47B843AA" w14:textId="77777777" w:rsidR="00935821" w:rsidRPr="0067297E" w:rsidRDefault="00935821"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700</w:t>
            </w:r>
          </w:p>
        </w:tc>
        <w:tc>
          <w:tcPr>
            <w:tcW w:w="526" w:type="pct"/>
            <w:tcBorders>
              <w:top w:val="single" w:sz="4" w:space="0" w:color="006666"/>
              <w:left w:val="single" w:sz="4" w:space="0" w:color="006666"/>
              <w:bottom w:val="single" w:sz="4" w:space="0" w:color="006666"/>
              <w:right w:val="single" w:sz="4" w:space="0" w:color="006666"/>
            </w:tcBorders>
            <w:shd w:val="clear" w:color="auto" w:fill="auto"/>
            <w:noWrap/>
            <w:vAlign w:val="center"/>
          </w:tcPr>
          <w:p w14:paraId="0308A25C" w14:textId="77777777" w:rsidR="00935821" w:rsidRPr="0067297E" w:rsidRDefault="00935821"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8.0</w:t>
            </w:r>
          </w:p>
        </w:tc>
      </w:tr>
    </w:tbl>
    <w:p w14:paraId="6674A27B" w14:textId="78625E6D" w:rsidR="00D87564" w:rsidRPr="0067297E" w:rsidRDefault="00D87564">
      <w:pPr>
        <w:autoSpaceDE w:val="0"/>
        <w:autoSpaceDN w:val="0"/>
        <w:adjustRightInd w:val="0"/>
        <w:rPr>
          <w:rFonts w:asciiTheme="minorHAnsi" w:hAnsiTheme="minorHAnsi" w:cs="Arial"/>
          <w:color w:val="000000"/>
          <w:sz w:val="20"/>
          <w:szCs w:val="18"/>
          <w:lang w:val="en-US"/>
        </w:rPr>
      </w:pPr>
      <w:r w:rsidRPr="0067297E">
        <w:rPr>
          <w:rFonts w:asciiTheme="minorHAnsi" w:hAnsiTheme="minorHAnsi" w:cs="Arial"/>
          <w:color w:val="000000"/>
          <w:sz w:val="20"/>
          <w:szCs w:val="18"/>
          <w:lang w:val="en-US"/>
        </w:rPr>
        <w:t>Source: Nomis and DWP 2018</w:t>
      </w:r>
    </w:p>
    <w:p w14:paraId="70CD6D56" w14:textId="77777777" w:rsidR="00744345" w:rsidRPr="0067297E" w:rsidRDefault="00744345" w:rsidP="00744345">
      <w:pPr>
        <w:autoSpaceDE w:val="0"/>
        <w:autoSpaceDN w:val="0"/>
        <w:adjustRightInd w:val="0"/>
        <w:rPr>
          <w:rFonts w:asciiTheme="minorHAnsi" w:hAnsiTheme="minorHAnsi" w:cs="Arial"/>
          <w:color w:val="000000"/>
          <w:sz w:val="20"/>
          <w:szCs w:val="18"/>
          <w:lang w:val="en-US"/>
        </w:rPr>
      </w:pPr>
    </w:p>
    <w:p w14:paraId="7D8FD42A" w14:textId="77777777" w:rsidR="00C12BC3" w:rsidRPr="0067297E" w:rsidRDefault="00C12BC3" w:rsidP="00C12BC3">
      <w:pPr>
        <w:pStyle w:val="Heading2"/>
        <w:rPr>
          <w:rFonts w:asciiTheme="minorHAnsi" w:hAnsiTheme="minorHAnsi"/>
        </w:rPr>
      </w:pPr>
      <w:bookmarkStart w:id="368" w:name="h.40ew0vw" w:colFirst="0" w:colLast="0"/>
      <w:bookmarkStart w:id="369" w:name="_Toc1385772"/>
      <w:bookmarkStart w:id="370" w:name="_Toc23151088"/>
      <w:bookmarkStart w:id="371" w:name="_Toc360192643"/>
      <w:bookmarkStart w:id="372" w:name="_Toc398711721"/>
      <w:bookmarkStart w:id="373" w:name="_Toc399864408"/>
      <w:bookmarkEnd w:id="336"/>
      <w:bookmarkEnd w:id="337"/>
      <w:bookmarkEnd w:id="338"/>
      <w:bookmarkEnd w:id="368"/>
      <w:r w:rsidRPr="0067297E">
        <w:rPr>
          <w:rFonts w:asciiTheme="minorHAnsi" w:hAnsiTheme="minorHAnsi"/>
        </w:rPr>
        <w:t>Recommendations for optional accessible building standards</w:t>
      </w:r>
      <w:bookmarkEnd w:id="369"/>
      <w:bookmarkEnd w:id="370"/>
    </w:p>
    <w:p w14:paraId="11CB505D" w14:textId="77777777" w:rsidR="00C12BC3" w:rsidRPr="0067297E" w:rsidRDefault="00C12BC3" w:rsidP="00C12BC3">
      <w:pPr>
        <w:pStyle w:val="Reporttext"/>
        <w:rPr>
          <w:rFonts w:asciiTheme="minorHAnsi" w:hAnsiTheme="minorHAnsi"/>
        </w:rPr>
      </w:pPr>
      <w:r w:rsidRPr="0067297E">
        <w:rPr>
          <w:rFonts w:asciiTheme="minorHAnsi" w:hAnsiTheme="minorHAnsi"/>
        </w:rPr>
        <w:t>In 2015, the Government introduced new optional accessibility standards for dwellings that could be required through the planning process if requirements are incorporated into planning policy. Leeds City Council have produced a helpful paper setting out their approach to understanding optional accessible building standards</w:t>
      </w:r>
      <w:r w:rsidRPr="0067297E">
        <w:rPr>
          <w:rStyle w:val="FootnoteReference"/>
          <w:rFonts w:asciiTheme="minorHAnsi" w:hAnsiTheme="minorHAnsi"/>
        </w:rPr>
        <w:footnoteReference w:id="44"/>
      </w:r>
      <w:r w:rsidRPr="0067297E">
        <w:rPr>
          <w:rFonts w:asciiTheme="minorHAnsi" w:hAnsiTheme="minorHAnsi"/>
        </w:rPr>
        <w:t xml:space="preserve"> which forms the basis for material in this section of the report.</w:t>
      </w:r>
    </w:p>
    <w:p w14:paraId="3FD6B210" w14:textId="77777777" w:rsidR="00C12BC3" w:rsidRPr="0067297E" w:rsidRDefault="00C12BC3" w:rsidP="00C12BC3">
      <w:pPr>
        <w:pStyle w:val="Reporttext"/>
        <w:rPr>
          <w:rFonts w:asciiTheme="minorHAnsi" w:hAnsiTheme="minorHAnsi"/>
        </w:rPr>
      </w:pPr>
      <w:r w:rsidRPr="0067297E">
        <w:rPr>
          <w:rFonts w:asciiTheme="minorHAnsi" w:hAnsiTheme="minorHAnsi"/>
        </w:rPr>
        <w:t>Three national accessibility standards are contained within Part M Volume 1 of the Building Regulations</w:t>
      </w:r>
      <w:r w:rsidRPr="0067297E">
        <w:rPr>
          <w:rStyle w:val="FootnoteReference"/>
          <w:rFonts w:asciiTheme="minorHAnsi" w:hAnsiTheme="minorHAnsi"/>
        </w:rPr>
        <w:footnoteReference w:id="45"/>
      </w:r>
      <w:r w:rsidRPr="0067297E">
        <w:rPr>
          <w:rFonts w:asciiTheme="minorHAnsi" w:hAnsiTheme="minorHAnsi"/>
        </w:rPr>
        <w:t xml:space="preserve"> as set out in Table </w:t>
      </w:r>
      <w:r w:rsidRPr="0067297E">
        <w:rPr>
          <w:rFonts w:asciiTheme="minorHAnsi" w:hAnsiTheme="minorHAnsi"/>
          <w:lang w:val="en-GB"/>
        </w:rPr>
        <w:t>6.14</w:t>
      </w:r>
      <w:r w:rsidRPr="0067297E">
        <w:rPr>
          <w:rFonts w:asciiTheme="minorHAnsi" w:hAnsiTheme="minorHAnsi"/>
        </w:rPr>
        <w:t>. The M4(1) visitable dwelling is the mandatory minimum standard applied to all new dwellings. Only one accessible housing standard can apply to any dwelling. The M4(2) accessible and adaptable dwelling standard is based on, and in 2015 effectively replaced, the ‘Lifetime Homes’ standard.</w:t>
      </w:r>
    </w:p>
    <w:tbl>
      <w:tblPr>
        <w:tblW w:w="0" w:type="auto"/>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435"/>
        <w:gridCol w:w="3021"/>
        <w:gridCol w:w="3498"/>
        <w:gridCol w:w="1228"/>
      </w:tblGrid>
      <w:tr w:rsidR="00C12BC3" w:rsidRPr="0067297E" w14:paraId="00DF10AB" w14:textId="77777777" w:rsidTr="00426BD8">
        <w:trPr>
          <w:tblHeader/>
        </w:trPr>
        <w:tc>
          <w:tcPr>
            <w:tcW w:w="0" w:type="auto"/>
            <w:gridSpan w:val="4"/>
            <w:shd w:val="clear" w:color="auto" w:fill="009999"/>
            <w:noWrap/>
            <w:vAlign w:val="bottom"/>
          </w:tcPr>
          <w:p w14:paraId="2156253B" w14:textId="77777777" w:rsidR="00C12BC3" w:rsidRPr="0067297E" w:rsidRDefault="00C12BC3" w:rsidP="003F4875">
            <w:pPr>
              <w:pStyle w:val="tableheading"/>
              <w:rPr>
                <w:rFonts w:asciiTheme="minorHAnsi" w:hAnsiTheme="minorHAnsi"/>
              </w:rPr>
            </w:pPr>
            <w:bookmarkStart w:id="374" w:name="_Toc528326948"/>
            <w:bookmarkStart w:id="375" w:name="_Toc23151190"/>
            <w:r w:rsidRPr="0067297E">
              <w:rPr>
                <w:rFonts w:asciiTheme="minorHAnsi" w:hAnsiTheme="minorHAnsi"/>
              </w:rPr>
              <w:t>Table 6.14</w:t>
            </w:r>
            <w:r w:rsidRPr="0067297E">
              <w:rPr>
                <w:rFonts w:asciiTheme="minorHAnsi" w:hAnsiTheme="minorHAnsi"/>
              </w:rPr>
              <w:tab/>
              <w:t>Summary of accessible housing standards</w:t>
            </w:r>
            <w:bookmarkEnd w:id="374"/>
            <w:bookmarkEnd w:id="375"/>
          </w:p>
        </w:tc>
      </w:tr>
      <w:tr w:rsidR="00C12BC3" w:rsidRPr="0067297E" w14:paraId="440B7AD2" w14:textId="77777777" w:rsidTr="00425A04">
        <w:tc>
          <w:tcPr>
            <w:tcW w:w="0" w:type="auto"/>
            <w:shd w:val="clear" w:color="auto" w:fill="009999"/>
            <w:noWrap/>
            <w:vAlign w:val="bottom"/>
            <w:hideMark/>
          </w:tcPr>
          <w:p w14:paraId="088F277F" w14:textId="77777777" w:rsidR="00C12BC3" w:rsidRPr="0067297E" w:rsidRDefault="00C12BC3" w:rsidP="00A96554">
            <w:pP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Standard Label</w:t>
            </w:r>
          </w:p>
        </w:tc>
        <w:tc>
          <w:tcPr>
            <w:tcW w:w="0" w:type="auto"/>
            <w:shd w:val="clear" w:color="auto" w:fill="009999"/>
            <w:noWrap/>
            <w:vAlign w:val="bottom"/>
            <w:hideMark/>
          </w:tcPr>
          <w:p w14:paraId="76EAEF87" w14:textId="77777777" w:rsidR="00C12BC3" w:rsidRPr="0067297E" w:rsidRDefault="00C12BC3" w:rsidP="00A96554">
            <w:pP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Standard title</w:t>
            </w:r>
          </w:p>
        </w:tc>
        <w:tc>
          <w:tcPr>
            <w:tcW w:w="3893" w:type="dxa"/>
            <w:shd w:val="clear" w:color="auto" w:fill="009999"/>
            <w:noWrap/>
            <w:vAlign w:val="bottom"/>
            <w:hideMark/>
          </w:tcPr>
          <w:p w14:paraId="2DF402D2" w14:textId="77777777" w:rsidR="00C12BC3" w:rsidRPr="0067297E" w:rsidRDefault="00C12BC3" w:rsidP="00A96554">
            <w:pP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Level of accessibility provided</w:t>
            </w:r>
          </w:p>
        </w:tc>
        <w:tc>
          <w:tcPr>
            <w:tcW w:w="1350" w:type="dxa"/>
            <w:shd w:val="clear" w:color="auto" w:fill="009999"/>
            <w:noWrap/>
            <w:vAlign w:val="bottom"/>
            <w:hideMark/>
          </w:tcPr>
          <w:p w14:paraId="051CFC66" w14:textId="77777777" w:rsidR="00C12BC3" w:rsidRPr="0067297E" w:rsidRDefault="00C12BC3" w:rsidP="00A96554">
            <w:pPr>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Mandatory or optional</w:t>
            </w:r>
          </w:p>
        </w:tc>
      </w:tr>
      <w:tr w:rsidR="00C12BC3" w:rsidRPr="0067297E" w14:paraId="67A646E7" w14:textId="77777777" w:rsidTr="00425A04">
        <w:tc>
          <w:tcPr>
            <w:tcW w:w="0" w:type="auto"/>
            <w:shd w:val="clear" w:color="auto" w:fill="auto"/>
            <w:noWrap/>
            <w:vAlign w:val="center"/>
          </w:tcPr>
          <w:p w14:paraId="077392C0" w14:textId="77777777" w:rsidR="00C12BC3" w:rsidRPr="0067297E" w:rsidRDefault="00C12BC3" w:rsidP="00A96554">
            <w:pPr>
              <w:rPr>
                <w:rFonts w:asciiTheme="minorHAnsi" w:hAnsiTheme="minorHAnsi" w:cs="Calibri"/>
                <w:color w:val="000000"/>
                <w:sz w:val="22"/>
                <w:szCs w:val="22"/>
              </w:rPr>
            </w:pPr>
            <w:r w:rsidRPr="0067297E">
              <w:rPr>
                <w:rFonts w:asciiTheme="minorHAnsi" w:hAnsiTheme="minorHAnsi" w:cs="Calibri"/>
                <w:color w:val="000000"/>
                <w:sz w:val="22"/>
                <w:szCs w:val="22"/>
              </w:rPr>
              <w:t>M4(1)</w:t>
            </w:r>
          </w:p>
        </w:tc>
        <w:tc>
          <w:tcPr>
            <w:tcW w:w="0" w:type="auto"/>
            <w:shd w:val="clear" w:color="auto" w:fill="auto"/>
            <w:noWrap/>
            <w:vAlign w:val="center"/>
          </w:tcPr>
          <w:p w14:paraId="77D175A9" w14:textId="77777777" w:rsidR="00C12BC3" w:rsidRPr="0067297E" w:rsidRDefault="00C12BC3" w:rsidP="00A96554">
            <w:pPr>
              <w:rPr>
                <w:rFonts w:asciiTheme="minorHAnsi" w:hAnsiTheme="minorHAnsi" w:cs="Calibri"/>
                <w:color w:val="000000"/>
                <w:sz w:val="22"/>
                <w:szCs w:val="22"/>
              </w:rPr>
            </w:pPr>
            <w:r w:rsidRPr="0067297E">
              <w:rPr>
                <w:rFonts w:asciiTheme="minorHAnsi" w:hAnsiTheme="minorHAnsi" w:cs="Calibri"/>
                <w:color w:val="000000"/>
                <w:sz w:val="22"/>
                <w:szCs w:val="22"/>
              </w:rPr>
              <w:t>Visitable dwellings</w:t>
            </w:r>
          </w:p>
        </w:tc>
        <w:tc>
          <w:tcPr>
            <w:tcW w:w="3893" w:type="dxa"/>
            <w:shd w:val="clear" w:color="auto" w:fill="auto"/>
            <w:noWrap/>
            <w:vAlign w:val="center"/>
          </w:tcPr>
          <w:p w14:paraId="399BD127" w14:textId="77777777" w:rsidR="00C12BC3" w:rsidRPr="0067297E" w:rsidRDefault="00C12BC3" w:rsidP="00A96554">
            <w:pPr>
              <w:rPr>
                <w:rFonts w:asciiTheme="minorHAnsi" w:hAnsiTheme="minorHAnsi" w:cs="Calibri"/>
                <w:color w:val="000000"/>
                <w:sz w:val="22"/>
                <w:szCs w:val="22"/>
              </w:rPr>
            </w:pPr>
            <w:r w:rsidRPr="0067297E">
              <w:rPr>
                <w:rFonts w:asciiTheme="minorHAnsi" w:hAnsiTheme="minorHAnsi" w:cs="Calibri"/>
                <w:color w:val="000000"/>
                <w:sz w:val="22"/>
                <w:szCs w:val="22"/>
              </w:rPr>
              <w:t>Level access not necessarily provided into the dwellings – few accessibility features</w:t>
            </w:r>
          </w:p>
        </w:tc>
        <w:tc>
          <w:tcPr>
            <w:tcW w:w="1350" w:type="dxa"/>
            <w:shd w:val="clear" w:color="auto" w:fill="auto"/>
            <w:noWrap/>
            <w:vAlign w:val="center"/>
          </w:tcPr>
          <w:p w14:paraId="29B38948" w14:textId="77777777" w:rsidR="00C12BC3" w:rsidRPr="0067297E" w:rsidRDefault="00C12BC3" w:rsidP="00A96554">
            <w:pPr>
              <w:jc w:val="center"/>
              <w:rPr>
                <w:rFonts w:asciiTheme="minorHAnsi" w:hAnsiTheme="minorHAnsi" w:cs="Calibri"/>
                <w:color w:val="000000"/>
                <w:sz w:val="22"/>
                <w:szCs w:val="22"/>
              </w:rPr>
            </w:pPr>
            <w:r w:rsidRPr="0067297E">
              <w:rPr>
                <w:rFonts w:asciiTheme="minorHAnsi" w:hAnsiTheme="minorHAnsi" w:cs="Calibri"/>
                <w:color w:val="000000"/>
                <w:sz w:val="22"/>
                <w:szCs w:val="22"/>
              </w:rPr>
              <w:t>Mandatory</w:t>
            </w:r>
          </w:p>
        </w:tc>
      </w:tr>
      <w:tr w:rsidR="00C12BC3" w:rsidRPr="0067297E" w14:paraId="52A45694" w14:textId="77777777" w:rsidTr="00425A04">
        <w:tc>
          <w:tcPr>
            <w:tcW w:w="0" w:type="auto"/>
            <w:shd w:val="clear" w:color="auto" w:fill="auto"/>
            <w:noWrap/>
            <w:vAlign w:val="center"/>
            <w:hideMark/>
          </w:tcPr>
          <w:p w14:paraId="70FAEB26" w14:textId="77777777" w:rsidR="00C12BC3" w:rsidRPr="0067297E" w:rsidRDefault="00C12BC3" w:rsidP="00A96554">
            <w:pPr>
              <w:rPr>
                <w:rFonts w:asciiTheme="minorHAnsi" w:hAnsiTheme="minorHAnsi" w:cs="Calibri"/>
                <w:color w:val="000000"/>
                <w:sz w:val="22"/>
                <w:szCs w:val="22"/>
              </w:rPr>
            </w:pPr>
            <w:r w:rsidRPr="0067297E">
              <w:rPr>
                <w:rFonts w:asciiTheme="minorHAnsi" w:hAnsiTheme="minorHAnsi" w:cs="Calibri"/>
                <w:color w:val="000000"/>
                <w:sz w:val="22"/>
                <w:szCs w:val="22"/>
              </w:rPr>
              <w:t>M4(2)</w:t>
            </w:r>
          </w:p>
        </w:tc>
        <w:tc>
          <w:tcPr>
            <w:tcW w:w="0" w:type="auto"/>
            <w:shd w:val="clear" w:color="auto" w:fill="auto"/>
            <w:noWrap/>
            <w:vAlign w:val="center"/>
            <w:hideMark/>
          </w:tcPr>
          <w:p w14:paraId="651C0BD6" w14:textId="77777777" w:rsidR="00C12BC3" w:rsidRPr="0067297E" w:rsidRDefault="00C12BC3" w:rsidP="00A96554">
            <w:pPr>
              <w:rPr>
                <w:rFonts w:asciiTheme="minorHAnsi" w:hAnsiTheme="minorHAnsi" w:cs="Calibri"/>
                <w:color w:val="000000"/>
                <w:sz w:val="22"/>
                <w:szCs w:val="22"/>
              </w:rPr>
            </w:pPr>
            <w:r w:rsidRPr="0067297E">
              <w:rPr>
                <w:rFonts w:asciiTheme="minorHAnsi" w:hAnsiTheme="minorHAnsi" w:cs="Calibri"/>
                <w:color w:val="000000"/>
                <w:sz w:val="22"/>
                <w:szCs w:val="22"/>
              </w:rPr>
              <w:t>Accessible and adaptable dwellings</w:t>
            </w:r>
          </w:p>
        </w:tc>
        <w:tc>
          <w:tcPr>
            <w:tcW w:w="3893" w:type="dxa"/>
            <w:shd w:val="clear" w:color="auto" w:fill="auto"/>
            <w:noWrap/>
            <w:vAlign w:val="center"/>
          </w:tcPr>
          <w:p w14:paraId="7FFEF478" w14:textId="77777777" w:rsidR="00C12BC3" w:rsidRPr="0067297E" w:rsidRDefault="00C12BC3" w:rsidP="00A96554">
            <w:pPr>
              <w:rPr>
                <w:rFonts w:asciiTheme="minorHAnsi" w:hAnsiTheme="minorHAnsi" w:cs="Calibri"/>
                <w:color w:val="000000"/>
                <w:sz w:val="22"/>
                <w:szCs w:val="22"/>
              </w:rPr>
            </w:pPr>
            <w:r w:rsidRPr="0067297E">
              <w:rPr>
                <w:rFonts w:asciiTheme="minorHAnsi" w:hAnsiTheme="minorHAnsi" w:cs="Calibri"/>
                <w:color w:val="000000"/>
                <w:sz w:val="22"/>
                <w:szCs w:val="22"/>
              </w:rPr>
              <w:t>Level access is provided into the dwelling – easy to adapt to make more accessible – not suitable for most wheelchair users</w:t>
            </w:r>
          </w:p>
        </w:tc>
        <w:tc>
          <w:tcPr>
            <w:tcW w:w="1350" w:type="dxa"/>
            <w:shd w:val="clear" w:color="auto" w:fill="auto"/>
            <w:noWrap/>
            <w:vAlign w:val="center"/>
          </w:tcPr>
          <w:p w14:paraId="72F596BA" w14:textId="77777777" w:rsidR="00C12BC3" w:rsidRPr="0067297E" w:rsidRDefault="00C12BC3" w:rsidP="00A96554">
            <w:pPr>
              <w:jc w:val="center"/>
              <w:rPr>
                <w:rFonts w:asciiTheme="minorHAnsi" w:hAnsiTheme="minorHAnsi" w:cs="Calibri"/>
                <w:color w:val="000000"/>
                <w:sz w:val="22"/>
                <w:szCs w:val="22"/>
              </w:rPr>
            </w:pPr>
            <w:r w:rsidRPr="0067297E">
              <w:rPr>
                <w:rFonts w:asciiTheme="minorHAnsi" w:hAnsiTheme="minorHAnsi" w:cs="Calibri"/>
                <w:color w:val="000000"/>
                <w:sz w:val="22"/>
                <w:szCs w:val="22"/>
              </w:rPr>
              <w:t>Optional</w:t>
            </w:r>
          </w:p>
        </w:tc>
      </w:tr>
      <w:tr w:rsidR="00C12BC3" w:rsidRPr="0067297E" w14:paraId="773FEDA8" w14:textId="77777777" w:rsidTr="00425A04">
        <w:tc>
          <w:tcPr>
            <w:tcW w:w="0" w:type="auto"/>
            <w:shd w:val="clear" w:color="auto" w:fill="auto"/>
            <w:noWrap/>
            <w:vAlign w:val="center"/>
            <w:hideMark/>
          </w:tcPr>
          <w:p w14:paraId="059A5318" w14:textId="77777777" w:rsidR="00C12BC3" w:rsidRPr="0067297E" w:rsidRDefault="00C12BC3" w:rsidP="00A96554">
            <w:pPr>
              <w:rPr>
                <w:rFonts w:asciiTheme="minorHAnsi" w:hAnsiTheme="minorHAnsi" w:cs="Calibri"/>
                <w:color w:val="000000"/>
                <w:sz w:val="22"/>
                <w:szCs w:val="22"/>
              </w:rPr>
            </w:pPr>
            <w:r w:rsidRPr="0067297E">
              <w:rPr>
                <w:rFonts w:asciiTheme="minorHAnsi" w:hAnsiTheme="minorHAnsi" w:cs="Calibri"/>
                <w:color w:val="000000"/>
                <w:sz w:val="22"/>
                <w:szCs w:val="22"/>
              </w:rPr>
              <w:t>M4(3)</w:t>
            </w:r>
          </w:p>
        </w:tc>
        <w:tc>
          <w:tcPr>
            <w:tcW w:w="0" w:type="auto"/>
            <w:shd w:val="clear" w:color="auto" w:fill="auto"/>
            <w:noWrap/>
            <w:vAlign w:val="center"/>
            <w:hideMark/>
          </w:tcPr>
          <w:p w14:paraId="0C7285B5" w14:textId="77777777" w:rsidR="00C12BC3" w:rsidRPr="0067297E" w:rsidRDefault="00C12BC3" w:rsidP="00A96554">
            <w:pPr>
              <w:rPr>
                <w:rFonts w:asciiTheme="minorHAnsi" w:hAnsiTheme="minorHAnsi" w:cs="Calibri"/>
                <w:color w:val="000000"/>
                <w:sz w:val="22"/>
                <w:szCs w:val="22"/>
              </w:rPr>
            </w:pPr>
            <w:r w:rsidRPr="0067297E">
              <w:rPr>
                <w:rFonts w:asciiTheme="minorHAnsi" w:hAnsiTheme="minorHAnsi" w:cs="Calibri"/>
                <w:color w:val="000000"/>
                <w:sz w:val="22"/>
                <w:szCs w:val="22"/>
              </w:rPr>
              <w:t>Wheelchair user dwellings</w:t>
            </w:r>
          </w:p>
        </w:tc>
        <w:tc>
          <w:tcPr>
            <w:tcW w:w="3893" w:type="dxa"/>
            <w:shd w:val="clear" w:color="auto" w:fill="auto"/>
            <w:noWrap/>
            <w:vAlign w:val="center"/>
          </w:tcPr>
          <w:p w14:paraId="208016E5" w14:textId="77777777" w:rsidR="00C12BC3" w:rsidRPr="0067297E" w:rsidRDefault="00C12BC3" w:rsidP="00A96554">
            <w:pPr>
              <w:rPr>
                <w:rFonts w:asciiTheme="minorHAnsi" w:hAnsiTheme="minorHAnsi" w:cs="Calibri"/>
                <w:color w:val="000000"/>
                <w:sz w:val="22"/>
                <w:szCs w:val="22"/>
              </w:rPr>
            </w:pPr>
            <w:r w:rsidRPr="0067297E">
              <w:rPr>
                <w:rFonts w:asciiTheme="minorHAnsi" w:hAnsiTheme="minorHAnsi" w:cs="Calibri"/>
                <w:color w:val="000000"/>
                <w:sz w:val="22"/>
                <w:szCs w:val="22"/>
              </w:rPr>
              <w:t>Dwellings suitable for wheelchair users: either wheelchair accessible or wheelchair adaptable</w:t>
            </w:r>
          </w:p>
        </w:tc>
        <w:tc>
          <w:tcPr>
            <w:tcW w:w="1350" w:type="dxa"/>
            <w:shd w:val="clear" w:color="auto" w:fill="auto"/>
            <w:noWrap/>
            <w:vAlign w:val="center"/>
          </w:tcPr>
          <w:p w14:paraId="6CFB141F" w14:textId="77777777" w:rsidR="00C12BC3" w:rsidRPr="0067297E" w:rsidRDefault="00C12BC3" w:rsidP="00A96554">
            <w:pPr>
              <w:jc w:val="center"/>
              <w:rPr>
                <w:rFonts w:asciiTheme="minorHAnsi" w:hAnsiTheme="minorHAnsi" w:cs="Calibri"/>
                <w:color w:val="000000"/>
                <w:sz w:val="22"/>
                <w:szCs w:val="22"/>
              </w:rPr>
            </w:pPr>
            <w:r w:rsidRPr="0067297E">
              <w:rPr>
                <w:rFonts w:asciiTheme="minorHAnsi" w:hAnsiTheme="minorHAnsi" w:cs="Calibri"/>
                <w:color w:val="000000"/>
                <w:sz w:val="22"/>
                <w:szCs w:val="22"/>
              </w:rPr>
              <w:t>Optional</w:t>
            </w:r>
          </w:p>
        </w:tc>
      </w:tr>
    </w:tbl>
    <w:p w14:paraId="6A8D44BC" w14:textId="77777777" w:rsidR="00C12BC3" w:rsidRPr="0067297E" w:rsidRDefault="00C12BC3" w:rsidP="00C12BC3">
      <w:pPr>
        <w:pStyle w:val="Reporttext"/>
        <w:numPr>
          <w:ilvl w:val="0"/>
          <w:numId w:val="0"/>
        </w:numPr>
        <w:rPr>
          <w:rFonts w:asciiTheme="minorHAnsi" w:hAnsiTheme="minorHAnsi"/>
          <w:sz w:val="20"/>
          <w:szCs w:val="20"/>
        </w:rPr>
      </w:pPr>
      <w:r w:rsidRPr="0067297E">
        <w:rPr>
          <w:rFonts w:asciiTheme="minorHAnsi" w:hAnsiTheme="minorHAnsi"/>
          <w:sz w:val="20"/>
          <w:szCs w:val="20"/>
        </w:rPr>
        <w:t>Source: Leeds City Council Core Strategy Selective Review: Accessible housing need assessment background paper February 2018</w:t>
      </w:r>
    </w:p>
    <w:p w14:paraId="4892C021" w14:textId="77777777" w:rsidR="00C12BC3" w:rsidRPr="0067297E" w:rsidRDefault="00C12BC3" w:rsidP="00C12BC3">
      <w:pPr>
        <w:pStyle w:val="Reporttext"/>
        <w:numPr>
          <w:ilvl w:val="0"/>
          <w:numId w:val="0"/>
        </w:numPr>
        <w:ind w:left="709"/>
        <w:rPr>
          <w:rFonts w:asciiTheme="minorHAnsi" w:hAnsiTheme="minorHAnsi"/>
        </w:rPr>
      </w:pPr>
    </w:p>
    <w:p w14:paraId="40E1980A" w14:textId="77777777" w:rsidR="00C12BC3" w:rsidRPr="0067297E" w:rsidRDefault="00C12BC3" w:rsidP="00C12BC3">
      <w:pPr>
        <w:pStyle w:val="Reporttext"/>
        <w:rPr>
          <w:rFonts w:asciiTheme="minorHAnsi" w:hAnsiTheme="minorHAnsi"/>
        </w:rPr>
      </w:pPr>
      <w:r w:rsidRPr="0067297E">
        <w:rPr>
          <w:rFonts w:asciiTheme="minorHAnsi" w:hAnsiTheme="minorHAnsi"/>
        </w:rPr>
        <w:t xml:space="preserve">Figures </w:t>
      </w:r>
      <w:r w:rsidRPr="0067297E">
        <w:rPr>
          <w:rFonts w:asciiTheme="minorHAnsi" w:hAnsiTheme="minorHAnsi"/>
          <w:lang w:val="en-GB"/>
        </w:rPr>
        <w:t>6</w:t>
      </w:r>
      <w:r w:rsidRPr="0067297E">
        <w:rPr>
          <w:rFonts w:asciiTheme="minorHAnsi" w:hAnsiTheme="minorHAnsi"/>
        </w:rPr>
        <w:t>.</w:t>
      </w:r>
      <w:r w:rsidRPr="0067297E">
        <w:rPr>
          <w:rFonts w:asciiTheme="minorHAnsi" w:hAnsiTheme="minorHAnsi"/>
          <w:lang w:val="en-GB"/>
        </w:rPr>
        <w:t>1</w:t>
      </w:r>
      <w:r w:rsidRPr="0067297E">
        <w:rPr>
          <w:rFonts w:asciiTheme="minorHAnsi" w:hAnsiTheme="minorHAnsi"/>
        </w:rPr>
        <w:t xml:space="preserve"> and </w:t>
      </w:r>
      <w:r w:rsidRPr="0067297E">
        <w:rPr>
          <w:rFonts w:asciiTheme="minorHAnsi" w:hAnsiTheme="minorHAnsi"/>
          <w:lang w:val="en-GB"/>
        </w:rPr>
        <w:t>6</w:t>
      </w:r>
      <w:r w:rsidRPr="0067297E">
        <w:rPr>
          <w:rFonts w:asciiTheme="minorHAnsi" w:hAnsiTheme="minorHAnsi"/>
        </w:rPr>
        <w:t>.</w:t>
      </w:r>
      <w:r w:rsidRPr="0067297E">
        <w:rPr>
          <w:rFonts w:asciiTheme="minorHAnsi" w:hAnsiTheme="minorHAnsi"/>
          <w:lang w:val="en-GB"/>
        </w:rPr>
        <w:t>2</w:t>
      </w:r>
      <w:r w:rsidRPr="0067297E">
        <w:rPr>
          <w:rFonts w:asciiTheme="minorHAnsi" w:hAnsiTheme="minorHAnsi"/>
        </w:rPr>
        <w:t xml:space="preserve"> below define these optional accessibility standards. They are taken directly from the Government’s practice guidance.</w:t>
      </w:r>
    </w:p>
    <w:p w14:paraId="5422EA90" w14:textId="77777777" w:rsidR="00014D7D" w:rsidRPr="0067297E" w:rsidRDefault="00014D7D" w:rsidP="00C12BC3">
      <w:pPr>
        <w:rPr>
          <w:rFonts w:asciiTheme="minorHAnsi" w:hAnsiTheme="minorHAnsi"/>
        </w:rPr>
      </w:pPr>
    </w:p>
    <w:p w14:paraId="79284680" w14:textId="77777777" w:rsidR="00C12BC3" w:rsidRPr="0067297E" w:rsidRDefault="00C12BC3" w:rsidP="00C12BC3">
      <w:pPr>
        <w:pStyle w:val="figureheading"/>
        <w:rPr>
          <w:rFonts w:asciiTheme="minorHAnsi" w:hAnsiTheme="minorHAnsi"/>
        </w:rPr>
      </w:pPr>
      <w:bookmarkStart w:id="376" w:name="_Toc517791515"/>
      <w:bookmarkStart w:id="377" w:name="_Toc528166076"/>
      <w:bookmarkStart w:id="378" w:name="_Toc23151228"/>
      <w:r w:rsidRPr="0067297E">
        <w:rPr>
          <w:rFonts w:asciiTheme="minorHAnsi" w:hAnsiTheme="minorHAnsi"/>
        </w:rPr>
        <w:t>Figure 6.1</w:t>
      </w:r>
      <w:r w:rsidRPr="0067297E">
        <w:rPr>
          <w:rFonts w:asciiTheme="minorHAnsi" w:hAnsiTheme="minorHAnsi"/>
        </w:rPr>
        <w:tab/>
        <w:t>Explanation of optional accessibility standard M4(2)</w:t>
      </w:r>
      <w:bookmarkEnd w:id="376"/>
      <w:bookmarkEnd w:id="377"/>
      <w:bookmarkEnd w:id="378"/>
    </w:p>
    <w:p w14:paraId="1925A7CB" w14:textId="77777777" w:rsidR="00C12BC3" w:rsidRPr="0067297E" w:rsidRDefault="00C12BC3" w:rsidP="00C12BC3">
      <w:pPr>
        <w:rPr>
          <w:rFonts w:asciiTheme="minorHAnsi" w:hAnsiTheme="minorHAnsi" w:cs="Calibri"/>
          <w:color w:val="1F497D"/>
          <w:sz w:val="22"/>
          <w:szCs w:val="22"/>
        </w:rPr>
      </w:pPr>
      <w:r w:rsidRPr="0067297E">
        <w:rPr>
          <w:rFonts w:asciiTheme="minorHAnsi" w:hAnsiTheme="minorHAnsi" w:cs="Calibri"/>
          <w:noProof/>
          <w:color w:val="1F497D"/>
          <w:sz w:val="22"/>
          <w:szCs w:val="22"/>
          <w:lang w:eastAsia="en-GB"/>
        </w:rPr>
        <w:drawing>
          <wp:inline distT="0" distB="0" distL="0" distR="0" wp14:anchorId="48685933" wp14:editId="48EB2D47">
            <wp:extent cx="5835650" cy="3020060"/>
            <wp:effectExtent l="19050" t="19050" r="12700" b="27940"/>
            <wp:docPr id="35" name="Picture 35" title="Figure 6.1 Explanation of optional accessibility standard M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2-18 at 17.12.19.png"/>
                    <pic:cNvPicPr/>
                  </pic:nvPicPr>
                  <pic:blipFill>
                    <a:blip r:embed="rId87">
                      <a:duotone>
                        <a:prstClr val="black"/>
                        <a:schemeClr val="accent1">
                          <a:tint val="45000"/>
                          <a:satMod val="400000"/>
                        </a:schemeClr>
                      </a:duotone>
                    </a:blip>
                    <a:stretch>
                      <a:fillRect/>
                    </a:stretch>
                  </pic:blipFill>
                  <pic:spPr>
                    <a:xfrm>
                      <a:off x="0" y="0"/>
                      <a:ext cx="5835650" cy="3020060"/>
                    </a:xfrm>
                    <a:prstGeom prst="rect">
                      <a:avLst/>
                    </a:prstGeom>
                    <a:ln>
                      <a:solidFill>
                        <a:schemeClr val="tx1"/>
                      </a:solidFill>
                    </a:ln>
                  </pic:spPr>
                </pic:pic>
              </a:graphicData>
            </a:graphic>
          </wp:inline>
        </w:drawing>
      </w:r>
    </w:p>
    <w:p w14:paraId="54A2E3FF" w14:textId="412EBF77" w:rsidR="00C12BC3" w:rsidRPr="0067297E" w:rsidRDefault="00C12BC3" w:rsidP="00C12BC3">
      <w:pPr>
        <w:rPr>
          <w:rFonts w:asciiTheme="minorHAnsi" w:hAnsiTheme="minorHAnsi" w:cs="Arial"/>
        </w:rPr>
      </w:pPr>
      <w:bookmarkStart w:id="379" w:name="_Toc517791516"/>
      <w:bookmarkStart w:id="380" w:name="_Toc528166077"/>
    </w:p>
    <w:p w14:paraId="081191E5" w14:textId="1AC1B606" w:rsidR="00C12BC3" w:rsidRPr="0067297E" w:rsidRDefault="00C12BC3" w:rsidP="00C12BC3">
      <w:pPr>
        <w:pStyle w:val="figureheading"/>
        <w:rPr>
          <w:rFonts w:asciiTheme="minorHAnsi" w:hAnsiTheme="minorHAnsi"/>
        </w:rPr>
      </w:pPr>
      <w:bookmarkStart w:id="381" w:name="_Toc23151229"/>
      <w:r w:rsidRPr="0067297E">
        <w:rPr>
          <w:rFonts w:asciiTheme="minorHAnsi" w:hAnsiTheme="minorHAnsi"/>
        </w:rPr>
        <w:t>Figure 6.2</w:t>
      </w:r>
      <w:r w:rsidRPr="0067297E">
        <w:rPr>
          <w:rFonts w:asciiTheme="minorHAnsi" w:hAnsiTheme="minorHAnsi"/>
        </w:rPr>
        <w:tab/>
        <w:t>Explanation of optional accessibility standard M4(3)</w:t>
      </w:r>
      <w:bookmarkEnd w:id="379"/>
      <w:bookmarkEnd w:id="380"/>
      <w:bookmarkEnd w:id="381"/>
    </w:p>
    <w:p w14:paraId="2516B305" w14:textId="77777777" w:rsidR="00C12BC3" w:rsidRPr="0067297E" w:rsidRDefault="00C12BC3" w:rsidP="00C12BC3">
      <w:pPr>
        <w:rPr>
          <w:rFonts w:asciiTheme="minorHAnsi" w:hAnsiTheme="minorHAnsi" w:cs="Calibri"/>
          <w:color w:val="1F497D"/>
          <w:sz w:val="22"/>
          <w:szCs w:val="22"/>
        </w:rPr>
      </w:pPr>
      <w:r w:rsidRPr="0067297E">
        <w:rPr>
          <w:rFonts w:asciiTheme="minorHAnsi" w:hAnsiTheme="minorHAnsi" w:cs="Calibri"/>
          <w:noProof/>
          <w:color w:val="1F497D"/>
          <w:sz w:val="22"/>
          <w:szCs w:val="22"/>
          <w:lang w:eastAsia="en-GB"/>
        </w:rPr>
        <w:drawing>
          <wp:inline distT="0" distB="0" distL="0" distR="0" wp14:anchorId="47174C7E" wp14:editId="0A9DF73B">
            <wp:extent cx="5835650" cy="3253105"/>
            <wp:effectExtent l="19050" t="19050" r="12700" b="23495"/>
            <wp:docPr id="36" name="Picture 36" title="Figure 6.2 Explanation of optional accessibility standard M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2-18 at 17.13.02.png"/>
                    <pic:cNvPicPr/>
                  </pic:nvPicPr>
                  <pic:blipFill>
                    <a:blip r:embed="rId88">
                      <a:duotone>
                        <a:prstClr val="black"/>
                        <a:schemeClr val="accent1">
                          <a:tint val="45000"/>
                          <a:satMod val="400000"/>
                        </a:schemeClr>
                      </a:duotone>
                    </a:blip>
                    <a:stretch>
                      <a:fillRect/>
                    </a:stretch>
                  </pic:blipFill>
                  <pic:spPr>
                    <a:xfrm>
                      <a:off x="0" y="0"/>
                      <a:ext cx="5835650" cy="3253105"/>
                    </a:xfrm>
                    <a:prstGeom prst="rect">
                      <a:avLst/>
                    </a:prstGeom>
                    <a:ln>
                      <a:solidFill>
                        <a:schemeClr val="tx1"/>
                      </a:solidFill>
                    </a:ln>
                  </pic:spPr>
                </pic:pic>
              </a:graphicData>
            </a:graphic>
          </wp:inline>
        </w:drawing>
      </w:r>
    </w:p>
    <w:p w14:paraId="72DE7C76" w14:textId="77777777" w:rsidR="00C12BC3" w:rsidRPr="0067297E" w:rsidRDefault="00C12BC3" w:rsidP="00C12BC3">
      <w:pPr>
        <w:rPr>
          <w:rFonts w:asciiTheme="minorHAnsi" w:hAnsiTheme="minorHAnsi"/>
        </w:rPr>
      </w:pPr>
    </w:p>
    <w:p w14:paraId="069F3818" w14:textId="526815EF" w:rsidR="001475C0" w:rsidRPr="0067297E" w:rsidRDefault="00C12BC3" w:rsidP="00C12BC3">
      <w:pPr>
        <w:pStyle w:val="Reporttext"/>
        <w:rPr>
          <w:rFonts w:asciiTheme="minorHAnsi" w:hAnsiTheme="minorHAnsi"/>
          <w:shd w:val="clear" w:color="auto" w:fill="FFFFFF"/>
        </w:rPr>
      </w:pPr>
      <w:r w:rsidRPr="0067297E">
        <w:rPr>
          <w:rFonts w:asciiTheme="minorHAnsi" w:hAnsiTheme="minorHAnsi"/>
          <w:shd w:val="clear" w:color="auto" w:fill="FFFFFF"/>
        </w:rPr>
        <w:t>Given the ageing population in the borough</w:t>
      </w:r>
      <w:r w:rsidR="002742AC">
        <w:rPr>
          <w:rFonts w:asciiTheme="minorHAnsi" w:hAnsiTheme="minorHAnsi"/>
          <w:shd w:val="clear" w:color="auto" w:fill="FFFFFF"/>
          <w:lang w:val="en-GB"/>
        </w:rPr>
        <w:t xml:space="preserve">, </w:t>
      </w:r>
      <w:r w:rsidRPr="0067297E">
        <w:rPr>
          <w:rFonts w:asciiTheme="minorHAnsi" w:hAnsiTheme="minorHAnsi"/>
          <w:shd w:val="clear" w:color="auto" w:fill="FFFFFF"/>
        </w:rPr>
        <w:t>the identified levels of disability amongst the population</w:t>
      </w:r>
      <w:r w:rsidR="002742AC">
        <w:rPr>
          <w:rFonts w:asciiTheme="minorHAnsi" w:hAnsiTheme="minorHAnsi"/>
          <w:shd w:val="clear" w:color="auto" w:fill="FFFFFF"/>
          <w:lang w:val="en-GB"/>
        </w:rPr>
        <w:t xml:space="preserve"> and the estimated increase in adaptions required in the existing housing stock to cater for the projection population</w:t>
      </w:r>
      <w:r w:rsidRPr="0067297E">
        <w:rPr>
          <w:rFonts w:asciiTheme="minorHAnsi" w:hAnsiTheme="minorHAnsi"/>
          <w:shd w:val="clear" w:color="auto" w:fill="FFFFFF"/>
        </w:rPr>
        <w:t xml:space="preserve">, it is recommended that a policy to provide new homes built to accessibility standards is included in the Local Plan. </w:t>
      </w:r>
    </w:p>
    <w:p w14:paraId="108922AC" w14:textId="77777777" w:rsidR="00C12BC3" w:rsidRPr="0067297E" w:rsidRDefault="00C12BC3" w:rsidP="00C12BC3">
      <w:pPr>
        <w:pStyle w:val="Reporttext"/>
        <w:rPr>
          <w:rFonts w:asciiTheme="minorHAnsi" w:hAnsiTheme="minorHAnsi"/>
          <w:shd w:val="clear" w:color="auto" w:fill="FFFFFF"/>
        </w:rPr>
      </w:pPr>
      <w:r w:rsidRPr="0067297E">
        <w:rPr>
          <w:rFonts w:asciiTheme="minorHAnsi" w:hAnsiTheme="minorHAnsi"/>
          <w:shd w:val="clear" w:color="auto" w:fill="FFFFFF"/>
        </w:rPr>
        <w:t xml:space="preserve">It should be noted however that any percentage requirements for accessible housing are </w:t>
      </w:r>
      <w:r w:rsidRPr="0067297E">
        <w:rPr>
          <w:rFonts w:asciiTheme="minorHAnsi" w:hAnsiTheme="minorHAnsi"/>
        </w:rPr>
        <w:t>subject</w:t>
      </w:r>
      <w:r w:rsidRPr="0067297E">
        <w:rPr>
          <w:rFonts w:asciiTheme="minorHAnsi" w:hAnsiTheme="minorHAnsi"/>
          <w:shd w:val="clear" w:color="auto" w:fill="FFFFFF"/>
        </w:rPr>
        <w:t xml:space="preserve"> to cumulative viability testing. It is also recommended that needs are monitored closely given the ageing population over the Plan Period. </w:t>
      </w:r>
    </w:p>
    <w:p w14:paraId="02F4A8E2" w14:textId="77777777" w:rsidR="009B2D6D" w:rsidRPr="0067297E" w:rsidRDefault="009B2D6D" w:rsidP="008C3647">
      <w:pPr>
        <w:rPr>
          <w:rFonts w:asciiTheme="minorHAnsi" w:hAnsiTheme="minorHAnsi" w:cs="Calibri"/>
          <w:sz w:val="20"/>
        </w:rPr>
      </w:pPr>
    </w:p>
    <w:p w14:paraId="7EFF905C" w14:textId="77777777" w:rsidR="009B2D6D" w:rsidRPr="0067297E" w:rsidRDefault="009B2D6D" w:rsidP="008C3647">
      <w:pPr>
        <w:pStyle w:val="Heading2"/>
        <w:rPr>
          <w:rFonts w:asciiTheme="minorHAnsi" w:hAnsiTheme="minorHAnsi"/>
        </w:rPr>
      </w:pPr>
      <w:bookmarkStart w:id="382" w:name="_Toc1385773"/>
      <w:bookmarkStart w:id="383" w:name="_Toc23151089"/>
      <w:r w:rsidRPr="0067297E">
        <w:rPr>
          <w:rFonts w:asciiTheme="minorHAnsi" w:hAnsiTheme="minorHAnsi"/>
        </w:rPr>
        <w:t>The private rented sector</w:t>
      </w:r>
      <w:bookmarkEnd w:id="382"/>
      <w:bookmarkEnd w:id="383"/>
    </w:p>
    <w:p w14:paraId="2D520459" w14:textId="4EB4DC3E" w:rsidR="009B2D6D" w:rsidRPr="0067297E" w:rsidRDefault="009B2D6D" w:rsidP="008C3647">
      <w:pPr>
        <w:pStyle w:val="Reporttext"/>
        <w:rPr>
          <w:rFonts w:asciiTheme="minorHAnsi" w:hAnsiTheme="minorHAnsi" w:cs="Calibri"/>
        </w:rPr>
      </w:pPr>
      <w:r w:rsidRPr="0067297E">
        <w:rPr>
          <w:rFonts w:asciiTheme="minorHAnsi" w:hAnsiTheme="minorHAnsi" w:cs="Calibri"/>
        </w:rPr>
        <w:t xml:space="preserve">The </w:t>
      </w:r>
      <w:r w:rsidRPr="0067297E">
        <w:rPr>
          <w:rFonts w:asciiTheme="minorHAnsi" w:hAnsiTheme="minorHAnsi" w:cs="Calibri"/>
          <w:lang w:val="en-GB"/>
        </w:rPr>
        <w:t xml:space="preserve">2011 Census found that the </w:t>
      </w:r>
      <w:r w:rsidRPr="0067297E">
        <w:rPr>
          <w:rFonts w:asciiTheme="minorHAnsi" w:hAnsiTheme="minorHAnsi" w:cs="Calibri"/>
        </w:rPr>
        <w:t xml:space="preserve">private rented sector accommodates around </w:t>
      </w:r>
      <w:r w:rsidRPr="0067297E">
        <w:rPr>
          <w:rFonts w:asciiTheme="minorHAnsi" w:hAnsiTheme="minorHAnsi" w:cs="Calibri"/>
          <w:lang w:val="en-GB"/>
        </w:rPr>
        <w:t>25.3%</w:t>
      </w:r>
      <w:r w:rsidRPr="0067297E">
        <w:rPr>
          <w:rFonts w:asciiTheme="minorHAnsi" w:hAnsiTheme="minorHAnsi" w:cs="Calibri"/>
        </w:rPr>
        <w:t xml:space="preserve"> of households (</w:t>
      </w:r>
      <w:r w:rsidRPr="0067297E">
        <w:rPr>
          <w:rFonts w:asciiTheme="minorHAnsi" w:hAnsiTheme="minorHAnsi" w:cs="Calibri"/>
          <w:lang w:val="en-GB"/>
        </w:rPr>
        <w:t>29,375 households</w:t>
      </w:r>
      <w:r w:rsidRPr="0067297E">
        <w:rPr>
          <w:rFonts w:asciiTheme="minorHAnsi" w:hAnsiTheme="minorHAnsi" w:cs="Calibri"/>
        </w:rPr>
        <w:t xml:space="preserve">) across </w:t>
      </w:r>
      <w:r w:rsidRPr="0067297E">
        <w:rPr>
          <w:rFonts w:asciiTheme="minorHAnsi" w:hAnsiTheme="minorHAnsi" w:cs="Calibri"/>
          <w:lang w:val="en-GB"/>
        </w:rPr>
        <w:t xml:space="preserve">the </w:t>
      </w:r>
      <w:r w:rsidR="00F91A82" w:rsidRPr="0067297E">
        <w:rPr>
          <w:rFonts w:asciiTheme="minorHAnsi" w:hAnsiTheme="minorHAnsi" w:cs="Calibri"/>
          <w:lang w:val="en-GB"/>
        </w:rPr>
        <w:t>borough</w:t>
      </w:r>
      <w:r w:rsidRPr="0067297E">
        <w:rPr>
          <w:rFonts w:asciiTheme="minorHAnsi" w:hAnsiTheme="minorHAnsi" w:cs="Calibri"/>
        </w:rPr>
        <w:t xml:space="preserve">. </w:t>
      </w:r>
      <w:r w:rsidRPr="0067297E">
        <w:rPr>
          <w:rFonts w:asciiTheme="minorHAnsi" w:hAnsiTheme="minorHAnsi" w:cs="Calibri"/>
          <w:lang w:val="en-GB"/>
        </w:rPr>
        <w:t xml:space="preserve">The characteristics of the private rented sector in </w:t>
      </w:r>
      <w:r w:rsidR="00F91A82" w:rsidRPr="0067297E">
        <w:rPr>
          <w:rFonts w:asciiTheme="minorHAnsi" w:hAnsiTheme="minorHAnsi" w:cs="Calibri"/>
          <w:lang w:val="en-GB"/>
        </w:rPr>
        <w:t xml:space="preserve">the borough </w:t>
      </w:r>
      <w:r w:rsidRPr="0067297E">
        <w:rPr>
          <w:rFonts w:asciiTheme="minorHAnsi" w:hAnsiTheme="minorHAnsi" w:cs="Calibri"/>
          <w:lang w:val="en-GB"/>
        </w:rPr>
        <w:t>have been reviewed in Chapter 4, including the findings of the stakeholder consultation work undertaken as part of this SHMA.</w:t>
      </w:r>
      <w:r w:rsidR="009A31FF" w:rsidRPr="0067297E">
        <w:rPr>
          <w:rFonts w:asciiTheme="minorHAnsi" w:hAnsiTheme="minorHAnsi" w:cs="Calibri"/>
          <w:lang w:val="en-GB"/>
        </w:rPr>
        <w:t xml:space="preserve">  An in depth study of the private rented sector is appended to this report.  </w:t>
      </w:r>
    </w:p>
    <w:p w14:paraId="3E7D9C87" w14:textId="77777777" w:rsidR="009B2D6D" w:rsidRPr="0067297E" w:rsidRDefault="009B2D6D" w:rsidP="00FA273F">
      <w:pPr>
        <w:rPr>
          <w:rFonts w:asciiTheme="minorHAnsi" w:hAnsiTheme="minorHAnsi"/>
          <w:sz w:val="20"/>
        </w:rPr>
      </w:pPr>
    </w:p>
    <w:p w14:paraId="73EACAD8" w14:textId="77777777" w:rsidR="00C16BA9" w:rsidRPr="0067297E" w:rsidRDefault="007E1AC8" w:rsidP="00FA273F">
      <w:pPr>
        <w:pStyle w:val="Heading2"/>
        <w:rPr>
          <w:rFonts w:asciiTheme="minorHAnsi" w:hAnsiTheme="minorHAnsi"/>
        </w:rPr>
      </w:pPr>
      <w:bookmarkStart w:id="384" w:name="_Toc1385774"/>
      <w:bookmarkStart w:id="385" w:name="_Toc23151090"/>
      <w:r w:rsidRPr="0067297E">
        <w:rPr>
          <w:rFonts w:asciiTheme="minorHAnsi" w:hAnsiTheme="minorHAnsi"/>
          <w:lang w:val="en-GB"/>
        </w:rPr>
        <w:t>Demand for s</w:t>
      </w:r>
      <w:r w:rsidRPr="0067297E">
        <w:rPr>
          <w:rFonts w:asciiTheme="minorHAnsi" w:hAnsiTheme="minorHAnsi"/>
        </w:rPr>
        <w:t>elf</w:t>
      </w:r>
      <w:r w:rsidR="00C16BA9" w:rsidRPr="0067297E">
        <w:rPr>
          <w:rFonts w:asciiTheme="minorHAnsi" w:hAnsiTheme="minorHAnsi"/>
        </w:rPr>
        <w:t xml:space="preserve"> and custom housebuilding</w:t>
      </w:r>
      <w:bookmarkEnd w:id="384"/>
      <w:bookmarkEnd w:id="385"/>
    </w:p>
    <w:p w14:paraId="1174BE94" w14:textId="77777777" w:rsidR="009B2D6D" w:rsidRPr="0067297E" w:rsidRDefault="009B2D6D" w:rsidP="00543A76">
      <w:pPr>
        <w:pStyle w:val="Reporttext"/>
        <w:rPr>
          <w:rFonts w:asciiTheme="minorHAnsi" w:hAnsiTheme="minorHAnsi" w:cs="Calibri"/>
        </w:rPr>
      </w:pPr>
      <w:r w:rsidRPr="0067297E">
        <w:rPr>
          <w:rFonts w:asciiTheme="minorHAnsi" w:hAnsiTheme="minorHAnsi" w:cs="Calibri"/>
        </w:rPr>
        <w:t>The Self-Build and Custom Housebuilding Act 2015 and subsequent Self-Build and Custom Housebuilding (Register) Regulations 2016 require authorities to maintain a register of those who have expressed an interest in buying serviced plots. Local authorities are under a duty to have regard to these registers in carrying out their planning function.</w:t>
      </w:r>
      <w:r w:rsidR="0037064C" w:rsidRPr="0067297E">
        <w:rPr>
          <w:rFonts w:asciiTheme="minorHAnsi" w:hAnsiTheme="minorHAnsi" w:cs="Calibri"/>
          <w:lang w:val="en-GB"/>
        </w:rPr>
        <w:t xml:space="preserve"> T</w:t>
      </w:r>
      <w:r w:rsidR="007E1AC8" w:rsidRPr="0067297E">
        <w:rPr>
          <w:rFonts w:asciiTheme="minorHAnsi" w:hAnsiTheme="minorHAnsi" w:cs="Calibri"/>
          <w:lang w:val="en-GB"/>
        </w:rPr>
        <w:t>he following section presents key findings from the register as at July 2018 from a policy perspective.</w:t>
      </w:r>
    </w:p>
    <w:p w14:paraId="46BFDBDA" w14:textId="77777777" w:rsidR="007E1AC8" w:rsidRPr="0067297E" w:rsidRDefault="007E1AC8" w:rsidP="00543A76">
      <w:pPr>
        <w:pStyle w:val="bullet"/>
        <w:rPr>
          <w:rFonts w:asciiTheme="minorHAnsi" w:hAnsiTheme="minorHAnsi" w:cstheme="minorHAnsi"/>
        </w:rPr>
      </w:pPr>
      <w:r w:rsidRPr="0067297E">
        <w:rPr>
          <w:rFonts w:asciiTheme="minorHAnsi" w:hAnsiTheme="minorHAnsi" w:cstheme="minorHAnsi"/>
          <w:lang w:val="en-GB"/>
        </w:rPr>
        <w:t>there were 135 applicants 49 of whom (36%) had also expressed an interest in the GLA register;</w:t>
      </w:r>
    </w:p>
    <w:p w14:paraId="49621ADA" w14:textId="77777777" w:rsidR="007E1AC8" w:rsidRPr="0067297E" w:rsidRDefault="007E1AC8" w:rsidP="00543A76">
      <w:pPr>
        <w:pStyle w:val="bullet"/>
        <w:rPr>
          <w:rFonts w:asciiTheme="minorHAnsi" w:hAnsiTheme="minorHAnsi" w:cstheme="minorHAnsi"/>
        </w:rPr>
      </w:pPr>
      <w:r w:rsidRPr="0067297E">
        <w:rPr>
          <w:rFonts w:asciiTheme="minorHAnsi" w:hAnsiTheme="minorHAnsi" w:cstheme="minorHAnsi"/>
          <w:lang w:val="en-GB"/>
        </w:rPr>
        <w:t>38 (28%) applicants had previous experience of a self or custom build project;</w:t>
      </w:r>
    </w:p>
    <w:p w14:paraId="53AD032C" w14:textId="39740EE2" w:rsidR="007E1AC8" w:rsidRPr="0067297E" w:rsidRDefault="007E1AC8" w:rsidP="00543A76">
      <w:pPr>
        <w:pStyle w:val="bullet"/>
        <w:rPr>
          <w:rFonts w:asciiTheme="minorHAnsi" w:hAnsiTheme="minorHAnsi" w:cstheme="minorHAnsi"/>
        </w:rPr>
      </w:pPr>
      <w:r w:rsidRPr="0067297E">
        <w:rPr>
          <w:rFonts w:asciiTheme="minorHAnsi" w:hAnsiTheme="minorHAnsi" w:cstheme="minorHAnsi"/>
          <w:lang w:val="en-GB"/>
        </w:rPr>
        <w:t>18 applicants stated they were interested in a group self</w:t>
      </w:r>
      <w:r w:rsidR="00491524" w:rsidRPr="0067297E">
        <w:rPr>
          <w:rFonts w:asciiTheme="minorHAnsi" w:hAnsiTheme="minorHAnsi" w:cstheme="minorHAnsi"/>
          <w:lang w:val="en-GB"/>
        </w:rPr>
        <w:t>-</w:t>
      </w:r>
      <w:r w:rsidRPr="0067297E">
        <w:rPr>
          <w:rFonts w:asciiTheme="minorHAnsi" w:hAnsiTheme="minorHAnsi" w:cstheme="minorHAnsi"/>
          <w:lang w:val="en-GB"/>
        </w:rPr>
        <w:t>build project;</w:t>
      </w:r>
    </w:p>
    <w:p w14:paraId="2F5F90FE" w14:textId="77777777" w:rsidR="007E1AC8" w:rsidRPr="0067297E" w:rsidRDefault="007E1AC8" w:rsidP="00543A76">
      <w:pPr>
        <w:pStyle w:val="bullet"/>
        <w:rPr>
          <w:rFonts w:asciiTheme="minorHAnsi" w:hAnsiTheme="minorHAnsi" w:cstheme="minorHAnsi"/>
        </w:rPr>
      </w:pPr>
      <w:r w:rsidRPr="0067297E">
        <w:rPr>
          <w:rFonts w:asciiTheme="minorHAnsi" w:hAnsiTheme="minorHAnsi" w:cstheme="minorHAnsi"/>
          <w:lang w:val="en-GB"/>
        </w:rPr>
        <w:t>5 applicants stated that they were interested in a developer led custom design and build service</w:t>
      </w:r>
      <w:r w:rsidR="00363FA3" w:rsidRPr="0067297E">
        <w:rPr>
          <w:rFonts w:asciiTheme="minorHAnsi" w:hAnsiTheme="minorHAnsi" w:cstheme="minorHAnsi"/>
          <w:lang w:val="en-GB"/>
        </w:rPr>
        <w:t>;</w:t>
      </w:r>
    </w:p>
    <w:p w14:paraId="004A2A3B" w14:textId="346BCED7" w:rsidR="00363FA3" w:rsidRPr="0067297E" w:rsidRDefault="00363FA3" w:rsidP="00543A76">
      <w:pPr>
        <w:pStyle w:val="bullet"/>
        <w:rPr>
          <w:rFonts w:asciiTheme="minorHAnsi" w:hAnsiTheme="minorHAnsi" w:cstheme="minorHAnsi"/>
        </w:rPr>
      </w:pPr>
      <w:r w:rsidRPr="0067297E">
        <w:rPr>
          <w:rFonts w:asciiTheme="minorHAnsi" w:hAnsiTheme="minorHAnsi" w:cstheme="minorHAnsi"/>
          <w:lang w:val="en-GB"/>
        </w:rPr>
        <w:t>112 applicants stated they were seeking an individual self</w:t>
      </w:r>
      <w:r w:rsidR="00491524" w:rsidRPr="0067297E">
        <w:rPr>
          <w:rFonts w:asciiTheme="minorHAnsi" w:hAnsiTheme="minorHAnsi" w:cstheme="minorHAnsi"/>
          <w:lang w:val="en-GB"/>
        </w:rPr>
        <w:t>-</w:t>
      </w:r>
      <w:r w:rsidRPr="0067297E">
        <w:rPr>
          <w:rFonts w:asciiTheme="minorHAnsi" w:hAnsiTheme="minorHAnsi" w:cstheme="minorHAnsi"/>
          <w:lang w:val="en-GB"/>
        </w:rPr>
        <w:t>build plot;</w:t>
      </w:r>
    </w:p>
    <w:p w14:paraId="3842D7A0" w14:textId="27724C89" w:rsidR="00363FA3" w:rsidRPr="0067297E" w:rsidRDefault="00363FA3" w:rsidP="000256AC">
      <w:pPr>
        <w:pStyle w:val="bullet"/>
        <w:rPr>
          <w:rFonts w:asciiTheme="minorHAnsi" w:hAnsiTheme="minorHAnsi" w:cstheme="minorHAnsi"/>
        </w:rPr>
      </w:pPr>
      <w:r w:rsidRPr="0067297E">
        <w:rPr>
          <w:rFonts w:asciiTheme="minorHAnsi" w:hAnsiTheme="minorHAnsi" w:cstheme="minorHAnsi"/>
          <w:lang w:val="en-GB"/>
        </w:rPr>
        <w:t xml:space="preserve">5 applicants stated they were members of a community land trust - all Rural Urban </w:t>
      </w:r>
      <w:r w:rsidR="005B2517" w:rsidRPr="0067297E">
        <w:rPr>
          <w:rFonts w:asciiTheme="minorHAnsi" w:hAnsiTheme="minorHAnsi" w:cstheme="minorHAnsi"/>
          <w:lang w:val="en-GB"/>
        </w:rPr>
        <w:t>Synthesis</w:t>
      </w:r>
      <w:r w:rsidRPr="0067297E">
        <w:rPr>
          <w:rFonts w:asciiTheme="minorHAnsi" w:hAnsiTheme="minorHAnsi" w:cstheme="minorHAnsi"/>
          <w:lang w:val="en-GB"/>
        </w:rPr>
        <w:t xml:space="preserve"> Society;</w:t>
      </w:r>
    </w:p>
    <w:p w14:paraId="7756E5D2" w14:textId="26EAE6AC" w:rsidR="00363FA3" w:rsidRPr="0067297E" w:rsidRDefault="00491524" w:rsidP="006C722F">
      <w:pPr>
        <w:pStyle w:val="bullet"/>
        <w:rPr>
          <w:rFonts w:asciiTheme="minorHAnsi" w:hAnsiTheme="minorHAnsi" w:cstheme="minorHAnsi"/>
        </w:rPr>
      </w:pPr>
      <w:r w:rsidRPr="0067297E">
        <w:rPr>
          <w:rFonts w:asciiTheme="minorHAnsi" w:hAnsiTheme="minorHAnsi" w:cstheme="minorHAnsi"/>
          <w:lang w:val="en-GB"/>
        </w:rPr>
        <w:t>v</w:t>
      </w:r>
      <w:r w:rsidR="005B2517" w:rsidRPr="0067297E">
        <w:rPr>
          <w:rFonts w:asciiTheme="minorHAnsi" w:hAnsiTheme="minorHAnsi" w:cstheme="minorHAnsi"/>
          <w:lang w:val="en-GB"/>
        </w:rPr>
        <w:t>arious</w:t>
      </w:r>
      <w:r w:rsidR="00363FA3" w:rsidRPr="0067297E">
        <w:rPr>
          <w:rFonts w:asciiTheme="minorHAnsi" w:hAnsiTheme="minorHAnsi" w:cstheme="minorHAnsi"/>
          <w:lang w:val="en-GB"/>
        </w:rPr>
        <w:t xml:space="preserve"> plot sizes</w:t>
      </w:r>
      <w:r w:rsidR="007E18D2" w:rsidRPr="0067297E">
        <w:rPr>
          <w:rFonts w:asciiTheme="minorHAnsi" w:hAnsiTheme="minorHAnsi" w:cstheme="minorHAnsi"/>
          <w:lang w:val="en-GB"/>
        </w:rPr>
        <w:t xml:space="preserve"> and types</w:t>
      </w:r>
      <w:r w:rsidR="00363FA3" w:rsidRPr="0067297E">
        <w:rPr>
          <w:rFonts w:asciiTheme="minorHAnsi" w:hAnsiTheme="minorHAnsi" w:cstheme="minorHAnsi"/>
          <w:lang w:val="en-GB"/>
        </w:rPr>
        <w:t xml:space="preserve"> were estimated by applicants</w:t>
      </w:r>
      <w:r w:rsidR="007E18D2" w:rsidRPr="0067297E">
        <w:rPr>
          <w:rFonts w:asciiTheme="minorHAnsi" w:hAnsiTheme="minorHAnsi" w:cstheme="minorHAnsi"/>
          <w:lang w:val="en-GB"/>
        </w:rPr>
        <w:t>:</w:t>
      </w:r>
    </w:p>
    <w:p w14:paraId="5BBBA991" w14:textId="77777777" w:rsidR="00363FA3" w:rsidRPr="0067297E" w:rsidRDefault="00773EA2" w:rsidP="008C3647">
      <w:pPr>
        <w:pStyle w:val="bulletlevel2"/>
        <w:rPr>
          <w:rFonts w:asciiTheme="minorHAnsi" w:hAnsiTheme="minorHAnsi"/>
        </w:rPr>
      </w:pPr>
      <w:r w:rsidRPr="0067297E">
        <w:rPr>
          <w:rFonts w:asciiTheme="minorHAnsi" w:hAnsiTheme="minorHAnsi"/>
        </w:rPr>
        <w:t xml:space="preserve">82 applicants (62%) </w:t>
      </w:r>
      <w:r w:rsidR="00363FA3" w:rsidRPr="0067297E">
        <w:rPr>
          <w:rFonts w:asciiTheme="minorHAnsi" w:hAnsiTheme="minorHAnsi"/>
        </w:rPr>
        <w:t>under 150sqm</w:t>
      </w:r>
      <w:r w:rsidR="007E18D2" w:rsidRPr="0067297E">
        <w:rPr>
          <w:rFonts w:asciiTheme="minorHAnsi" w:hAnsiTheme="minorHAnsi"/>
        </w:rPr>
        <w:t>;</w:t>
      </w:r>
    </w:p>
    <w:p w14:paraId="4964F851" w14:textId="77777777" w:rsidR="00363FA3" w:rsidRPr="0067297E" w:rsidRDefault="00363FA3" w:rsidP="008C3647">
      <w:pPr>
        <w:pStyle w:val="bulletlevel2"/>
        <w:rPr>
          <w:rFonts w:asciiTheme="minorHAnsi" w:hAnsiTheme="minorHAnsi"/>
        </w:rPr>
      </w:pPr>
      <w:r w:rsidRPr="0067297E">
        <w:rPr>
          <w:rFonts w:asciiTheme="minorHAnsi" w:hAnsiTheme="minorHAnsi"/>
        </w:rPr>
        <w:t>24 applicants (18%) 150-200sqm</w:t>
      </w:r>
      <w:r w:rsidR="007E18D2" w:rsidRPr="0067297E">
        <w:rPr>
          <w:rFonts w:asciiTheme="minorHAnsi" w:hAnsiTheme="minorHAnsi"/>
        </w:rPr>
        <w:t>;</w:t>
      </w:r>
    </w:p>
    <w:p w14:paraId="419710B2" w14:textId="1354CFBF" w:rsidR="00363FA3" w:rsidRPr="0067297E" w:rsidRDefault="00773EA2" w:rsidP="008C3647">
      <w:pPr>
        <w:pStyle w:val="bulletlevel2"/>
        <w:rPr>
          <w:rFonts w:asciiTheme="minorHAnsi" w:hAnsiTheme="minorHAnsi"/>
        </w:rPr>
      </w:pPr>
      <w:r w:rsidRPr="0067297E">
        <w:rPr>
          <w:rFonts w:asciiTheme="minorHAnsi" w:hAnsiTheme="minorHAnsi"/>
        </w:rPr>
        <w:t>20 app</w:t>
      </w:r>
      <w:r w:rsidR="00363FA3" w:rsidRPr="0067297E">
        <w:rPr>
          <w:rFonts w:asciiTheme="minorHAnsi" w:hAnsiTheme="minorHAnsi"/>
        </w:rPr>
        <w:t>licants (15%) 200-500sqm</w:t>
      </w:r>
      <w:r w:rsidR="007E18D2" w:rsidRPr="0067297E">
        <w:rPr>
          <w:rFonts w:asciiTheme="minorHAnsi" w:hAnsiTheme="minorHAnsi"/>
        </w:rPr>
        <w:t>;</w:t>
      </w:r>
    </w:p>
    <w:p w14:paraId="5B684B43" w14:textId="77777777" w:rsidR="00363FA3" w:rsidRPr="0067297E" w:rsidRDefault="00773EA2" w:rsidP="008C3647">
      <w:pPr>
        <w:pStyle w:val="bulletlevel2"/>
        <w:rPr>
          <w:rFonts w:asciiTheme="minorHAnsi" w:hAnsiTheme="minorHAnsi"/>
        </w:rPr>
      </w:pPr>
      <w:r w:rsidRPr="0067297E">
        <w:rPr>
          <w:rFonts w:asciiTheme="minorHAnsi" w:hAnsiTheme="minorHAnsi"/>
        </w:rPr>
        <w:t xml:space="preserve">7 applicants (5%) </w:t>
      </w:r>
      <w:r w:rsidR="00363FA3" w:rsidRPr="0067297E">
        <w:rPr>
          <w:rFonts w:asciiTheme="minorHAnsi" w:hAnsiTheme="minorHAnsi"/>
        </w:rPr>
        <w:t>500sqm+</w:t>
      </w:r>
      <w:r w:rsidR="007E18D2" w:rsidRPr="0067297E">
        <w:rPr>
          <w:rFonts w:asciiTheme="minorHAnsi" w:hAnsiTheme="minorHAnsi"/>
        </w:rPr>
        <w:t>;</w:t>
      </w:r>
    </w:p>
    <w:p w14:paraId="149AA990" w14:textId="77777777" w:rsidR="007E18D2" w:rsidRPr="0067297E" w:rsidRDefault="007E18D2" w:rsidP="008C3647">
      <w:pPr>
        <w:pStyle w:val="bulletlevel2"/>
        <w:rPr>
          <w:rFonts w:asciiTheme="minorHAnsi" w:hAnsiTheme="minorHAnsi"/>
        </w:rPr>
      </w:pPr>
      <w:r w:rsidRPr="0067297E">
        <w:rPr>
          <w:rFonts w:asciiTheme="minorHAnsi" w:hAnsiTheme="minorHAnsi"/>
        </w:rPr>
        <w:t xml:space="preserve">96 applicants (71%) detached house; </w:t>
      </w:r>
    </w:p>
    <w:p w14:paraId="0C67B5B5" w14:textId="77777777" w:rsidR="007E18D2" w:rsidRPr="0067297E" w:rsidRDefault="007E0B4A" w:rsidP="00FA273F">
      <w:pPr>
        <w:pStyle w:val="bulletlevel2"/>
        <w:rPr>
          <w:rFonts w:asciiTheme="minorHAnsi" w:hAnsiTheme="minorHAnsi"/>
        </w:rPr>
      </w:pPr>
      <w:r w:rsidRPr="0067297E">
        <w:rPr>
          <w:rFonts w:asciiTheme="minorHAnsi" w:hAnsiTheme="minorHAnsi"/>
        </w:rPr>
        <w:t xml:space="preserve">12 applicants (9%) </w:t>
      </w:r>
      <w:r w:rsidR="007E18D2" w:rsidRPr="0067297E">
        <w:rPr>
          <w:rFonts w:asciiTheme="minorHAnsi" w:hAnsiTheme="minorHAnsi"/>
        </w:rPr>
        <w:t>semi-detached house</w:t>
      </w:r>
      <w:r w:rsidRPr="0067297E">
        <w:rPr>
          <w:rFonts w:asciiTheme="minorHAnsi" w:hAnsiTheme="minorHAnsi"/>
        </w:rPr>
        <w:t>;</w:t>
      </w:r>
      <w:r w:rsidR="007E18D2" w:rsidRPr="0067297E">
        <w:rPr>
          <w:rFonts w:asciiTheme="minorHAnsi" w:hAnsiTheme="minorHAnsi"/>
        </w:rPr>
        <w:t xml:space="preserve"> </w:t>
      </w:r>
    </w:p>
    <w:p w14:paraId="01B2A3AB" w14:textId="77777777" w:rsidR="007E18D2" w:rsidRPr="0067297E" w:rsidRDefault="007E0B4A" w:rsidP="00FA273F">
      <w:pPr>
        <w:pStyle w:val="bulletlevel2"/>
        <w:rPr>
          <w:rFonts w:asciiTheme="minorHAnsi" w:hAnsiTheme="minorHAnsi"/>
        </w:rPr>
      </w:pPr>
      <w:r w:rsidRPr="0067297E">
        <w:rPr>
          <w:rFonts w:asciiTheme="minorHAnsi" w:hAnsiTheme="minorHAnsi"/>
        </w:rPr>
        <w:t xml:space="preserve">25 applicants (19%) </w:t>
      </w:r>
      <w:r w:rsidR="007E18D2" w:rsidRPr="0067297E">
        <w:rPr>
          <w:rFonts w:asciiTheme="minorHAnsi" w:hAnsiTheme="minorHAnsi"/>
        </w:rPr>
        <w:t>mix of units</w:t>
      </w:r>
      <w:r w:rsidRPr="0067297E">
        <w:rPr>
          <w:rFonts w:asciiTheme="minorHAnsi" w:hAnsiTheme="minorHAnsi"/>
        </w:rPr>
        <w:t>;</w:t>
      </w:r>
    </w:p>
    <w:p w14:paraId="3D3D9277" w14:textId="6F7F4EA4" w:rsidR="007E18D2" w:rsidRPr="0067297E" w:rsidRDefault="007E18D2" w:rsidP="00FA273F">
      <w:pPr>
        <w:pStyle w:val="bulletlevel2"/>
        <w:rPr>
          <w:rFonts w:asciiTheme="minorHAnsi" w:hAnsiTheme="minorHAnsi"/>
        </w:rPr>
      </w:pPr>
      <w:r w:rsidRPr="0067297E">
        <w:rPr>
          <w:rFonts w:asciiTheme="minorHAnsi" w:hAnsiTheme="minorHAnsi"/>
        </w:rPr>
        <w:t xml:space="preserve">1 applicant </w:t>
      </w:r>
      <w:r w:rsidR="005B2517" w:rsidRPr="0067297E">
        <w:rPr>
          <w:rFonts w:asciiTheme="minorHAnsi" w:hAnsiTheme="minorHAnsi"/>
        </w:rPr>
        <w:t>suitable</w:t>
      </w:r>
      <w:r w:rsidRPr="0067297E">
        <w:rPr>
          <w:rFonts w:asciiTheme="minorHAnsi" w:hAnsiTheme="minorHAnsi"/>
        </w:rPr>
        <w:t xml:space="preserve"> for disability</w:t>
      </w:r>
      <w:r w:rsidR="007E0B4A" w:rsidRPr="0067297E">
        <w:rPr>
          <w:rFonts w:asciiTheme="minorHAnsi" w:hAnsiTheme="minorHAnsi"/>
        </w:rPr>
        <w:t>; and</w:t>
      </w:r>
    </w:p>
    <w:p w14:paraId="7E28B3AC" w14:textId="77777777" w:rsidR="007E18D2" w:rsidRPr="0067297E" w:rsidRDefault="007E0B4A" w:rsidP="00FA273F">
      <w:pPr>
        <w:pStyle w:val="bulletlevel2"/>
        <w:rPr>
          <w:rFonts w:asciiTheme="minorHAnsi" w:hAnsiTheme="minorHAnsi"/>
        </w:rPr>
      </w:pPr>
      <w:r w:rsidRPr="0067297E">
        <w:rPr>
          <w:rFonts w:asciiTheme="minorHAnsi" w:hAnsiTheme="minorHAnsi"/>
        </w:rPr>
        <w:t>1 flat or apartment.</w:t>
      </w:r>
    </w:p>
    <w:p w14:paraId="7A81D986" w14:textId="77777777" w:rsidR="009B2D6D" w:rsidRPr="0067297E" w:rsidRDefault="00773EA2" w:rsidP="008C3647">
      <w:pPr>
        <w:pStyle w:val="bullet"/>
        <w:rPr>
          <w:rFonts w:asciiTheme="minorHAnsi" w:hAnsiTheme="minorHAnsi" w:cstheme="minorHAnsi"/>
        </w:rPr>
      </w:pPr>
      <w:r w:rsidRPr="0067297E">
        <w:rPr>
          <w:rFonts w:asciiTheme="minorHAnsi" w:hAnsiTheme="minorHAnsi" w:cstheme="minorHAnsi"/>
        </w:rPr>
        <w:t>2 applicants requested more than 1 serviced plot</w:t>
      </w:r>
      <w:r w:rsidRPr="0067297E">
        <w:rPr>
          <w:rFonts w:asciiTheme="minorHAnsi" w:hAnsiTheme="minorHAnsi" w:cstheme="minorHAnsi"/>
          <w:lang w:val="en-GB"/>
        </w:rPr>
        <w:t>;</w:t>
      </w:r>
    </w:p>
    <w:p w14:paraId="6282D640" w14:textId="03CFF33A" w:rsidR="00773EA2" w:rsidRPr="0067297E" w:rsidRDefault="003228DA" w:rsidP="00C12BC3">
      <w:pPr>
        <w:pStyle w:val="bullet"/>
        <w:rPr>
          <w:rFonts w:asciiTheme="minorHAnsi" w:hAnsiTheme="minorHAnsi" w:cstheme="minorHAnsi"/>
        </w:rPr>
      </w:pPr>
      <w:r w:rsidRPr="0067297E">
        <w:rPr>
          <w:rFonts w:asciiTheme="minorHAnsi" w:hAnsiTheme="minorHAnsi" w:cstheme="minorHAnsi"/>
          <w:lang w:val="en-GB"/>
        </w:rPr>
        <w:t>a</w:t>
      </w:r>
      <w:r w:rsidR="00526726" w:rsidRPr="0067297E">
        <w:rPr>
          <w:rFonts w:asciiTheme="minorHAnsi" w:hAnsiTheme="minorHAnsi" w:cstheme="minorHAnsi"/>
          <w:lang w:val="en-GB"/>
        </w:rPr>
        <w:t>ll expressed a preference for a plot located in the ‘town centre’</w:t>
      </w:r>
      <w:r w:rsidR="007E18D2" w:rsidRPr="0067297E">
        <w:rPr>
          <w:rFonts w:asciiTheme="minorHAnsi" w:hAnsiTheme="minorHAnsi" w:cstheme="minorHAnsi"/>
          <w:lang w:val="en-GB"/>
        </w:rPr>
        <w:t xml:space="preserve"> some qualified this with individual requests for Sydenham, Forest Hill, </w:t>
      </w:r>
      <w:r w:rsidR="00D14D45" w:rsidRPr="0067297E">
        <w:rPr>
          <w:rFonts w:asciiTheme="minorHAnsi" w:hAnsiTheme="minorHAnsi" w:cstheme="minorHAnsi"/>
          <w:lang w:val="en-GB"/>
        </w:rPr>
        <w:t>Brockley</w:t>
      </w:r>
      <w:r w:rsidR="007E18D2" w:rsidRPr="0067297E">
        <w:rPr>
          <w:rFonts w:asciiTheme="minorHAnsi" w:hAnsiTheme="minorHAnsi" w:cstheme="minorHAnsi"/>
          <w:lang w:val="en-GB"/>
        </w:rPr>
        <w:t>, Catford and Blackheath. 5 sought close to transport links;</w:t>
      </w:r>
      <w:r w:rsidR="007E0B4A" w:rsidRPr="0067297E">
        <w:rPr>
          <w:rFonts w:asciiTheme="minorHAnsi" w:hAnsiTheme="minorHAnsi" w:cstheme="minorHAnsi"/>
          <w:lang w:val="en-GB"/>
        </w:rPr>
        <w:t xml:space="preserve"> and</w:t>
      </w:r>
    </w:p>
    <w:p w14:paraId="506236BB" w14:textId="29E6F9A6" w:rsidR="007E18D2" w:rsidRPr="0067297E" w:rsidRDefault="003228DA" w:rsidP="00C12BC3">
      <w:pPr>
        <w:pStyle w:val="bullet"/>
        <w:rPr>
          <w:rFonts w:asciiTheme="minorHAnsi" w:hAnsiTheme="minorHAnsi" w:cstheme="minorHAnsi"/>
        </w:rPr>
      </w:pPr>
      <w:r w:rsidRPr="0067297E">
        <w:rPr>
          <w:rFonts w:asciiTheme="minorHAnsi" w:hAnsiTheme="minorHAnsi" w:cstheme="minorHAnsi"/>
          <w:lang w:val="en-GB"/>
        </w:rPr>
        <w:t xml:space="preserve">nearly all </w:t>
      </w:r>
      <w:r w:rsidR="007E0B4A" w:rsidRPr="0067297E">
        <w:rPr>
          <w:rFonts w:asciiTheme="minorHAnsi" w:hAnsiTheme="minorHAnsi" w:cstheme="minorHAnsi"/>
          <w:lang w:val="en-GB"/>
        </w:rPr>
        <w:t>felt able to progress their project within</w:t>
      </w:r>
      <w:r w:rsidR="00D14D45" w:rsidRPr="0067297E">
        <w:rPr>
          <w:rFonts w:asciiTheme="minorHAnsi" w:hAnsiTheme="minorHAnsi" w:cstheme="minorHAnsi"/>
          <w:lang w:val="en-GB"/>
        </w:rPr>
        <w:t xml:space="preserve"> </w:t>
      </w:r>
      <w:r w:rsidR="007E0B4A" w:rsidRPr="0067297E">
        <w:rPr>
          <w:rFonts w:asciiTheme="minorHAnsi" w:hAnsiTheme="minorHAnsi" w:cstheme="minorHAnsi"/>
          <w:lang w:val="en-GB"/>
        </w:rPr>
        <w:t xml:space="preserve">12 months of a plot becoming available. </w:t>
      </w:r>
    </w:p>
    <w:p w14:paraId="62DA89D6" w14:textId="6C1EBC7B" w:rsidR="003228DA" w:rsidRPr="0067297E" w:rsidRDefault="007E0B4A" w:rsidP="00C12BC3">
      <w:pPr>
        <w:pStyle w:val="Reporttext"/>
        <w:rPr>
          <w:rFonts w:asciiTheme="minorHAnsi" w:hAnsiTheme="minorHAnsi" w:cstheme="minorHAnsi"/>
        </w:rPr>
      </w:pPr>
      <w:r w:rsidRPr="0067297E">
        <w:rPr>
          <w:rFonts w:asciiTheme="minorHAnsi" w:hAnsiTheme="minorHAnsi" w:cstheme="minorHAnsi"/>
          <w:lang w:val="en-GB"/>
        </w:rPr>
        <w:t xml:space="preserve">We routinely look at weekly planning lists for evidence of the scale of self and custom building by people that have found plots.  We searched for listings that concerned individual dwellings whether new build, rebuild or conversion. </w:t>
      </w:r>
      <w:r w:rsidR="003228DA" w:rsidRPr="0067297E">
        <w:rPr>
          <w:rFonts w:asciiTheme="minorHAnsi" w:hAnsiTheme="minorHAnsi" w:cstheme="minorHAnsi"/>
          <w:lang w:val="en-GB"/>
        </w:rPr>
        <w:t xml:space="preserve">We accept that we are unable to differentiate </w:t>
      </w:r>
      <w:r w:rsidR="005B2517" w:rsidRPr="0067297E">
        <w:rPr>
          <w:rFonts w:asciiTheme="minorHAnsi" w:hAnsiTheme="minorHAnsi" w:cstheme="minorHAnsi"/>
          <w:lang w:val="en-GB"/>
        </w:rPr>
        <w:t>between</w:t>
      </w:r>
      <w:r w:rsidR="003228DA" w:rsidRPr="0067297E">
        <w:rPr>
          <w:rFonts w:asciiTheme="minorHAnsi" w:hAnsiTheme="minorHAnsi" w:cstheme="minorHAnsi"/>
          <w:lang w:val="en-GB"/>
        </w:rPr>
        <w:t xml:space="preserve"> </w:t>
      </w:r>
      <w:r w:rsidR="005B2517" w:rsidRPr="0067297E">
        <w:rPr>
          <w:rFonts w:asciiTheme="minorHAnsi" w:hAnsiTheme="minorHAnsi" w:cstheme="minorHAnsi"/>
          <w:lang w:val="en-GB"/>
        </w:rPr>
        <w:t>self</w:t>
      </w:r>
      <w:r w:rsidR="003228DA" w:rsidRPr="0067297E">
        <w:rPr>
          <w:rFonts w:asciiTheme="minorHAnsi" w:hAnsiTheme="minorHAnsi" w:cstheme="minorHAnsi"/>
          <w:lang w:val="en-GB"/>
        </w:rPr>
        <w:t xml:space="preserve">/custom build and speculative build and that this information is only indicative. </w:t>
      </w:r>
    </w:p>
    <w:p w14:paraId="74E6B1C7" w14:textId="77777777" w:rsidR="007E0B4A" w:rsidRPr="0067297E" w:rsidRDefault="007E0B4A" w:rsidP="00A04CC5">
      <w:pPr>
        <w:pStyle w:val="Reporttext"/>
        <w:rPr>
          <w:rFonts w:asciiTheme="minorHAnsi" w:hAnsiTheme="minorHAnsi" w:cstheme="minorHAnsi"/>
        </w:rPr>
      </w:pPr>
      <w:r w:rsidRPr="0067297E">
        <w:rPr>
          <w:rFonts w:asciiTheme="minorHAnsi" w:hAnsiTheme="minorHAnsi" w:cstheme="minorHAnsi"/>
          <w:lang w:val="en-GB"/>
        </w:rPr>
        <w:t>Outside London our experience has invariably been that the scale of this activity</w:t>
      </w:r>
      <w:r w:rsidR="003228DA" w:rsidRPr="0067297E">
        <w:rPr>
          <w:rFonts w:asciiTheme="minorHAnsi" w:hAnsiTheme="minorHAnsi" w:cstheme="minorHAnsi"/>
          <w:lang w:val="en-GB"/>
        </w:rPr>
        <w:t xml:space="preserve"> annually</w:t>
      </w:r>
      <w:r w:rsidRPr="0067297E">
        <w:rPr>
          <w:rFonts w:asciiTheme="minorHAnsi" w:hAnsiTheme="minorHAnsi" w:cstheme="minorHAnsi"/>
          <w:lang w:val="en-GB"/>
        </w:rPr>
        <w:t xml:space="preserve"> is several times greater than the </w:t>
      </w:r>
      <w:r w:rsidR="003228DA" w:rsidRPr="0067297E">
        <w:rPr>
          <w:rFonts w:asciiTheme="minorHAnsi" w:hAnsiTheme="minorHAnsi" w:cstheme="minorHAnsi"/>
          <w:lang w:val="en-GB"/>
        </w:rPr>
        <w:t xml:space="preserve">applicants listed on the register. </w:t>
      </w:r>
    </w:p>
    <w:p w14:paraId="513F13BB" w14:textId="63DF4F2D" w:rsidR="00972E84" w:rsidRPr="0067297E" w:rsidRDefault="00972E84" w:rsidP="007E2C96">
      <w:pPr>
        <w:pStyle w:val="Reporttext"/>
        <w:rPr>
          <w:rFonts w:asciiTheme="minorHAnsi" w:hAnsiTheme="minorHAnsi" w:cstheme="minorHAnsi"/>
        </w:rPr>
      </w:pPr>
      <w:r w:rsidRPr="0067297E">
        <w:rPr>
          <w:rFonts w:asciiTheme="minorHAnsi" w:hAnsiTheme="minorHAnsi" w:cstheme="minorHAnsi"/>
          <w:lang w:val="en-GB"/>
        </w:rPr>
        <w:t>Based on detailed examination of the weekly planning list for a 4</w:t>
      </w:r>
      <w:r w:rsidR="00477F4A" w:rsidRPr="0067297E">
        <w:rPr>
          <w:rFonts w:asciiTheme="minorHAnsi" w:hAnsiTheme="minorHAnsi" w:cstheme="minorHAnsi"/>
          <w:lang w:val="en-GB"/>
        </w:rPr>
        <w:t>-</w:t>
      </w:r>
      <w:r w:rsidRPr="0067297E">
        <w:rPr>
          <w:rFonts w:asciiTheme="minorHAnsi" w:hAnsiTheme="minorHAnsi" w:cstheme="minorHAnsi"/>
          <w:lang w:val="en-GB"/>
        </w:rPr>
        <w:t>week period from 21</w:t>
      </w:r>
      <w:r w:rsidRPr="0067297E">
        <w:rPr>
          <w:rFonts w:asciiTheme="minorHAnsi" w:hAnsiTheme="minorHAnsi" w:cstheme="minorHAnsi"/>
          <w:vertAlign w:val="superscript"/>
          <w:lang w:val="en-GB"/>
        </w:rPr>
        <w:t>st</w:t>
      </w:r>
      <w:r w:rsidRPr="0067297E">
        <w:rPr>
          <w:rFonts w:asciiTheme="minorHAnsi" w:hAnsiTheme="minorHAnsi" w:cstheme="minorHAnsi"/>
          <w:lang w:val="en-GB"/>
        </w:rPr>
        <w:t xml:space="preserve"> May we found listings that concerned </w:t>
      </w:r>
      <w:r w:rsidR="001D3358" w:rsidRPr="0067297E">
        <w:rPr>
          <w:rFonts w:asciiTheme="minorHAnsi" w:hAnsiTheme="minorHAnsi" w:cstheme="minorHAnsi"/>
          <w:lang w:val="en-GB"/>
        </w:rPr>
        <w:t xml:space="preserve">the creation of </w:t>
      </w:r>
      <w:r w:rsidRPr="0067297E">
        <w:rPr>
          <w:rFonts w:asciiTheme="minorHAnsi" w:hAnsiTheme="minorHAnsi" w:cstheme="minorHAnsi"/>
          <w:lang w:val="en-GB"/>
        </w:rPr>
        <w:t>6 individual dwellings, 5 of which were individual flats formed by extending</w:t>
      </w:r>
      <w:r w:rsidR="001D3358" w:rsidRPr="0067297E">
        <w:rPr>
          <w:rFonts w:asciiTheme="minorHAnsi" w:hAnsiTheme="minorHAnsi" w:cstheme="minorHAnsi"/>
          <w:lang w:val="en-GB"/>
        </w:rPr>
        <w:t xml:space="preserve"> existing buildings</w:t>
      </w:r>
      <w:r w:rsidRPr="0067297E">
        <w:rPr>
          <w:rFonts w:asciiTheme="minorHAnsi" w:hAnsiTheme="minorHAnsi" w:cstheme="minorHAnsi"/>
          <w:lang w:val="en-GB"/>
        </w:rPr>
        <w:t xml:space="preserve"> </w:t>
      </w:r>
      <w:r w:rsidR="001D3358" w:rsidRPr="0067297E">
        <w:rPr>
          <w:rFonts w:asciiTheme="minorHAnsi" w:hAnsiTheme="minorHAnsi" w:cstheme="minorHAnsi"/>
          <w:lang w:val="en-GB"/>
        </w:rPr>
        <w:t>and no change of use.</w:t>
      </w:r>
      <w:r w:rsidR="00477F4A" w:rsidRPr="0067297E">
        <w:rPr>
          <w:rFonts w:asciiTheme="minorHAnsi" w:hAnsiTheme="minorHAnsi" w:cstheme="minorHAnsi"/>
          <w:lang w:val="en-GB"/>
        </w:rPr>
        <w:t xml:space="preserve"> The implication of this is that there are few plots available on the open market for self and custom builders</w:t>
      </w:r>
      <w:r w:rsidR="0001705B">
        <w:rPr>
          <w:rFonts w:asciiTheme="minorHAnsi" w:hAnsiTheme="minorHAnsi" w:cstheme="minorHAnsi"/>
          <w:lang w:val="en-GB"/>
        </w:rPr>
        <w:t xml:space="preserve">. </w:t>
      </w:r>
    </w:p>
    <w:p w14:paraId="7BE4D142" w14:textId="6AA2B3C9" w:rsidR="00C16BA9" w:rsidRPr="0067297E" w:rsidRDefault="00C16BA9" w:rsidP="00C12BC3">
      <w:pPr>
        <w:pStyle w:val="Reporttext"/>
        <w:numPr>
          <w:ilvl w:val="0"/>
          <w:numId w:val="0"/>
        </w:numPr>
        <w:rPr>
          <w:rFonts w:asciiTheme="minorHAnsi" w:hAnsiTheme="minorHAnsi"/>
          <w:sz w:val="2"/>
        </w:rPr>
      </w:pPr>
    </w:p>
    <w:p w14:paraId="445C9D40" w14:textId="77777777" w:rsidR="00827838" w:rsidRDefault="00827838" w:rsidP="00425A04">
      <w:bookmarkStart w:id="386" w:name="_Toc1385775"/>
    </w:p>
    <w:p w14:paraId="4447F580" w14:textId="25302DDF" w:rsidR="00C12BC3" w:rsidRPr="0067297E" w:rsidRDefault="00C12BC3" w:rsidP="00C12BC3">
      <w:pPr>
        <w:pStyle w:val="Heading2"/>
        <w:rPr>
          <w:rFonts w:asciiTheme="minorHAnsi" w:hAnsiTheme="minorHAnsi"/>
        </w:rPr>
      </w:pPr>
      <w:bookmarkStart w:id="387" w:name="_Toc23151091"/>
      <w:r w:rsidRPr="0067297E">
        <w:rPr>
          <w:rFonts w:asciiTheme="minorHAnsi" w:hAnsiTheme="minorHAnsi"/>
        </w:rPr>
        <w:t>Houses in multiple occupation</w:t>
      </w:r>
      <w:bookmarkEnd w:id="386"/>
      <w:bookmarkEnd w:id="387"/>
    </w:p>
    <w:p w14:paraId="17A21209" w14:textId="37B28138" w:rsidR="00C12BC3" w:rsidRPr="0067297E" w:rsidRDefault="00C12BC3" w:rsidP="00C12BC3">
      <w:pPr>
        <w:pStyle w:val="Reporttext"/>
        <w:spacing w:before="0"/>
        <w:rPr>
          <w:rFonts w:asciiTheme="minorHAnsi" w:hAnsiTheme="minorHAnsi"/>
        </w:rPr>
      </w:pPr>
      <w:r w:rsidRPr="0067297E">
        <w:rPr>
          <w:rFonts w:asciiTheme="minorHAnsi" w:hAnsiTheme="minorHAnsi"/>
        </w:rPr>
        <w:t>A house in multiple occupation (HMO) is a property rented out by at least three people who are not from one ‘household’ (for example a family) but share facilities like the bathroom and kitchen. A licence is required for a ’large’ HMO, defined as a property where all of the following apply:</w:t>
      </w:r>
    </w:p>
    <w:p w14:paraId="3F9A9147" w14:textId="77777777" w:rsidR="00C12BC3" w:rsidRPr="0067297E" w:rsidRDefault="00C12BC3" w:rsidP="00C12BC3">
      <w:pPr>
        <w:pStyle w:val="bullet"/>
        <w:rPr>
          <w:rFonts w:asciiTheme="minorHAnsi" w:hAnsiTheme="minorHAnsi"/>
        </w:rPr>
      </w:pPr>
      <w:r w:rsidRPr="0067297E">
        <w:rPr>
          <w:rFonts w:asciiTheme="minorHAnsi" w:hAnsiTheme="minorHAnsi"/>
        </w:rPr>
        <w:t>It is rented for 5 or more people who form more than 1 household;</w:t>
      </w:r>
    </w:p>
    <w:p w14:paraId="27C41880" w14:textId="77777777" w:rsidR="00C12BC3" w:rsidRPr="0067297E" w:rsidRDefault="00C12BC3" w:rsidP="00C12BC3">
      <w:pPr>
        <w:pStyle w:val="bullet"/>
        <w:rPr>
          <w:rFonts w:asciiTheme="minorHAnsi" w:hAnsiTheme="minorHAnsi"/>
        </w:rPr>
      </w:pPr>
      <w:r w:rsidRPr="0067297E">
        <w:rPr>
          <w:rFonts w:asciiTheme="minorHAnsi" w:hAnsiTheme="minorHAnsi"/>
        </w:rPr>
        <w:t>Some or all tenants share toilet, bathroom or kitchen facilities; and</w:t>
      </w:r>
    </w:p>
    <w:p w14:paraId="28ECB9D2" w14:textId="77777777" w:rsidR="00C12BC3" w:rsidRPr="0067297E" w:rsidRDefault="00C12BC3" w:rsidP="00C12BC3">
      <w:pPr>
        <w:pStyle w:val="bullet"/>
        <w:rPr>
          <w:rFonts w:asciiTheme="minorHAnsi" w:hAnsiTheme="minorHAnsi"/>
        </w:rPr>
      </w:pPr>
      <w:r w:rsidRPr="0067297E">
        <w:rPr>
          <w:rFonts w:asciiTheme="minorHAnsi" w:hAnsiTheme="minorHAnsi"/>
        </w:rPr>
        <w:t>At least one tenant pays rent (or their employer pays it for them)</w:t>
      </w:r>
    </w:p>
    <w:p w14:paraId="1CA18688" w14:textId="44BEC2D8" w:rsidR="00C12BC3" w:rsidRPr="0067297E" w:rsidRDefault="00A7452E" w:rsidP="00C12BC3">
      <w:pPr>
        <w:pStyle w:val="Reporttext"/>
        <w:spacing w:before="0"/>
        <w:rPr>
          <w:rFonts w:asciiTheme="minorHAnsi" w:hAnsiTheme="minorHAnsi"/>
        </w:rPr>
      </w:pPr>
      <w:r>
        <w:rPr>
          <w:rFonts w:asciiTheme="minorHAnsi" w:hAnsiTheme="minorHAnsi"/>
          <w:lang w:val="en-GB"/>
        </w:rPr>
        <w:t xml:space="preserve">It is estimated that </w:t>
      </w:r>
      <w:r w:rsidR="00C12BC3" w:rsidRPr="0067297E">
        <w:rPr>
          <w:rFonts w:asciiTheme="minorHAnsi" w:hAnsiTheme="minorHAnsi"/>
        </w:rPr>
        <w:t xml:space="preserve">there </w:t>
      </w:r>
      <w:r>
        <w:rPr>
          <w:rFonts w:asciiTheme="minorHAnsi" w:hAnsiTheme="minorHAnsi"/>
          <w:lang w:val="en-GB"/>
        </w:rPr>
        <w:t>w</w:t>
      </w:r>
      <w:r w:rsidR="00630B91">
        <w:rPr>
          <w:rFonts w:asciiTheme="minorHAnsi" w:hAnsiTheme="minorHAnsi"/>
          <w:lang w:val="en-GB"/>
        </w:rPr>
        <w:t>as</w:t>
      </w:r>
      <w:r>
        <w:rPr>
          <w:rFonts w:asciiTheme="minorHAnsi" w:hAnsiTheme="minorHAnsi"/>
          <w:lang w:val="en-GB"/>
        </w:rPr>
        <w:t xml:space="preserve"> a total of </w:t>
      </w:r>
      <w:r w:rsidRPr="0067297E">
        <w:rPr>
          <w:rFonts w:asciiTheme="minorHAnsi" w:hAnsiTheme="minorHAnsi"/>
        </w:rPr>
        <w:t xml:space="preserve"> </w:t>
      </w:r>
      <w:r w:rsidR="00C12BC3" w:rsidRPr="0067297E">
        <w:rPr>
          <w:rFonts w:asciiTheme="minorHAnsi" w:hAnsiTheme="minorHAnsi"/>
        </w:rPr>
        <w:t xml:space="preserve">14,810 HMOs </w:t>
      </w:r>
      <w:r w:rsidR="00A71E43">
        <w:rPr>
          <w:rFonts w:asciiTheme="minorHAnsi" w:hAnsiTheme="minorHAnsi"/>
          <w:lang w:val="en-GB"/>
        </w:rPr>
        <w:t xml:space="preserve">(both licensed and unlicensed) </w:t>
      </w:r>
      <w:r w:rsidR="00C12BC3" w:rsidRPr="0067297E">
        <w:rPr>
          <w:rFonts w:asciiTheme="minorHAnsi" w:hAnsiTheme="minorHAnsi"/>
        </w:rPr>
        <w:t>across the borough in 2016/17</w:t>
      </w:r>
      <w:r w:rsidR="00C12BC3" w:rsidRPr="0067297E">
        <w:rPr>
          <w:rStyle w:val="FootnoteReference"/>
          <w:rFonts w:asciiTheme="minorHAnsi" w:hAnsiTheme="minorHAnsi"/>
        </w:rPr>
        <w:footnoteReference w:id="46"/>
      </w:r>
      <w:r w:rsidR="00C12BC3" w:rsidRPr="0067297E">
        <w:rPr>
          <w:rFonts w:asciiTheme="minorHAnsi" w:hAnsiTheme="minorHAnsi"/>
        </w:rPr>
        <w:t>. This compares with an estimate of 13,410 HMOs in 2011</w:t>
      </w:r>
      <w:r w:rsidR="00BA0C20" w:rsidRPr="0067297E">
        <w:rPr>
          <w:rFonts w:asciiTheme="minorHAnsi" w:hAnsiTheme="minorHAnsi"/>
          <w:lang w:val="en-GB"/>
        </w:rPr>
        <w:t>.</w:t>
      </w:r>
      <w:r w:rsidR="00C12BC3" w:rsidRPr="0067297E">
        <w:rPr>
          <w:rStyle w:val="FootnoteReference"/>
          <w:rFonts w:asciiTheme="minorHAnsi" w:hAnsiTheme="minorHAnsi"/>
        </w:rPr>
        <w:footnoteReference w:id="47"/>
      </w:r>
      <w:r w:rsidR="00E2770E" w:rsidRPr="0067297E">
        <w:rPr>
          <w:rFonts w:asciiTheme="minorHAnsi" w:hAnsiTheme="minorHAnsi"/>
          <w:lang w:val="en-GB"/>
        </w:rPr>
        <w:t xml:space="preserve"> </w:t>
      </w:r>
      <w:r>
        <w:rPr>
          <w:rFonts w:asciiTheme="minorHAnsi" w:hAnsiTheme="minorHAnsi"/>
          <w:lang w:val="en-GB"/>
        </w:rPr>
        <w:t xml:space="preserve">  However, mandatory HMO licenses issued by the Council was 275 in 2017 and by 2019 th</w:t>
      </w:r>
      <w:r w:rsidR="00293D20">
        <w:rPr>
          <w:rFonts w:asciiTheme="minorHAnsi" w:hAnsiTheme="minorHAnsi"/>
          <w:lang w:val="en-GB"/>
        </w:rPr>
        <w:t>is had increased to 403. This r</w:t>
      </w:r>
      <w:r>
        <w:rPr>
          <w:rFonts w:asciiTheme="minorHAnsi" w:hAnsiTheme="minorHAnsi"/>
          <w:lang w:val="en-GB"/>
        </w:rPr>
        <w:t>eflects the change made by Government in October 2018 to extend the mandatory licensing scheme two include all homes with five or more occupiers who are not one household.  These figures should be treated with caution as it is difficult to accurately identify the quantity and location of HMOs due to given permitted development rights, unauthorised development and under reporting of conversions.</w:t>
      </w:r>
    </w:p>
    <w:p w14:paraId="2A6FA387" w14:textId="17862745" w:rsidR="00A71E43" w:rsidRPr="0067297E" w:rsidRDefault="00BA0C20" w:rsidP="00255720">
      <w:pPr>
        <w:pStyle w:val="Reporttext"/>
        <w:spacing w:before="0"/>
        <w:rPr>
          <w:rFonts w:asciiTheme="minorHAnsi" w:hAnsiTheme="minorHAnsi"/>
        </w:rPr>
      </w:pPr>
      <w:r w:rsidRPr="0067297E">
        <w:rPr>
          <w:rFonts w:asciiTheme="minorHAnsi" w:hAnsiTheme="minorHAnsi"/>
          <w:lang w:val="en-GB"/>
        </w:rPr>
        <w:t xml:space="preserve">Given the </w:t>
      </w:r>
      <w:r w:rsidR="005B0D8B" w:rsidRPr="0067297E">
        <w:rPr>
          <w:rFonts w:asciiTheme="minorHAnsi" w:hAnsiTheme="minorHAnsi"/>
          <w:lang w:val="en-GB"/>
        </w:rPr>
        <w:t xml:space="preserve">lack of </w:t>
      </w:r>
      <w:r w:rsidRPr="0067297E">
        <w:rPr>
          <w:rFonts w:asciiTheme="minorHAnsi" w:hAnsiTheme="minorHAnsi"/>
          <w:lang w:val="en-GB"/>
        </w:rPr>
        <w:t xml:space="preserve">affordability of housing in Lewisham </w:t>
      </w:r>
      <w:r w:rsidR="005B0D8B" w:rsidRPr="0067297E">
        <w:rPr>
          <w:rFonts w:asciiTheme="minorHAnsi" w:hAnsiTheme="minorHAnsi"/>
          <w:lang w:val="en-GB"/>
        </w:rPr>
        <w:t xml:space="preserve">to lower income households </w:t>
      </w:r>
      <w:r w:rsidRPr="0067297E">
        <w:rPr>
          <w:rFonts w:asciiTheme="minorHAnsi" w:hAnsiTheme="minorHAnsi"/>
          <w:lang w:val="en-GB"/>
        </w:rPr>
        <w:t>described in chapter</w:t>
      </w:r>
      <w:r w:rsidR="00A7452E">
        <w:rPr>
          <w:rFonts w:asciiTheme="minorHAnsi" w:hAnsiTheme="minorHAnsi"/>
          <w:lang w:val="en-GB"/>
        </w:rPr>
        <w:t>s</w:t>
      </w:r>
      <w:r w:rsidRPr="0067297E">
        <w:rPr>
          <w:rFonts w:asciiTheme="minorHAnsi" w:hAnsiTheme="minorHAnsi"/>
          <w:lang w:val="en-GB"/>
        </w:rPr>
        <w:t xml:space="preserve"> 3</w:t>
      </w:r>
      <w:r w:rsidR="00A7452E">
        <w:rPr>
          <w:rFonts w:asciiTheme="minorHAnsi" w:hAnsiTheme="minorHAnsi"/>
          <w:lang w:val="en-GB"/>
        </w:rPr>
        <w:t xml:space="preserve"> and 4 (especially younger single households)</w:t>
      </w:r>
      <w:r w:rsidRPr="0067297E">
        <w:rPr>
          <w:rFonts w:asciiTheme="minorHAnsi" w:hAnsiTheme="minorHAnsi"/>
          <w:lang w:val="en-GB"/>
        </w:rPr>
        <w:t xml:space="preserve">, growth in demand for </w:t>
      </w:r>
      <w:r w:rsidR="00A7452E">
        <w:rPr>
          <w:rFonts w:asciiTheme="minorHAnsi" w:hAnsiTheme="minorHAnsi"/>
          <w:lang w:val="en-GB"/>
        </w:rPr>
        <w:t>HMOs</w:t>
      </w:r>
      <w:r w:rsidRPr="0067297E">
        <w:rPr>
          <w:rFonts w:asciiTheme="minorHAnsi" w:hAnsiTheme="minorHAnsi"/>
          <w:lang w:val="en-GB"/>
        </w:rPr>
        <w:t xml:space="preserve"> is likely</w:t>
      </w:r>
      <w:r w:rsidR="00A7452E">
        <w:rPr>
          <w:rFonts w:asciiTheme="minorHAnsi" w:hAnsiTheme="minorHAnsi"/>
          <w:lang w:val="en-GB"/>
        </w:rPr>
        <w:t xml:space="preserve"> to continue</w:t>
      </w:r>
      <w:r w:rsidRPr="0067297E">
        <w:rPr>
          <w:rFonts w:asciiTheme="minorHAnsi" w:hAnsiTheme="minorHAnsi"/>
          <w:lang w:val="en-GB"/>
        </w:rPr>
        <w:t xml:space="preserve">.  This demand is partially being met by </w:t>
      </w:r>
      <w:r w:rsidR="005B0D8B" w:rsidRPr="0067297E">
        <w:rPr>
          <w:rFonts w:asciiTheme="minorHAnsi" w:hAnsiTheme="minorHAnsi"/>
          <w:lang w:val="en-GB"/>
        </w:rPr>
        <w:t>‘</w:t>
      </w:r>
      <w:r w:rsidRPr="0067297E">
        <w:rPr>
          <w:rFonts w:asciiTheme="minorHAnsi" w:hAnsiTheme="minorHAnsi"/>
          <w:lang w:val="en-GB"/>
        </w:rPr>
        <w:t>spare room</w:t>
      </w:r>
      <w:r w:rsidR="005B0D8B" w:rsidRPr="0067297E">
        <w:rPr>
          <w:rFonts w:asciiTheme="minorHAnsi" w:hAnsiTheme="minorHAnsi"/>
          <w:lang w:val="en-GB"/>
        </w:rPr>
        <w:t>’</w:t>
      </w:r>
      <w:r w:rsidRPr="0067297E">
        <w:rPr>
          <w:rFonts w:asciiTheme="minorHAnsi" w:hAnsiTheme="minorHAnsi"/>
          <w:lang w:val="en-GB"/>
        </w:rPr>
        <w:t xml:space="preserve"> lettings, however</w:t>
      </w:r>
      <w:r w:rsidR="005B0D8B" w:rsidRPr="0067297E">
        <w:rPr>
          <w:rFonts w:asciiTheme="minorHAnsi" w:hAnsiTheme="minorHAnsi"/>
          <w:lang w:val="en-GB"/>
        </w:rPr>
        <w:t>,</w:t>
      </w:r>
      <w:r w:rsidRPr="0067297E">
        <w:rPr>
          <w:rFonts w:asciiTheme="minorHAnsi" w:hAnsiTheme="minorHAnsi"/>
          <w:lang w:val="en-GB"/>
        </w:rPr>
        <w:t xml:space="preserve"> more HMO </w:t>
      </w:r>
      <w:r w:rsidR="002E5612">
        <w:rPr>
          <w:rFonts w:asciiTheme="minorHAnsi" w:hAnsiTheme="minorHAnsi"/>
          <w:lang w:val="en-GB"/>
        </w:rPr>
        <w:t xml:space="preserve">accommodation </w:t>
      </w:r>
      <w:r w:rsidR="00894104">
        <w:rPr>
          <w:rFonts w:asciiTheme="minorHAnsi" w:hAnsiTheme="minorHAnsi"/>
          <w:lang w:val="en-GB"/>
        </w:rPr>
        <w:t>c</w:t>
      </w:r>
      <w:r w:rsidRPr="0067297E">
        <w:rPr>
          <w:rFonts w:asciiTheme="minorHAnsi" w:hAnsiTheme="minorHAnsi"/>
          <w:lang w:val="en-GB"/>
        </w:rPr>
        <w:t xml:space="preserve">ould </w:t>
      </w:r>
      <w:r w:rsidR="00255720">
        <w:rPr>
          <w:rFonts w:asciiTheme="minorHAnsi" w:hAnsiTheme="minorHAnsi"/>
          <w:lang w:val="en-GB"/>
        </w:rPr>
        <w:t>form</w:t>
      </w:r>
      <w:r w:rsidR="00255720" w:rsidRPr="0067297E">
        <w:rPr>
          <w:rFonts w:asciiTheme="minorHAnsi" w:hAnsiTheme="minorHAnsi"/>
          <w:lang w:val="en-GB"/>
        </w:rPr>
        <w:t xml:space="preserve"> </w:t>
      </w:r>
      <w:r w:rsidRPr="0067297E">
        <w:rPr>
          <w:rFonts w:asciiTheme="minorHAnsi" w:hAnsiTheme="minorHAnsi"/>
          <w:lang w:val="en-GB"/>
        </w:rPr>
        <w:t>a more affordable solution especially for younger, single person households</w:t>
      </w:r>
      <w:r w:rsidR="00A71E43" w:rsidRPr="006E165C">
        <w:rPr>
          <w:rFonts w:cs="Arial"/>
        </w:rPr>
        <w:t>.</w:t>
      </w:r>
    </w:p>
    <w:p w14:paraId="1294E132" w14:textId="77777777" w:rsidR="00C12BC3" w:rsidRPr="0067297E" w:rsidRDefault="00C12BC3" w:rsidP="00425A04"/>
    <w:p w14:paraId="143CD980" w14:textId="1056ECB8" w:rsidR="001511A9" w:rsidRPr="0067297E" w:rsidRDefault="001511A9" w:rsidP="00FA273F">
      <w:pPr>
        <w:pStyle w:val="Heading2"/>
        <w:rPr>
          <w:rFonts w:asciiTheme="minorHAnsi" w:hAnsiTheme="minorHAnsi"/>
        </w:rPr>
      </w:pPr>
      <w:bookmarkStart w:id="388" w:name="_Toc1385776"/>
      <w:bookmarkStart w:id="389" w:name="_Toc23151092"/>
      <w:r w:rsidRPr="0067297E">
        <w:rPr>
          <w:rFonts w:asciiTheme="minorHAnsi" w:hAnsiTheme="minorHAnsi"/>
        </w:rPr>
        <w:t xml:space="preserve">Homeless </w:t>
      </w:r>
      <w:r w:rsidR="00A058C3" w:rsidRPr="0067297E">
        <w:rPr>
          <w:rFonts w:asciiTheme="minorHAnsi" w:hAnsiTheme="minorHAnsi"/>
        </w:rPr>
        <w:t>and previously</w:t>
      </w:r>
      <w:r w:rsidR="00BA0C20" w:rsidRPr="0067297E">
        <w:rPr>
          <w:rFonts w:asciiTheme="minorHAnsi" w:hAnsiTheme="minorHAnsi"/>
          <w:lang w:val="en-GB"/>
        </w:rPr>
        <w:t xml:space="preserve"> </w:t>
      </w:r>
      <w:r w:rsidR="00A058C3" w:rsidRPr="0067297E">
        <w:rPr>
          <w:rFonts w:asciiTheme="minorHAnsi" w:hAnsiTheme="minorHAnsi"/>
        </w:rPr>
        <w:t xml:space="preserve">homeless </w:t>
      </w:r>
      <w:r w:rsidRPr="0067297E">
        <w:rPr>
          <w:rFonts w:asciiTheme="minorHAnsi" w:hAnsiTheme="minorHAnsi"/>
        </w:rPr>
        <w:t>households</w:t>
      </w:r>
      <w:bookmarkEnd w:id="371"/>
      <w:bookmarkEnd w:id="372"/>
      <w:bookmarkEnd w:id="373"/>
      <w:bookmarkEnd w:id="388"/>
      <w:bookmarkEnd w:id="389"/>
    </w:p>
    <w:p w14:paraId="7D70B52D" w14:textId="26CBAECE" w:rsidR="001D3358" w:rsidRPr="00425A04" w:rsidRDefault="009B61A9">
      <w:pPr>
        <w:pStyle w:val="Reporttext"/>
        <w:rPr>
          <w:rFonts w:asciiTheme="minorHAnsi" w:hAnsiTheme="minorHAnsi" w:cs="Calibri"/>
        </w:rPr>
      </w:pPr>
      <w:r>
        <w:rPr>
          <w:rFonts w:asciiTheme="minorHAnsi" w:hAnsiTheme="minorHAnsi" w:cs="Calibri"/>
          <w:lang w:val="en-GB"/>
        </w:rPr>
        <w:t xml:space="preserve">The </w:t>
      </w:r>
      <w:r w:rsidR="001F6B19" w:rsidRPr="0067297E">
        <w:rPr>
          <w:rFonts w:asciiTheme="minorHAnsi" w:hAnsiTheme="minorHAnsi" w:cs="Calibri"/>
          <w:lang w:val="en-GB"/>
        </w:rPr>
        <w:t>Ministry of Housing, Communities and Local Government (MH</w:t>
      </w:r>
      <w:r w:rsidR="001511A9" w:rsidRPr="0067297E">
        <w:rPr>
          <w:rFonts w:asciiTheme="minorHAnsi" w:hAnsiTheme="minorHAnsi" w:cs="Calibri"/>
        </w:rPr>
        <w:t>CLG</w:t>
      </w:r>
      <w:r w:rsidR="001F6B19" w:rsidRPr="0067297E">
        <w:rPr>
          <w:rFonts w:asciiTheme="minorHAnsi" w:hAnsiTheme="minorHAnsi" w:cs="Calibri"/>
          <w:lang w:val="en-GB"/>
        </w:rPr>
        <w:t>)</w:t>
      </w:r>
      <w:r w:rsidR="001511A9" w:rsidRPr="0067297E">
        <w:rPr>
          <w:rFonts w:asciiTheme="minorHAnsi" w:hAnsiTheme="minorHAnsi" w:cs="Calibri"/>
        </w:rPr>
        <w:t xml:space="preserve"> Homelessness </w:t>
      </w:r>
      <w:r w:rsidR="001511A9" w:rsidRPr="0067297E">
        <w:rPr>
          <w:rFonts w:asciiTheme="minorHAnsi" w:hAnsiTheme="minorHAnsi" w:cs="Calibri"/>
          <w:iCs/>
        </w:rPr>
        <w:t>Statistics</w:t>
      </w:r>
      <w:r w:rsidR="001511A9" w:rsidRPr="0067297E">
        <w:rPr>
          <w:rFonts w:asciiTheme="minorHAnsi" w:hAnsiTheme="minorHAnsi" w:cs="Calibri"/>
        </w:rPr>
        <w:t xml:space="preserve"> for </w:t>
      </w:r>
      <w:r w:rsidR="00787FB9" w:rsidRPr="0067297E">
        <w:rPr>
          <w:rFonts w:asciiTheme="minorHAnsi" w:hAnsiTheme="minorHAnsi" w:cs="Calibri"/>
          <w:lang w:val="en-GB"/>
        </w:rPr>
        <w:t>the year 2016/17</w:t>
      </w:r>
      <w:r w:rsidR="001511A9" w:rsidRPr="0067297E">
        <w:rPr>
          <w:rFonts w:asciiTheme="minorHAnsi" w:hAnsiTheme="minorHAnsi" w:cs="Calibri"/>
        </w:rPr>
        <w:t xml:space="preserve"> indicate that </w:t>
      </w:r>
      <w:r w:rsidR="00787FB9" w:rsidRPr="0067297E">
        <w:rPr>
          <w:rFonts w:asciiTheme="minorHAnsi" w:hAnsiTheme="minorHAnsi" w:cs="Calibri"/>
          <w:lang w:val="en-GB"/>
        </w:rPr>
        <w:t xml:space="preserve">a total of </w:t>
      </w:r>
      <w:r w:rsidR="00840AB4" w:rsidRPr="0067297E">
        <w:rPr>
          <w:rFonts w:asciiTheme="minorHAnsi" w:hAnsiTheme="minorHAnsi" w:cs="Calibri"/>
          <w:lang w:val="en-GB"/>
        </w:rPr>
        <w:t>1,176</w:t>
      </w:r>
      <w:r w:rsidR="00787FB9" w:rsidRPr="0067297E">
        <w:rPr>
          <w:rFonts w:asciiTheme="minorHAnsi" w:hAnsiTheme="minorHAnsi" w:cs="Calibri"/>
          <w:lang w:val="en-GB"/>
        </w:rPr>
        <w:t xml:space="preserve"> decisions </w:t>
      </w:r>
      <w:r w:rsidR="001511A9" w:rsidRPr="0067297E">
        <w:rPr>
          <w:rFonts w:asciiTheme="minorHAnsi" w:hAnsiTheme="minorHAnsi" w:cs="Calibri"/>
        </w:rPr>
        <w:t>were made on households declaring themselves as home</w:t>
      </w:r>
      <w:r w:rsidR="006E0A0F" w:rsidRPr="0067297E">
        <w:rPr>
          <w:rFonts w:asciiTheme="minorHAnsi" w:hAnsiTheme="minorHAnsi" w:cs="Calibri"/>
        </w:rPr>
        <w:t xml:space="preserve">less across </w:t>
      </w:r>
      <w:r w:rsidR="00E60B25" w:rsidRPr="0067297E">
        <w:rPr>
          <w:rFonts w:asciiTheme="minorHAnsi" w:hAnsiTheme="minorHAnsi" w:cs="Calibri"/>
        </w:rPr>
        <w:t>the</w:t>
      </w:r>
      <w:r w:rsidR="00F91A82" w:rsidRPr="0067297E">
        <w:rPr>
          <w:rFonts w:asciiTheme="minorHAnsi" w:hAnsiTheme="minorHAnsi" w:cs="Calibri"/>
          <w:lang w:val="en-GB"/>
        </w:rPr>
        <w:t xml:space="preserve"> b</w:t>
      </w:r>
      <w:r w:rsidR="001D2EDF" w:rsidRPr="0067297E">
        <w:rPr>
          <w:rFonts w:asciiTheme="minorHAnsi" w:hAnsiTheme="minorHAnsi" w:cs="Calibri"/>
          <w:lang w:val="en-GB"/>
        </w:rPr>
        <w:t xml:space="preserve">orough </w:t>
      </w:r>
      <w:r w:rsidR="00F91A82" w:rsidRPr="0067297E">
        <w:rPr>
          <w:rFonts w:asciiTheme="minorHAnsi" w:hAnsiTheme="minorHAnsi" w:cs="Calibri"/>
        </w:rPr>
        <w:t xml:space="preserve">(Table </w:t>
      </w:r>
      <w:r w:rsidR="00203E57" w:rsidRPr="0067297E">
        <w:rPr>
          <w:rFonts w:asciiTheme="minorHAnsi" w:hAnsiTheme="minorHAnsi" w:cs="Calibri"/>
          <w:lang w:val="en-US"/>
        </w:rPr>
        <w:t>6.</w:t>
      </w:r>
      <w:r w:rsidR="008D6124" w:rsidRPr="0067297E">
        <w:rPr>
          <w:rFonts w:asciiTheme="minorHAnsi" w:hAnsiTheme="minorHAnsi" w:cs="Calibri"/>
          <w:lang w:val="en-US"/>
        </w:rPr>
        <w:t>15</w:t>
      </w:r>
      <w:r w:rsidR="001511A9" w:rsidRPr="0067297E">
        <w:rPr>
          <w:rFonts w:asciiTheme="minorHAnsi" w:hAnsiTheme="minorHAnsi" w:cs="Calibri"/>
        </w:rPr>
        <w:t xml:space="preserve">). Of these households, </w:t>
      </w:r>
      <w:r w:rsidR="00840AB4" w:rsidRPr="0067297E">
        <w:rPr>
          <w:rFonts w:asciiTheme="minorHAnsi" w:hAnsiTheme="minorHAnsi" w:cs="Calibri"/>
          <w:lang w:val="en-GB"/>
        </w:rPr>
        <w:t>768</w:t>
      </w:r>
      <w:r w:rsidR="001511A9" w:rsidRPr="0067297E">
        <w:rPr>
          <w:rFonts w:asciiTheme="minorHAnsi" w:hAnsiTheme="minorHAnsi" w:cs="Calibri"/>
        </w:rPr>
        <w:t xml:space="preserve"> were classified as homeless and in priority need. Over the </w:t>
      </w:r>
      <w:r w:rsidR="00840AB4" w:rsidRPr="0067297E">
        <w:rPr>
          <w:rFonts w:asciiTheme="minorHAnsi" w:hAnsiTheme="minorHAnsi" w:cs="Calibri"/>
          <w:lang w:val="en-GB"/>
        </w:rPr>
        <w:t>four</w:t>
      </w:r>
      <w:r w:rsidR="001511A9" w:rsidRPr="0067297E">
        <w:rPr>
          <w:rFonts w:asciiTheme="minorHAnsi" w:hAnsiTheme="minorHAnsi" w:cs="Calibri"/>
        </w:rPr>
        <w:t xml:space="preserve"> years </w:t>
      </w:r>
      <w:r w:rsidR="00840AB4" w:rsidRPr="0067297E">
        <w:rPr>
          <w:rFonts w:asciiTheme="minorHAnsi" w:hAnsiTheme="minorHAnsi" w:cs="Calibri"/>
          <w:lang w:val="en-GB"/>
        </w:rPr>
        <w:t>2013/14</w:t>
      </w:r>
      <w:r w:rsidR="001511A9" w:rsidRPr="0067297E">
        <w:rPr>
          <w:rFonts w:asciiTheme="minorHAnsi" w:hAnsiTheme="minorHAnsi" w:cs="Calibri"/>
        </w:rPr>
        <w:t xml:space="preserve"> to </w:t>
      </w:r>
      <w:r w:rsidR="00787FB9" w:rsidRPr="0067297E">
        <w:rPr>
          <w:rFonts w:asciiTheme="minorHAnsi" w:hAnsiTheme="minorHAnsi" w:cs="Calibri"/>
          <w:lang w:val="en-GB"/>
        </w:rPr>
        <w:t>2016/17</w:t>
      </w:r>
      <w:r w:rsidR="00840AB4" w:rsidRPr="0067297E">
        <w:rPr>
          <w:rFonts w:asciiTheme="minorHAnsi" w:hAnsiTheme="minorHAnsi" w:cs="Calibri"/>
        </w:rPr>
        <w:t>, an annual average of 1,112</w:t>
      </w:r>
      <w:r w:rsidR="001511A9" w:rsidRPr="0067297E">
        <w:rPr>
          <w:rFonts w:asciiTheme="minorHAnsi" w:hAnsiTheme="minorHAnsi" w:cs="Calibri"/>
        </w:rPr>
        <w:t xml:space="preserve"> decisions were made across </w:t>
      </w:r>
      <w:r w:rsidR="001D2EDF" w:rsidRPr="0067297E">
        <w:rPr>
          <w:rFonts w:asciiTheme="minorHAnsi" w:hAnsiTheme="minorHAnsi" w:cs="Calibri"/>
          <w:lang w:val="en-GB"/>
        </w:rPr>
        <w:t xml:space="preserve">the </w:t>
      </w:r>
      <w:r w:rsidR="00F91A82" w:rsidRPr="0067297E">
        <w:rPr>
          <w:rFonts w:asciiTheme="minorHAnsi" w:hAnsiTheme="minorHAnsi" w:cs="Calibri"/>
        </w:rPr>
        <w:t>b</w:t>
      </w:r>
      <w:r w:rsidR="00FC386C" w:rsidRPr="0067297E">
        <w:rPr>
          <w:rFonts w:asciiTheme="minorHAnsi" w:hAnsiTheme="minorHAnsi" w:cs="Calibri"/>
        </w:rPr>
        <w:t>orough</w:t>
      </w:r>
      <w:r w:rsidR="001D2EDF" w:rsidRPr="0067297E">
        <w:rPr>
          <w:rFonts w:asciiTheme="minorHAnsi" w:hAnsiTheme="minorHAnsi" w:cs="Calibri"/>
        </w:rPr>
        <w:t xml:space="preserve"> and an average of </w:t>
      </w:r>
      <w:r w:rsidR="00840AB4" w:rsidRPr="0067297E">
        <w:rPr>
          <w:rFonts w:asciiTheme="minorHAnsi" w:hAnsiTheme="minorHAnsi" w:cs="Calibri"/>
          <w:lang w:val="en-GB"/>
        </w:rPr>
        <w:t>755</w:t>
      </w:r>
      <w:r w:rsidR="001511A9" w:rsidRPr="0067297E">
        <w:rPr>
          <w:rFonts w:asciiTheme="minorHAnsi" w:hAnsiTheme="minorHAnsi" w:cs="Calibri"/>
        </w:rPr>
        <w:t xml:space="preserve"> households each year were declared as homeless and in priority need. </w:t>
      </w:r>
      <w:r w:rsidR="005B0D8B" w:rsidRPr="0067297E">
        <w:rPr>
          <w:rFonts w:asciiTheme="minorHAnsi" w:hAnsiTheme="minorHAnsi" w:cs="Calibri"/>
          <w:lang w:val="en-GB"/>
        </w:rPr>
        <w:t xml:space="preserve"> A proportion of households accepted as homeless will be part of the affordable need contained in the council’s housing register which is a key component of the affordable housing model summarised in </w:t>
      </w:r>
      <w:r w:rsidR="006E3601" w:rsidRPr="0067297E">
        <w:rPr>
          <w:rFonts w:asciiTheme="minorHAnsi" w:hAnsiTheme="minorHAnsi" w:cs="Calibri"/>
          <w:lang w:val="en-GB"/>
        </w:rPr>
        <w:t xml:space="preserve">chapter 6 </w:t>
      </w:r>
      <w:r>
        <w:rPr>
          <w:rFonts w:asciiTheme="minorHAnsi" w:hAnsiTheme="minorHAnsi" w:cs="Calibri"/>
          <w:lang w:val="en-GB"/>
        </w:rPr>
        <w:t xml:space="preserve">and </w:t>
      </w:r>
      <w:r w:rsidR="005B0D8B" w:rsidRPr="0067297E">
        <w:rPr>
          <w:rFonts w:asciiTheme="minorHAnsi" w:hAnsiTheme="minorHAnsi" w:cs="Calibri"/>
          <w:lang w:val="en-GB"/>
        </w:rPr>
        <w:t xml:space="preserve">described fully in </w:t>
      </w:r>
      <w:r w:rsidR="008D6124" w:rsidRPr="0067297E">
        <w:rPr>
          <w:rFonts w:asciiTheme="minorHAnsi" w:hAnsiTheme="minorHAnsi" w:cs="Calibri"/>
          <w:lang w:val="en-GB"/>
        </w:rPr>
        <w:t>A</w:t>
      </w:r>
      <w:r w:rsidR="005B0D8B" w:rsidRPr="0067297E">
        <w:rPr>
          <w:rFonts w:asciiTheme="minorHAnsi" w:hAnsiTheme="minorHAnsi" w:cs="Calibri"/>
          <w:lang w:val="en-GB"/>
        </w:rPr>
        <w:t xml:space="preserve">ppendix </w:t>
      </w:r>
      <w:r w:rsidR="008D6124" w:rsidRPr="0067297E">
        <w:rPr>
          <w:rFonts w:asciiTheme="minorHAnsi" w:hAnsiTheme="minorHAnsi" w:cs="Calibri"/>
          <w:lang w:val="en-GB"/>
        </w:rPr>
        <w:t>B</w:t>
      </w:r>
      <w:r w:rsidR="006E3601" w:rsidRPr="0067297E">
        <w:rPr>
          <w:rFonts w:asciiTheme="minorHAnsi" w:hAnsiTheme="minorHAnsi" w:cs="Calibri"/>
          <w:lang w:val="en-GB"/>
        </w:rPr>
        <w:t>.</w:t>
      </w:r>
    </w:p>
    <w:p w14:paraId="6EFDD7D2" w14:textId="4A485F01" w:rsidR="00425A04" w:rsidRDefault="00425A04" w:rsidP="00425A04">
      <w:pPr>
        <w:pStyle w:val="Reporttext"/>
        <w:numPr>
          <w:ilvl w:val="0"/>
          <w:numId w:val="0"/>
        </w:numPr>
        <w:ind w:left="709"/>
        <w:rPr>
          <w:rFonts w:asciiTheme="minorHAnsi" w:hAnsiTheme="minorHAnsi" w:cs="Calibri"/>
        </w:rPr>
      </w:pPr>
    </w:p>
    <w:p w14:paraId="55719748" w14:textId="37A561F6" w:rsidR="00425A04" w:rsidRDefault="00425A04">
      <w:pPr>
        <w:rPr>
          <w:rFonts w:asciiTheme="minorHAnsi" w:hAnsiTheme="minorHAnsi" w:cs="Calibri"/>
          <w:lang w:val="x-none"/>
        </w:rPr>
      </w:pPr>
      <w:r>
        <w:rPr>
          <w:rFonts w:asciiTheme="minorHAnsi" w:hAnsiTheme="minorHAnsi" w:cs="Calibri"/>
        </w:rPr>
        <w:br w:type="page"/>
      </w:r>
    </w:p>
    <w:tbl>
      <w:tblPr>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030"/>
        <w:gridCol w:w="2051"/>
        <w:gridCol w:w="2783"/>
      </w:tblGrid>
      <w:tr w:rsidR="001511A9" w:rsidRPr="0067297E" w14:paraId="6CB0E9B9" w14:textId="77777777" w:rsidTr="00426BD8">
        <w:trPr>
          <w:tblHeader/>
        </w:trPr>
        <w:tc>
          <w:tcPr>
            <w:tcW w:w="0" w:type="auto"/>
            <w:gridSpan w:val="3"/>
            <w:shd w:val="clear" w:color="auto" w:fill="009999"/>
            <w:vAlign w:val="bottom"/>
          </w:tcPr>
          <w:p w14:paraId="1140595C" w14:textId="62F147D7" w:rsidR="001511A9" w:rsidRPr="0067297E" w:rsidRDefault="001511A9">
            <w:pPr>
              <w:pStyle w:val="tableheading"/>
              <w:rPr>
                <w:rFonts w:asciiTheme="minorHAnsi" w:hAnsiTheme="minorHAnsi"/>
                <w:color w:val="FFFFFF"/>
              </w:rPr>
            </w:pPr>
            <w:bookmarkStart w:id="390" w:name="_Toc23151191"/>
            <w:r w:rsidRPr="0067297E">
              <w:rPr>
                <w:rFonts w:asciiTheme="minorHAnsi" w:hAnsiTheme="minorHAnsi"/>
              </w:rPr>
              <w:t xml:space="preserve">Table </w:t>
            </w:r>
            <w:r w:rsidR="00203E57" w:rsidRPr="0067297E">
              <w:rPr>
                <w:rFonts w:asciiTheme="minorHAnsi" w:hAnsiTheme="minorHAnsi"/>
              </w:rPr>
              <w:t>6.</w:t>
            </w:r>
            <w:r w:rsidR="00744345" w:rsidRPr="0067297E">
              <w:rPr>
                <w:rFonts w:asciiTheme="minorHAnsi" w:hAnsiTheme="minorHAnsi"/>
              </w:rPr>
              <w:t>15</w:t>
            </w:r>
            <w:r w:rsidRPr="0067297E">
              <w:rPr>
                <w:rFonts w:asciiTheme="minorHAnsi" w:hAnsiTheme="minorHAnsi"/>
              </w:rPr>
              <w:tab/>
              <w:t xml:space="preserve">Homeless decisions and acceptances </w:t>
            </w:r>
            <w:r w:rsidR="00840AB4" w:rsidRPr="0067297E">
              <w:rPr>
                <w:rFonts w:asciiTheme="minorHAnsi" w:hAnsiTheme="minorHAnsi"/>
              </w:rPr>
              <w:t>2013/14</w:t>
            </w:r>
            <w:r w:rsidRPr="0067297E">
              <w:rPr>
                <w:rFonts w:asciiTheme="minorHAnsi" w:hAnsiTheme="minorHAnsi"/>
              </w:rPr>
              <w:t xml:space="preserve"> to </w:t>
            </w:r>
            <w:r w:rsidR="00E62244" w:rsidRPr="0067297E">
              <w:rPr>
                <w:rFonts w:asciiTheme="minorHAnsi" w:hAnsiTheme="minorHAnsi"/>
              </w:rPr>
              <w:t>2016/17</w:t>
            </w:r>
            <w:bookmarkEnd w:id="390"/>
          </w:p>
        </w:tc>
      </w:tr>
      <w:tr w:rsidR="001511A9" w:rsidRPr="0067297E" w14:paraId="7CAEBCCF" w14:textId="77777777" w:rsidTr="001C0BAA">
        <w:tc>
          <w:tcPr>
            <w:tcW w:w="0" w:type="auto"/>
            <w:shd w:val="clear" w:color="auto" w:fill="009999"/>
            <w:vAlign w:val="bottom"/>
            <w:hideMark/>
          </w:tcPr>
          <w:p w14:paraId="5A034D1A" w14:textId="77777777" w:rsidR="001511A9" w:rsidRPr="0067297E" w:rsidRDefault="001511A9" w:rsidP="008C3647">
            <w:pP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Year</w:t>
            </w:r>
          </w:p>
        </w:tc>
        <w:tc>
          <w:tcPr>
            <w:tcW w:w="0" w:type="auto"/>
            <w:shd w:val="clear" w:color="auto" w:fill="009999"/>
            <w:vAlign w:val="bottom"/>
            <w:hideMark/>
          </w:tcPr>
          <w:p w14:paraId="4BB1B1B1" w14:textId="77777777" w:rsidR="001511A9" w:rsidRPr="0067297E" w:rsidRDefault="001511A9" w:rsidP="008C3647">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Decisions made</w:t>
            </w:r>
          </w:p>
        </w:tc>
        <w:tc>
          <w:tcPr>
            <w:tcW w:w="0" w:type="auto"/>
            <w:shd w:val="clear" w:color="auto" w:fill="009999"/>
            <w:vAlign w:val="bottom"/>
            <w:hideMark/>
          </w:tcPr>
          <w:p w14:paraId="7AFAA592" w14:textId="77777777" w:rsidR="001511A9" w:rsidRPr="0067297E" w:rsidRDefault="001511A9" w:rsidP="008C3647">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Accepted as homeless</w:t>
            </w:r>
          </w:p>
        </w:tc>
      </w:tr>
      <w:tr w:rsidR="001F6B19" w:rsidRPr="0067297E" w14:paraId="024703E1" w14:textId="77777777" w:rsidTr="001C0BAA">
        <w:tc>
          <w:tcPr>
            <w:tcW w:w="0" w:type="auto"/>
            <w:shd w:val="clear" w:color="auto" w:fill="auto"/>
            <w:noWrap/>
            <w:vAlign w:val="bottom"/>
          </w:tcPr>
          <w:p w14:paraId="568E4B42" w14:textId="77777777" w:rsidR="001F6B19" w:rsidRPr="0067297E" w:rsidRDefault="001F6B19" w:rsidP="00425A04">
            <w:pPr>
              <w:jc w:val="right"/>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2013/14</w:t>
            </w:r>
          </w:p>
        </w:tc>
        <w:tc>
          <w:tcPr>
            <w:tcW w:w="0" w:type="auto"/>
            <w:shd w:val="clear" w:color="auto" w:fill="auto"/>
            <w:noWrap/>
            <w:vAlign w:val="bottom"/>
          </w:tcPr>
          <w:p w14:paraId="2BE9F8C5" w14:textId="77777777" w:rsidR="001F6B19" w:rsidRPr="0067297E" w:rsidRDefault="00840AB4"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866</w:t>
            </w:r>
          </w:p>
        </w:tc>
        <w:tc>
          <w:tcPr>
            <w:tcW w:w="0" w:type="auto"/>
            <w:shd w:val="clear" w:color="auto" w:fill="auto"/>
            <w:noWrap/>
            <w:vAlign w:val="bottom"/>
          </w:tcPr>
          <w:p w14:paraId="49F97695" w14:textId="77777777" w:rsidR="001F6B19" w:rsidRPr="0067297E" w:rsidRDefault="00840AB4"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710</w:t>
            </w:r>
          </w:p>
        </w:tc>
      </w:tr>
      <w:tr w:rsidR="001F6B19" w:rsidRPr="0067297E" w14:paraId="04BD789E" w14:textId="77777777" w:rsidTr="001C0BAA">
        <w:tc>
          <w:tcPr>
            <w:tcW w:w="0" w:type="auto"/>
            <w:shd w:val="clear" w:color="auto" w:fill="auto"/>
            <w:noWrap/>
            <w:vAlign w:val="bottom"/>
          </w:tcPr>
          <w:p w14:paraId="796C88BB" w14:textId="77777777" w:rsidR="001F6B19" w:rsidRPr="0067297E" w:rsidRDefault="001F6B19" w:rsidP="00425A04">
            <w:pPr>
              <w:jc w:val="right"/>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2014/15</w:t>
            </w:r>
          </w:p>
        </w:tc>
        <w:tc>
          <w:tcPr>
            <w:tcW w:w="0" w:type="auto"/>
            <w:shd w:val="clear" w:color="auto" w:fill="auto"/>
            <w:noWrap/>
            <w:vAlign w:val="bottom"/>
          </w:tcPr>
          <w:p w14:paraId="53C65E67" w14:textId="77777777" w:rsidR="001F6B19" w:rsidRPr="0067297E" w:rsidRDefault="00840AB4"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1,227</w:t>
            </w:r>
          </w:p>
        </w:tc>
        <w:tc>
          <w:tcPr>
            <w:tcW w:w="0" w:type="auto"/>
            <w:shd w:val="clear" w:color="auto" w:fill="auto"/>
            <w:noWrap/>
            <w:vAlign w:val="bottom"/>
          </w:tcPr>
          <w:p w14:paraId="7C20788B" w14:textId="77777777" w:rsidR="001F6B19" w:rsidRPr="0067297E" w:rsidRDefault="00840AB4"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769</w:t>
            </w:r>
          </w:p>
        </w:tc>
      </w:tr>
      <w:tr w:rsidR="001F6B19" w:rsidRPr="0067297E" w14:paraId="121A35BB" w14:textId="77777777" w:rsidTr="001C0BAA">
        <w:tc>
          <w:tcPr>
            <w:tcW w:w="0" w:type="auto"/>
            <w:shd w:val="clear" w:color="auto" w:fill="auto"/>
            <w:noWrap/>
            <w:vAlign w:val="bottom"/>
          </w:tcPr>
          <w:p w14:paraId="73C8EC49" w14:textId="77777777" w:rsidR="001F6B19" w:rsidRPr="0067297E" w:rsidRDefault="001F6B19" w:rsidP="00425A04">
            <w:pPr>
              <w:jc w:val="right"/>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2015/16</w:t>
            </w:r>
          </w:p>
        </w:tc>
        <w:tc>
          <w:tcPr>
            <w:tcW w:w="0" w:type="auto"/>
            <w:shd w:val="clear" w:color="auto" w:fill="auto"/>
            <w:noWrap/>
            <w:vAlign w:val="bottom"/>
          </w:tcPr>
          <w:p w14:paraId="7E1D90C5" w14:textId="77777777" w:rsidR="001F6B19" w:rsidRPr="0067297E" w:rsidRDefault="00840AB4" w:rsidP="00425A04">
            <w:pPr>
              <w:jc w:val="right"/>
              <w:rPr>
                <w:rFonts w:asciiTheme="minorHAnsi" w:hAnsiTheme="minorHAnsi" w:cs="Calibri"/>
                <w:sz w:val="22"/>
                <w:szCs w:val="22"/>
              </w:rPr>
            </w:pPr>
            <w:r w:rsidRPr="0067297E">
              <w:rPr>
                <w:rFonts w:asciiTheme="minorHAnsi" w:hAnsiTheme="minorHAnsi" w:cs="Calibri"/>
                <w:sz w:val="22"/>
                <w:szCs w:val="22"/>
              </w:rPr>
              <w:t>1,180</w:t>
            </w:r>
          </w:p>
        </w:tc>
        <w:tc>
          <w:tcPr>
            <w:tcW w:w="0" w:type="auto"/>
            <w:shd w:val="clear" w:color="auto" w:fill="auto"/>
            <w:noWrap/>
            <w:vAlign w:val="bottom"/>
          </w:tcPr>
          <w:p w14:paraId="4F47D744" w14:textId="77777777" w:rsidR="001F6B19" w:rsidRPr="0067297E" w:rsidRDefault="00840AB4" w:rsidP="00425A04">
            <w:pPr>
              <w:jc w:val="right"/>
              <w:rPr>
                <w:rFonts w:asciiTheme="minorHAnsi" w:hAnsiTheme="minorHAnsi" w:cs="Calibri"/>
                <w:sz w:val="22"/>
                <w:szCs w:val="22"/>
              </w:rPr>
            </w:pPr>
            <w:r w:rsidRPr="0067297E">
              <w:rPr>
                <w:rFonts w:asciiTheme="minorHAnsi" w:hAnsiTheme="minorHAnsi" w:cs="Calibri"/>
                <w:sz w:val="22"/>
                <w:szCs w:val="22"/>
              </w:rPr>
              <w:t>772</w:t>
            </w:r>
          </w:p>
        </w:tc>
      </w:tr>
      <w:tr w:rsidR="001F6B19" w:rsidRPr="0067297E" w14:paraId="035D99E3" w14:textId="77777777" w:rsidTr="001C0BAA">
        <w:tc>
          <w:tcPr>
            <w:tcW w:w="0" w:type="auto"/>
            <w:shd w:val="clear" w:color="auto" w:fill="auto"/>
            <w:noWrap/>
            <w:vAlign w:val="bottom"/>
          </w:tcPr>
          <w:p w14:paraId="128BFB3D" w14:textId="77777777" w:rsidR="001F6B19" w:rsidRPr="0067297E" w:rsidRDefault="001F6B19" w:rsidP="00425A04">
            <w:pPr>
              <w:jc w:val="right"/>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2016/17</w:t>
            </w:r>
          </w:p>
        </w:tc>
        <w:tc>
          <w:tcPr>
            <w:tcW w:w="0" w:type="auto"/>
            <w:shd w:val="clear" w:color="auto" w:fill="auto"/>
            <w:noWrap/>
            <w:vAlign w:val="bottom"/>
          </w:tcPr>
          <w:p w14:paraId="1F31FE65" w14:textId="77777777" w:rsidR="001F6B19" w:rsidRPr="0067297E" w:rsidRDefault="00840AB4" w:rsidP="00425A04">
            <w:pPr>
              <w:jc w:val="right"/>
              <w:rPr>
                <w:rFonts w:asciiTheme="minorHAnsi" w:hAnsiTheme="minorHAnsi" w:cs="Calibri"/>
                <w:sz w:val="22"/>
                <w:szCs w:val="22"/>
              </w:rPr>
            </w:pPr>
            <w:r w:rsidRPr="0067297E">
              <w:rPr>
                <w:rFonts w:asciiTheme="minorHAnsi" w:hAnsiTheme="minorHAnsi" w:cs="Calibri"/>
                <w:sz w:val="22"/>
                <w:szCs w:val="22"/>
              </w:rPr>
              <w:t>1,176</w:t>
            </w:r>
          </w:p>
        </w:tc>
        <w:tc>
          <w:tcPr>
            <w:tcW w:w="0" w:type="auto"/>
            <w:shd w:val="clear" w:color="auto" w:fill="auto"/>
            <w:noWrap/>
            <w:vAlign w:val="bottom"/>
          </w:tcPr>
          <w:p w14:paraId="5BF93B1C" w14:textId="77777777" w:rsidR="001F6B19" w:rsidRPr="0067297E" w:rsidRDefault="00840AB4" w:rsidP="00425A04">
            <w:pPr>
              <w:jc w:val="right"/>
              <w:rPr>
                <w:rFonts w:asciiTheme="minorHAnsi" w:hAnsiTheme="minorHAnsi" w:cs="Calibri"/>
                <w:sz w:val="22"/>
                <w:szCs w:val="22"/>
              </w:rPr>
            </w:pPr>
            <w:r w:rsidRPr="0067297E">
              <w:rPr>
                <w:rFonts w:asciiTheme="minorHAnsi" w:hAnsiTheme="minorHAnsi" w:cs="Calibri"/>
                <w:sz w:val="22"/>
                <w:szCs w:val="22"/>
              </w:rPr>
              <w:t>768</w:t>
            </w:r>
          </w:p>
        </w:tc>
      </w:tr>
      <w:tr w:rsidR="001F6B19" w:rsidRPr="0067297E" w14:paraId="50DE8D2C" w14:textId="77777777" w:rsidTr="001C0BAA">
        <w:tc>
          <w:tcPr>
            <w:tcW w:w="0" w:type="auto"/>
            <w:shd w:val="clear" w:color="auto" w:fill="auto"/>
            <w:noWrap/>
            <w:vAlign w:val="bottom"/>
            <w:hideMark/>
          </w:tcPr>
          <w:p w14:paraId="38E53E7B" w14:textId="77777777" w:rsidR="001F6B19" w:rsidRPr="0067297E" w:rsidRDefault="001F6B19" w:rsidP="00425A04">
            <w:pPr>
              <w:jc w:val="right"/>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Total</w:t>
            </w:r>
          </w:p>
        </w:tc>
        <w:tc>
          <w:tcPr>
            <w:tcW w:w="0" w:type="auto"/>
            <w:shd w:val="clear" w:color="auto" w:fill="auto"/>
            <w:noWrap/>
            <w:vAlign w:val="bottom"/>
          </w:tcPr>
          <w:p w14:paraId="4D9AC42F" w14:textId="77777777" w:rsidR="001F6B19" w:rsidRPr="0067297E" w:rsidRDefault="00840AB4"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4,449</w:t>
            </w:r>
          </w:p>
        </w:tc>
        <w:tc>
          <w:tcPr>
            <w:tcW w:w="0" w:type="auto"/>
            <w:shd w:val="clear" w:color="auto" w:fill="auto"/>
            <w:noWrap/>
            <w:vAlign w:val="bottom"/>
          </w:tcPr>
          <w:p w14:paraId="45650E33" w14:textId="77777777" w:rsidR="001F6B19" w:rsidRPr="0067297E" w:rsidRDefault="00840AB4"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3,019</w:t>
            </w:r>
          </w:p>
        </w:tc>
      </w:tr>
      <w:tr w:rsidR="001F6B19" w:rsidRPr="0067297E" w14:paraId="422C7E04" w14:textId="77777777" w:rsidTr="001C0BAA">
        <w:tc>
          <w:tcPr>
            <w:tcW w:w="0" w:type="auto"/>
            <w:shd w:val="clear" w:color="auto" w:fill="auto"/>
            <w:noWrap/>
            <w:vAlign w:val="bottom"/>
            <w:hideMark/>
          </w:tcPr>
          <w:p w14:paraId="04DAB83D" w14:textId="77777777" w:rsidR="001F6B19" w:rsidRPr="0067297E" w:rsidRDefault="001F6B19" w:rsidP="00425A04">
            <w:pPr>
              <w:jc w:val="right"/>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Annual Average</w:t>
            </w:r>
          </w:p>
        </w:tc>
        <w:tc>
          <w:tcPr>
            <w:tcW w:w="0" w:type="auto"/>
            <w:shd w:val="clear" w:color="auto" w:fill="auto"/>
            <w:noWrap/>
            <w:vAlign w:val="bottom"/>
          </w:tcPr>
          <w:p w14:paraId="55DABB2D" w14:textId="77777777" w:rsidR="001F6B19" w:rsidRPr="0067297E" w:rsidRDefault="00840AB4"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1,112</w:t>
            </w:r>
          </w:p>
        </w:tc>
        <w:tc>
          <w:tcPr>
            <w:tcW w:w="0" w:type="auto"/>
            <w:shd w:val="clear" w:color="auto" w:fill="auto"/>
            <w:noWrap/>
            <w:vAlign w:val="bottom"/>
          </w:tcPr>
          <w:p w14:paraId="434B7DF8" w14:textId="77777777" w:rsidR="001F6B19" w:rsidRPr="0067297E" w:rsidRDefault="00840AB4" w:rsidP="00425A04">
            <w:pPr>
              <w:jc w:val="right"/>
              <w:rPr>
                <w:rFonts w:asciiTheme="minorHAnsi" w:hAnsiTheme="minorHAnsi" w:cs="Calibri"/>
                <w:color w:val="000000"/>
                <w:sz w:val="22"/>
                <w:szCs w:val="22"/>
              </w:rPr>
            </w:pPr>
            <w:r w:rsidRPr="0067297E">
              <w:rPr>
                <w:rFonts w:asciiTheme="minorHAnsi" w:hAnsiTheme="minorHAnsi" w:cs="Calibri"/>
                <w:color w:val="000000"/>
                <w:sz w:val="22"/>
                <w:szCs w:val="22"/>
              </w:rPr>
              <w:t>755</w:t>
            </w:r>
          </w:p>
        </w:tc>
      </w:tr>
    </w:tbl>
    <w:p w14:paraId="3FEB4103" w14:textId="77777777" w:rsidR="001511A9" w:rsidRPr="0067297E" w:rsidRDefault="00240570" w:rsidP="00425A04">
      <w:pPr>
        <w:ind w:left="709"/>
        <w:jc w:val="right"/>
        <w:rPr>
          <w:rFonts w:asciiTheme="minorHAnsi" w:hAnsiTheme="minorHAnsi" w:cs="Calibri"/>
          <w:sz w:val="20"/>
          <w:szCs w:val="20"/>
        </w:rPr>
      </w:pPr>
      <w:r w:rsidRPr="0067297E">
        <w:rPr>
          <w:rFonts w:asciiTheme="minorHAnsi" w:hAnsiTheme="minorHAnsi" w:cs="Calibri"/>
          <w:sz w:val="20"/>
          <w:szCs w:val="20"/>
        </w:rPr>
        <w:t xml:space="preserve">Source: </w:t>
      </w:r>
      <w:r w:rsidR="001F6B19" w:rsidRPr="0067297E">
        <w:rPr>
          <w:rFonts w:asciiTheme="minorHAnsi" w:hAnsiTheme="minorHAnsi" w:cs="Calibri"/>
          <w:sz w:val="20"/>
          <w:szCs w:val="20"/>
        </w:rPr>
        <w:t>MH</w:t>
      </w:r>
      <w:r w:rsidR="001511A9" w:rsidRPr="0067297E">
        <w:rPr>
          <w:rFonts w:asciiTheme="minorHAnsi" w:hAnsiTheme="minorHAnsi" w:cs="Calibri"/>
          <w:sz w:val="20"/>
          <w:szCs w:val="20"/>
        </w:rPr>
        <w:t>CLG Homelessness Statistics</w:t>
      </w:r>
    </w:p>
    <w:p w14:paraId="41FB7C12" w14:textId="363A8FE8" w:rsidR="006E3601" w:rsidRPr="0067297E" w:rsidRDefault="006E3601" w:rsidP="007E2C96">
      <w:pPr>
        <w:pStyle w:val="Heading2"/>
        <w:rPr>
          <w:rFonts w:asciiTheme="minorHAnsi" w:hAnsiTheme="minorHAnsi"/>
          <w:lang w:val="en-GB"/>
        </w:rPr>
      </w:pPr>
      <w:bookmarkStart w:id="391" w:name="_Toc1385777"/>
      <w:bookmarkStart w:id="392" w:name="_Toc23151093"/>
      <w:bookmarkStart w:id="393" w:name="_Toc395193568"/>
      <w:r w:rsidRPr="0067297E">
        <w:rPr>
          <w:rFonts w:asciiTheme="minorHAnsi" w:hAnsiTheme="minorHAnsi"/>
          <w:lang w:val="en-GB"/>
        </w:rPr>
        <w:t>Key workers</w:t>
      </w:r>
      <w:bookmarkEnd w:id="391"/>
      <w:bookmarkEnd w:id="392"/>
    </w:p>
    <w:p w14:paraId="49D014F9" w14:textId="17E8C782" w:rsidR="00057709" w:rsidRPr="00425A04" w:rsidRDefault="00A41448" w:rsidP="00A97BBC">
      <w:pPr>
        <w:pStyle w:val="Reporttext"/>
        <w:rPr>
          <w:rFonts w:asciiTheme="minorHAnsi" w:hAnsiTheme="minorHAnsi"/>
        </w:rPr>
      </w:pPr>
      <w:r w:rsidRPr="0067297E">
        <w:rPr>
          <w:rFonts w:asciiTheme="minorHAnsi" w:hAnsiTheme="minorHAnsi"/>
        </w:rPr>
        <w:t>The NPPF 201</w:t>
      </w:r>
      <w:r w:rsidR="00E3486D">
        <w:rPr>
          <w:rFonts w:asciiTheme="minorHAnsi" w:hAnsiTheme="minorHAnsi"/>
          <w:lang w:val="en-US"/>
        </w:rPr>
        <w:t>9</w:t>
      </w:r>
      <w:r w:rsidRPr="0067297E">
        <w:rPr>
          <w:rFonts w:asciiTheme="minorHAnsi" w:hAnsiTheme="minorHAnsi"/>
        </w:rPr>
        <w:t xml:space="preserve"> refers to </w:t>
      </w:r>
      <w:r w:rsidR="00057709" w:rsidRPr="0067297E">
        <w:rPr>
          <w:rFonts w:asciiTheme="minorHAnsi" w:hAnsiTheme="minorHAnsi"/>
          <w:b/>
          <w:bCs/>
        </w:rPr>
        <w:t>Essential local workers:</w:t>
      </w:r>
      <w:r w:rsidR="00057709" w:rsidRPr="0067297E">
        <w:rPr>
          <w:rFonts w:asciiTheme="minorHAnsi" w:hAnsiTheme="minorHAnsi"/>
          <w:b/>
          <w:bCs/>
          <w:lang w:val="en-GB"/>
        </w:rPr>
        <w:t xml:space="preserve"> </w:t>
      </w:r>
      <w:r w:rsidR="00057709" w:rsidRPr="0067297E">
        <w:rPr>
          <w:rFonts w:asciiTheme="minorHAnsi" w:hAnsiTheme="minorHAnsi"/>
          <w:bCs/>
          <w:lang w:val="en-GB"/>
        </w:rPr>
        <w:t>public sector employees who provide frontline services in areas including health, education and community safety – such as NHS staff, teachers, police, firefighters and military personnel, social care and childcare workers.</w:t>
      </w:r>
      <w:r w:rsidR="00A97BBC" w:rsidRPr="0067297E">
        <w:rPr>
          <w:rFonts w:asciiTheme="minorHAnsi" w:hAnsiTheme="minorHAnsi"/>
        </w:rPr>
        <w:t xml:space="preserve"> </w:t>
      </w:r>
      <w:r w:rsidR="00A97BBC" w:rsidRPr="0067297E">
        <w:rPr>
          <w:rFonts w:asciiTheme="minorHAnsi" w:hAnsiTheme="minorHAnsi"/>
          <w:bCs/>
          <w:lang w:val="en-GB"/>
        </w:rPr>
        <w:t>There were no specific views raised by stakeholders regarding accommodation needs for this group.</w:t>
      </w:r>
    </w:p>
    <w:p w14:paraId="583A82FE" w14:textId="77777777" w:rsidR="00425A04" w:rsidRPr="00825F61" w:rsidRDefault="00425A04" w:rsidP="00425A04">
      <w:pPr>
        <w:pStyle w:val="Reporttext"/>
        <w:numPr>
          <w:ilvl w:val="0"/>
          <w:numId w:val="0"/>
        </w:numPr>
        <w:ind w:left="709"/>
        <w:rPr>
          <w:rFonts w:asciiTheme="minorHAnsi" w:hAnsiTheme="minorHAnsi"/>
        </w:rPr>
      </w:pPr>
    </w:p>
    <w:p w14:paraId="6610DD9E" w14:textId="5E77D290" w:rsidR="009B61A9" w:rsidRPr="00825F61" w:rsidRDefault="009B61A9" w:rsidP="00425A04">
      <w:pPr>
        <w:pStyle w:val="Heading2"/>
      </w:pPr>
      <w:bookmarkStart w:id="394" w:name="_Toc23151094"/>
      <w:r w:rsidRPr="00825F61">
        <w:t>Gypsy and Travellers</w:t>
      </w:r>
      <w:bookmarkEnd w:id="394"/>
    </w:p>
    <w:p w14:paraId="3012DB67" w14:textId="155B242C" w:rsidR="009B61A9" w:rsidRPr="003866F6" w:rsidRDefault="00985F8A" w:rsidP="003866F6">
      <w:pPr>
        <w:pStyle w:val="Reporttext"/>
        <w:rPr>
          <w:rFonts w:asciiTheme="minorHAnsi" w:hAnsiTheme="minorHAnsi"/>
        </w:rPr>
      </w:pPr>
      <w:r>
        <w:rPr>
          <w:rFonts w:asciiTheme="minorHAnsi" w:hAnsiTheme="minorHAnsi"/>
          <w:lang w:val="en-GB"/>
        </w:rPr>
        <w:t xml:space="preserve">The Council has commissioned separate evidence to assess the </w:t>
      </w:r>
      <w:r w:rsidR="009B61A9" w:rsidRPr="003866F6">
        <w:rPr>
          <w:rFonts w:asciiTheme="minorHAnsi" w:hAnsiTheme="minorHAnsi"/>
          <w:lang w:val="en-GB"/>
        </w:rPr>
        <w:t>needs associated with Gypsy and Travellers</w:t>
      </w:r>
      <w:r>
        <w:rPr>
          <w:rFonts w:asciiTheme="minorHAnsi" w:hAnsiTheme="minorHAnsi"/>
          <w:lang w:val="en-GB"/>
        </w:rPr>
        <w:t>.  Th</w:t>
      </w:r>
      <w:r w:rsidR="009B61A9" w:rsidRPr="003866F6">
        <w:rPr>
          <w:rFonts w:asciiTheme="minorHAnsi" w:hAnsiTheme="minorHAnsi"/>
          <w:lang w:val="en-GB"/>
        </w:rPr>
        <w:t>e Lewisham Gypsy and Traveller Accommodation Assessment Update</w:t>
      </w:r>
      <w:r w:rsidR="003866F6" w:rsidRPr="003866F6">
        <w:rPr>
          <w:rFonts w:asciiTheme="minorHAnsi" w:hAnsiTheme="minorHAnsi"/>
          <w:lang w:val="en-GB"/>
        </w:rPr>
        <w:t xml:space="preserve"> 2016</w:t>
      </w:r>
      <w:r w:rsidR="00446B22">
        <w:rPr>
          <w:rFonts w:asciiTheme="minorHAnsi" w:hAnsiTheme="minorHAnsi"/>
          <w:lang w:val="en-GB"/>
        </w:rPr>
        <w:t xml:space="preserve"> has now been published and should be read alongside this document</w:t>
      </w:r>
      <w:r w:rsidR="003866F6" w:rsidRPr="003866F6">
        <w:rPr>
          <w:rFonts w:asciiTheme="minorHAnsi" w:hAnsiTheme="minorHAnsi"/>
          <w:lang w:val="en-GB"/>
        </w:rPr>
        <w:t xml:space="preserve">. </w:t>
      </w:r>
    </w:p>
    <w:p w14:paraId="1A84D454" w14:textId="77777777" w:rsidR="00057709" w:rsidRPr="0067297E" w:rsidRDefault="00057709" w:rsidP="001C0BAA">
      <w:pPr>
        <w:rPr>
          <w:rFonts w:asciiTheme="minorHAnsi" w:hAnsiTheme="minorHAnsi"/>
        </w:rPr>
      </w:pPr>
    </w:p>
    <w:p w14:paraId="4842FB8B" w14:textId="7CAD2C2E" w:rsidR="007E2C96" w:rsidRPr="0067297E" w:rsidRDefault="007E2C96" w:rsidP="007E2C96">
      <w:pPr>
        <w:pStyle w:val="Heading2"/>
        <w:rPr>
          <w:rFonts w:asciiTheme="minorHAnsi" w:hAnsiTheme="minorHAnsi"/>
        </w:rPr>
      </w:pPr>
      <w:bookmarkStart w:id="395" w:name="_Toc1385778"/>
      <w:bookmarkStart w:id="396" w:name="_Toc23151095"/>
      <w:r w:rsidRPr="0067297E">
        <w:rPr>
          <w:rFonts w:asciiTheme="minorHAnsi" w:hAnsiTheme="minorHAnsi"/>
        </w:rPr>
        <w:t>Armed forces personnel</w:t>
      </w:r>
      <w:bookmarkEnd w:id="395"/>
      <w:bookmarkEnd w:id="396"/>
    </w:p>
    <w:p w14:paraId="4CB8EDD2" w14:textId="536462E5" w:rsidR="007E2C96" w:rsidRPr="0067297E" w:rsidRDefault="007E2C96" w:rsidP="007E2C96">
      <w:pPr>
        <w:pStyle w:val="Reporttext"/>
        <w:spacing w:before="0"/>
        <w:rPr>
          <w:rFonts w:asciiTheme="minorHAnsi" w:hAnsiTheme="minorHAnsi"/>
        </w:rPr>
      </w:pPr>
      <w:r w:rsidRPr="0067297E">
        <w:rPr>
          <w:rFonts w:asciiTheme="minorHAnsi" w:hAnsiTheme="minorHAnsi"/>
          <w:lang w:val="en-US"/>
        </w:rPr>
        <w:t>There have been 9 applicants on the housing register from former armed forces personnel. These households mainly require smaller one and two</w:t>
      </w:r>
      <w:r w:rsidR="005B0D8B" w:rsidRPr="0067297E">
        <w:rPr>
          <w:rFonts w:asciiTheme="minorHAnsi" w:hAnsiTheme="minorHAnsi"/>
          <w:lang w:val="en-US"/>
        </w:rPr>
        <w:t>-</w:t>
      </w:r>
      <w:r w:rsidRPr="0067297E">
        <w:rPr>
          <w:rFonts w:asciiTheme="minorHAnsi" w:hAnsiTheme="minorHAnsi"/>
          <w:lang w:val="en-US"/>
        </w:rPr>
        <w:t>bedroom dwellings. There were no specific views raised by stakeholders regarding accommodation needs for this group.</w:t>
      </w:r>
    </w:p>
    <w:p w14:paraId="091B6948" w14:textId="77777777" w:rsidR="007E2C96" w:rsidRPr="0067297E" w:rsidRDefault="007E2C96" w:rsidP="008C3647">
      <w:pPr>
        <w:rPr>
          <w:rFonts w:asciiTheme="minorHAnsi" w:hAnsiTheme="minorHAnsi"/>
        </w:rPr>
      </w:pPr>
    </w:p>
    <w:p w14:paraId="431A8280" w14:textId="77777777" w:rsidR="009F7AA3" w:rsidRPr="0067297E" w:rsidRDefault="009F7AA3" w:rsidP="008C3647">
      <w:pPr>
        <w:pStyle w:val="Heading2"/>
        <w:rPr>
          <w:rFonts w:asciiTheme="minorHAnsi" w:hAnsiTheme="minorHAnsi"/>
        </w:rPr>
      </w:pPr>
      <w:bookmarkStart w:id="397" w:name="_Toc1385779"/>
      <w:bookmarkStart w:id="398" w:name="_Toc23151096"/>
      <w:r w:rsidRPr="0067297E">
        <w:rPr>
          <w:rFonts w:asciiTheme="minorHAnsi" w:hAnsiTheme="minorHAnsi"/>
        </w:rPr>
        <w:t>Black, Minority, Ethnic Households</w:t>
      </w:r>
      <w:bookmarkEnd w:id="393"/>
      <w:bookmarkEnd w:id="397"/>
      <w:bookmarkEnd w:id="398"/>
    </w:p>
    <w:p w14:paraId="6B0D36F3" w14:textId="77777777" w:rsidR="009F7AA3" w:rsidRPr="0067297E" w:rsidRDefault="009F7AA3" w:rsidP="00543A76">
      <w:pPr>
        <w:pStyle w:val="Reporttext"/>
        <w:tabs>
          <w:tab w:val="num" w:pos="1419"/>
        </w:tabs>
        <w:rPr>
          <w:rFonts w:asciiTheme="minorHAnsi" w:hAnsiTheme="minorHAnsi" w:cs="Calibri"/>
        </w:rPr>
      </w:pPr>
      <w:r w:rsidRPr="0067297E">
        <w:rPr>
          <w:rFonts w:asciiTheme="minorHAnsi" w:hAnsiTheme="minorHAnsi" w:cs="Calibri"/>
        </w:rPr>
        <w:t xml:space="preserve">Census 2011 data reveals that </w:t>
      </w:r>
      <w:r w:rsidR="001173E1" w:rsidRPr="0067297E">
        <w:rPr>
          <w:rFonts w:asciiTheme="minorHAnsi" w:hAnsiTheme="minorHAnsi" w:cs="Calibri"/>
        </w:rPr>
        <w:t xml:space="preserve">52.2% of households have a household reference person from a Black, Asian and Minority Ethnic group. Overall, 47.8% of household reference people identify as White British, 12.7% White Other, 26% Black/Black British, 7.3% Asian/Asian British and 4.1% mixed/multiple ethnicity and 2% are of </w:t>
      </w:r>
      <w:r w:rsidRPr="0067297E">
        <w:rPr>
          <w:rFonts w:asciiTheme="minorHAnsi" w:hAnsiTheme="minorHAnsi" w:cs="Calibri"/>
        </w:rPr>
        <w:t>other ethnic origin.</w:t>
      </w:r>
    </w:p>
    <w:p w14:paraId="7501E8EF" w14:textId="35134A30" w:rsidR="00155827" w:rsidRPr="0067297E" w:rsidRDefault="00155827" w:rsidP="00543A76">
      <w:pPr>
        <w:pStyle w:val="Reporttext"/>
        <w:tabs>
          <w:tab w:val="num" w:pos="1419"/>
        </w:tabs>
        <w:rPr>
          <w:rFonts w:asciiTheme="minorHAnsi" w:hAnsiTheme="minorHAnsi"/>
        </w:rPr>
      </w:pPr>
      <w:r w:rsidRPr="0067297E">
        <w:rPr>
          <w:rFonts w:asciiTheme="minorHAnsi" w:hAnsiTheme="minorHAnsi"/>
        </w:rPr>
        <w:t xml:space="preserve">BAME households are more likely to be social renters (38.1%) compared with all households (31.1%), a further 25.6% rent privately compared with 25.3% all </w:t>
      </w:r>
      <w:r w:rsidR="005B2517" w:rsidRPr="0067297E">
        <w:rPr>
          <w:rFonts w:asciiTheme="minorHAnsi" w:hAnsiTheme="minorHAnsi"/>
        </w:rPr>
        <w:t>households</w:t>
      </w:r>
      <w:r w:rsidRPr="0067297E">
        <w:rPr>
          <w:rFonts w:asciiTheme="minorHAnsi" w:hAnsiTheme="minorHAnsi"/>
        </w:rPr>
        <w:t xml:space="preserve"> and 36.2% are owner occupiers compared with 43.6% of all households. </w:t>
      </w:r>
    </w:p>
    <w:p w14:paraId="6551FEF3" w14:textId="093849B9" w:rsidR="009F7AA3" w:rsidRPr="0067297E" w:rsidRDefault="00155827" w:rsidP="00543A76">
      <w:pPr>
        <w:pStyle w:val="Reporttext"/>
        <w:tabs>
          <w:tab w:val="num" w:pos="1419"/>
        </w:tabs>
        <w:rPr>
          <w:rFonts w:asciiTheme="minorHAnsi" w:hAnsiTheme="minorHAnsi"/>
        </w:rPr>
      </w:pPr>
      <w:r w:rsidRPr="0067297E">
        <w:rPr>
          <w:rFonts w:asciiTheme="minorHAnsi" w:hAnsiTheme="minorHAnsi"/>
        </w:rPr>
        <w:t xml:space="preserve">Overall, 17.1% of BAME households are overcrowded (compared with 12.1% of all households). </w:t>
      </w:r>
      <w:r w:rsidR="00531AE6" w:rsidRPr="0067297E">
        <w:rPr>
          <w:rFonts w:asciiTheme="minorHAnsi" w:hAnsiTheme="minorHAnsi"/>
          <w:lang w:val="en-GB"/>
        </w:rPr>
        <w:t>The implication of this finding is significant.  Paragraph 4.</w:t>
      </w:r>
      <w:r w:rsidR="00581423" w:rsidRPr="0067297E">
        <w:rPr>
          <w:rFonts w:asciiTheme="minorHAnsi" w:hAnsiTheme="minorHAnsi"/>
          <w:lang w:val="en-GB"/>
        </w:rPr>
        <w:t>42</w:t>
      </w:r>
      <w:r w:rsidR="00531AE6" w:rsidRPr="0067297E">
        <w:rPr>
          <w:rFonts w:asciiTheme="minorHAnsi" w:hAnsiTheme="minorHAnsi"/>
          <w:lang w:val="en-GB"/>
        </w:rPr>
        <w:t xml:space="preserve"> of this report demonstrates that 71.4% of the affordable stock comprises of flats and apartments and 2</w:t>
      </w:r>
      <w:r w:rsidR="00581423" w:rsidRPr="0067297E">
        <w:rPr>
          <w:rFonts w:asciiTheme="minorHAnsi" w:hAnsiTheme="minorHAnsi"/>
          <w:lang w:val="en-GB"/>
        </w:rPr>
        <w:t>3.3</w:t>
      </w:r>
      <w:r w:rsidR="00531AE6" w:rsidRPr="0067297E">
        <w:rPr>
          <w:rFonts w:asciiTheme="minorHAnsi" w:hAnsiTheme="minorHAnsi"/>
          <w:lang w:val="en-GB"/>
        </w:rPr>
        <w:t>% of dwellings have 3 or more</w:t>
      </w:r>
      <w:r w:rsidR="0017010D" w:rsidRPr="0067297E">
        <w:rPr>
          <w:rFonts w:asciiTheme="minorHAnsi" w:hAnsiTheme="minorHAnsi"/>
          <w:lang w:val="en-GB"/>
        </w:rPr>
        <w:t>-</w:t>
      </w:r>
      <w:r w:rsidR="00531AE6" w:rsidRPr="0067297E">
        <w:rPr>
          <w:rFonts w:asciiTheme="minorHAnsi" w:hAnsiTheme="minorHAnsi"/>
          <w:lang w:val="en-GB"/>
        </w:rPr>
        <w:t>bedrooms.  Further, the proportion of affordable housing varies significantly by ward (</w:t>
      </w:r>
      <w:r w:rsidR="00581423" w:rsidRPr="0067297E">
        <w:rPr>
          <w:rFonts w:asciiTheme="minorHAnsi" w:hAnsiTheme="minorHAnsi"/>
          <w:lang w:val="en-GB"/>
        </w:rPr>
        <w:t>T</w:t>
      </w:r>
      <w:r w:rsidR="00531AE6" w:rsidRPr="0067297E">
        <w:rPr>
          <w:rFonts w:asciiTheme="minorHAnsi" w:hAnsiTheme="minorHAnsi"/>
          <w:lang w:val="en-GB"/>
        </w:rPr>
        <w:t>able 4.7</w:t>
      </w:r>
      <w:r w:rsidR="0017010D" w:rsidRPr="0067297E">
        <w:rPr>
          <w:rFonts w:asciiTheme="minorHAnsi" w:hAnsiTheme="minorHAnsi"/>
          <w:lang w:val="en-GB"/>
        </w:rPr>
        <w:t>)</w:t>
      </w:r>
      <w:r w:rsidR="00531AE6" w:rsidRPr="0067297E">
        <w:rPr>
          <w:rFonts w:asciiTheme="minorHAnsi" w:hAnsiTheme="minorHAnsi"/>
          <w:lang w:val="en-GB"/>
        </w:rPr>
        <w:t>.  The borough average proportion of affordable housing is 31% but the range is between 12.6</w:t>
      </w:r>
      <w:r w:rsidR="0017010D" w:rsidRPr="0067297E">
        <w:rPr>
          <w:rFonts w:asciiTheme="minorHAnsi" w:hAnsiTheme="minorHAnsi"/>
          <w:lang w:val="en-GB"/>
        </w:rPr>
        <w:t>%</w:t>
      </w:r>
      <w:r w:rsidR="00531AE6" w:rsidRPr="0067297E">
        <w:rPr>
          <w:rFonts w:asciiTheme="minorHAnsi" w:hAnsiTheme="minorHAnsi"/>
          <w:lang w:val="en-GB"/>
        </w:rPr>
        <w:t xml:space="preserve"> and </w:t>
      </w:r>
      <w:r w:rsidR="0017010D" w:rsidRPr="0067297E">
        <w:rPr>
          <w:rFonts w:asciiTheme="minorHAnsi" w:hAnsiTheme="minorHAnsi"/>
          <w:lang w:val="en-GB"/>
        </w:rPr>
        <w:t>57.3%.  This means that some BAME households may disproportionately experience overcrowding longer than others due to the low proportion of family homes within the affordable stock and the uneven distribution of such housing across the borough.</w:t>
      </w:r>
    </w:p>
    <w:p w14:paraId="15AEA04C" w14:textId="44589039" w:rsidR="009F7AA3" w:rsidRPr="0067297E" w:rsidRDefault="009F7AA3" w:rsidP="000256AC">
      <w:pPr>
        <w:tabs>
          <w:tab w:val="left" w:pos="709"/>
        </w:tabs>
        <w:rPr>
          <w:rFonts w:asciiTheme="minorHAnsi" w:hAnsiTheme="minorHAnsi" w:cs="Calibri"/>
          <w:lang w:val="x-none"/>
        </w:rPr>
      </w:pPr>
    </w:p>
    <w:p w14:paraId="4F1DA85E" w14:textId="77777777" w:rsidR="00A04CC5" w:rsidRPr="0067297E" w:rsidRDefault="00A04CC5" w:rsidP="00A04CC5">
      <w:pPr>
        <w:pStyle w:val="Heading3"/>
        <w:rPr>
          <w:rFonts w:asciiTheme="minorHAnsi" w:hAnsiTheme="minorHAnsi"/>
        </w:rPr>
      </w:pPr>
      <w:r w:rsidRPr="0067297E">
        <w:rPr>
          <w:rFonts w:asciiTheme="minorHAnsi" w:hAnsiTheme="minorHAnsi"/>
        </w:rPr>
        <w:t>BAME Characteristics</w:t>
      </w:r>
    </w:p>
    <w:p w14:paraId="3FD0ED0C" w14:textId="77777777" w:rsidR="00A04CC5" w:rsidRPr="0067297E" w:rsidRDefault="00A04CC5" w:rsidP="00A04CC5">
      <w:pPr>
        <w:pStyle w:val="Reporttext"/>
        <w:tabs>
          <w:tab w:val="num" w:pos="1419"/>
        </w:tabs>
        <w:rPr>
          <w:rFonts w:asciiTheme="minorHAnsi" w:hAnsiTheme="minorHAnsi"/>
        </w:rPr>
      </w:pPr>
      <w:r w:rsidRPr="0067297E">
        <w:rPr>
          <w:rFonts w:asciiTheme="minorHAnsi" w:hAnsiTheme="minorHAnsi"/>
        </w:rPr>
        <w:t>The highest proportion within the BAME category is the Black ethnic group, which accounts for around half of all BAME households in Lewisham.</w:t>
      </w:r>
    </w:p>
    <w:p w14:paraId="4D22C977" w14:textId="77777777" w:rsidR="00A04CC5" w:rsidRPr="0067297E" w:rsidRDefault="00A04CC5" w:rsidP="00A04CC5">
      <w:pPr>
        <w:pStyle w:val="Reporttext"/>
        <w:tabs>
          <w:tab w:val="num" w:pos="1419"/>
        </w:tabs>
        <w:rPr>
          <w:rFonts w:asciiTheme="minorHAnsi" w:hAnsiTheme="minorHAnsi"/>
        </w:rPr>
      </w:pPr>
      <w:r w:rsidRPr="0067297E">
        <w:rPr>
          <w:rFonts w:asciiTheme="minorHAnsi" w:hAnsiTheme="minorHAnsi"/>
        </w:rPr>
        <w:t>The following graph details the household composition by BAME Category within Lewisham.</w:t>
      </w:r>
    </w:p>
    <w:p w14:paraId="4A97A77B" w14:textId="77777777" w:rsidR="00A04CC5" w:rsidRPr="0067297E" w:rsidRDefault="00A04CC5" w:rsidP="00A04CC5">
      <w:pPr>
        <w:pStyle w:val="Reporttext"/>
        <w:numPr>
          <w:ilvl w:val="0"/>
          <w:numId w:val="0"/>
        </w:numPr>
        <w:ind w:left="709"/>
        <w:rPr>
          <w:rFonts w:asciiTheme="minorHAnsi" w:hAnsiTheme="minorHAnsi"/>
        </w:rPr>
      </w:pPr>
    </w:p>
    <w:p w14:paraId="3700FDF0" w14:textId="77777777" w:rsidR="00A04CC5" w:rsidRPr="0067297E" w:rsidRDefault="00A04CC5" w:rsidP="00A04CC5">
      <w:pPr>
        <w:pStyle w:val="figureheading"/>
        <w:rPr>
          <w:rFonts w:asciiTheme="minorHAnsi" w:hAnsiTheme="minorHAnsi"/>
          <w:lang w:val="en-GB"/>
        </w:rPr>
        <w:sectPr w:rsidR="00A04CC5" w:rsidRPr="0067297E" w:rsidSect="00DF121C">
          <w:headerReference w:type="default" r:id="rId89"/>
          <w:footerReference w:type="default" r:id="rId90"/>
          <w:pgSz w:w="11907" w:h="16840" w:code="9"/>
          <w:pgMar w:top="1440" w:right="1275" w:bottom="1134" w:left="1440" w:header="720" w:footer="567" w:gutter="0"/>
          <w:cols w:space="708"/>
          <w:noEndnote/>
          <w:docGrid w:linePitch="326"/>
        </w:sectPr>
      </w:pPr>
    </w:p>
    <w:p w14:paraId="3C1ABB60" w14:textId="3E6C902F" w:rsidR="00A04CC5" w:rsidRPr="0067297E" w:rsidRDefault="00B32E87" w:rsidP="00A04CC5">
      <w:pPr>
        <w:pStyle w:val="figureheading"/>
        <w:rPr>
          <w:rFonts w:asciiTheme="minorHAnsi" w:hAnsiTheme="minorHAnsi"/>
          <w:lang w:val="en-GB"/>
        </w:rPr>
      </w:pPr>
      <w:bookmarkStart w:id="399" w:name="_Toc23151230"/>
      <w:r w:rsidRPr="0067297E">
        <w:rPr>
          <w:rFonts w:asciiTheme="minorHAnsi" w:hAnsiTheme="minorHAnsi"/>
          <w:lang w:val="en-GB"/>
        </w:rPr>
        <w:t>Figure 6.3</w:t>
      </w:r>
      <w:r w:rsidRPr="0067297E">
        <w:rPr>
          <w:rFonts w:asciiTheme="minorHAnsi" w:hAnsiTheme="minorHAnsi"/>
          <w:lang w:val="en-GB"/>
        </w:rPr>
        <w:tab/>
      </w:r>
      <w:r w:rsidR="00A04CC5" w:rsidRPr="0067297E">
        <w:rPr>
          <w:rFonts w:asciiTheme="minorHAnsi" w:hAnsiTheme="minorHAnsi"/>
          <w:lang w:val="en-GB"/>
        </w:rPr>
        <w:t>BAME household composition</w:t>
      </w:r>
      <w:bookmarkEnd w:id="399"/>
    </w:p>
    <w:p w14:paraId="68932DE3" w14:textId="77777777" w:rsidR="00A04CC5" w:rsidRPr="0067297E" w:rsidRDefault="00A04CC5" w:rsidP="00A04CC5">
      <w:pPr>
        <w:rPr>
          <w:rFonts w:asciiTheme="minorHAnsi" w:hAnsiTheme="minorHAnsi"/>
        </w:rPr>
      </w:pPr>
      <w:r w:rsidRPr="0067297E">
        <w:rPr>
          <w:rFonts w:asciiTheme="minorHAnsi" w:hAnsiTheme="minorHAnsi"/>
          <w:noProof/>
          <w:lang w:eastAsia="en-GB"/>
        </w:rPr>
        <w:drawing>
          <wp:inline distT="0" distB="0" distL="0" distR="0" wp14:anchorId="1BFAA0BC" wp14:editId="1A2C68AD">
            <wp:extent cx="9060180" cy="5128260"/>
            <wp:effectExtent l="0" t="0" r="7620" b="0"/>
            <wp:docPr id="11" name="Picture 11" descr="Chart showing BAME groups (colour coded) household composition in Lewisham. " title="Figure 6.3 BAME household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060180" cy="5128260"/>
                    </a:xfrm>
                    <a:prstGeom prst="rect">
                      <a:avLst/>
                    </a:prstGeom>
                  </pic:spPr>
                </pic:pic>
              </a:graphicData>
            </a:graphic>
          </wp:inline>
        </w:drawing>
      </w:r>
    </w:p>
    <w:p w14:paraId="71543966" w14:textId="77777777" w:rsidR="00A04CC5" w:rsidRPr="0067297E" w:rsidRDefault="00A04CC5" w:rsidP="00A04CC5">
      <w:pPr>
        <w:rPr>
          <w:rFonts w:asciiTheme="minorHAnsi" w:hAnsiTheme="minorHAnsi"/>
          <w:sz w:val="20"/>
          <w:szCs w:val="18"/>
        </w:rPr>
      </w:pPr>
      <w:r w:rsidRPr="0067297E">
        <w:rPr>
          <w:rFonts w:asciiTheme="minorHAnsi" w:hAnsiTheme="minorHAnsi"/>
          <w:sz w:val="20"/>
          <w:szCs w:val="18"/>
        </w:rPr>
        <w:t>Source: Census 2011</w:t>
      </w:r>
    </w:p>
    <w:p w14:paraId="472AF963" w14:textId="77777777" w:rsidR="00A04CC5" w:rsidRPr="0067297E" w:rsidRDefault="00A04CC5" w:rsidP="00A04CC5">
      <w:pPr>
        <w:ind w:firstLine="720"/>
        <w:rPr>
          <w:rFonts w:asciiTheme="minorHAnsi" w:hAnsiTheme="minorHAnsi"/>
          <w:sz w:val="18"/>
          <w:szCs w:val="18"/>
        </w:rPr>
        <w:sectPr w:rsidR="00A04CC5" w:rsidRPr="0067297E" w:rsidSect="00516B53">
          <w:headerReference w:type="default" r:id="rId92"/>
          <w:footerReference w:type="default" r:id="rId93"/>
          <w:pgSz w:w="16840" w:h="11907" w:orient="landscape" w:code="9"/>
          <w:pgMar w:top="1275" w:right="1134" w:bottom="1440" w:left="1440" w:header="720" w:footer="567" w:gutter="0"/>
          <w:cols w:space="708"/>
          <w:noEndnote/>
          <w:docGrid w:linePitch="326"/>
        </w:sectPr>
      </w:pPr>
    </w:p>
    <w:p w14:paraId="6272A5DC" w14:textId="6351D5F1" w:rsidR="003866F6" w:rsidRDefault="003866F6" w:rsidP="00A04CC5">
      <w:pPr>
        <w:pStyle w:val="Reporttext"/>
        <w:rPr>
          <w:rFonts w:asciiTheme="minorHAnsi" w:hAnsiTheme="minorHAnsi"/>
        </w:rPr>
      </w:pPr>
      <w:r w:rsidRPr="0067297E">
        <w:rPr>
          <w:rFonts w:asciiTheme="minorHAnsi" w:hAnsiTheme="minorHAnsi"/>
        </w:rPr>
        <w:t xml:space="preserve">The main age group within the BAME categories is 16-34 (33.7%), closely followed by those aged 35-49 (24.1%).  Those aged over 65 account for 5.4% within the BAME groups within the </w:t>
      </w:r>
      <w:r w:rsidRPr="0067297E">
        <w:rPr>
          <w:rFonts w:asciiTheme="minorHAnsi" w:hAnsiTheme="minorHAnsi"/>
          <w:lang w:val="en-GB"/>
        </w:rPr>
        <w:t>b</w:t>
      </w:r>
      <w:r w:rsidRPr="0067297E">
        <w:rPr>
          <w:rFonts w:asciiTheme="minorHAnsi" w:hAnsiTheme="minorHAnsi"/>
        </w:rPr>
        <w:t>orough</w:t>
      </w:r>
    </w:p>
    <w:p w14:paraId="56AE2434" w14:textId="1A24E790" w:rsidR="00A04CC5" w:rsidRPr="0067297E" w:rsidRDefault="00A04CC5" w:rsidP="00A04CC5">
      <w:pPr>
        <w:pStyle w:val="Reporttext"/>
        <w:rPr>
          <w:rFonts w:asciiTheme="minorHAnsi" w:hAnsiTheme="minorHAnsi"/>
        </w:rPr>
      </w:pPr>
      <w:r w:rsidRPr="0067297E">
        <w:rPr>
          <w:rFonts w:asciiTheme="minorHAnsi" w:hAnsiTheme="minorHAnsi"/>
        </w:rPr>
        <w:t>The data shows that the Mixed and Black B</w:t>
      </w:r>
      <w:r w:rsidR="0021745F" w:rsidRPr="0067297E">
        <w:rPr>
          <w:rFonts w:asciiTheme="minorHAnsi" w:hAnsiTheme="minorHAnsi"/>
          <w:lang w:val="en-GB"/>
        </w:rPr>
        <w:t>A</w:t>
      </w:r>
      <w:r w:rsidRPr="0067297E">
        <w:rPr>
          <w:rFonts w:asciiTheme="minorHAnsi" w:hAnsiTheme="minorHAnsi"/>
        </w:rPr>
        <w:t xml:space="preserve">ME categories contains the highest proportion of single </w:t>
      </w:r>
      <w:r w:rsidR="0017010D" w:rsidRPr="0067297E">
        <w:rPr>
          <w:rFonts w:asciiTheme="minorHAnsi" w:hAnsiTheme="minorHAnsi"/>
          <w:lang w:val="en-GB"/>
        </w:rPr>
        <w:t xml:space="preserve">person </w:t>
      </w:r>
      <w:r w:rsidRPr="0067297E">
        <w:rPr>
          <w:rFonts w:asciiTheme="minorHAnsi" w:hAnsiTheme="minorHAnsi"/>
        </w:rPr>
        <w:t>households aged over 65 within the Borough.</w:t>
      </w:r>
    </w:p>
    <w:p w14:paraId="71AFC58A" w14:textId="77777777" w:rsidR="00A04CC5" w:rsidRPr="0067297E" w:rsidRDefault="00A04CC5" w:rsidP="00A04CC5">
      <w:pPr>
        <w:pStyle w:val="Reporttext"/>
        <w:rPr>
          <w:rFonts w:asciiTheme="minorHAnsi" w:hAnsiTheme="minorHAnsi"/>
        </w:rPr>
      </w:pPr>
      <w:r w:rsidRPr="0067297E">
        <w:rPr>
          <w:rFonts w:asciiTheme="minorHAnsi" w:hAnsiTheme="minorHAnsi"/>
        </w:rPr>
        <w:t xml:space="preserve">Full time students and married households with dependent children are highest amongst the Asian and ‘Other’ BAME categories.  </w:t>
      </w:r>
    </w:p>
    <w:p w14:paraId="7F3A397D" w14:textId="1CA022C9" w:rsidR="00A04CC5" w:rsidRPr="0067297E" w:rsidRDefault="00A04CC5" w:rsidP="00A04CC5">
      <w:pPr>
        <w:pStyle w:val="Reporttext"/>
        <w:rPr>
          <w:rFonts w:asciiTheme="minorHAnsi" w:hAnsiTheme="minorHAnsi"/>
        </w:rPr>
      </w:pPr>
      <w:r w:rsidRPr="0067297E">
        <w:rPr>
          <w:rFonts w:asciiTheme="minorHAnsi" w:hAnsiTheme="minorHAnsi"/>
        </w:rPr>
        <w:t xml:space="preserve">Lone parents with </w:t>
      </w:r>
      <w:r w:rsidR="00057709" w:rsidRPr="0067297E">
        <w:rPr>
          <w:rFonts w:asciiTheme="minorHAnsi" w:hAnsiTheme="minorHAnsi"/>
        </w:rPr>
        <w:t>dependent</w:t>
      </w:r>
      <w:r w:rsidRPr="0067297E">
        <w:rPr>
          <w:rFonts w:asciiTheme="minorHAnsi" w:hAnsiTheme="minorHAnsi"/>
        </w:rPr>
        <w:t xml:space="preserve"> children are shown to be the highest amongst Black and Mixed BAME households within the Borough.</w:t>
      </w:r>
    </w:p>
    <w:p w14:paraId="77BC6213" w14:textId="77777777" w:rsidR="00A04CC5" w:rsidRPr="0067297E" w:rsidRDefault="00A04CC5" w:rsidP="00A04CC5">
      <w:pPr>
        <w:pStyle w:val="Reporttext"/>
        <w:rPr>
          <w:rFonts w:asciiTheme="minorHAnsi" w:hAnsiTheme="minorHAnsi"/>
        </w:rPr>
      </w:pPr>
      <w:r w:rsidRPr="0067297E">
        <w:rPr>
          <w:rFonts w:asciiTheme="minorHAnsi" w:hAnsiTheme="minorHAnsi"/>
        </w:rPr>
        <w:t>The graph below highlights the occupancy rating of each BAME household category within the Borough.</w:t>
      </w:r>
    </w:p>
    <w:p w14:paraId="110B61E0" w14:textId="77777777" w:rsidR="00A04CC5" w:rsidRPr="0067297E" w:rsidRDefault="00A04CC5" w:rsidP="00A04CC5">
      <w:pPr>
        <w:pStyle w:val="Reporttext"/>
        <w:rPr>
          <w:rFonts w:asciiTheme="minorHAnsi" w:hAnsiTheme="minorHAnsi"/>
        </w:rPr>
      </w:pPr>
      <w:r w:rsidRPr="0067297E">
        <w:rPr>
          <w:rFonts w:asciiTheme="minorHAnsi" w:hAnsiTheme="minorHAnsi"/>
        </w:rPr>
        <w:t>The data suggests that the highest under occupancy rating (bedrooms of -1 or less) is highest amongst the other ethnic category group (29.8%), followed by Asian/Asian British BAME group (29.5%).</w:t>
      </w:r>
    </w:p>
    <w:p w14:paraId="7CB6824C" w14:textId="77777777" w:rsidR="00A04CC5" w:rsidRPr="0067297E" w:rsidRDefault="00A04CC5" w:rsidP="00A04CC5">
      <w:pPr>
        <w:pStyle w:val="Reporttext"/>
        <w:numPr>
          <w:ilvl w:val="0"/>
          <w:numId w:val="0"/>
        </w:numPr>
        <w:ind w:left="709"/>
        <w:rPr>
          <w:rFonts w:asciiTheme="minorHAnsi" w:hAnsiTheme="minorHAnsi"/>
        </w:rPr>
      </w:pPr>
    </w:p>
    <w:p w14:paraId="00B19918" w14:textId="7FD45AE8" w:rsidR="00A04CC5" w:rsidRPr="0067297E" w:rsidRDefault="00A04CC5" w:rsidP="00A04CC5">
      <w:pPr>
        <w:pStyle w:val="figureheading"/>
        <w:rPr>
          <w:rFonts w:asciiTheme="minorHAnsi" w:hAnsiTheme="minorHAnsi"/>
          <w:lang w:val="en-GB"/>
        </w:rPr>
      </w:pPr>
      <w:bookmarkStart w:id="400" w:name="_Toc23151231"/>
      <w:r w:rsidRPr="0067297E">
        <w:rPr>
          <w:rFonts w:asciiTheme="minorHAnsi" w:hAnsiTheme="minorHAnsi"/>
          <w:lang w:val="en-GB"/>
        </w:rPr>
        <w:t>Figure 6.</w:t>
      </w:r>
      <w:r w:rsidR="00B32E87" w:rsidRPr="0067297E">
        <w:rPr>
          <w:rFonts w:asciiTheme="minorHAnsi" w:hAnsiTheme="minorHAnsi"/>
          <w:lang w:val="en-GB"/>
        </w:rPr>
        <w:t>4</w:t>
      </w:r>
      <w:r w:rsidRPr="0067297E">
        <w:rPr>
          <w:rFonts w:asciiTheme="minorHAnsi" w:hAnsiTheme="minorHAnsi"/>
          <w:lang w:val="en-GB"/>
        </w:rPr>
        <w:tab/>
        <w:t>BAME occupancy rating</w:t>
      </w:r>
      <w:bookmarkEnd w:id="400"/>
      <w:r w:rsidRPr="0067297E">
        <w:rPr>
          <w:rFonts w:asciiTheme="minorHAnsi" w:hAnsiTheme="minorHAnsi"/>
          <w:lang w:val="en-GB"/>
        </w:rPr>
        <w:t xml:space="preserve"> </w:t>
      </w:r>
    </w:p>
    <w:p w14:paraId="384AEE62" w14:textId="77777777" w:rsidR="00A04CC5" w:rsidRPr="0067297E" w:rsidRDefault="00A04CC5" w:rsidP="00A04CC5">
      <w:pPr>
        <w:rPr>
          <w:rFonts w:asciiTheme="minorHAnsi" w:hAnsiTheme="minorHAnsi"/>
          <w:noProof/>
        </w:rPr>
      </w:pPr>
      <w:r w:rsidRPr="0067297E">
        <w:rPr>
          <w:rFonts w:asciiTheme="minorHAnsi" w:hAnsiTheme="minorHAnsi"/>
          <w:noProof/>
          <w:lang w:eastAsia="en-GB"/>
        </w:rPr>
        <w:drawing>
          <wp:inline distT="0" distB="0" distL="0" distR="0" wp14:anchorId="6D7A78C4" wp14:editId="2AFA6C33">
            <wp:extent cx="5727700" cy="2705100"/>
            <wp:effectExtent l="0" t="0" r="6350" b="0"/>
            <wp:docPr id="17" name="Chart 17" descr="Chart showing occupancy ratings (colour coded) as percentages of total BAME households. " title="Figure 6.4 BAME occupancy rating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DF7E27-2D18-6545-8235-C43A8D19E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DA7F614" w14:textId="77777777" w:rsidR="00A04CC5" w:rsidRPr="0067297E" w:rsidRDefault="00A04CC5" w:rsidP="00A04CC5">
      <w:pPr>
        <w:rPr>
          <w:rFonts w:asciiTheme="minorHAnsi" w:hAnsiTheme="minorHAnsi"/>
          <w:noProof/>
          <w:sz w:val="20"/>
        </w:rPr>
      </w:pPr>
      <w:r w:rsidRPr="0067297E">
        <w:rPr>
          <w:rFonts w:asciiTheme="minorHAnsi" w:hAnsiTheme="minorHAnsi"/>
          <w:noProof/>
          <w:sz w:val="20"/>
        </w:rPr>
        <w:t>Source: Census 2011</w:t>
      </w:r>
    </w:p>
    <w:p w14:paraId="1F981F5B" w14:textId="77777777" w:rsidR="00A04CC5" w:rsidRPr="0067297E" w:rsidRDefault="00A04CC5" w:rsidP="00A04CC5">
      <w:pPr>
        <w:tabs>
          <w:tab w:val="left" w:pos="1887"/>
        </w:tabs>
        <w:rPr>
          <w:rFonts w:asciiTheme="minorHAnsi" w:hAnsiTheme="minorHAnsi"/>
        </w:rPr>
      </w:pPr>
    </w:p>
    <w:p w14:paraId="29F7A17A" w14:textId="7ABFBFCB" w:rsidR="00A04CC5" w:rsidRPr="0067297E" w:rsidRDefault="00A04CC5" w:rsidP="00A04CC5">
      <w:pPr>
        <w:pStyle w:val="Reporttext"/>
        <w:rPr>
          <w:rFonts w:asciiTheme="minorHAnsi" w:hAnsiTheme="minorHAnsi"/>
        </w:rPr>
      </w:pPr>
      <w:r w:rsidRPr="0067297E">
        <w:rPr>
          <w:rFonts w:asciiTheme="minorHAnsi" w:hAnsiTheme="minorHAnsi"/>
        </w:rPr>
        <w:t>.</w:t>
      </w:r>
      <w:r w:rsidR="0001705B">
        <w:rPr>
          <w:rFonts w:asciiTheme="minorHAnsi" w:hAnsiTheme="minorHAnsi"/>
          <w:lang w:val="en-GB"/>
        </w:rPr>
        <w:t xml:space="preserve">A </w:t>
      </w:r>
      <w:r w:rsidR="003866F6">
        <w:rPr>
          <w:rFonts w:asciiTheme="minorHAnsi" w:hAnsiTheme="minorHAnsi"/>
          <w:lang w:val="en-GB"/>
        </w:rPr>
        <w:t xml:space="preserve">disproportionately higher amount of BAME residents </w:t>
      </w:r>
      <w:r w:rsidR="0001705B">
        <w:rPr>
          <w:rFonts w:asciiTheme="minorHAnsi" w:hAnsiTheme="minorHAnsi"/>
          <w:lang w:val="en-GB"/>
        </w:rPr>
        <w:t>are</w:t>
      </w:r>
      <w:r w:rsidR="003866F6">
        <w:rPr>
          <w:rFonts w:asciiTheme="minorHAnsi" w:hAnsiTheme="minorHAnsi"/>
          <w:lang w:val="en-GB"/>
        </w:rPr>
        <w:t xml:space="preserve"> social renters and the</w:t>
      </w:r>
      <w:r w:rsidR="0001705B">
        <w:rPr>
          <w:rFonts w:asciiTheme="minorHAnsi" w:hAnsiTheme="minorHAnsi"/>
          <w:lang w:val="en-GB"/>
        </w:rPr>
        <w:t xml:space="preserve">re is a </w:t>
      </w:r>
      <w:r w:rsidR="003866F6">
        <w:rPr>
          <w:rFonts w:asciiTheme="minorHAnsi" w:hAnsiTheme="minorHAnsi"/>
          <w:lang w:val="en-GB"/>
        </w:rPr>
        <w:t>higher tend</w:t>
      </w:r>
      <w:r w:rsidR="00C73B20">
        <w:rPr>
          <w:rFonts w:asciiTheme="minorHAnsi" w:hAnsiTheme="minorHAnsi"/>
          <w:lang w:val="en-GB"/>
        </w:rPr>
        <w:t>e</w:t>
      </w:r>
      <w:r w:rsidR="003866F6">
        <w:rPr>
          <w:rFonts w:asciiTheme="minorHAnsi" w:hAnsiTheme="minorHAnsi"/>
          <w:lang w:val="en-GB"/>
        </w:rPr>
        <w:t>ncy of over-crowding within BAME groups</w:t>
      </w:r>
      <w:r w:rsidR="008223BE">
        <w:rPr>
          <w:rFonts w:asciiTheme="minorHAnsi" w:hAnsiTheme="minorHAnsi"/>
          <w:lang w:val="en-GB"/>
        </w:rPr>
        <w:t xml:space="preserve">. </w:t>
      </w:r>
      <w:r w:rsidR="003866F6">
        <w:rPr>
          <w:rFonts w:asciiTheme="minorHAnsi" w:hAnsiTheme="minorHAnsi"/>
          <w:lang w:val="en-GB"/>
        </w:rPr>
        <w:t xml:space="preserve"> </w:t>
      </w:r>
      <w:r w:rsidR="00C73B20">
        <w:rPr>
          <w:rFonts w:asciiTheme="minorHAnsi" w:hAnsiTheme="minorHAnsi"/>
          <w:lang w:val="en-GB"/>
        </w:rPr>
        <w:t>A mix of tenures with a focus on social rented family-sized properties will help to address the needs of BAME groups.</w:t>
      </w:r>
    </w:p>
    <w:p w14:paraId="668CB238" w14:textId="77777777" w:rsidR="005D65AE" w:rsidRPr="0067297E" w:rsidRDefault="005D65AE" w:rsidP="000256AC">
      <w:pPr>
        <w:tabs>
          <w:tab w:val="left" w:pos="709"/>
        </w:tabs>
        <w:rPr>
          <w:rFonts w:asciiTheme="minorHAnsi" w:hAnsiTheme="minorHAnsi" w:cs="Calibri"/>
          <w:lang w:val="x-none"/>
        </w:rPr>
      </w:pPr>
    </w:p>
    <w:p w14:paraId="5BA39410" w14:textId="77777777" w:rsidR="009F7AA3" w:rsidRPr="0067297E" w:rsidRDefault="009F7AA3" w:rsidP="00FA273F">
      <w:pPr>
        <w:pStyle w:val="Heading2"/>
        <w:rPr>
          <w:rFonts w:asciiTheme="minorHAnsi" w:hAnsiTheme="minorHAnsi"/>
        </w:rPr>
      </w:pPr>
      <w:bookmarkStart w:id="401" w:name="_Toc1385780"/>
      <w:bookmarkStart w:id="402" w:name="_Toc23151097"/>
      <w:r w:rsidRPr="0067297E">
        <w:rPr>
          <w:rFonts w:asciiTheme="minorHAnsi" w:hAnsiTheme="minorHAnsi"/>
        </w:rPr>
        <w:t>Overcrowding/under-occupancy</w:t>
      </w:r>
      <w:bookmarkEnd w:id="401"/>
      <w:bookmarkEnd w:id="402"/>
    </w:p>
    <w:p w14:paraId="2D741A35" w14:textId="34FF2056" w:rsidR="00C96756" w:rsidRDefault="00C96756" w:rsidP="00944242">
      <w:pPr>
        <w:pStyle w:val="Reporttext"/>
        <w:tabs>
          <w:tab w:val="num" w:pos="1419"/>
        </w:tabs>
        <w:rPr>
          <w:rFonts w:asciiTheme="minorHAnsi" w:hAnsiTheme="minorHAnsi" w:cs="Calibri"/>
        </w:rPr>
      </w:pPr>
      <w:r w:rsidRPr="0067297E">
        <w:rPr>
          <w:rFonts w:asciiTheme="minorHAnsi" w:hAnsiTheme="minorHAnsi" w:cs="Calibri"/>
        </w:rPr>
        <w:t xml:space="preserve">According to the 2011 </w:t>
      </w:r>
      <w:r w:rsidR="00367646" w:rsidRPr="0067297E">
        <w:rPr>
          <w:rFonts w:asciiTheme="minorHAnsi" w:hAnsiTheme="minorHAnsi" w:cs="Calibri"/>
          <w:lang w:val="en-GB"/>
        </w:rPr>
        <w:t>C</w:t>
      </w:r>
      <w:r w:rsidRPr="0067297E">
        <w:rPr>
          <w:rFonts w:asciiTheme="minorHAnsi" w:hAnsiTheme="minorHAnsi" w:cs="Calibri"/>
        </w:rPr>
        <w:t xml:space="preserve">ensus, 12.1% of households were overcrowded, in particular lone parents with dependent children (26.1% were overcrowded), couples with dependent children (16.8%), lone parents with non-dependent children (11.9%) and other household types (38.1%). In contrast, 46.1% of households </w:t>
      </w:r>
      <w:r w:rsidR="005B2517" w:rsidRPr="0067297E">
        <w:rPr>
          <w:rFonts w:asciiTheme="minorHAnsi" w:hAnsiTheme="minorHAnsi" w:cs="Calibri"/>
        </w:rPr>
        <w:t>under occupied</w:t>
      </w:r>
      <w:r w:rsidRPr="0067297E">
        <w:rPr>
          <w:rFonts w:asciiTheme="minorHAnsi" w:hAnsiTheme="minorHAnsi" w:cs="Calibri"/>
        </w:rPr>
        <w:t xml:space="preserve"> their dwelling, in particular older person househol</w:t>
      </w:r>
      <w:r w:rsidR="009F57F8" w:rsidRPr="0067297E">
        <w:rPr>
          <w:rFonts w:asciiTheme="minorHAnsi" w:hAnsiTheme="minorHAnsi" w:cs="Calibri"/>
        </w:rPr>
        <w:t>ds and couple</w:t>
      </w:r>
      <w:r w:rsidR="00F91A82" w:rsidRPr="0067297E">
        <w:rPr>
          <w:rFonts w:asciiTheme="minorHAnsi" w:hAnsiTheme="minorHAnsi" w:cs="Calibri"/>
        </w:rPr>
        <w:t xml:space="preserve">s with no children (Table </w:t>
      </w:r>
      <w:r w:rsidR="00203E57" w:rsidRPr="0067297E">
        <w:rPr>
          <w:rFonts w:asciiTheme="minorHAnsi" w:hAnsiTheme="minorHAnsi" w:cs="Calibri"/>
          <w:lang w:val="en-US"/>
        </w:rPr>
        <w:t>6.1</w:t>
      </w:r>
      <w:r w:rsidR="00057709" w:rsidRPr="0067297E">
        <w:rPr>
          <w:rFonts w:asciiTheme="minorHAnsi" w:hAnsiTheme="minorHAnsi" w:cs="Calibri"/>
          <w:lang w:val="en-US"/>
        </w:rPr>
        <w:t>6)</w:t>
      </w:r>
      <w:r w:rsidR="009F57F8" w:rsidRPr="0067297E">
        <w:rPr>
          <w:rFonts w:asciiTheme="minorHAnsi" w:hAnsiTheme="minorHAnsi" w:cs="Calibri"/>
        </w:rPr>
        <w:t>.</w:t>
      </w:r>
      <w:r w:rsidRPr="0067297E">
        <w:rPr>
          <w:rFonts w:asciiTheme="minorHAnsi" w:hAnsiTheme="minorHAnsi" w:cs="Calibri"/>
        </w:rPr>
        <w:t xml:space="preserve">  </w:t>
      </w:r>
    </w:p>
    <w:p w14:paraId="5A1E2869" w14:textId="77777777" w:rsidR="00C96756" w:rsidRPr="0067297E" w:rsidRDefault="00C96756" w:rsidP="006B6473">
      <w:pPr>
        <w:pStyle w:val="Reporttext"/>
        <w:numPr>
          <w:ilvl w:val="0"/>
          <w:numId w:val="0"/>
        </w:numPr>
        <w:tabs>
          <w:tab w:val="clear" w:pos="709"/>
        </w:tabs>
        <w:rPr>
          <w:rFonts w:asciiTheme="minorHAnsi" w:hAnsiTheme="minorHAnsi" w:cs="Calibri"/>
          <w:highlight w:val="yellow"/>
        </w:rPr>
      </w:pPr>
    </w:p>
    <w:tbl>
      <w:tblPr>
        <w:tblW w:w="0" w:type="auto"/>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3114"/>
        <w:gridCol w:w="1559"/>
        <w:gridCol w:w="1418"/>
        <w:gridCol w:w="1012"/>
        <w:gridCol w:w="1139"/>
        <w:gridCol w:w="940"/>
      </w:tblGrid>
      <w:tr w:rsidR="00C96756" w:rsidRPr="0067297E" w:rsidDel="003866F6" w14:paraId="13AB12E6" w14:textId="61BC7EAC" w:rsidTr="00426BD8">
        <w:trPr>
          <w:tblHeader/>
        </w:trPr>
        <w:tc>
          <w:tcPr>
            <w:tcW w:w="9182" w:type="dxa"/>
            <w:gridSpan w:val="6"/>
            <w:shd w:val="clear" w:color="auto" w:fill="009999"/>
            <w:vAlign w:val="bottom"/>
          </w:tcPr>
          <w:p w14:paraId="52013715" w14:textId="41617106" w:rsidR="00C96756" w:rsidRPr="0067297E" w:rsidDel="003866F6" w:rsidRDefault="00F91A82" w:rsidP="009D0288">
            <w:pPr>
              <w:pStyle w:val="tableheading"/>
              <w:rPr>
                <w:rFonts w:asciiTheme="minorHAnsi" w:hAnsiTheme="minorHAnsi"/>
              </w:rPr>
            </w:pPr>
            <w:bookmarkStart w:id="403" w:name="_Toc23151192"/>
            <w:r w:rsidRPr="0067297E" w:rsidDel="003866F6">
              <w:rPr>
                <w:rFonts w:asciiTheme="minorHAnsi" w:hAnsiTheme="minorHAnsi"/>
              </w:rPr>
              <w:t xml:space="preserve">Table </w:t>
            </w:r>
            <w:r w:rsidR="00203E57" w:rsidRPr="0067297E" w:rsidDel="003866F6">
              <w:rPr>
                <w:rFonts w:asciiTheme="minorHAnsi" w:hAnsiTheme="minorHAnsi"/>
              </w:rPr>
              <w:t>6.</w:t>
            </w:r>
            <w:r w:rsidR="00744345" w:rsidRPr="0067297E" w:rsidDel="003866F6">
              <w:rPr>
                <w:rFonts w:asciiTheme="minorHAnsi" w:hAnsiTheme="minorHAnsi"/>
              </w:rPr>
              <w:t>16</w:t>
            </w:r>
            <w:r w:rsidR="00C96756" w:rsidRPr="0067297E" w:rsidDel="003866F6">
              <w:rPr>
                <w:rFonts w:asciiTheme="minorHAnsi" w:hAnsiTheme="minorHAnsi"/>
              </w:rPr>
              <w:tab/>
              <w:t>Under / Over Occup</w:t>
            </w:r>
            <w:r w:rsidR="00B23D47" w:rsidRPr="0067297E" w:rsidDel="003866F6">
              <w:rPr>
                <w:rFonts w:asciiTheme="minorHAnsi" w:hAnsiTheme="minorHAnsi"/>
              </w:rPr>
              <w:t>ancy by household composition</w:t>
            </w:r>
            <w:bookmarkEnd w:id="403"/>
          </w:p>
        </w:tc>
      </w:tr>
      <w:tr w:rsidR="004F765F" w:rsidRPr="0067297E" w:rsidDel="003866F6" w14:paraId="7FCBB050" w14:textId="59F6F673" w:rsidTr="004F765F">
        <w:tc>
          <w:tcPr>
            <w:tcW w:w="3114" w:type="dxa"/>
            <w:vMerge w:val="restart"/>
            <w:shd w:val="clear" w:color="auto" w:fill="009999"/>
            <w:vAlign w:val="bottom"/>
            <w:hideMark/>
          </w:tcPr>
          <w:p w14:paraId="2500B51B" w14:textId="1754856C" w:rsidR="004F765F" w:rsidRPr="0067297E" w:rsidDel="003866F6" w:rsidRDefault="004F765F" w:rsidP="004F765F">
            <w:pPr>
              <w:rPr>
                <w:rFonts w:asciiTheme="minorHAnsi" w:hAnsiTheme="minorHAnsi" w:cs="Calibri"/>
                <w:b/>
                <w:bCs/>
                <w:color w:val="FFFFFF" w:themeColor="background1"/>
                <w:sz w:val="22"/>
                <w:szCs w:val="22"/>
              </w:rPr>
            </w:pPr>
            <w:r w:rsidRPr="0067297E" w:rsidDel="003866F6">
              <w:rPr>
                <w:rFonts w:asciiTheme="minorHAnsi" w:hAnsiTheme="minorHAnsi" w:cs="Calibri"/>
                <w:b/>
                <w:bCs/>
                <w:color w:val="FFFFFF" w:themeColor="background1"/>
                <w:sz w:val="22"/>
                <w:szCs w:val="22"/>
              </w:rPr>
              <w:t>Household composition </w:t>
            </w:r>
          </w:p>
        </w:tc>
        <w:tc>
          <w:tcPr>
            <w:tcW w:w="5128" w:type="dxa"/>
            <w:gridSpan w:val="4"/>
            <w:shd w:val="clear" w:color="auto" w:fill="009999"/>
            <w:noWrap/>
            <w:vAlign w:val="bottom"/>
            <w:hideMark/>
          </w:tcPr>
          <w:p w14:paraId="358354F6" w14:textId="4DE3175E" w:rsidR="004F765F" w:rsidRPr="0067297E" w:rsidDel="003866F6" w:rsidRDefault="004F765F" w:rsidP="004F765F">
            <w:pPr>
              <w:jc w:val="center"/>
              <w:rPr>
                <w:rFonts w:asciiTheme="minorHAnsi" w:hAnsiTheme="minorHAnsi" w:cs="Calibri"/>
                <w:color w:val="FFFFFF" w:themeColor="background1"/>
                <w:sz w:val="22"/>
                <w:szCs w:val="22"/>
              </w:rPr>
            </w:pPr>
            <w:r w:rsidRPr="0067297E" w:rsidDel="003866F6">
              <w:rPr>
                <w:rFonts w:asciiTheme="minorHAnsi" w:hAnsiTheme="minorHAnsi" w:cs="Calibri"/>
                <w:b/>
                <w:bCs/>
                <w:color w:val="FFFFFF" w:themeColor="background1"/>
                <w:sz w:val="22"/>
                <w:szCs w:val="22"/>
              </w:rPr>
              <w:t>Occupancy (%)</w:t>
            </w:r>
          </w:p>
        </w:tc>
        <w:tc>
          <w:tcPr>
            <w:tcW w:w="940" w:type="dxa"/>
            <w:vMerge w:val="restart"/>
            <w:shd w:val="clear" w:color="auto" w:fill="009999"/>
            <w:noWrap/>
            <w:vAlign w:val="bottom"/>
            <w:hideMark/>
          </w:tcPr>
          <w:p w14:paraId="0A5F299A" w14:textId="6ED41A04" w:rsidR="004F765F" w:rsidRPr="0067297E" w:rsidDel="003866F6" w:rsidRDefault="004F765F" w:rsidP="004F765F">
            <w:pPr>
              <w:jc w:val="center"/>
              <w:rPr>
                <w:rFonts w:asciiTheme="minorHAnsi" w:hAnsiTheme="minorHAnsi" w:cs="Calibri"/>
                <w:color w:val="FFFFFF" w:themeColor="background1"/>
                <w:sz w:val="22"/>
                <w:szCs w:val="22"/>
              </w:rPr>
            </w:pPr>
            <w:r w:rsidRPr="0067297E" w:rsidDel="003866F6">
              <w:rPr>
                <w:rFonts w:asciiTheme="minorHAnsi" w:hAnsiTheme="minorHAnsi" w:cs="Calibri"/>
                <w:b/>
                <w:bCs/>
                <w:color w:val="FFFFFF" w:themeColor="background1"/>
                <w:sz w:val="22"/>
                <w:szCs w:val="22"/>
              </w:rPr>
              <w:t>Base</w:t>
            </w:r>
          </w:p>
        </w:tc>
      </w:tr>
      <w:tr w:rsidR="004F765F" w:rsidRPr="0067297E" w:rsidDel="003866F6" w14:paraId="01D65796" w14:textId="6EA534FE" w:rsidTr="004F765F">
        <w:tc>
          <w:tcPr>
            <w:tcW w:w="3114" w:type="dxa"/>
            <w:vMerge/>
            <w:shd w:val="clear" w:color="auto" w:fill="009999"/>
            <w:vAlign w:val="center"/>
            <w:hideMark/>
          </w:tcPr>
          <w:p w14:paraId="4437F62E" w14:textId="7259824D" w:rsidR="004F765F" w:rsidRPr="0067297E" w:rsidDel="003866F6" w:rsidRDefault="004F765F" w:rsidP="004F765F">
            <w:pPr>
              <w:jc w:val="center"/>
              <w:rPr>
                <w:rFonts w:asciiTheme="minorHAnsi" w:hAnsiTheme="minorHAnsi" w:cs="Calibri"/>
                <w:b/>
                <w:bCs/>
                <w:color w:val="FFFFFF" w:themeColor="background1"/>
                <w:sz w:val="22"/>
                <w:szCs w:val="22"/>
              </w:rPr>
            </w:pPr>
          </w:p>
        </w:tc>
        <w:tc>
          <w:tcPr>
            <w:tcW w:w="1559" w:type="dxa"/>
            <w:shd w:val="clear" w:color="auto" w:fill="009999"/>
            <w:tcMar>
              <w:left w:w="0" w:type="dxa"/>
              <w:right w:w="0" w:type="dxa"/>
            </w:tcMar>
            <w:vAlign w:val="bottom"/>
            <w:hideMark/>
          </w:tcPr>
          <w:p w14:paraId="31EC2C23" w14:textId="6EE8ACB8" w:rsidR="004F765F" w:rsidRPr="0067297E" w:rsidDel="003866F6" w:rsidRDefault="004F765F" w:rsidP="004F765F">
            <w:pPr>
              <w:jc w:val="center"/>
              <w:rPr>
                <w:rFonts w:asciiTheme="minorHAnsi" w:hAnsiTheme="minorHAnsi" w:cs="Calibri"/>
                <w:b/>
                <w:bCs/>
                <w:color w:val="FFFFFF" w:themeColor="background1"/>
                <w:sz w:val="20"/>
                <w:szCs w:val="22"/>
              </w:rPr>
            </w:pPr>
            <w:r w:rsidRPr="0067297E" w:rsidDel="003866F6">
              <w:rPr>
                <w:rFonts w:asciiTheme="minorHAnsi" w:hAnsiTheme="minorHAnsi" w:cs="Calibri"/>
                <w:b/>
                <w:bCs/>
                <w:color w:val="FFFFFF" w:themeColor="background1"/>
                <w:sz w:val="20"/>
                <w:szCs w:val="22"/>
              </w:rPr>
              <w:t>Under-Occupied (2 or more bedrooms spare)</w:t>
            </w:r>
          </w:p>
        </w:tc>
        <w:tc>
          <w:tcPr>
            <w:tcW w:w="1418" w:type="dxa"/>
            <w:shd w:val="clear" w:color="auto" w:fill="009999"/>
            <w:tcMar>
              <w:left w:w="0" w:type="dxa"/>
              <w:right w:w="0" w:type="dxa"/>
            </w:tcMar>
            <w:vAlign w:val="bottom"/>
            <w:hideMark/>
          </w:tcPr>
          <w:p w14:paraId="4C6603FF" w14:textId="7B54DCBD" w:rsidR="004F765F" w:rsidRPr="0067297E" w:rsidDel="003866F6" w:rsidRDefault="004F765F" w:rsidP="004F765F">
            <w:pPr>
              <w:jc w:val="center"/>
              <w:rPr>
                <w:rFonts w:asciiTheme="minorHAnsi" w:hAnsiTheme="minorHAnsi" w:cs="Calibri"/>
                <w:b/>
                <w:bCs/>
                <w:color w:val="FFFFFF" w:themeColor="background1"/>
                <w:sz w:val="20"/>
                <w:szCs w:val="22"/>
              </w:rPr>
            </w:pPr>
            <w:r w:rsidRPr="0067297E" w:rsidDel="003866F6">
              <w:rPr>
                <w:rFonts w:asciiTheme="minorHAnsi" w:hAnsiTheme="minorHAnsi" w:cs="Calibri"/>
                <w:b/>
                <w:bCs/>
                <w:color w:val="FFFFFF" w:themeColor="background1"/>
                <w:sz w:val="20"/>
                <w:szCs w:val="22"/>
              </w:rPr>
              <w:t>Under-Occupied (</w:t>
            </w:r>
            <w:r w:rsidR="00296E4C" w:rsidRPr="0067297E" w:rsidDel="003866F6">
              <w:rPr>
                <w:rFonts w:asciiTheme="minorHAnsi" w:hAnsiTheme="minorHAnsi" w:cs="Calibri"/>
                <w:b/>
                <w:bCs/>
                <w:color w:val="FFFFFF" w:themeColor="background1"/>
                <w:sz w:val="20"/>
                <w:szCs w:val="22"/>
              </w:rPr>
              <w:t>1-</w:t>
            </w:r>
            <w:r w:rsidRPr="0067297E" w:rsidDel="003866F6">
              <w:rPr>
                <w:rFonts w:asciiTheme="minorHAnsi" w:hAnsiTheme="minorHAnsi" w:cs="Calibri"/>
                <w:b/>
                <w:bCs/>
                <w:color w:val="FFFFFF" w:themeColor="background1"/>
                <w:sz w:val="20"/>
                <w:szCs w:val="22"/>
              </w:rPr>
              <w:t>bedroom spare)</w:t>
            </w:r>
          </w:p>
        </w:tc>
        <w:tc>
          <w:tcPr>
            <w:tcW w:w="1012" w:type="dxa"/>
            <w:shd w:val="clear" w:color="auto" w:fill="009999"/>
            <w:tcMar>
              <w:left w:w="0" w:type="dxa"/>
              <w:right w:w="0" w:type="dxa"/>
            </w:tcMar>
            <w:vAlign w:val="bottom"/>
            <w:hideMark/>
          </w:tcPr>
          <w:p w14:paraId="00B419D8" w14:textId="01A52A1D" w:rsidR="004F765F" w:rsidRPr="0067297E" w:rsidDel="003866F6" w:rsidRDefault="004F765F" w:rsidP="004F765F">
            <w:pPr>
              <w:jc w:val="center"/>
              <w:rPr>
                <w:rFonts w:asciiTheme="minorHAnsi" w:hAnsiTheme="minorHAnsi" w:cs="Calibri"/>
                <w:b/>
                <w:bCs/>
                <w:color w:val="FFFFFF" w:themeColor="background1"/>
                <w:sz w:val="20"/>
                <w:szCs w:val="22"/>
              </w:rPr>
            </w:pPr>
            <w:r w:rsidRPr="0067297E" w:rsidDel="003866F6">
              <w:rPr>
                <w:rFonts w:asciiTheme="minorHAnsi" w:hAnsiTheme="minorHAnsi" w:cs="Calibri"/>
                <w:b/>
                <w:bCs/>
                <w:color w:val="FFFFFF" w:themeColor="background1"/>
                <w:sz w:val="20"/>
                <w:szCs w:val="22"/>
              </w:rPr>
              <w:t>Balanced</w:t>
            </w:r>
          </w:p>
        </w:tc>
        <w:tc>
          <w:tcPr>
            <w:tcW w:w="1139" w:type="dxa"/>
            <w:shd w:val="clear" w:color="auto" w:fill="009999"/>
            <w:tcMar>
              <w:left w:w="0" w:type="dxa"/>
              <w:right w:w="0" w:type="dxa"/>
            </w:tcMar>
            <w:vAlign w:val="bottom"/>
            <w:hideMark/>
          </w:tcPr>
          <w:p w14:paraId="18501C88" w14:textId="384D39EE" w:rsidR="004F765F" w:rsidRPr="0067297E" w:rsidDel="003866F6" w:rsidRDefault="004F765F" w:rsidP="004F765F">
            <w:pPr>
              <w:jc w:val="center"/>
              <w:rPr>
                <w:rFonts w:asciiTheme="minorHAnsi" w:hAnsiTheme="minorHAnsi" w:cs="Calibri"/>
                <w:b/>
                <w:bCs/>
                <w:color w:val="FFFFFF" w:themeColor="background1"/>
                <w:sz w:val="20"/>
                <w:szCs w:val="22"/>
              </w:rPr>
            </w:pPr>
            <w:r w:rsidRPr="0067297E" w:rsidDel="003866F6">
              <w:rPr>
                <w:rFonts w:asciiTheme="minorHAnsi" w:hAnsiTheme="minorHAnsi" w:cs="Calibri"/>
                <w:b/>
                <w:bCs/>
                <w:color w:val="FFFFFF" w:themeColor="background1"/>
                <w:sz w:val="20"/>
                <w:szCs w:val="22"/>
              </w:rPr>
              <w:t>Overcrowded</w:t>
            </w:r>
          </w:p>
        </w:tc>
        <w:tc>
          <w:tcPr>
            <w:tcW w:w="940" w:type="dxa"/>
            <w:vMerge/>
            <w:shd w:val="clear" w:color="auto" w:fill="009999"/>
            <w:vAlign w:val="center"/>
            <w:hideMark/>
          </w:tcPr>
          <w:p w14:paraId="54635590" w14:textId="05B43D6D" w:rsidR="004F765F" w:rsidRPr="0067297E" w:rsidDel="003866F6" w:rsidRDefault="004F765F" w:rsidP="004F765F">
            <w:pPr>
              <w:jc w:val="center"/>
              <w:rPr>
                <w:rFonts w:asciiTheme="minorHAnsi" w:hAnsiTheme="minorHAnsi" w:cs="Calibri"/>
                <w:b/>
                <w:bCs/>
                <w:color w:val="FFFFFF" w:themeColor="background1"/>
                <w:sz w:val="22"/>
                <w:szCs w:val="22"/>
              </w:rPr>
            </w:pPr>
          </w:p>
        </w:tc>
      </w:tr>
      <w:tr w:rsidR="004F765F" w:rsidRPr="0067297E" w:rsidDel="003866F6" w14:paraId="672D18A8" w14:textId="3440809D" w:rsidTr="004F765F">
        <w:tc>
          <w:tcPr>
            <w:tcW w:w="3114" w:type="dxa"/>
            <w:shd w:val="clear" w:color="auto" w:fill="auto"/>
            <w:noWrap/>
            <w:vAlign w:val="bottom"/>
            <w:hideMark/>
          </w:tcPr>
          <w:p w14:paraId="16EABE42" w14:textId="52EEEF88" w:rsidR="00C96756" w:rsidRPr="0067297E" w:rsidDel="003866F6" w:rsidRDefault="00C96756" w:rsidP="004F765F">
            <w:pPr>
              <w:rPr>
                <w:rFonts w:asciiTheme="minorHAnsi" w:hAnsiTheme="minorHAnsi" w:cs="Calibri"/>
                <w:sz w:val="22"/>
                <w:szCs w:val="22"/>
              </w:rPr>
            </w:pPr>
            <w:r w:rsidRPr="0067297E" w:rsidDel="003866F6">
              <w:rPr>
                <w:rFonts w:asciiTheme="minorHAnsi" w:hAnsiTheme="minorHAnsi" w:cs="Calibri"/>
                <w:sz w:val="22"/>
                <w:szCs w:val="22"/>
              </w:rPr>
              <w:t>Singles (under 65)</w:t>
            </w:r>
          </w:p>
        </w:tc>
        <w:tc>
          <w:tcPr>
            <w:tcW w:w="1559" w:type="dxa"/>
            <w:shd w:val="clear" w:color="auto" w:fill="auto"/>
            <w:noWrap/>
            <w:vAlign w:val="center"/>
            <w:hideMark/>
          </w:tcPr>
          <w:p w14:paraId="46919643" w14:textId="3368069B"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17.9</w:t>
            </w:r>
          </w:p>
        </w:tc>
        <w:tc>
          <w:tcPr>
            <w:tcW w:w="1418" w:type="dxa"/>
            <w:shd w:val="clear" w:color="auto" w:fill="auto"/>
            <w:noWrap/>
            <w:vAlign w:val="center"/>
            <w:hideMark/>
          </w:tcPr>
          <w:p w14:paraId="5A3E603B" w14:textId="38D225C0"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31.7</w:t>
            </w:r>
          </w:p>
        </w:tc>
        <w:tc>
          <w:tcPr>
            <w:tcW w:w="1012" w:type="dxa"/>
            <w:shd w:val="clear" w:color="auto" w:fill="auto"/>
            <w:noWrap/>
            <w:vAlign w:val="center"/>
            <w:hideMark/>
          </w:tcPr>
          <w:p w14:paraId="25FE93BF" w14:textId="70FF0E7D"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50.5</w:t>
            </w:r>
          </w:p>
        </w:tc>
        <w:tc>
          <w:tcPr>
            <w:tcW w:w="1139" w:type="dxa"/>
            <w:shd w:val="clear" w:color="auto" w:fill="auto"/>
            <w:noWrap/>
            <w:vAlign w:val="center"/>
            <w:hideMark/>
          </w:tcPr>
          <w:p w14:paraId="3276D7D6" w14:textId="03DBC627"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0.0</w:t>
            </w:r>
          </w:p>
        </w:tc>
        <w:tc>
          <w:tcPr>
            <w:tcW w:w="940" w:type="dxa"/>
            <w:shd w:val="clear" w:color="auto" w:fill="auto"/>
            <w:noWrap/>
            <w:vAlign w:val="center"/>
            <w:hideMark/>
          </w:tcPr>
          <w:p w14:paraId="1442F13B" w14:textId="214D79A5"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29,686</w:t>
            </w:r>
          </w:p>
        </w:tc>
      </w:tr>
      <w:tr w:rsidR="004F765F" w:rsidRPr="0067297E" w:rsidDel="003866F6" w14:paraId="6F20CBBF" w14:textId="307BE385" w:rsidTr="004F765F">
        <w:tc>
          <w:tcPr>
            <w:tcW w:w="3114" w:type="dxa"/>
            <w:shd w:val="clear" w:color="auto" w:fill="auto"/>
            <w:noWrap/>
            <w:vAlign w:val="bottom"/>
            <w:hideMark/>
          </w:tcPr>
          <w:p w14:paraId="4817D606" w14:textId="2992E06D" w:rsidR="00C96756" w:rsidRPr="0067297E" w:rsidDel="003866F6" w:rsidRDefault="00C96756" w:rsidP="004F765F">
            <w:pPr>
              <w:rPr>
                <w:rFonts w:asciiTheme="minorHAnsi" w:hAnsiTheme="minorHAnsi" w:cs="Calibri"/>
                <w:sz w:val="22"/>
                <w:szCs w:val="22"/>
              </w:rPr>
            </w:pPr>
            <w:r w:rsidRPr="0067297E" w:rsidDel="003866F6">
              <w:rPr>
                <w:rFonts w:asciiTheme="minorHAnsi" w:hAnsiTheme="minorHAnsi" w:cs="Calibri"/>
                <w:sz w:val="22"/>
                <w:szCs w:val="22"/>
              </w:rPr>
              <w:t>Older person (65+ singles and couples)</w:t>
            </w:r>
          </w:p>
        </w:tc>
        <w:tc>
          <w:tcPr>
            <w:tcW w:w="1559" w:type="dxa"/>
            <w:shd w:val="clear" w:color="auto" w:fill="auto"/>
            <w:noWrap/>
            <w:vAlign w:val="center"/>
            <w:hideMark/>
          </w:tcPr>
          <w:p w14:paraId="557A7AB9" w14:textId="02B883D4"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44.1</w:t>
            </w:r>
          </w:p>
        </w:tc>
        <w:tc>
          <w:tcPr>
            <w:tcW w:w="1418" w:type="dxa"/>
            <w:shd w:val="clear" w:color="auto" w:fill="auto"/>
            <w:noWrap/>
            <w:vAlign w:val="center"/>
            <w:hideMark/>
          </w:tcPr>
          <w:p w14:paraId="56C2DD2D" w14:textId="7BA60167"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27.3</w:t>
            </w:r>
          </w:p>
        </w:tc>
        <w:tc>
          <w:tcPr>
            <w:tcW w:w="1012" w:type="dxa"/>
            <w:shd w:val="clear" w:color="auto" w:fill="auto"/>
            <w:noWrap/>
            <w:vAlign w:val="center"/>
            <w:hideMark/>
          </w:tcPr>
          <w:p w14:paraId="0CABFC9D" w14:textId="2A90BEC3"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28.6</w:t>
            </w:r>
          </w:p>
        </w:tc>
        <w:tc>
          <w:tcPr>
            <w:tcW w:w="1139" w:type="dxa"/>
            <w:shd w:val="clear" w:color="auto" w:fill="auto"/>
            <w:noWrap/>
            <w:vAlign w:val="center"/>
            <w:hideMark/>
          </w:tcPr>
          <w:p w14:paraId="3D06D0C7" w14:textId="0DF31071"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0.1</w:t>
            </w:r>
          </w:p>
        </w:tc>
        <w:tc>
          <w:tcPr>
            <w:tcW w:w="940" w:type="dxa"/>
            <w:shd w:val="clear" w:color="auto" w:fill="auto"/>
            <w:noWrap/>
            <w:vAlign w:val="center"/>
            <w:hideMark/>
          </w:tcPr>
          <w:p w14:paraId="49842F8B" w14:textId="40CA6B1C"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13,128</w:t>
            </w:r>
          </w:p>
        </w:tc>
      </w:tr>
      <w:tr w:rsidR="004F765F" w:rsidRPr="0067297E" w:rsidDel="003866F6" w14:paraId="0E387A6C" w14:textId="0708357A" w:rsidTr="004F765F">
        <w:tc>
          <w:tcPr>
            <w:tcW w:w="3114" w:type="dxa"/>
            <w:shd w:val="clear" w:color="auto" w:fill="auto"/>
            <w:noWrap/>
            <w:vAlign w:val="bottom"/>
            <w:hideMark/>
          </w:tcPr>
          <w:p w14:paraId="58355FF0" w14:textId="1BD430B2" w:rsidR="00C96756" w:rsidRPr="0067297E" w:rsidDel="003866F6" w:rsidRDefault="00C96756" w:rsidP="004F765F">
            <w:pPr>
              <w:rPr>
                <w:rFonts w:asciiTheme="minorHAnsi" w:hAnsiTheme="minorHAnsi" w:cs="Calibri"/>
                <w:sz w:val="22"/>
                <w:szCs w:val="22"/>
              </w:rPr>
            </w:pPr>
            <w:r w:rsidRPr="0067297E" w:rsidDel="003866F6">
              <w:rPr>
                <w:rFonts w:asciiTheme="minorHAnsi" w:hAnsiTheme="minorHAnsi" w:cs="Calibri"/>
                <w:sz w:val="22"/>
                <w:szCs w:val="22"/>
              </w:rPr>
              <w:t>Couples under 65 no children</w:t>
            </w:r>
          </w:p>
        </w:tc>
        <w:tc>
          <w:tcPr>
            <w:tcW w:w="1559" w:type="dxa"/>
            <w:shd w:val="clear" w:color="auto" w:fill="auto"/>
            <w:noWrap/>
            <w:vAlign w:val="center"/>
            <w:hideMark/>
          </w:tcPr>
          <w:p w14:paraId="12AE5647" w14:textId="25DCD662"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34.7</w:t>
            </w:r>
          </w:p>
        </w:tc>
        <w:tc>
          <w:tcPr>
            <w:tcW w:w="1418" w:type="dxa"/>
            <w:shd w:val="clear" w:color="auto" w:fill="auto"/>
            <w:noWrap/>
            <w:vAlign w:val="center"/>
            <w:hideMark/>
          </w:tcPr>
          <w:p w14:paraId="45309E56" w14:textId="24194040"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36.8</w:t>
            </w:r>
          </w:p>
        </w:tc>
        <w:tc>
          <w:tcPr>
            <w:tcW w:w="1012" w:type="dxa"/>
            <w:shd w:val="clear" w:color="auto" w:fill="auto"/>
            <w:noWrap/>
            <w:vAlign w:val="center"/>
            <w:hideMark/>
          </w:tcPr>
          <w:p w14:paraId="75371A16" w14:textId="77C29823"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28.5</w:t>
            </w:r>
          </w:p>
        </w:tc>
        <w:tc>
          <w:tcPr>
            <w:tcW w:w="1139" w:type="dxa"/>
            <w:shd w:val="clear" w:color="auto" w:fill="auto"/>
            <w:noWrap/>
            <w:vAlign w:val="center"/>
            <w:hideMark/>
          </w:tcPr>
          <w:p w14:paraId="5DF0BDD2" w14:textId="7F535C17"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0.0</w:t>
            </w:r>
          </w:p>
        </w:tc>
        <w:tc>
          <w:tcPr>
            <w:tcW w:w="940" w:type="dxa"/>
            <w:shd w:val="clear" w:color="auto" w:fill="auto"/>
            <w:noWrap/>
            <w:vAlign w:val="center"/>
            <w:hideMark/>
          </w:tcPr>
          <w:p w14:paraId="77AEF6A1" w14:textId="3C00D56B"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14,740</w:t>
            </w:r>
          </w:p>
        </w:tc>
      </w:tr>
      <w:tr w:rsidR="004F765F" w:rsidRPr="0067297E" w:rsidDel="003866F6" w14:paraId="64D7309E" w14:textId="45E08E05" w:rsidTr="004F765F">
        <w:tc>
          <w:tcPr>
            <w:tcW w:w="3114" w:type="dxa"/>
            <w:shd w:val="clear" w:color="auto" w:fill="auto"/>
            <w:noWrap/>
            <w:vAlign w:val="bottom"/>
            <w:hideMark/>
          </w:tcPr>
          <w:p w14:paraId="27BD457F" w14:textId="60F8475C" w:rsidR="00C96756" w:rsidRPr="0067297E" w:rsidDel="003866F6" w:rsidRDefault="00C96756" w:rsidP="004F765F">
            <w:pPr>
              <w:rPr>
                <w:rFonts w:asciiTheme="minorHAnsi" w:hAnsiTheme="minorHAnsi" w:cs="Calibri"/>
                <w:sz w:val="22"/>
                <w:szCs w:val="22"/>
              </w:rPr>
            </w:pPr>
            <w:r w:rsidRPr="0067297E" w:rsidDel="003866F6">
              <w:rPr>
                <w:rFonts w:asciiTheme="minorHAnsi" w:hAnsiTheme="minorHAnsi" w:cs="Calibri"/>
                <w:sz w:val="22"/>
                <w:szCs w:val="22"/>
              </w:rPr>
              <w:t>Couples with dependent children</w:t>
            </w:r>
          </w:p>
        </w:tc>
        <w:tc>
          <w:tcPr>
            <w:tcW w:w="1559" w:type="dxa"/>
            <w:shd w:val="clear" w:color="auto" w:fill="auto"/>
            <w:noWrap/>
            <w:vAlign w:val="center"/>
            <w:hideMark/>
          </w:tcPr>
          <w:p w14:paraId="231FDED2" w14:textId="2FD67D8C"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12.1</w:t>
            </w:r>
          </w:p>
        </w:tc>
        <w:tc>
          <w:tcPr>
            <w:tcW w:w="1418" w:type="dxa"/>
            <w:shd w:val="clear" w:color="auto" w:fill="auto"/>
            <w:noWrap/>
            <w:vAlign w:val="center"/>
            <w:hideMark/>
          </w:tcPr>
          <w:p w14:paraId="18B3F549" w14:textId="529B37A1"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28.6</w:t>
            </w:r>
          </w:p>
        </w:tc>
        <w:tc>
          <w:tcPr>
            <w:tcW w:w="1012" w:type="dxa"/>
            <w:shd w:val="clear" w:color="auto" w:fill="auto"/>
            <w:noWrap/>
            <w:vAlign w:val="center"/>
            <w:hideMark/>
          </w:tcPr>
          <w:p w14:paraId="4AD5A093" w14:textId="27B1F82D"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42.6</w:t>
            </w:r>
          </w:p>
        </w:tc>
        <w:tc>
          <w:tcPr>
            <w:tcW w:w="1139" w:type="dxa"/>
            <w:shd w:val="clear" w:color="auto" w:fill="auto"/>
            <w:noWrap/>
            <w:vAlign w:val="center"/>
            <w:hideMark/>
          </w:tcPr>
          <w:p w14:paraId="007E03F1" w14:textId="718AA445"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16.8</w:t>
            </w:r>
          </w:p>
        </w:tc>
        <w:tc>
          <w:tcPr>
            <w:tcW w:w="940" w:type="dxa"/>
            <w:shd w:val="clear" w:color="auto" w:fill="auto"/>
            <w:noWrap/>
            <w:vAlign w:val="center"/>
            <w:hideMark/>
          </w:tcPr>
          <w:p w14:paraId="7D69F489" w14:textId="6ECCE7AB"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18,352</w:t>
            </w:r>
          </w:p>
        </w:tc>
      </w:tr>
      <w:tr w:rsidR="004F765F" w:rsidRPr="0067297E" w:rsidDel="003866F6" w14:paraId="1707B8E1" w14:textId="5E2349C0" w:rsidTr="004F765F">
        <w:tc>
          <w:tcPr>
            <w:tcW w:w="3114" w:type="dxa"/>
            <w:shd w:val="clear" w:color="auto" w:fill="auto"/>
            <w:noWrap/>
            <w:vAlign w:val="bottom"/>
            <w:hideMark/>
          </w:tcPr>
          <w:p w14:paraId="2E7104BA" w14:textId="52B53C3E" w:rsidR="00C96756" w:rsidRPr="0067297E" w:rsidDel="003866F6" w:rsidRDefault="00C96756" w:rsidP="004F765F">
            <w:pPr>
              <w:rPr>
                <w:rFonts w:asciiTheme="minorHAnsi" w:hAnsiTheme="minorHAnsi" w:cs="Calibri"/>
                <w:sz w:val="22"/>
                <w:szCs w:val="22"/>
              </w:rPr>
            </w:pPr>
            <w:r w:rsidRPr="0067297E" w:rsidDel="003866F6">
              <w:rPr>
                <w:rFonts w:asciiTheme="minorHAnsi" w:hAnsiTheme="minorHAnsi" w:cs="Calibri"/>
                <w:sz w:val="22"/>
                <w:szCs w:val="22"/>
              </w:rPr>
              <w:t>Couples with non-dependent children</w:t>
            </w:r>
          </w:p>
        </w:tc>
        <w:tc>
          <w:tcPr>
            <w:tcW w:w="1559" w:type="dxa"/>
            <w:shd w:val="clear" w:color="auto" w:fill="auto"/>
            <w:noWrap/>
            <w:vAlign w:val="center"/>
            <w:hideMark/>
          </w:tcPr>
          <w:p w14:paraId="40CF198E" w14:textId="0DD4FBFB"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16.4</w:t>
            </w:r>
          </w:p>
        </w:tc>
        <w:tc>
          <w:tcPr>
            <w:tcW w:w="1418" w:type="dxa"/>
            <w:shd w:val="clear" w:color="auto" w:fill="auto"/>
            <w:noWrap/>
            <w:vAlign w:val="center"/>
            <w:hideMark/>
          </w:tcPr>
          <w:p w14:paraId="64142916" w14:textId="3ED37D69"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42.4</w:t>
            </w:r>
          </w:p>
        </w:tc>
        <w:tc>
          <w:tcPr>
            <w:tcW w:w="1012" w:type="dxa"/>
            <w:shd w:val="clear" w:color="auto" w:fill="auto"/>
            <w:noWrap/>
            <w:vAlign w:val="center"/>
            <w:hideMark/>
          </w:tcPr>
          <w:p w14:paraId="74791C49" w14:textId="527F0BF2"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32.6</w:t>
            </w:r>
          </w:p>
        </w:tc>
        <w:tc>
          <w:tcPr>
            <w:tcW w:w="1139" w:type="dxa"/>
            <w:shd w:val="clear" w:color="auto" w:fill="auto"/>
            <w:noWrap/>
            <w:vAlign w:val="center"/>
            <w:hideMark/>
          </w:tcPr>
          <w:p w14:paraId="653F20EA" w14:textId="6EFA24D8"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8.6</w:t>
            </w:r>
          </w:p>
        </w:tc>
        <w:tc>
          <w:tcPr>
            <w:tcW w:w="940" w:type="dxa"/>
            <w:shd w:val="clear" w:color="auto" w:fill="auto"/>
            <w:noWrap/>
            <w:vAlign w:val="center"/>
            <w:hideMark/>
          </w:tcPr>
          <w:p w14:paraId="41DEAFB6" w14:textId="0D645BD2"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4,569</w:t>
            </w:r>
          </w:p>
        </w:tc>
      </w:tr>
      <w:tr w:rsidR="004F765F" w:rsidRPr="0067297E" w:rsidDel="003866F6" w14:paraId="026E23A3" w14:textId="5C3B53D8" w:rsidTr="004F765F">
        <w:tc>
          <w:tcPr>
            <w:tcW w:w="3114" w:type="dxa"/>
            <w:shd w:val="clear" w:color="auto" w:fill="auto"/>
            <w:noWrap/>
            <w:vAlign w:val="bottom"/>
            <w:hideMark/>
          </w:tcPr>
          <w:p w14:paraId="1E4C4876" w14:textId="0AD12903" w:rsidR="00C96756" w:rsidRPr="0067297E" w:rsidDel="003866F6" w:rsidRDefault="00C96756" w:rsidP="004F765F">
            <w:pPr>
              <w:rPr>
                <w:rFonts w:asciiTheme="minorHAnsi" w:hAnsiTheme="minorHAnsi" w:cs="Calibri"/>
                <w:sz w:val="22"/>
                <w:szCs w:val="22"/>
              </w:rPr>
            </w:pPr>
            <w:r w:rsidRPr="0067297E" w:rsidDel="003866F6">
              <w:rPr>
                <w:rFonts w:asciiTheme="minorHAnsi" w:hAnsiTheme="minorHAnsi" w:cs="Calibri"/>
                <w:sz w:val="22"/>
                <w:szCs w:val="22"/>
              </w:rPr>
              <w:t>Lone parent with dependent children</w:t>
            </w:r>
          </w:p>
        </w:tc>
        <w:tc>
          <w:tcPr>
            <w:tcW w:w="1559" w:type="dxa"/>
            <w:shd w:val="clear" w:color="auto" w:fill="auto"/>
            <w:noWrap/>
            <w:vAlign w:val="center"/>
            <w:hideMark/>
          </w:tcPr>
          <w:p w14:paraId="6F849D99" w14:textId="151F1EE6"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2.6</w:t>
            </w:r>
          </w:p>
        </w:tc>
        <w:tc>
          <w:tcPr>
            <w:tcW w:w="1418" w:type="dxa"/>
            <w:shd w:val="clear" w:color="auto" w:fill="auto"/>
            <w:noWrap/>
            <w:vAlign w:val="center"/>
            <w:hideMark/>
          </w:tcPr>
          <w:p w14:paraId="4D9EE267" w14:textId="65F129FB"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15.9</w:t>
            </w:r>
          </w:p>
        </w:tc>
        <w:tc>
          <w:tcPr>
            <w:tcW w:w="1012" w:type="dxa"/>
            <w:shd w:val="clear" w:color="auto" w:fill="auto"/>
            <w:noWrap/>
            <w:vAlign w:val="center"/>
            <w:hideMark/>
          </w:tcPr>
          <w:p w14:paraId="636071F1" w14:textId="6FE46683"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55.3</w:t>
            </w:r>
          </w:p>
        </w:tc>
        <w:tc>
          <w:tcPr>
            <w:tcW w:w="1139" w:type="dxa"/>
            <w:shd w:val="clear" w:color="auto" w:fill="auto"/>
            <w:noWrap/>
            <w:vAlign w:val="center"/>
            <w:hideMark/>
          </w:tcPr>
          <w:p w14:paraId="0600134E" w14:textId="283D91BF"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26.1</w:t>
            </w:r>
          </w:p>
        </w:tc>
        <w:tc>
          <w:tcPr>
            <w:tcW w:w="940" w:type="dxa"/>
            <w:shd w:val="clear" w:color="auto" w:fill="auto"/>
            <w:noWrap/>
            <w:vAlign w:val="center"/>
            <w:hideMark/>
          </w:tcPr>
          <w:p w14:paraId="4BF14844" w14:textId="5D0D246D"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13,301</w:t>
            </w:r>
          </w:p>
        </w:tc>
      </w:tr>
      <w:tr w:rsidR="004F765F" w:rsidRPr="0067297E" w:rsidDel="003866F6" w14:paraId="30CBD223" w14:textId="499F4396" w:rsidTr="004F765F">
        <w:tc>
          <w:tcPr>
            <w:tcW w:w="3114" w:type="dxa"/>
            <w:shd w:val="clear" w:color="auto" w:fill="auto"/>
            <w:noWrap/>
            <w:vAlign w:val="bottom"/>
            <w:hideMark/>
          </w:tcPr>
          <w:p w14:paraId="5659C9E7" w14:textId="6B0C7509" w:rsidR="00C96756" w:rsidRPr="0067297E" w:rsidDel="003866F6" w:rsidRDefault="00C96756" w:rsidP="004F765F">
            <w:pPr>
              <w:rPr>
                <w:rFonts w:asciiTheme="minorHAnsi" w:hAnsiTheme="minorHAnsi" w:cs="Calibri"/>
                <w:sz w:val="22"/>
                <w:szCs w:val="22"/>
              </w:rPr>
            </w:pPr>
            <w:r w:rsidRPr="0067297E" w:rsidDel="003866F6">
              <w:rPr>
                <w:rFonts w:asciiTheme="minorHAnsi" w:hAnsiTheme="minorHAnsi" w:cs="Calibri"/>
                <w:sz w:val="22"/>
                <w:szCs w:val="22"/>
              </w:rPr>
              <w:t>Lone parent with non-dependent children</w:t>
            </w:r>
          </w:p>
        </w:tc>
        <w:tc>
          <w:tcPr>
            <w:tcW w:w="1559" w:type="dxa"/>
            <w:shd w:val="clear" w:color="auto" w:fill="auto"/>
            <w:noWrap/>
            <w:vAlign w:val="center"/>
            <w:hideMark/>
          </w:tcPr>
          <w:p w14:paraId="4DA38AC5" w14:textId="57F2C5DE"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8.3</w:t>
            </w:r>
          </w:p>
        </w:tc>
        <w:tc>
          <w:tcPr>
            <w:tcW w:w="1418" w:type="dxa"/>
            <w:shd w:val="clear" w:color="auto" w:fill="auto"/>
            <w:noWrap/>
            <w:vAlign w:val="center"/>
            <w:hideMark/>
          </w:tcPr>
          <w:p w14:paraId="160F8EF8" w14:textId="1670AAF3"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37.0</w:t>
            </w:r>
          </w:p>
        </w:tc>
        <w:tc>
          <w:tcPr>
            <w:tcW w:w="1012" w:type="dxa"/>
            <w:shd w:val="clear" w:color="auto" w:fill="auto"/>
            <w:noWrap/>
            <w:vAlign w:val="center"/>
            <w:hideMark/>
          </w:tcPr>
          <w:p w14:paraId="6DEC8D0B" w14:textId="7B5AE033"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42.9</w:t>
            </w:r>
          </w:p>
        </w:tc>
        <w:tc>
          <w:tcPr>
            <w:tcW w:w="1139" w:type="dxa"/>
            <w:shd w:val="clear" w:color="auto" w:fill="auto"/>
            <w:noWrap/>
            <w:vAlign w:val="center"/>
            <w:hideMark/>
          </w:tcPr>
          <w:p w14:paraId="26EBCDBE" w14:textId="68580002"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11.9</w:t>
            </w:r>
          </w:p>
        </w:tc>
        <w:tc>
          <w:tcPr>
            <w:tcW w:w="940" w:type="dxa"/>
            <w:shd w:val="clear" w:color="auto" w:fill="auto"/>
            <w:noWrap/>
            <w:vAlign w:val="center"/>
            <w:hideMark/>
          </w:tcPr>
          <w:p w14:paraId="3F40B77B" w14:textId="130533C2"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5,494</w:t>
            </w:r>
          </w:p>
        </w:tc>
      </w:tr>
      <w:tr w:rsidR="004F765F" w:rsidRPr="0067297E" w:rsidDel="003866F6" w14:paraId="7E7B1D2E" w14:textId="50A62DD0" w:rsidTr="004F765F">
        <w:tc>
          <w:tcPr>
            <w:tcW w:w="3114" w:type="dxa"/>
            <w:shd w:val="clear" w:color="auto" w:fill="auto"/>
            <w:noWrap/>
            <w:vAlign w:val="bottom"/>
            <w:hideMark/>
          </w:tcPr>
          <w:p w14:paraId="16494423" w14:textId="7DF0AE7A" w:rsidR="00C96756" w:rsidRPr="0067297E" w:rsidDel="003866F6" w:rsidRDefault="00C96756" w:rsidP="004F765F">
            <w:pPr>
              <w:rPr>
                <w:rFonts w:asciiTheme="minorHAnsi" w:hAnsiTheme="minorHAnsi" w:cs="Calibri"/>
                <w:sz w:val="22"/>
                <w:szCs w:val="22"/>
              </w:rPr>
            </w:pPr>
            <w:r w:rsidRPr="0067297E" w:rsidDel="003866F6">
              <w:rPr>
                <w:rFonts w:asciiTheme="minorHAnsi" w:hAnsiTheme="minorHAnsi" w:cs="Calibri"/>
                <w:sz w:val="22"/>
                <w:szCs w:val="22"/>
              </w:rPr>
              <w:t>Other household types</w:t>
            </w:r>
          </w:p>
        </w:tc>
        <w:tc>
          <w:tcPr>
            <w:tcW w:w="1559" w:type="dxa"/>
            <w:shd w:val="clear" w:color="auto" w:fill="auto"/>
            <w:noWrap/>
            <w:vAlign w:val="center"/>
            <w:hideMark/>
          </w:tcPr>
          <w:p w14:paraId="13C7A7C4" w14:textId="1562681F"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6.1</w:t>
            </w:r>
          </w:p>
        </w:tc>
        <w:tc>
          <w:tcPr>
            <w:tcW w:w="1418" w:type="dxa"/>
            <w:shd w:val="clear" w:color="auto" w:fill="auto"/>
            <w:noWrap/>
            <w:vAlign w:val="center"/>
            <w:hideMark/>
          </w:tcPr>
          <w:p w14:paraId="6D7BD4C1" w14:textId="7B413304"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16.3</w:t>
            </w:r>
          </w:p>
        </w:tc>
        <w:tc>
          <w:tcPr>
            <w:tcW w:w="1012" w:type="dxa"/>
            <w:shd w:val="clear" w:color="auto" w:fill="auto"/>
            <w:noWrap/>
            <w:vAlign w:val="center"/>
            <w:hideMark/>
          </w:tcPr>
          <w:p w14:paraId="429DE60D" w14:textId="0F4F24C8"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39.6</w:t>
            </w:r>
          </w:p>
        </w:tc>
        <w:tc>
          <w:tcPr>
            <w:tcW w:w="1139" w:type="dxa"/>
            <w:shd w:val="clear" w:color="auto" w:fill="auto"/>
            <w:noWrap/>
            <w:vAlign w:val="center"/>
            <w:hideMark/>
          </w:tcPr>
          <w:p w14:paraId="3E8F56F7" w14:textId="6A42B7BD"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38.1</w:t>
            </w:r>
          </w:p>
        </w:tc>
        <w:tc>
          <w:tcPr>
            <w:tcW w:w="940" w:type="dxa"/>
            <w:shd w:val="clear" w:color="auto" w:fill="auto"/>
            <w:noWrap/>
            <w:vAlign w:val="center"/>
            <w:hideMark/>
          </w:tcPr>
          <w:p w14:paraId="1C081E32" w14:textId="1C8FB883"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16,821</w:t>
            </w:r>
          </w:p>
        </w:tc>
      </w:tr>
      <w:tr w:rsidR="004F765F" w:rsidRPr="0067297E" w:rsidDel="003866F6" w14:paraId="7EDCB63D" w14:textId="6F96E007" w:rsidTr="004F765F">
        <w:tc>
          <w:tcPr>
            <w:tcW w:w="3114" w:type="dxa"/>
            <w:shd w:val="clear" w:color="auto" w:fill="auto"/>
            <w:noWrap/>
            <w:vAlign w:val="bottom"/>
            <w:hideMark/>
          </w:tcPr>
          <w:p w14:paraId="541B76AE" w14:textId="1238758F" w:rsidR="00C96756" w:rsidRPr="0067297E" w:rsidDel="003866F6" w:rsidRDefault="00C96756" w:rsidP="004F765F">
            <w:pPr>
              <w:rPr>
                <w:rFonts w:asciiTheme="minorHAnsi" w:hAnsiTheme="minorHAnsi" w:cs="Calibri"/>
                <w:sz w:val="22"/>
                <w:szCs w:val="22"/>
              </w:rPr>
            </w:pPr>
            <w:r w:rsidRPr="0067297E" w:rsidDel="003866F6">
              <w:rPr>
                <w:rFonts w:asciiTheme="minorHAnsi" w:hAnsiTheme="minorHAnsi" w:cs="Calibri"/>
                <w:sz w:val="22"/>
                <w:szCs w:val="22"/>
              </w:rPr>
              <w:t>All households</w:t>
            </w:r>
          </w:p>
        </w:tc>
        <w:tc>
          <w:tcPr>
            <w:tcW w:w="1559" w:type="dxa"/>
            <w:shd w:val="clear" w:color="auto" w:fill="auto"/>
            <w:noWrap/>
            <w:vAlign w:val="center"/>
            <w:hideMark/>
          </w:tcPr>
          <w:p w14:paraId="3CA4CC8D" w14:textId="1B029F21"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18.1</w:t>
            </w:r>
          </w:p>
        </w:tc>
        <w:tc>
          <w:tcPr>
            <w:tcW w:w="1418" w:type="dxa"/>
            <w:shd w:val="clear" w:color="auto" w:fill="auto"/>
            <w:noWrap/>
            <w:vAlign w:val="center"/>
            <w:hideMark/>
          </w:tcPr>
          <w:p w14:paraId="194800D0" w14:textId="4E9F86F6"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28.0</w:t>
            </w:r>
          </w:p>
        </w:tc>
        <w:tc>
          <w:tcPr>
            <w:tcW w:w="1012" w:type="dxa"/>
            <w:shd w:val="clear" w:color="auto" w:fill="auto"/>
            <w:noWrap/>
            <w:vAlign w:val="center"/>
            <w:hideMark/>
          </w:tcPr>
          <w:p w14:paraId="7A53D8E4" w14:textId="59095A44"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41.9</w:t>
            </w:r>
          </w:p>
        </w:tc>
        <w:tc>
          <w:tcPr>
            <w:tcW w:w="1139" w:type="dxa"/>
            <w:shd w:val="clear" w:color="auto" w:fill="auto"/>
            <w:noWrap/>
            <w:vAlign w:val="center"/>
            <w:hideMark/>
          </w:tcPr>
          <w:p w14:paraId="7DB49EE8" w14:textId="56D8C6CE"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12.1</w:t>
            </w:r>
          </w:p>
        </w:tc>
        <w:tc>
          <w:tcPr>
            <w:tcW w:w="940" w:type="dxa"/>
            <w:shd w:val="clear" w:color="auto" w:fill="auto"/>
            <w:noWrap/>
            <w:vAlign w:val="center"/>
            <w:hideMark/>
          </w:tcPr>
          <w:p w14:paraId="154122B2" w14:textId="554FC073" w:rsidR="00C96756" w:rsidRPr="00425A04" w:rsidDel="003866F6" w:rsidRDefault="00C96756" w:rsidP="00425A04">
            <w:pPr>
              <w:jc w:val="right"/>
              <w:rPr>
                <w:rFonts w:asciiTheme="minorHAnsi" w:hAnsiTheme="minorHAnsi" w:cs="Calibri"/>
                <w:sz w:val="22"/>
                <w:szCs w:val="22"/>
              </w:rPr>
            </w:pPr>
            <w:r w:rsidRPr="00425A04" w:rsidDel="003866F6">
              <w:rPr>
                <w:rFonts w:asciiTheme="minorHAnsi" w:hAnsiTheme="minorHAnsi" w:cs="Calibri"/>
                <w:sz w:val="22"/>
                <w:szCs w:val="22"/>
              </w:rPr>
              <w:t>116,091</w:t>
            </w:r>
          </w:p>
        </w:tc>
      </w:tr>
    </w:tbl>
    <w:p w14:paraId="74484F79" w14:textId="1EAF43BE" w:rsidR="009F7AA3" w:rsidRPr="0067297E" w:rsidDel="003866F6" w:rsidRDefault="009F7AA3" w:rsidP="00543A76">
      <w:pPr>
        <w:pStyle w:val="Reporttext"/>
        <w:numPr>
          <w:ilvl w:val="0"/>
          <w:numId w:val="0"/>
        </w:numPr>
        <w:rPr>
          <w:rFonts w:asciiTheme="minorHAnsi" w:hAnsiTheme="minorHAnsi" w:cs="Calibri"/>
          <w:sz w:val="18"/>
          <w:szCs w:val="18"/>
        </w:rPr>
      </w:pPr>
      <w:r w:rsidRPr="0067297E" w:rsidDel="003866F6">
        <w:rPr>
          <w:rFonts w:asciiTheme="minorHAnsi" w:hAnsiTheme="minorHAnsi" w:cs="Calibri"/>
          <w:sz w:val="18"/>
          <w:szCs w:val="18"/>
        </w:rPr>
        <w:t>Source: Census 2011</w:t>
      </w:r>
      <w:r w:rsidR="00C96756" w:rsidRPr="0067297E" w:rsidDel="003866F6">
        <w:rPr>
          <w:rFonts w:asciiTheme="minorHAnsi" w:hAnsiTheme="minorHAnsi" w:cs="Calibri"/>
          <w:sz w:val="18"/>
          <w:szCs w:val="18"/>
        </w:rPr>
        <w:t xml:space="preserve"> Table LC4105</w:t>
      </w:r>
    </w:p>
    <w:p w14:paraId="151DC4FA" w14:textId="40CC2DA7" w:rsidR="001511A9" w:rsidRPr="008223BE" w:rsidRDefault="00AA2F90" w:rsidP="0015368C">
      <w:pPr>
        <w:pStyle w:val="Reporttext"/>
        <w:tabs>
          <w:tab w:val="num" w:pos="1419"/>
        </w:tabs>
        <w:rPr>
          <w:rFonts w:asciiTheme="minorHAnsi" w:hAnsiTheme="minorHAnsi" w:cs="Calibri"/>
        </w:rPr>
      </w:pPr>
      <w:r w:rsidRPr="008223BE">
        <w:rPr>
          <w:rFonts w:asciiTheme="minorHAnsi" w:hAnsiTheme="minorHAnsi" w:cs="Calibri"/>
          <w:lang w:val="en-GB"/>
        </w:rPr>
        <w:t>This mismatch between the size of housing units and actual occupancy</w:t>
      </w:r>
      <w:r w:rsidR="008223BE" w:rsidRPr="008223BE">
        <w:rPr>
          <w:rFonts w:asciiTheme="minorHAnsi" w:hAnsiTheme="minorHAnsi" w:cs="Calibri"/>
          <w:lang w:val="en-GB"/>
        </w:rPr>
        <w:t xml:space="preserve"> is a key driver of affordable housing need</w:t>
      </w:r>
      <w:r w:rsidRPr="008223BE">
        <w:rPr>
          <w:rFonts w:asciiTheme="minorHAnsi" w:hAnsiTheme="minorHAnsi" w:cs="Calibri"/>
          <w:lang w:val="en-GB"/>
        </w:rPr>
        <w:t xml:space="preserve">. </w:t>
      </w:r>
    </w:p>
    <w:p w14:paraId="11FB8DEB" w14:textId="77777777" w:rsidR="00C73B20" w:rsidRDefault="00C73B20" w:rsidP="00425A04">
      <w:bookmarkStart w:id="404" w:name="_Toc1385781"/>
    </w:p>
    <w:p w14:paraId="4F6A5E48" w14:textId="21B0AD78" w:rsidR="00AB55EF" w:rsidRPr="0067297E" w:rsidRDefault="00AB55EF" w:rsidP="00114D52">
      <w:pPr>
        <w:pStyle w:val="Heading2"/>
        <w:rPr>
          <w:rFonts w:asciiTheme="minorHAnsi" w:hAnsiTheme="minorHAnsi"/>
        </w:rPr>
      </w:pPr>
      <w:bookmarkStart w:id="405" w:name="_Toc23151098"/>
      <w:r w:rsidRPr="0067297E">
        <w:rPr>
          <w:rFonts w:asciiTheme="minorHAnsi" w:hAnsiTheme="minorHAnsi"/>
        </w:rPr>
        <w:t>Students in Lewisham</w:t>
      </w:r>
      <w:bookmarkEnd w:id="404"/>
      <w:bookmarkEnd w:id="405"/>
    </w:p>
    <w:p w14:paraId="3EAFCCEB" w14:textId="77777777" w:rsidR="00AB55EF" w:rsidRPr="0067297E" w:rsidRDefault="00AB55EF" w:rsidP="00114D52">
      <w:pPr>
        <w:pStyle w:val="Heading3"/>
        <w:rPr>
          <w:rFonts w:asciiTheme="minorHAnsi" w:hAnsiTheme="minorHAnsi"/>
        </w:rPr>
      </w:pPr>
      <w:r w:rsidRPr="0067297E">
        <w:rPr>
          <w:rFonts w:asciiTheme="minorHAnsi" w:hAnsiTheme="minorHAnsi"/>
        </w:rPr>
        <w:t>Census</w:t>
      </w:r>
    </w:p>
    <w:p w14:paraId="57389D7D" w14:textId="1D33D71F" w:rsidR="00AB55EF" w:rsidRPr="0067297E" w:rsidRDefault="00AB55EF" w:rsidP="00114D52">
      <w:pPr>
        <w:pStyle w:val="Reporttext"/>
        <w:rPr>
          <w:rFonts w:asciiTheme="minorHAnsi" w:hAnsiTheme="minorHAnsi"/>
        </w:rPr>
      </w:pPr>
      <w:r w:rsidRPr="0067297E">
        <w:rPr>
          <w:rFonts w:asciiTheme="minorHAnsi" w:hAnsiTheme="minorHAnsi"/>
        </w:rPr>
        <w:t xml:space="preserve">In the 2011 Census there were over 25,000 students aged 16-74 in the </w:t>
      </w:r>
      <w:r w:rsidR="00367646" w:rsidRPr="0067297E">
        <w:rPr>
          <w:rFonts w:asciiTheme="minorHAnsi" w:hAnsiTheme="minorHAnsi"/>
          <w:lang w:val="en-GB"/>
        </w:rPr>
        <w:t>B</w:t>
      </w:r>
      <w:r w:rsidRPr="0067297E">
        <w:rPr>
          <w:rFonts w:asciiTheme="minorHAnsi" w:hAnsiTheme="minorHAnsi"/>
        </w:rPr>
        <w:t>orough of Lewisham, this represents over one in ten of the 16-74 population (12.2%). This has grown by 38% from around 18,000 in 2001, when students made up 9.9% of the 16-74 population</w:t>
      </w:r>
      <w:r w:rsidRPr="0067297E">
        <w:rPr>
          <w:rFonts w:asciiTheme="minorHAnsi" w:hAnsiTheme="minorHAnsi"/>
          <w:lang w:val="en-GB"/>
        </w:rPr>
        <w:t>.</w:t>
      </w:r>
    </w:p>
    <w:p w14:paraId="31FEA046" w14:textId="2208B369" w:rsidR="00AB55EF" w:rsidRPr="0067297E" w:rsidRDefault="00AB55EF" w:rsidP="00114D52">
      <w:pPr>
        <w:pStyle w:val="Reporttext"/>
        <w:rPr>
          <w:rFonts w:asciiTheme="minorHAnsi" w:hAnsiTheme="minorHAnsi"/>
        </w:rPr>
      </w:pPr>
      <w:r w:rsidRPr="0067297E">
        <w:rPr>
          <w:rFonts w:asciiTheme="minorHAnsi" w:hAnsiTheme="minorHAnsi"/>
        </w:rPr>
        <w:t xml:space="preserve">The 2011 </w:t>
      </w:r>
      <w:r w:rsidR="00367646" w:rsidRPr="0067297E">
        <w:rPr>
          <w:rFonts w:asciiTheme="minorHAnsi" w:hAnsiTheme="minorHAnsi"/>
          <w:lang w:val="en-GB"/>
        </w:rPr>
        <w:t>C</w:t>
      </w:r>
      <w:r w:rsidRPr="0067297E">
        <w:rPr>
          <w:rFonts w:asciiTheme="minorHAnsi" w:hAnsiTheme="minorHAnsi"/>
        </w:rPr>
        <w:t>ensus also showed that there were 2,553 student only households in the borough (where all students are aged 18 or over). Almost half of these households (46%)</w:t>
      </w:r>
      <w:r w:rsidRPr="0067297E">
        <w:rPr>
          <w:rFonts w:asciiTheme="minorHAnsi" w:hAnsiTheme="minorHAnsi"/>
          <w:lang w:val="en-GB"/>
        </w:rPr>
        <w:t xml:space="preserve"> </w:t>
      </w:r>
      <w:r w:rsidRPr="0067297E">
        <w:rPr>
          <w:rFonts w:asciiTheme="minorHAnsi" w:hAnsiTheme="minorHAnsi"/>
        </w:rPr>
        <w:t>consisted of a single student</w:t>
      </w:r>
      <w:r w:rsidRPr="0067297E">
        <w:rPr>
          <w:rStyle w:val="FootnoteReference"/>
          <w:rFonts w:asciiTheme="minorHAnsi" w:hAnsiTheme="minorHAnsi"/>
        </w:rPr>
        <w:footnoteReference w:id="48"/>
      </w:r>
      <w:r w:rsidRPr="0067297E">
        <w:rPr>
          <w:rFonts w:asciiTheme="minorHAnsi" w:hAnsiTheme="minorHAnsi"/>
        </w:rPr>
        <w:t>.</w:t>
      </w:r>
    </w:p>
    <w:p w14:paraId="1F864D25" w14:textId="77777777" w:rsidR="00AB55EF" w:rsidRPr="0067297E" w:rsidRDefault="00AB55EF" w:rsidP="001C0BAA">
      <w:pPr>
        <w:rPr>
          <w:rFonts w:asciiTheme="minorHAnsi" w:hAnsiTheme="minorHAnsi"/>
        </w:rPr>
      </w:pPr>
    </w:p>
    <w:p w14:paraId="10576B6F" w14:textId="68BFC21A" w:rsidR="00AB55EF" w:rsidRPr="0067297E" w:rsidRDefault="00AB55EF" w:rsidP="00114D52">
      <w:pPr>
        <w:pStyle w:val="Heading3"/>
        <w:rPr>
          <w:rFonts w:asciiTheme="minorHAnsi" w:hAnsiTheme="minorHAnsi"/>
        </w:rPr>
      </w:pPr>
      <w:r w:rsidRPr="0067297E">
        <w:rPr>
          <w:rFonts w:asciiTheme="minorHAnsi" w:hAnsiTheme="minorHAnsi"/>
        </w:rPr>
        <w:t>Studying in London</w:t>
      </w:r>
    </w:p>
    <w:p w14:paraId="601A22E5" w14:textId="6A537411" w:rsidR="00AB55EF" w:rsidRDefault="00AB55EF" w:rsidP="001C0BAA">
      <w:pPr>
        <w:pStyle w:val="Reporttext"/>
        <w:rPr>
          <w:rFonts w:asciiTheme="minorHAnsi" w:hAnsiTheme="minorHAnsi"/>
        </w:rPr>
      </w:pPr>
      <w:r w:rsidRPr="0067297E">
        <w:rPr>
          <w:rFonts w:asciiTheme="minorHAnsi" w:hAnsiTheme="minorHAnsi"/>
        </w:rPr>
        <w:t>In the 2017 Times Higher Education Student Experience Survey, London Universities generally appeared low in the rankings for the proportion of students who agreed that their university offered ‘good accommodation’. Goldsmiths ranked 106 and the University of Greenwich ranked 96 out of 122 (where higher is worse)</w:t>
      </w:r>
      <w:r w:rsidRPr="0067297E">
        <w:rPr>
          <w:rStyle w:val="FootnoteReference"/>
          <w:rFonts w:asciiTheme="minorHAnsi" w:hAnsiTheme="minorHAnsi"/>
        </w:rPr>
        <w:footnoteReference w:id="49"/>
      </w:r>
      <w:r w:rsidRPr="0067297E">
        <w:rPr>
          <w:rFonts w:asciiTheme="minorHAnsi" w:hAnsiTheme="minorHAnsi"/>
        </w:rPr>
        <w:t>.</w:t>
      </w:r>
    </w:p>
    <w:p w14:paraId="1E98ABCF" w14:textId="77777777" w:rsidR="00425A04" w:rsidRPr="0067297E" w:rsidRDefault="00425A04" w:rsidP="00425A04">
      <w:pPr>
        <w:pStyle w:val="Reporttext"/>
        <w:numPr>
          <w:ilvl w:val="0"/>
          <w:numId w:val="0"/>
        </w:numPr>
        <w:ind w:left="709"/>
        <w:rPr>
          <w:rFonts w:asciiTheme="minorHAnsi" w:hAnsiTheme="minorHAnsi"/>
        </w:rPr>
      </w:pPr>
    </w:p>
    <w:p w14:paraId="0394C854" w14:textId="27B79E21" w:rsidR="00AB55EF" w:rsidRPr="0067297E" w:rsidRDefault="00AB55EF" w:rsidP="00AB55EF">
      <w:pPr>
        <w:pStyle w:val="Heading3"/>
        <w:rPr>
          <w:rFonts w:asciiTheme="minorHAnsi" w:hAnsiTheme="minorHAnsi"/>
          <w:lang w:val="en-GB"/>
        </w:rPr>
      </w:pPr>
      <w:r w:rsidRPr="0067297E">
        <w:rPr>
          <w:rFonts w:asciiTheme="minorHAnsi" w:hAnsiTheme="minorHAnsi"/>
        </w:rPr>
        <w:t>Goldsmiths</w:t>
      </w:r>
      <w:r w:rsidRPr="0067297E">
        <w:rPr>
          <w:rFonts w:asciiTheme="minorHAnsi" w:hAnsiTheme="minorHAnsi"/>
          <w:lang w:val="en-GB"/>
        </w:rPr>
        <w:t xml:space="preserve"> University</w:t>
      </w:r>
    </w:p>
    <w:p w14:paraId="7DD5F7E8" w14:textId="696F7A43" w:rsidR="00AB55EF" w:rsidRPr="0067297E" w:rsidRDefault="00AB55EF" w:rsidP="001B3E3A">
      <w:pPr>
        <w:pStyle w:val="Reporttext"/>
        <w:rPr>
          <w:rFonts w:asciiTheme="minorHAnsi" w:hAnsiTheme="minorHAnsi"/>
        </w:rPr>
      </w:pPr>
      <w:r w:rsidRPr="0067297E">
        <w:rPr>
          <w:rFonts w:asciiTheme="minorHAnsi" w:hAnsiTheme="minorHAnsi"/>
        </w:rPr>
        <w:t xml:space="preserve">Goldsmiths is a single-campus site in the centre of New Cross and has around 1,500 rooms in halls of residence, not all of which are in the </w:t>
      </w:r>
      <w:r w:rsidR="00367646" w:rsidRPr="0067297E">
        <w:rPr>
          <w:rFonts w:asciiTheme="minorHAnsi" w:hAnsiTheme="minorHAnsi"/>
          <w:lang w:val="en-GB"/>
        </w:rPr>
        <w:t>B</w:t>
      </w:r>
      <w:r w:rsidRPr="0067297E">
        <w:rPr>
          <w:rFonts w:asciiTheme="minorHAnsi" w:hAnsiTheme="minorHAnsi"/>
        </w:rPr>
        <w:t>orough of Lewisham. The university manages two halls in New Cross; Dean House and Loring Hall with a total of 373 en</w:t>
      </w:r>
      <w:r w:rsidR="00367646" w:rsidRPr="0067297E">
        <w:rPr>
          <w:rFonts w:asciiTheme="minorHAnsi" w:hAnsiTheme="minorHAnsi"/>
          <w:lang w:val="en-GB"/>
        </w:rPr>
        <w:t>-</w:t>
      </w:r>
      <w:r w:rsidRPr="0067297E">
        <w:rPr>
          <w:rFonts w:asciiTheme="minorHAnsi" w:hAnsiTheme="minorHAnsi"/>
        </w:rPr>
        <w:t>suite rooms. The weekly rate ranges from £142 to £171 (2018 entry). Goldsmiths managed halls are signed up to the Student Accommodation Code (SAC)</w:t>
      </w:r>
      <w:r w:rsidRPr="0067297E">
        <w:rPr>
          <w:rStyle w:val="FootnoteReference"/>
          <w:rFonts w:asciiTheme="minorHAnsi" w:hAnsiTheme="minorHAnsi"/>
        </w:rPr>
        <w:footnoteReference w:id="50"/>
      </w:r>
      <w:r w:rsidRPr="0067297E">
        <w:rPr>
          <w:rFonts w:asciiTheme="minorHAnsi" w:hAnsiTheme="minorHAnsi"/>
        </w:rPr>
        <w:t>. There are a further seven halls which are referred to as ‘nomination and partnership halls’. The weekly rates for these range from £139 to £318 (2018 entry). Campus Living Villages manages three student accommodation blocks in Goldsmiths Student Village, Lewisham. These are Raymont Hall, Surrey House (including Surrey House Annex) and Chesterman House. Chapter manages the hall named Chapter Lewisham. The two halls outside the borough are Quantum Court, Tower Hamlets, managed by Unite Students and Town Hall Camberwell, Southwark, managed by Homes for Students</w:t>
      </w:r>
      <w:r w:rsidRPr="0067297E">
        <w:rPr>
          <w:rStyle w:val="FootnoteReference"/>
          <w:rFonts w:asciiTheme="minorHAnsi" w:hAnsiTheme="minorHAnsi"/>
        </w:rPr>
        <w:footnoteReference w:id="51"/>
      </w:r>
      <w:r w:rsidRPr="0067297E">
        <w:rPr>
          <w:rFonts w:asciiTheme="minorHAnsi" w:hAnsiTheme="minorHAnsi"/>
        </w:rPr>
        <w:t>. All private accommodation providers are signed up to the ANUK/Unipol National Code of Standards for Larger Developments</w:t>
      </w:r>
      <w:r w:rsidRPr="0067297E">
        <w:rPr>
          <w:rStyle w:val="FootnoteReference"/>
          <w:rFonts w:asciiTheme="minorHAnsi" w:hAnsiTheme="minorHAnsi"/>
        </w:rPr>
        <w:footnoteReference w:id="52"/>
      </w:r>
      <w:r w:rsidRPr="0067297E">
        <w:rPr>
          <w:rFonts w:asciiTheme="minorHAnsi" w:hAnsiTheme="minorHAnsi"/>
        </w:rPr>
        <w:t>.</w:t>
      </w:r>
    </w:p>
    <w:p w14:paraId="149484BB" w14:textId="4A3A31D4" w:rsidR="00AB55EF" w:rsidRPr="0067297E" w:rsidRDefault="00AB55EF" w:rsidP="00AB55EF">
      <w:pPr>
        <w:pStyle w:val="Reporttext"/>
        <w:rPr>
          <w:rFonts w:asciiTheme="minorHAnsi" w:hAnsiTheme="minorHAnsi"/>
        </w:rPr>
      </w:pPr>
      <w:r w:rsidRPr="0067297E">
        <w:rPr>
          <w:rFonts w:asciiTheme="minorHAnsi" w:hAnsiTheme="minorHAnsi"/>
        </w:rPr>
        <w:t>Goldsmiths encourages those wanting to live in the private rented sector to use the service provided by University of London Student Homes (part of the University of London Housing Services)</w:t>
      </w:r>
      <w:r w:rsidRPr="0067297E">
        <w:rPr>
          <w:rStyle w:val="FootnoteReference"/>
          <w:rFonts w:asciiTheme="minorHAnsi" w:hAnsiTheme="minorHAnsi"/>
        </w:rPr>
        <w:footnoteReference w:id="53"/>
      </w:r>
      <w:r w:rsidRPr="0067297E">
        <w:rPr>
          <w:rFonts w:asciiTheme="minorHAnsi" w:hAnsiTheme="minorHAnsi"/>
        </w:rPr>
        <w:t>. This service provides and manages good quality homes and means students deal direct with the university rather than the private landlord. All homes conform to the (SAC) and the housing service also provides contract checking and legal advice.</w:t>
      </w:r>
    </w:p>
    <w:p w14:paraId="359663B0" w14:textId="77777777" w:rsidR="00AB55EF" w:rsidRPr="0067297E" w:rsidRDefault="00AB55EF" w:rsidP="001B3E3A">
      <w:pPr>
        <w:pStyle w:val="Reporttext"/>
        <w:numPr>
          <w:ilvl w:val="0"/>
          <w:numId w:val="0"/>
        </w:numPr>
        <w:ind w:left="709"/>
        <w:rPr>
          <w:rFonts w:asciiTheme="minorHAnsi" w:hAnsiTheme="minorHAnsi"/>
        </w:rPr>
      </w:pPr>
    </w:p>
    <w:p w14:paraId="20B4C0BE" w14:textId="2644BBC8" w:rsidR="00AB55EF" w:rsidRPr="0067297E" w:rsidRDefault="00AB55EF" w:rsidP="001B3E3A">
      <w:pPr>
        <w:pStyle w:val="Heading4"/>
        <w:rPr>
          <w:rFonts w:asciiTheme="minorHAnsi" w:hAnsiTheme="minorHAnsi"/>
        </w:rPr>
      </w:pPr>
      <w:r w:rsidRPr="0067297E">
        <w:rPr>
          <w:rFonts w:asciiTheme="minorHAnsi" w:hAnsiTheme="minorHAnsi"/>
        </w:rPr>
        <w:t>Goldsmiths</w:t>
      </w:r>
      <w:r w:rsidRPr="0067297E">
        <w:rPr>
          <w:rFonts w:asciiTheme="minorHAnsi" w:hAnsiTheme="minorHAnsi"/>
          <w:lang w:val="en-GB"/>
        </w:rPr>
        <w:t xml:space="preserve"> university </w:t>
      </w:r>
      <w:r w:rsidRPr="0067297E">
        <w:rPr>
          <w:rFonts w:asciiTheme="minorHAnsi" w:hAnsiTheme="minorHAnsi"/>
        </w:rPr>
        <w:t xml:space="preserve"> student numbers and trends </w:t>
      </w:r>
    </w:p>
    <w:p w14:paraId="41F9D4BE" w14:textId="6E6D6A9B" w:rsidR="00AB55EF" w:rsidRPr="0067297E" w:rsidRDefault="00AB55EF" w:rsidP="001B3E3A">
      <w:pPr>
        <w:pStyle w:val="Reporttext"/>
        <w:rPr>
          <w:rFonts w:asciiTheme="minorHAnsi" w:hAnsiTheme="minorHAnsi"/>
        </w:rPr>
      </w:pPr>
      <w:r w:rsidRPr="0067297E">
        <w:rPr>
          <w:rFonts w:asciiTheme="minorHAnsi" w:hAnsiTheme="minorHAnsi"/>
        </w:rPr>
        <w:t>In 2016/17, 9,345 students were enrolled at Goldsmiths. Of these 7,035 were from the UK; 1,465 were non-European union residents; 850 were from EU countries outside the UK.</w:t>
      </w:r>
    </w:p>
    <w:p w14:paraId="3F4E1A33" w14:textId="77777777" w:rsidR="00AB55EF" w:rsidRPr="0067297E" w:rsidRDefault="00AB55EF" w:rsidP="001B3E3A">
      <w:pPr>
        <w:pStyle w:val="Reporttext"/>
        <w:rPr>
          <w:rFonts w:asciiTheme="minorHAnsi" w:hAnsiTheme="minorHAnsi"/>
        </w:rPr>
      </w:pPr>
      <w:r w:rsidRPr="0067297E">
        <w:rPr>
          <w:rFonts w:asciiTheme="minorHAnsi" w:hAnsiTheme="minorHAnsi"/>
        </w:rPr>
        <w:t>Over time student enrolments have increased by:</w:t>
      </w:r>
    </w:p>
    <w:p w14:paraId="324FEBDF" w14:textId="77777777" w:rsidR="00AB55EF" w:rsidRPr="0067297E" w:rsidRDefault="00AB55EF" w:rsidP="001C0BAA">
      <w:pPr>
        <w:pStyle w:val="bullet"/>
        <w:rPr>
          <w:rFonts w:asciiTheme="minorHAnsi" w:hAnsiTheme="minorHAnsi"/>
        </w:rPr>
      </w:pPr>
      <w:r w:rsidRPr="0067297E">
        <w:rPr>
          <w:rFonts w:asciiTheme="minorHAnsi" w:hAnsiTheme="minorHAnsi"/>
        </w:rPr>
        <w:t>16% overall</w:t>
      </w:r>
    </w:p>
    <w:p w14:paraId="3F189F95" w14:textId="77777777" w:rsidR="00AB55EF" w:rsidRPr="0067297E" w:rsidRDefault="00AB55EF" w:rsidP="001C0BAA">
      <w:pPr>
        <w:pStyle w:val="bullet"/>
        <w:rPr>
          <w:rFonts w:asciiTheme="minorHAnsi" w:hAnsiTheme="minorHAnsi"/>
        </w:rPr>
      </w:pPr>
      <w:r w:rsidRPr="0067297E">
        <w:rPr>
          <w:rFonts w:asciiTheme="minorHAnsi" w:hAnsiTheme="minorHAnsi"/>
        </w:rPr>
        <w:t>18% for UK</w:t>
      </w:r>
    </w:p>
    <w:p w14:paraId="2EAEDB3D" w14:textId="77777777" w:rsidR="00AB55EF" w:rsidRPr="0067297E" w:rsidRDefault="00AB55EF" w:rsidP="001C0BAA">
      <w:pPr>
        <w:pStyle w:val="bullet"/>
        <w:rPr>
          <w:rFonts w:asciiTheme="minorHAnsi" w:hAnsiTheme="minorHAnsi"/>
        </w:rPr>
      </w:pPr>
      <w:r w:rsidRPr="0067297E">
        <w:rPr>
          <w:rFonts w:asciiTheme="minorHAnsi" w:hAnsiTheme="minorHAnsi"/>
        </w:rPr>
        <w:t>11% for non-EU</w:t>
      </w:r>
    </w:p>
    <w:p w14:paraId="051D9146" w14:textId="77777777" w:rsidR="00AB55EF" w:rsidRPr="0067297E" w:rsidRDefault="00AB55EF" w:rsidP="001C0BAA">
      <w:pPr>
        <w:pStyle w:val="bullet"/>
        <w:rPr>
          <w:rFonts w:asciiTheme="minorHAnsi" w:hAnsiTheme="minorHAnsi"/>
        </w:rPr>
      </w:pPr>
      <w:r w:rsidRPr="0067297E">
        <w:rPr>
          <w:rFonts w:asciiTheme="minorHAnsi" w:hAnsiTheme="minorHAnsi"/>
        </w:rPr>
        <w:t>5% for other EU</w:t>
      </w:r>
    </w:p>
    <w:p w14:paraId="5A5AE34D" w14:textId="77777777" w:rsidR="00AB55EF" w:rsidRPr="0067297E" w:rsidRDefault="00AB55EF" w:rsidP="001B3E3A">
      <w:pPr>
        <w:pStyle w:val="Reporttext"/>
        <w:rPr>
          <w:rFonts w:asciiTheme="minorHAnsi" w:hAnsiTheme="minorHAnsi"/>
        </w:rPr>
      </w:pPr>
      <w:r w:rsidRPr="0067297E">
        <w:rPr>
          <w:rFonts w:asciiTheme="minorHAnsi" w:hAnsiTheme="minorHAnsi"/>
        </w:rPr>
        <w:t>The proportion of enrolments by domicile has remained fairly static and for 2016/17 show:</w:t>
      </w:r>
    </w:p>
    <w:p w14:paraId="6BCED5A4" w14:textId="77777777" w:rsidR="00AB55EF" w:rsidRPr="0067297E" w:rsidRDefault="00AB55EF" w:rsidP="001C0BAA">
      <w:pPr>
        <w:pStyle w:val="bullet"/>
        <w:rPr>
          <w:rFonts w:asciiTheme="minorHAnsi" w:hAnsiTheme="minorHAnsi"/>
        </w:rPr>
      </w:pPr>
      <w:r w:rsidRPr="0067297E">
        <w:rPr>
          <w:rFonts w:asciiTheme="minorHAnsi" w:hAnsiTheme="minorHAnsi"/>
        </w:rPr>
        <w:t>75% by UK students</w:t>
      </w:r>
    </w:p>
    <w:p w14:paraId="78E6D828" w14:textId="5E941BE1" w:rsidR="00AB55EF" w:rsidRPr="0067297E" w:rsidRDefault="00AB55EF" w:rsidP="001C0BAA">
      <w:pPr>
        <w:pStyle w:val="bullet"/>
        <w:rPr>
          <w:rFonts w:asciiTheme="minorHAnsi" w:hAnsiTheme="minorHAnsi"/>
        </w:rPr>
      </w:pPr>
      <w:r w:rsidRPr="0067297E">
        <w:rPr>
          <w:rFonts w:asciiTheme="minorHAnsi" w:hAnsiTheme="minorHAnsi"/>
        </w:rPr>
        <w:t>16% by non-EU</w:t>
      </w:r>
    </w:p>
    <w:p w14:paraId="3211E905" w14:textId="77777777" w:rsidR="00AB55EF" w:rsidRPr="0067297E" w:rsidRDefault="00AB55EF" w:rsidP="001C0BAA">
      <w:pPr>
        <w:pStyle w:val="bullet"/>
        <w:rPr>
          <w:rFonts w:asciiTheme="minorHAnsi" w:hAnsiTheme="minorHAnsi"/>
        </w:rPr>
      </w:pPr>
      <w:r w:rsidRPr="0067297E">
        <w:rPr>
          <w:rFonts w:asciiTheme="minorHAnsi" w:hAnsiTheme="minorHAnsi"/>
        </w:rPr>
        <w:t>9% by other EU</w:t>
      </w:r>
    </w:p>
    <w:p w14:paraId="72FE642C" w14:textId="77777777" w:rsidR="00AB55EF" w:rsidRPr="0067297E" w:rsidRDefault="00AB55EF" w:rsidP="00114D52">
      <w:pPr>
        <w:pStyle w:val="ListParagraph"/>
        <w:spacing w:before="0" w:after="160" w:line="259" w:lineRule="auto"/>
        <w:contextualSpacing/>
        <w:jc w:val="left"/>
        <w:rPr>
          <w:rFonts w:asciiTheme="minorHAnsi" w:hAnsiTheme="minorHAnsi"/>
        </w:rPr>
      </w:pPr>
    </w:p>
    <w:p w14:paraId="26E521CA" w14:textId="4F06CD6F" w:rsidR="00AB55EF" w:rsidRPr="0067297E" w:rsidRDefault="00DB1A88" w:rsidP="00114D52">
      <w:pPr>
        <w:pStyle w:val="figureheading"/>
        <w:rPr>
          <w:rFonts w:asciiTheme="minorHAnsi" w:hAnsiTheme="minorHAnsi"/>
        </w:rPr>
      </w:pPr>
      <w:bookmarkStart w:id="406" w:name="_Toc23151232"/>
      <w:r w:rsidRPr="0067297E">
        <w:rPr>
          <w:rFonts w:asciiTheme="minorHAnsi" w:hAnsiTheme="minorHAnsi"/>
          <w:lang w:val="en-GB"/>
        </w:rPr>
        <w:t>Figure</w:t>
      </w:r>
      <w:r w:rsidR="001C0BAA" w:rsidRPr="0067297E">
        <w:rPr>
          <w:rFonts w:asciiTheme="minorHAnsi" w:hAnsiTheme="minorHAnsi"/>
          <w:lang w:val="en-GB"/>
        </w:rPr>
        <w:t xml:space="preserve"> 6.5</w:t>
      </w:r>
      <w:r w:rsidR="001C0BAA" w:rsidRPr="0067297E">
        <w:rPr>
          <w:rFonts w:asciiTheme="minorHAnsi" w:hAnsiTheme="minorHAnsi"/>
        </w:rPr>
        <w:tab/>
      </w:r>
      <w:r w:rsidRPr="0067297E">
        <w:rPr>
          <w:rFonts w:asciiTheme="minorHAnsi" w:hAnsiTheme="minorHAnsi"/>
        </w:rPr>
        <w:t>Number of enrolments at Goldsmiths University by domicile, 2012/13 to 2016/17. Source: HESA</w:t>
      </w:r>
      <w:bookmarkEnd w:id="406"/>
    </w:p>
    <w:p w14:paraId="4DA27AF7" w14:textId="52B4E99B" w:rsidR="00AB55EF" w:rsidRPr="0067297E" w:rsidRDefault="00AB55EF" w:rsidP="00AB55EF">
      <w:pPr>
        <w:rPr>
          <w:rFonts w:asciiTheme="minorHAnsi" w:hAnsiTheme="minorHAnsi"/>
        </w:rPr>
      </w:pPr>
      <w:r w:rsidRPr="0067297E">
        <w:rPr>
          <w:rFonts w:asciiTheme="minorHAnsi" w:hAnsiTheme="minorHAnsi"/>
          <w:noProof/>
          <w:lang w:eastAsia="en-GB"/>
        </w:rPr>
        <w:drawing>
          <wp:inline distT="0" distB="0" distL="0" distR="0" wp14:anchorId="57D5C6B0" wp14:editId="096DBF4A">
            <wp:extent cx="5857709" cy="2446020"/>
            <wp:effectExtent l="0" t="0" r="10160" b="11430"/>
            <wp:docPr id="47" name="Chart 47" descr="Chart showing number of enrolements at Goldsmiths University by domicile (different curves) from 2012-2017. " title="Figure 6.5 Number of enrolments at Goldsmiths University by domicile, 2012/13 to 2016/17. Source: HE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68E3A6-708F-486C-9735-F0D276EC8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FA793FE" w14:textId="77777777" w:rsidR="00DB1A88" w:rsidRPr="0067297E" w:rsidRDefault="00DB1A88" w:rsidP="00AB55EF">
      <w:pPr>
        <w:rPr>
          <w:rFonts w:asciiTheme="minorHAnsi" w:hAnsiTheme="minorHAnsi"/>
          <w:b/>
        </w:rPr>
      </w:pPr>
    </w:p>
    <w:p w14:paraId="6D542DC5" w14:textId="47B75794" w:rsidR="00AB55EF" w:rsidRPr="0067297E" w:rsidRDefault="00AB55EF" w:rsidP="00114D52">
      <w:pPr>
        <w:pStyle w:val="Heading3"/>
        <w:rPr>
          <w:rFonts w:asciiTheme="minorHAnsi" w:hAnsiTheme="minorHAnsi"/>
        </w:rPr>
      </w:pPr>
      <w:r w:rsidRPr="0067297E">
        <w:rPr>
          <w:rFonts w:asciiTheme="minorHAnsi" w:hAnsiTheme="minorHAnsi"/>
        </w:rPr>
        <w:t>The University of Greenwich</w:t>
      </w:r>
    </w:p>
    <w:p w14:paraId="516CC8D0" w14:textId="2894F5D6" w:rsidR="00AB55EF" w:rsidRPr="0067297E" w:rsidRDefault="00AB55EF" w:rsidP="00114D52">
      <w:pPr>
        <w:pStyle w:val="Reporttext"/>
        <w:rPr>
          <w:rFonts w:asciiTheme="minorHAnsi" w:hAnsiTheme="minorHAnsi"/>
        </w:rPr>
      </w:pPr>
      <w:r w:rsidRPr="0067297E">
        <w:rPr>
          <w:rFonts w:asciiTheme="minorHAnsi" w:hAnsiTheme="minorHAnsi"/>
        </w:rPr>
        <w:t xml:space="preserve">The University of Greenwich has three campuses and the university provides around 2,400 places in halls of residence across the three. The Greenwich campus is located to the east of the </w:t>
      </w:r>
      <w:r w:rsidR="00367646" w:rsidRPr="0067297E">
        <w:rPr>
          <w:rFonts w:asciiTheme="minorHAnsi" w:hAnsiTheme="minorHAnsi"/>
          <w:lang w:val="en-GB"/>
        </w:rPr>
        <w:t>B</w:t>
      </w:r>
      <w:r w:rsidRPr="0067297E">
        <w:rPr>
          <w:rFonts w:asciiTheme="minorHAnsi" w:hAnsiTheme="minorHAnsi"/>
        </w:rPr>
        <w:t>orough of Lewisham. Students based at this campus can choose between four halls of residence, one of which is in Lewisham, the McMillan Student village, near Deptford Market. En</w:t>
      </w:r>
      <w:r w:rsidR="00367646" w:rsidRPr="0067297E">
        <w:rPr>
          <w:rFonts w:asciiTheme="minorHAnsi" w:hAnsiTheme="minorHAnsi"/>
          <w:lang w:val="en-GB"/>
        </w:rPr>
        <w:t>-</w:t>
      </w:r>
      <w:r w:rsidRPr="0067297E">
        <w:rPr>
          <w:rFonts w:asciiTheme="minorHAnsi" w:hAnsiTheme="minorHAnsi"/>
        </w:rPr>
        <w:t>suite bedrooms and flats range in price from £106 to £204 per week. The university partners with Campus Living Villages to provide the accommodation and they are signed up to the ANUK/Unipol National Code of Standards for Larger Developments</w:t>
      </w:r>
      <w:r w:rsidRPr="0067297E">
        <w:rPr>
          <w:rStyle w:val="FootnoteReference"/>
          <w:rFonts w:asciiTheme="minorHAnsi" w:hAnsiTheme="minorHAnsi"/>
        </w:rPr>
        <w:footnoteReference w:id="54"/>
      </w:r>
      <w:r w:rsidRPr="0067297E">
        <w:rPr>
          <w:rFonts w:asciiTheme="minorHAnsi" w:hAnsiTheme="minorHAnsi"/>
        </w:rPr>
        <w:t>.</w:t>
      </w:r>
    </w:p>
    <w:p w14:paraId="5560C348" w14:textId="77777777" w:rsidR="00AB55EF" w:rsidRPr="0067297E" w:rsidRDefault="00AB55EF" w:rsidP="00114D52">
      <w:pPr>
        <w:pStyle w:val="Reporttext"/>
        <w:rPr>
          <w:rFonts w:asciiTheme="minorHAnsi" w:hAnsiTheme="minorHAnsi"/>
        </w:rPr>
      </w:pPr>
      <w:r w:rsidRPr="0067297E">
        <w:rPr>
          <w:rFonts w:asciiTheme="minorHAnsi" w:hAnsiTheme="minorHAnsi"/>
        </w:rPr>
        <w:t>The university partners with Studentpad</w:t>
      </w:r>
      <w:r w:rsidRPr="0067297E">
        <w:rPr>
          <w:rStyle w:val="FootnoteReference"/>
          <w:rFonts w:asciiTheme="minorHAnsi" w:hAnsiTheme="minorHAnsi"/>
        </w:rPr>
        <w:footnoteReference w:id="55"/>
      </w:r>
      <w:r w:rsidRPr="0067297E">
        <w:rPr>
          <w:rFonts w:asciiTheme="minorHAnsi" w:hAnsiTheme="minorHAnsi"/>
        </w:rPr>
        <w:t>, an online accommodation service, to help students find private rented accommodation for each campus. These properties are not vetted by the university or the students’ union. The University of Greenwich students are not eligible to use the University of London Housing Services.</w:t>
      </w:r>
    </w:p>
    <w:p w14:paraId="0C81FEE6" w14:textId="77777777" w:rsidR="00DB1A88" w:rsidRPr="0067297E" w:rsidRDefault="00DB1A88" w:rsidP="00AB55EF">
      <w:pPr>
        <w:rPr>
          <w:rFonts w:asciiTheme="minorHAnsi" w:hAnsiTheme="minorHAnsi"/>
          <w:b/>
        </w:rPr>
      </w:pPr>
    </w:p>
    <w:p w14:paraId="7C307453" w14:textId="3AE55F33" w:rsidR="00AB55EF" w:rsidRPr="0067297E" w:rsidRDefault="00AB55EF" w:rsidP="00DB1A88">
      <w:pPr>
        <w:pStyle w:val="Heading4"/>
        <w:rPr>
          <w:rFonts w:asciiTheme="minorHAnsi" w:hAnsiTheme="minorHAnsi"/>
        </w:rPr>
      </w:pPr>
      <w:r w:rsidRPr="0067297E">
        <w:rPr>
          <w:rFonts w:asciiTheme="minorHAnsi" w:hAnsiTheme="minorHAnsi"/>
        </w:rPr>
        <w:t>The University of Greenwich; student numbers and trends</w:t>
      </w:r>
    </w:p>
    <w:p w14:paraId="69EB85D1" w14:textId="77777777" w:rsidR="00AB55EF" w:rsidRPr="0067297E" w:rsidRDefault="00AB55EF" w:rsidP="00DB1A88">
      <w:pPr>
        <w:pStyle w:val="Reporttext"/>
        <w:rPr>
          <w:rFonts w:asciiTheme="minorHAnsi" w:hAnsiTheme="minorHAnsi"/>
        </w:rPr>
      </w:pPr>
      <w:r w:rsidRPr="0067297E">
        <w:rPr>
          <w:rFonts w:asciiTheme="minorHAnsi" w:hAnsiTheme="minorHAnsi"/>
        </w:rPr>
        <w:t>In 2016/17, 19,915 students were enrolled at the University of Greenwich. Of these 16,220 were from the UK; 2,350 were non-European Union residents; 1,340 were from EU countries outside the UK</w:t>
      </w:r>
      <w:r w:rsidRPr="0067297E">
        <w:rPr>
          <w:rStyle w:val="FootnoteReference"/>
          <w:rFonts w:asciiTheme="minorHAnsi" w:hAnsiTheme="minorHAnsi"/>
        </w:rPr>
        <w:footnoteReference w:id="56"/>
      </w:r>
      <w:r w:rsidRPr="0067297E">
        <w:rPr>
          <w:rFonts w:asciiTheme="minorHAnsi" w:hAnsiTheme="minorHAnsi"/>
        </w:rPr>
        <w:t xml:space="preserve">. </w:t>
      </w:r>
    </w:p>
    <w:p w14:paraId="08992AD8" w14:textId="77777777" w:rsidR="00DB1A88" w:rsidRPr="0067297E" w:rsidRDefault="00DB1A88" w:rsidP="00DB1A88">
      <w:pPr>
        <w:pStyle w:val="Reporttext"/>
        <w:rPr>
          <w:rFonts w:asciiTheme="minorHAnsi" w:hAnsiTheme="minorHAnsi"/>
        </w:rPr>
      </w:pPr>
      <w:r w:rsidRPr="0067297E">
        <w:rPr>
          <w:rFonts w:asciiTheme="minorHAnsi" w:hAnsiTheme="minorHAnsi"/>
        </w:rPr>
        <w:t>Over time student enrolments have decreased by:</w:t>
      </w:r>
    </w:p>
    <w:p w14:paraId="770D59F0" w14:textId="77777777" w:rsidR="00DB1A88" w:rsidRPr="0067297E" w:rsidRDefault="00DB1A88" w:rsidP="001C0BAA">
      <w:pPr>
        <w:pStyle w:val="bullet"/>
        <w:rPr>
          <w:rFonts w:asciiTheme="minorHAnsi" w:hAnsiTheme="minorHAnsi"/>
        </w:rPr>
      </w:pPr>
      <w:r w:rsidRPr="0067297E">
        <w:rPr>
          <w:rFonts w:asciiTheme="minorHAnsi" w:hAnsiTheme="minorHAnsi"/>
        </w:rPr>
        <w:t>17% overall</w:t>
      </w:r>
    </w:p>
    <w:p w14:paraId="5640323D" w14:textId="77777777" w:rsidR="00DB1A88" w:rsidRPr="0067297E" w:rsidRDefault="00DB1A88" w:rsidP="001C0BAA">
      <w:pPr>
        <w:pStyle w:val="bullet"/>
        <w:rPr>
          <w:rFonts w:asciiTheme="minorHAnsi" w:hAnsiTheme="minorHAnsi"/>
        </w:rPr>
      </w:pPr>
      <w:r w:rsidRPr="0067297E">
        <w:rPr>
          <w:rFonts w:asciiTheme="minorHAnsi" w:hAnsiTheme="minorHAnsi"/>
        </w:rPr>
        <w:t>16% for UK</w:t>
      </w:r>
    </w:p>
    <w:p w14:paraId="77D43748" w14:textId="77777777" w:rsidR="00DB1A88" w:rsidRPr="0067297E" w:rsidRDefault="00DB1A88" w:rsidP="001C0BAA">
      <w:pPr>
        <w:pStyle w:val="bullet"/>
        <w:rPr>
          <w:rFonts w:asciiTheme="minorHAnsi" w:hAnsiTheme="minorHAnsi"/>
        </w:rPr>
      </w:pPr>
      <w:r w:rsidRPr="0067297E">
        <w:rPr>
          <w:rFonts w:asciiTheme="minorHAnsi" w:hAnsiTheme="minorHAnsi"/>
        </w:rPr>
        <w:t>36% for non-EU</w:t>
      </w:r>
    </w:p>
    <w:p w14:paraId="450C56B8" w14:textId="343E1BDA" w:rsidR="00DB1A88" w:rsidRPr="0067297E" w:rsidRDefault="00DB1A88" w:rsidP="00DB1A88">
      <w:pPr>
        <w:pStyle w:val="Reporttext"/>
        <w:rPr>
          <w:rFonts w:asciiTheme="minorHAnsi" w:hAnsiTheme="minorHAnsi"/>
        </w:rPr>
      </w:pPr>
      <w:r w:rsidRPr="0067297E">
        <w:rPr>
          <w:rFonts w:asciiTheme="minorHAnsi" w:hAnsiTheme="minorHAnsi"/>
        </w:rPr>
        <w:t>The exception is that enrolments by other EU students have risen by 29% (from 1,035 to 1,340)</w:t>
      </w:r>
      <w:r w:rsidRPr="0067297E">
        <w:rPr>
          <w:rFonts w:asciiTheme="minorHAnsi" w:hAnsiTheme="minorHAnsi"/>
          <w:lang w:val="en-GB"/>
        </w:rPr>
        <w:t xml:space="preserve">. </w:t>
      </w:r>
      <w:r w:rsidRPr="0067297E">
        <w:rPr>
          <w:rFonts w:asciiTheme="minorHAnsi" w:hAnsiTheme="minorHAnsi"/>
        </w:rPr>
        <w:t>The proportion of enrolments by domicile has:</w:t>
      </w:r>
    </w:p>
    <w:p w14:paraId="0567ACB6" w14:textId="77777777" w:rsidR="00DB1A88" w:rsidRPr="0067297E" w:rsidRDefault="00DB1A88" w:rsidP="001C0BAA">
      <w:pPr>
        <w:pStyle w:val="bullet"/>
        <w:rPr>
          <w:rFonts w:asciiTheme="minorHAnsi" w:hAnsiTheme="minorHAnsi"/>
        </w:rPr>
      </w:pPr>
      <w:r w:rsidRPr="0067297E">
        <w:rPr>
          <w:rFonts w:asciiTheme="minorHAnsi" w:hAnsiTheme="minorHAnsi"/>
        </w:rPr>
        <w:t xml:space="preserve">remained around 80% for UK </w:t>
      </w:r>
    </w:p>
    <w:p w14:paraId="444A5A1F" w14:textId="77777777" w:rsidR="00DB1A88" w:rsidRPr="0067297E" w:rsidRDefault="00DB1A88" w:rsidP="001C0BAA">
      <w:pPr>
        <w:pStyle w:val="bullet"/>
        <w:rPr>
          <w:rFonts w:asciiTheme="minorHAnsi" w:hAnsiTheme="minorHAnsi"/>
        </w:rPr>
      </w:pPr>
      <w:r w:rsidRPr="0067297E">
        <w:rPr>
          <w:rFonts w:asciiTheme="minorHAnsi" w:hAnsiTheme="minorHAnsi"/>
        </w:rPr>
        <w:t>decreased from 15% to 12% for non-EU</w:t>
      </w:r>
    </w:p>
    <w:p w14:paraId="73702077" w14:textId="77777777" w:rsidR="00DB1A88" w:rsidRPr="0067297E" w:rsidRDefault="00DB1A88" w:rsidP="001C0BAA">
      <w:pPr>
        <w:pStyle w:val="bullet"/>
        <w:rPr>
          <w:rFonts w:asciiTheme="minorHAnsi" w:hAnsiTheme="minorHAnsi"/>
        </w:rPr>
      </w:pPr>
      <w:r w:rsidRPr="0067297E">
        <w:rPr>
          <w:rFonts w:asciiTheme="minorHAnsi" w:hAnsiTheme="minorHAnsi"/>
        </w:rPr>
        <w:t>increased from 4% to 7% for other EU</w:t>
      </w:r>
    </w:p>
    <w:p w14:paraId="27359105" w14:textId="77777777" w:rsidR="00DB1A88" w:rsidRPr="0067297E" w:rsidRDefault="00DB1A88" w:rsidP="00AB55EF">
      <w:pPr>
        <w:rPr>
          <w:rFonts w:asciiTheme="minorHAnsi" w:hAnsiTheme="minorHAnsi"/>
        </w:rPr>
      </w:pPr>
    </w:p>
    <w:p w14:paraId="0B7991E6" w14:textId="3354EE82" w:rsidR="00AB55EF" w:rsidRPr="0067297E" w:rsidRDefault="00DB1A88" w:rsidP="00DB1A88">
      <w:pPr>
        <w:pStyle w:val="figureheading"/>
        <w:rPr>
          <w:rFonts w:asciiTheme="minorHAnsi" w:hAnsiTheme="minorHAnsi"/>
        </w:rPr>
      </w:pPr>
      <w:bookmarkStart w:id="407" w:name="_Toc23151233"/>
      <w:r w:rsidRPr="0067297E">
        <w:rPr>
          <w:rFonts w:asciiTheme="minorHAnsi" w:hAnsiTheme="minorHAnsi"/>
        </w:rPr>
        <w:t>Figure</w:t>
      </w:r>
      <w:r w:rsidR="00AB55EF" w:rsidRPr="0067297E">
        <w:rPr>
          <w:rFonts w:asciiTheme="minorHAnsi" w:hAnsiTheme="minorHAnsi"/>
        </w:rPr>
        <w:t xml:space="preserve"> </w:t>
      </w:r>
      <w:r w:rsidR="001C0BAA" w:rsidRPr="0067297E">
        <w:rPr>
          <w:rFonts w:asciiTheme="minorHAnsi" w:hAnsiTheme="minorHAnsi"/>
          <w:lang w:val="en-GB"/>
        </w:rPr>
        <w:t>6.6</w:t>
      </w:r>
      <w:r w:rsidR="001C0BAA" w:rsidRPr="0067297E">
        <w:rPr>
          <w:rFonts w:asciiTheme="minorHAnsi" w:hAnsiTheme="minorHAnsi"/>
          <w:lang w:val="en-GB"/>
        </w:rPr>
        <w:tab/>
      </w:r>
      <w:r w:rsidR="00AB55EF" w:rsidRPr="0067297E">
        <w:rPr>
          <w:rFonts w:asciiTheme="minorHAnsi" w:hAnsiTheme="minorHAnsi"/>
        </w:rPr>
        <w:t>Number of enrolments at The University of Greenwich by domicile, 2012/13 to 2016/17. Source: HESA</w:t>
      </w:r>
      <w:bookmarkEnd w:id="407"/>
    </w:p>
    <w:p w14:paraId="51DED868" w14:textId="1225FD7F" w:rsidR="00AB55EF" w:rsidRPr="0067297E" w:rsidRDefault="00AB55EF" w:rsidP="00AB55EF">
      <w:pPr>
        <w:rPr>
          <w:rFonts w:asciiTheme="minorHAnsi" w:hAnsiTheme="minorHAnsi"/>
        </w:rPr>
      </w:pPr>
      <w:r w:rsidRPr="0067297E">
        <w:rPr>
          <w:rFonts w:asciiTheme="minorHAnsi" w:hAnsiTheme="minorHAnsi"/>
          <w:noProof/>
          <w:lang w:eastAsia="en-GB"/>
        </w:rPr>
        <w:drawing>
          <wp:inline distT="0" distB="0" distL="0" distR="0" wp14:anchorId="57091067" wp14:editId="5CCEEBAD">
            <wp:extent cx="5861685" cy="2447925"/>
            <wp:effectExtent l="0" t="0" r="5715" b="9525"/>
            <wp:docPr id="49" name="Chart 49" descr="Chart showing number of enrolements by domicile (different curves) from 2012 to 2017. " title="Figure 6.6 Number of enrolments at The University of Greenwich by domicile, 2012/13 to 2016/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AB788B-F04B-4207-9356-C886D69FB4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E6A44B7" w14:textId="77777777" w:rsidR="00DB1A88" w:rsidRPr="0067297E" w:rsidRDefault="00DB1A88" w:rsidP="00AB55EF">
      <w:pPr>
        <w:rPr>
          <w:rFonts w:asciiTheme="minorHAnsi" w:hAnsiTheme="minorHAnsi"/>
          <w:b/>
        </w:rPr>
      </w:pPr>
    </w:p>
    <w:p w14:paraId="6D20DBEE" w14:textId="41B31646" w:rsidR="00AB55EF" w:rsidRPr="0067297E" w:rsidRDefault="00AB55EF" w:rsidP="00114D52">
      <w:pPr>
        <w:pStyle w:val="Heading3"/>
        <w:rPr>
          <w:rFonts w:asciiTheme="minorHAnsi" w:hAnsiTheme="minorHAnsi"/>
        </w:rPr>
      </w:pPr>
      <w:r w:rsidRPr="0067297E">
        <w:rPr>
          <w:rFonts w:asciiTheme="minorHAnsi" w:hAnsiTheme="minorHAnsi"/>
        </w:rPr>
        <w:t>The London Plan</w:t>
      </w:r>
    </w:p>
    <w:p w14:paraId="20A2249C" w14:textId="77777777" w:rsidR="00AB55EF" w:rsidRPr="0067297E" w:rsidRDefault="00AB55EF" w:rsidP="00114D52">
      <w:pPr>
        <w:pStyle w:val="Reporttext"/>
        <w:rPr>
          <w:rFonts w:asciiTheme="minorHAnsi" w:hAnsiTheme="minorHAnsi"/>
        </w:rPr>
      </w:pPr>
      <w:r w:rsidRPr="0067297E">
        <w:rPr>
          <w:rFonts w:asciiTheme="minorHAnsi" w:hAnsiTheme="minorHAnsi"/>
        </w:rPr>
        <w:t xml:space="preserve">The majority (57%) of new student accommodation has been concentrated in four London boroughs; Camden, Islington, Tower Hamlets and Southwark. The London Plan recognises the economic contribution of London’s Universities and the need for them to maintain and grow and thus the requirement for specialist student housing but clearly states that this must not compromise the policy to achieve mixed and balanced communities. </w:t>
      </w:r>
    </w:p>
    <w:p w14:paraId="2345CEEE" w14:textId="292DC9C8" w:rsidR="00827838" w:rsidRDefault="00AB55EF" w:rsidP="001B3E3A">
      <w:pPr>
        <w:pStyle w:val="Reporttext"/>
        <w:rPr>
          <w:rFonts w:asciiTheme="minorHAnsi" w:hAnsiTheme="minorHAnsi"/>
        </w:rPr>
      </w:pPr>
      <w:r w:rsidRPr="0067297E">
        <w:rPr>
          <w:rFonts w:asciiTheme="minorHAnsi" w:hAnsiTheme="minorHAnsi"/>
        </w:rPr>
        <w:t>As Lewisham is outside of the central concentrated student areas it is important to note the Ma</w:t>
      </w:r>
      <w:r w:rsidR="001B3E3A" w:rsidRPr="0067297E">
        <w:rPr>
          <w:rFonts w:asciiTheme="minorHAnsi" w:hAnsiTheme="minorHAnsi"/>
          <w:lang w:val="en-GB"/>
        </w:rPr>
        <w:t>y</w:t>
      </w:r>
      <w:r w:rsidRPr="0067297E">
        <w:rPr>
          <w:rFonts w:asciiTheme="minorHAnsi" w:hAnsiTheme="minorHAnsi"/>
        </w:rPr>
        <w:t>or’s approach to “encourage a more dispersed distribution of future provision taking into account</w:t>
      </w:r>
      <w:r w:rsidR="001B3E3A" w:rsidRPr="0067297E">
        <w:rPr>
          <w:rFonts w:asciiTheme="minorHAnsi" w:hAnsiTheme="minorHAnsi"/>
          <w:lang w:val="en-GB"/>
        </w:rPr>
        <w:t xml:space="preserve"> </w:t>
      </w:r>
      <w:r w:rsidRPr="0067297E">
        <w:rPr>
          <w:rFonts w:asciiTheme="minorHAnsi" w:hAnsiTheme="minorHAnsi"/>
        </w:rPr>
        <w:t>development and regeneration potential in accessible locations away from the areas of greatest concentration in central London”</w:t>
      </w:r>
      <w:r w:rsidRPr="0067297E">
        <w:rPr>
          <w:rStyle w:val="FootnoteReference"/>
          <w:rFonts w:asciiTheme="minorHAnsi" w:hAnsiTheme="minorHAnsi"/>
        </w:rPr>
        <w:footnoteReference w:id="57"/>
      </w:r>
      <w:r w:rsidRPr="0067297E">
        <w:rPr>
          <w:rFonts w:asciiTheme="minorHAnsi" w:hAnsiTheme="minorHAnsi"/>
        </w:rPr>
        <w:t>. In terms of raw numbers</w:t>
      </w:r>
      <w:r w:rsidR="001B3E3A" w:rsidRPr="0067297E">
        <w:rPr>
          <w:rFonts w:asciiTheme="minorHAnsi" w:hAnsiTheme="minorHAnsi"/>
          <w:lang w:val="en-GB"/>
        </w:rPr>
        <w:t>,</w:t>
      </w:r>
      <w:r w:rsidRPr="0067297E">
        <w:rPr>
          <w:rFonts w:asciiTheme="minorHAnsi" w:hAnsiTheme="minorHAnsi"/>
        </w:rPr>
        <w:t xml:space="preserve"> the plan states that “whilst there is uncertainty over future growth in the London student population and its specialist accommodation needs, including the unmet demand, there could be a requirement for some 20,000 – 31,000 places over the 10 years to 2025”. The plan also makes reference to the tendency for new student housing to reduce pressure in the private rented sector and the SHLAA finding which “identified a pipeline of circa 20,000 student bed spaces 2015–2025”</w:t>
      </w:r>
      <w:r w:rsidRPr="0067297E">
        <w:rPr>
          <w:rStyle w:val="FootnoteReference"/>
          <w:rFonts w:asciiTheme="minorHAnsi" w:hAnsiTheme="minorHAnsi"/>
        </w:rPr>
        <w:footnoteReference w:id="58"/>
      </w:r>
      <w:r w:rsidRPr="0067297E">
        <w:rPr>
          <w:rFonts w:asciiTheme="minorHAnsi" w:hAnsiTheme="minorHAnsi"/>
        </w:rPr>
        <w:t>.</w:t>
      </w:r>
    </w:p>
    <w:p w14:paraId="0F9722DA" w14:textId="5CA2BB05" w:rsidR="00AB55EF" w:rsidRPr="008223BE" w:rsidRDefault="00255720" w:rsidP="0015368C">
      <w:pPr>
        <w:pStyle w:val="Reporttext"/>
        <w:rPr>
          <w:rFonts w:cs="Calibri"/>
        </w:rPr>
      </w:pPr>
      <w:r w:rsidRPr="0015368C">
        <w:rPr>
          <w:rFonts w:asciiTheme="minorHAnsi" w:hAnsiTheme="minorHAnsi"/>
        </w:rPr>
        <w:t>Policy H17 of the Draft London Plan</w:t>
      </w:r>
      <w:r w:rsidR="00AB55EF" w:rsidRPr="0015368C">
        <w:rPr>
          <w:rFonts w:asciiTheme="minorHAnsi" w:hAnsiTheme="minorHAnsi"/>
        </w:rPr>
        <w:t xml:space="preserve"> </w:t>
      </w:r>
      <w:r w:rsidRPr="0015368C">
        <w:rPr>
          <w:rFonts w:asciiTheme="minorHAnsi" w:hAnsiTheme="minorHAnsi"/>
        </w:rPr>
        <w:t xml:space="preserve">specifies that at least 35% of the student accommodation is secured as affordable student accommodation. Whilst pressure on the private rented sector from students has been mitigated by some purpose built student housing schemes being </w:t>
      </w:r>
      <w:r w:rsidR="009207D1" w:rsidRPr="0015368C">
        <w:rPr>
          <w:rFonts w:asciiTheme="minorHAnsi" w:hAnsiTheme="minorHAnsi"/>
        </w:rPr>
        <w:t xml:space="preserve">recently </w:t>
      </w:r>
      <w:r w:rsidRPr="0015368C">
        <w:rPr>
          <w:rFonts w:asciiTheme="minorHAnsi" w:hAnsiTheme="minorHAnsi"/>
        </w:rPr>
        <w:t xml:space="preserve">built in the borough of </w:t>
      </w:r>
      <w:r w:rsidR="009207D1" w:rsidRPr="0015368C">
        <w:rPr>
          <w:rFonts w:asciiTheme="minorHAnsi" w:hAnsiTheme="minorHAnsi"/>
        </w:rPr>
        <w:t>Lewisham</w:t>
      </w:r>
      <w:r w:rsidRPr="0015368C">
        <w:rPr>
          <w:rFonts w:asciiTheme="minorHAnsi" w:hAnsiTheme="minorHAnsi"/>
        </w:rPr>
        <w:t>, the sector will continue to be subject to extreme levels of demand from students unable to afford purpose built housing</w:t>
      </w:r>
      <w:r w:rsidR="009207D1" w:rsidRPr="0015368C">
        <w:rPr>
          <w:rFonts w:asciiTheme="minorHAnsi" w:hAnsiTheme="minorHAnsi"/>
        </w:rPr>
        <w:t xml:space="preserve">.  </w:t>
      </w:r>
    </w:p>
    <w:p w14:paraId="6781E674" w14:textId="77777777" w:rsidR="00827838" w:rsidRDefault="00827838" w:rsidP="00425A04">
      <w:bookmarkStart w:id="408" w:name="_Toc1385782"/>
    </w:p>
    <w:p w14:paraId="321A7394" w14:textId="3CC187C2" w:rsidR="001511A9" w:rsidRPr="0067297E" w:rsidRDefault="008D3DF1" w:rsidP="00944242">
      <w:pPr>
        <w:pStyle w:val="Heading2"/>
        <w:rPr>
          <w:rFonts w:asciiTheme="minorHAnsi" w:hAnsiTheme="minorHAnsi"/>
          <w:lang w:val="en-GB"/>
        </w:rPr>
      </w:pPr>
      <w:bookmarkStart w:id="409" w:name="_Toc23151099"/>
      <w:r w:rsidRPr="0067297E">
        <w:rPr>
          <w:rFonts w:asciiTheme="minorHAnsi" w:hAnsiTheme="minorHAnsi"/>
          <w:lang w:val="en-GB"/>
        </w:rPr>
        <w:t xml:space="preserve">Concluding </w:t>
      </w:r>
      <w:r w:rsidR="003118DF" w:rsidRPr="0067297E">
        <w:rPr>
          <w:rFonts w:asciiTheme="minorHAnsi" w:hAnsiTheme="minorHAnsi"/>
          <w:lang w:val="en-GB"/>
        </w:rPr>
        <w:t>c</w:t>
      </w:r>
      <w:r w:rsidRPr="0067297E">
        <w:rPr>
          <w:rFonts w:asciiTheme="minorHAnsi" w:hAnsiTheme="minorHAnsi"/>
          <w:lang w:val="en-GB"/>
        </w:rPr>
        <w:t>omments</w:t>
      </w:r>
      <w:bookmarkEnd w:id="408"/>
      <w:bookmarkEnd w:id="409"/>
    </w:p>
    <w:p w14:paraId="3BD0B68E" w14:textId="77777777" w:rsidR="009F7AA3" w:rsidRPr="0067297E" w:rsidRDefault="009F7AA3" w:rsidP="00543A76">
      <w:pPr>
        <w:pStyle w:val="Reporttext"/>
        <w:tabs>
          <w:tab w:val="num" w:pos="1419"/>
        </w:tabs>
        <w:rPr>
          <w:rFonts w:asciiTheme="minorHAnsi" w:hAnsiTheme="minorHAnsi" w:cs="Calibri"/>
        </w:rPr>
      </w:pPr>
      <w:r w:rsidRPr="0067297E">
        <w:rPr>
          <w:rFonts w:asciiTheme="minorHAnsi" w:hAnsiTheme="minorHAnsi" w:cs="Calibri"/>
        </w:rPr>
        <w:t xml:space="preserve">This chapter has set out the affordable housing need in </w:t>
      </w:r>
      <w:r w:rsidR="00FC75A4" w:rsidRPr="0067297E">
        <w:rPr>
          <w:rFonts w:asciiTheme="minorHAnsi" w:hAnsiTheme="minorHAnsi" w:cs="Calibri"/>
        </w:rPr>
        <w:t xml:space="preserve">the </w:t>
      </w:r>
      <w:r w:rsidR="00F91A82" w:rsidRPr="0067297E">
        <w:rPr>
          <w:rFonts w:asciiTheme="minorHAnsi" w:hAnsiTheme="minorHAnsi" w:cs="Calibri"/>
        </w:rPr>
        <w:t>borough</w:t>
      </w:r>
      <w:r w:rsidRPr="0067297E">
        <w:rPr>
          <w:rFonts w:asciiTheme="minorHAnsi" w:hAnsiTheme="minorHAnsi" w:cs="Calibri"/>
        </w:rPr>
        <w:t xml:space="preserve"> and presented evidence relating to a broad range of needs groups as set out in the NPPF. It is expected that the overall development of housing in line with the housing </w:t>
      </w:r>
      <w:r w:rsidR="00FC75A4" w:rsidRPr="0067297E">
        <w:rPr>
          <w:rFonts w:asciiTheme="minorHAnsi" w:hAnsiTheme="minorHAnsi" w:cs="Calibri"/>
        </w:rPr>
        <w:t>target</w:t>
      </w:r>
      <w:r w:rsidRPr="0067297E">
        <w:rPr>
          <w:rFonts w:asciiTheme="minorHAnsi" w:hAnsiTheme="minorHAnsi" w:cs="Calibri"/>
        </w:rPr>
        <w:t xml:space="preserve"> will support these groups. Particular attention should be paid to considering the needs of older people when developing future housing given that this group is a key driver in the housing market. </w:t>
      </w:r>
    </w:p>
    <w:p w14:paraId="50F82B7E" w14:textId="31AC78E8" w:rsidR="00F91A82" w:rsidRPr="00D36E4C" w:rsidRDefault="009F7AA3" w:rsidP="00543A76">
      <w:pPr>
        <w:pStyle w:val="Reporttext"/>
        <w:tabs>
          <w:tab w:val="num" w:pos="1419"/>
        </w:tabs>
        <w:rPr>
          <w:rFonts w:asciiTheme="minorHAnsi" w:hAnsiTheme="minorHAnsi" w:cs="Calibri"/>
        </w:rPr>
      </w:pPr>
      <w:r w:rsidRPr="0067297E">
        <w:rPr>
          <w:rFonts w:asciiTheme="minorHAnsi" w:hAnsiTheme="minorHAnsi" w:cs="Calibri"/>
        </w:rPr>
        <w:t>A need for affordable housing has been established and the latest housing register evidence and lettings data indicates there i</w:t>
      </w:r>
      <w:r w:rsidR="00FC75A4" w:rsidRPr="0067297E">
        <w:rPr>
          <w:rFonts w:asciiTheme="minorHAnsi" w:hAnsiTheme="minorHAnsi" w:cs="Calibri"/>
        </w:rPr>
        <w:t>s</w:t>
      </w:r>
      <w:r w:rsidR="00922FAB" w:rsidRPr="0067297E">
        <w:rPr>
          <w:rFonts w:asciiTheme="minorHAnsi" w:hAnsiTheme="minorHAnsi" w:cs="Calibri"/>
        </w:rPr>
        <w:t xml:space="preserve"> a net annual imbalance of</w:t>
      </w:r>
      <w:r w:rsidR="00C73B20">
        <w:rPr>
          <w:rFonts w:asciiTheme="minorHAnsi" w:hAnsiTheme="minorHAnsi" w:cs="Calibri"/>
          <w:lang w:val="en-US"/>
        </w:rPr>
        <w:t xml:space="preserve"> </w:t>
      </w:r>
      <w:r w:rsidR="00C73B20">
        <w:rPr>
          <w:rFonts w:asciiTheme="minorHAnsi" w:hAnsiTheme="minorHAnsi" w:cs="Calibri"/>
          <w:lang w:val="en-GB"/>
        </w:rPr>
        <w:t>1,564</w:t>
      </w:r>
      <w:r w:rsidR="00FC75A4" w:rsidRPr="0067297E">
        <w:rPr>
          <w:rFonts w:asciiTheme="minorHAnsi" w:hAnsiTheme="minorHAnsi" w:cs="Calibri"/>
        </w:rPr>
        <w:t xml:space="preserve"> </w:t>
      </w:r>
      <w:r w:rsidRPr="0067297E">
        <w:rPr>
          <w:rFonts w:asciiTheme="minorHAnsi" w:hAnsiTheme="minorHAnsi" w:cs="Calibri"/>
        </w:rPr>
        <w:t xml:space="preserve">affordable dwellings across the </w:t>
      </w:r>
      <w:r w:rsidR="00F91A82" w:rsidRPr="0067297E">
        <w:rPr>
          <w:rFonts w:asciiTheme="minorHAnsi" w:hAnsiTheme="minorHAnsi" w:cs="Calibri"/>
        </w:rPr>
        <w:t>b</w:t>
      </w:r>
      <w:r w:rsidR="00FC75A4" w:rsidRPr="0067297E">
        <w:rPr>
          <w:rFonts w:asciiTheme="minorHAnsi" w:hAnsiTheme="minorHAnsi" w:cs="Calibri"/>
        </w:rPr>
        <w:t>orough</w:t>
      </w:r>
      <w:r w:rsidRPr="00DF1657">
        <w:rPr>
          <w:rFonts w:asciiTheme="minorHAnsi" w:hAnsiTheme="minorHAnsi" w:cs="Calibri"/>
        </w:rPr>
        <w:t xml:space="preserve">. </w:t>
      </w:r>
      <w:r w:rsidR="00D36E4C" w:rsidRPr="00DF1657">
        <w:rPr>
          <w:rFonts w:asciiTheme="minorHAnsi" w:hAnsiTheme="minorHAnsi" w:cs="Calibri"/>
          <w:lang w:val="en-GB"/>
        </w:rPr>
        <w:t xml:space="preserve">This </w:t>
      </w:r>
      <w:r w:rsidR="00DF1657" w:rsidRPr="0015368C">
        <w:rPr>
          <w:rFonts w:asciiTheme="minorHAnsi" w:hAnsiTheme="minorHAnsi" w:cs="Calibri"/>
          <w:lang w:val="en-GB"/>
        </w:rPr>
        <w:t>equates to 52.4%</w:t>
      </w:r>
      <w:r w:rsidR="00D36E4C" w:rsidRPr="00DF1657">
        <w:rPr>
          <w:rFonts w:asciiTheme="minorHAnsi" w:hAnsiTheme="minorHAnsi" w:cs="Calibri"/>
          <w:lang w:val="en-GB"/>
        </w:rPr>
        <w:t xml:space="preserve"> of the </w:t>
      </w:r>
      <w:r w:rsidR="00AA2F90" w:rsidRPr="00DF1657">
        <w:rPr>
          <w:rFonts w:asciiTheme="minorHAnsi" w:hAnsiTheme="minorHAnsi" w:cs="Calibri"/>
          <w:lang w:val="en-GB"/>
        </w:rPr>
        <w:t xml:space="preserve">2017 Draft London Plan </w:t>
      </w:r>
      <w:r w:rsidR="00D36E4C" w:rsidRPr="00DF1657">
        <w:rPr>
          <w:rFonts w:asciiTheme="minorHAnsi" w:hAnsiTheme="minorHAnsi" w:cs="Calibri"/>
          <w:lang w:val="en-GB"/>
        </w:rPr>
        <w:t>capped mini</w:t>
      </w:r>
      <w:r w:rsidR="00AA2F90" w:rsidRPr="00DF1657">
        <w:rPr>
          <w:rFonts w:asciiTheme="minorHAnsi" w:hAnsiTheme="minorHAnsi" w:cs="Calibri"/>
          <w:lang w:val="en-GB"/>
        </w:rPr>
        <w:t>mum housing need figure</w:t>
      </w:r>
      <w:r w:rsidR="00D36E4C" w:rsidRPr="00DF1657">
        <w:rPr>
          <w:rFonts w:asciiTheme="minorHAnsi" w:hAnsiTheme="minorHAnsi" w:cs="Calibri"/>
          <w:lang w:val="en-GB"/>
        </w:rPr>
        <w:t xml:space="preserve">. </w:t>
      </w:r>
      <w:r w:rsidRPr="00DF1657">
        <w:rPr>
          <w:rFonts w:asciiTheme="minorHAnsi" w:hAnsiTheme="minorHAnsi" w:cs="Calibri"/>
        </w:rPr>
        <w:t>Based on housing register need, i</w:t>
      </w:r>
      <w:r w:rsidR="00FC75A4" w:rsidRPr="00DF1657">
        <w:rPr>
          <w:rFonts w:asciiTheme="minorHAnsi" w:hAnsiTheme="minorHAnsi" w:cs="Calibri"/>
        </w:rPr>
        <w:t>t is recommended that 22.</w:t>
      </w:r>
      <w:r w:rsidR="00DF1657">
        <w:rPr>
          <w:rFonts w:asciiTheme="minorHAnsi" w:hAnsiTheme="minorHAnsi" w:cs="Calibri"/>
          <w:lang w:val="en-US"/>
        </w:rPr>
        <w:t>8</w:t>
      </w:r>
      <w:r w:rsidRPr="00DF1657">
        <w:rPr>
          <w:rFonts w:asciiTheme="minorHAnsi" w:hAnsiTheme="minorHAnsi" w:cs="Calibri"/>
        </w:rPr>
        <w:t xml:space="preserve">% of new affordable </w:t>
      </w:r>
      <w:r w:rsidR="00FC75A4" w:rsidRPr="00DF1657">
        <w:rPr>
          <w:rFonts w:asciiTheme="minorHAnsi" w:hAnsiTheme="minorHAnsi" w:cs="Calibri"/>
        </w:rPr>
        <w:t>dwellings have one bedroom, 37.1% two bedrooms, 27.</w:t>
      </w:r>
      <w:r w:rsidR="00DD5198" w:rsidRPr="00DF1657">
        <w:rPr>
          <w:rFonts w:asciiTheme="minorHAnsi" w:hAnsiTheme="minorHAnsi" w:cs="Calibri"/>
          <w:lang w:val="en-US"/>
        </w:rPr>
        <w:t xml:space="preserve">4% </w:t>
      </w:r>
      <w:r w:rsidRPr="00DF1657">
        <w:rPr>
          <w:rFonts w:asciiTheme="minorHAnsi" w:hAnsiTheme="minorHAnsi" w:cs="Calibri"/>
        </w:rPr>
        <w:t xml:space="preserve"> three bedrooms and </w:t>
      </w:r>
      <w:r w:rsidR="00FC75A4" w:rsidRPr="00DF1657">
        <w:rPr>
          <w:rFonts w:asciiTheme="minorHAnsi" w:hAnsiTheme="minorHAnsi" w:cs="Calibri"/>
        </w:rPr>
        <w:t>12.7</w:t>
      </w:r>
      <w:r w:rsidRPr="00DF1657">
        <w:rPr>
          <w:rFonts w:asciiTheme="minorHAnsi" w:hAnsiTheme="minorHAnsi" w:cs="Calibri"/>
        </w:rPr>
        <w:t>%</w:t>
      </w:r>
      <w:r w:rsidRPr="0067297E">
        <w:rPr>
          <w:rFonts w:asciiTheme="minorHAnsi" w:hAnsiTheme="minorHAnsi" w:cs="Calibri"/>
        </w:rPr>
        <w:t xml:space="preserve"> four or more bedrooms. Future delivery of affordable housing will help address this imbalance, but the actual scale of delivery will be determined by Local Plan policies, the economic viability of delivery, the development programmes of </w:t>
      </w:r>
      <w:r w:rsidR="00367646" w:rsidRPr="0067297E">
        <w:rPr>
          <w:rFonts w:asciiTheme="minorHAnsi" w:hAnsiTheme="minorHAnsi" w:cs="Calibri"/>
          <w:lang w:val="en-GB"/>
        </w:rPr>
        <w:t>h</w:t>
      </w:r>
      <w:r w:rsidRPr="0067297E">
        <w:rPr>
          <w:rFonts w:asciiTheme="minorHAnsi" w:hAnsiTheme="minorHAnsi" w:cs="Calibri"/>
        </w:rPr>
        <w:t xml:space="preserve">ousing </w:t>
      </w:r>
      <w:r w:rsidR="00367646" w:rsidRPr="0067297E">
        <w:rPr>
          <w:rFonts w:asciiTheme="minorHAnsi" w:hAnsiTheme="minorHAnsi" w:cs="Calibri"/>
          <w:lang w:val="en-GB"/>
        </w:rPr>
        <w:t>a</w:t>
      </w:r>
      <w:r w:rsidRPr="0067297E">
        <w:rPr>
          <w:rFonts w:asciiTheme="minorHAnsi" w:hAnsiTheme="minorHAnsi" w:cs="Calibri"/>
        </w:rPr>
        <w:t>ssociation partners, opportunities for private developers to build affordable homes and the ability of the Council to buil</w:t>
      </w:r>
      <w:r w:rsidR="00296E4C" w:rsidRPr="0067297E">
        <w:rPr>
          <w:rFonts w:asciiTheme="minorHAnsi" w:hAnsiTheme="minorHAnsi" w:cs="Calibri"/>
          <w:lang w:val="en-GB"/>
        </w:rPr>
        <w:t>d</w:t>
      </w:r>
      <w:r w:rsidRPr="0067297E">
        <w:rPr>
          <w:rFonts w:asciiTheme="minorHAnsi" w:hAnsiTheme="minorHAnsi" w:cs="Calibri"/>
        </w:rPr>
        <w:t xml:space="preserve"> its own affordable homes. </w:t>
      </w:r>
      <w:r w:rsidR="009943CC" w:rsidRPr="0067297E">
        <w:rPr>
          <w:rFonts w:asciiTheme="minorHAnsi" w:hAnsiTheme="minorHAnsi" w:cs="Calibri"/>
        </w:rPr>
        <w:t xml:space="preserve">An </w:t>
      </w:r>
      <w:r w:rsidR="009943CC" w:rsidRPr="0067297E">
        <w:rPr>
          <w:rFonts w:asciiTheme="minorHAnsi" w:hAnsiTheme="minorHAnsi"/>
        </w:rPr>
        <w:t xml:space="preserve">affordable tenure split for the borough of around </w:t>
      </w:r>
      <w:r w:rsidR="00E2770E" w:rsidRPr="0067297E">
        <w:rPr>
          <w:rFonts w:asciiTheme="minorHAnsi" w:hAnsiTheme="minorHAnsi"/>
          <w:lang w:val="en-US"/>
        </w:rPr>
        <w:t xml:space="preserve">70% rented and 30% intermediate tenure is recommended, with a further breakdown of </w:t>
      </w:r>
      <w:r w:rsidR="009943CC" w:rsidRPr="0067297E">
        <w:rPr>
          <w:rFonts w:asciiTheme="minorHAnsi" w:hAnsiTheme="minorHAnsi"/>
        </w:rPr>
        <w:t>44% social rented, 26% affordable rent and 30% intermediate tenure.</w:t>
      </w:r>
    </w:p>
    <w:p w14:paraId="1537D981" w14:textId="11435412" w:rsidR="00D36E4C" w:rsidRPr="0067297E" w:rsidRDefault="00D36E4C" w:rsidP="00543A76">
      <w:pPr>
        <w:pStyle w:val="Reporttext"/>
        <w:tabs>
          <w:tab w:val="num" w:pos="1419"/>
        </w:tabs>
        <w:rPr>
          <w:rFonts w:asciiTheme="minorHAnsi" w:hAnsiTheme="minorHAnsi" w:cs="Calibri"/>
        </w:rPr>
      </w:pPr>
      <w:r>
        <w:rPr>
          <w:rFonts w:asciiTheme="minorHAnsi" w:hAnsiTheme="minorHAnsi" w:cs="Calibri"/>
          <w:lang w:val="en-GB"/>
        </w:rPr>
        <w:t>The</w:t>
      </w:r>
      <w:r w:rsidR="008223BE">
        <w:rPr>
          <w:rFonts w:asciiTheme="minorHAnsi" w:hAnsiTheme="minorHAnsi" w:cs="Calibri"/>
          <w:lang w:val="en-GB"/>
        </w:rPr>
        <w:t xml:space="preserve"> evidence in this report </w:t>
      </w:r>
      <w:r w:rsidR="00AA2F90">
        <w:rPr>
          <w:rFonts w:asciiTheme="minorHAnsi" w:hAnsiTheme="minorHAnsi" w:cs="Calibri"/>
          <w:lang w:val="en-GB"/>
        </w:rPr>
        <w:t>point</w:t>
      </w:r>
      <w:r w:rsidR="008223BE">
        <w:rPr>
          <w:rFonts w:asciiTheme="minorHAnsi" w:hAnsiTheme="minorHAnsi" w:cs="Calibri"/>
          <w:lang w:val="en-GB"/>
        </w:rPr>
        <w:t>s</w:t>
      </w:r>
      <w:r w:rsidR="00AA2F90">
        <w:rPr>
          <w:rFonts w:asciiTheme="minorHAnsi" w:hAnsiTheme="minorHAnsi" w:cs="Calibri"/>
          <w:lang w:val="en-GB"/>
        </w:rPr>
        <w:t xml:space="preserve"> towards the need for a strong a</w:t>
      </w:r>
      <w:r>
        <w:rPr>
          <w:rFonts w:asciiTheme="minorHAnsi" w:hAnsiTheme="minorHAnsi" w:cs="Calibri"/>
          <w:lang w:val="en-GB"/>
        </w:rPr>
        <w:t>ffordable housing</w:t>
      </w:r>
      <w:r w:rsidR="00AA2F90">
        <w:rPr>
          <w:rFonts w:asciiTheme="minorHAnsi" w:hAnsiTheme="minorHAnsi" w:cs="Calibri"/>
          <w:lang w:val="en-GB"/>
        </w:rPr>
        <w:t xml:space="preserve"> policy</w:t>
      </w:r>
      <w:r w:rsidR="00A27826">
        <w:rPr>
          <w:rFonts w:asciiTheme="minorHAnsi" w:hAnsiTheme="minorHAnsi" w:cs="Calibri"/>
          <w:lang w:val="en-GB"/>
        </w:rPr>
        <w:t xml:space="preserve"> within the Local Plan that takes account of the following recommendations:</w:t>
      </w:r>
      <w:r>
        <w:rPr>
          <w:rFonts w:asciiTheme="minorHAnsi" w:hAnsiTheme="minorHAnsi" w:cs="Calibri"/>
          <w:lang w:val="en-GB"/>
        </w:rPr>
        <w:t xml:space="preserve"> </w:t>
      </w:r>
    </w:p>
    <w:p w14:paraId="20EEDF0A" w14:textId="71ACDD2B" w:rsidR="00425A04" w:rsidRDefault="00425A04">
      <w:pPr>
        <w:rPr>
          <w:rFonts w:asciiTheme="minorHAnsi" w:hAnsiTheme="minorHAnsi" w:cs="Calibri"/>
          <w:lang w:val="x-none"/>
        </w:rPr>
      </w:pPr>
      <w:r>
        <w:rPr>
          <w:rFonts w:asciiTheme="minorHAnsi" w:hAnsiTheme="minorHAnsi" w:cs="Calibri"/>
        </w:rPr>
        <w:br w:type="page"/>
      </w:r>
    </w:p>
    <w:p w14:paraId="36C77060" w14:textId="77777777" w:rsidR="00D631C4" w:rsidRPr="0067297E" w:rsidRDefault="002F10A6" w:rsidP="00543A76">
      <w:pPr>
        <w:pStyle w:val="Heading1"/>
        <w:rPr>
          <w:rFonts w:asciiTheme="minorHAnsi" w:hAnsiTheme="minorHAnsi" w:cs="Calibri"/>
        </w:rPr>
      </w:pPr>
      <w:bookmarkStart w:id="410" w:name="_Toc1385783"/>
      <w:bookmarkStart w:id="411" w:name="_Toc23151100"/>
      <w:bookmarkStart w:id="412" w:name="_Toc399864412"/>
      <w:bookmarkStart w:id="413" w:name="_Toc428528506"/>
      <w:bookmarkStart w:id="414" w:name="_Toc430084600"/>
      <w:bookmarkStart w:id="415" w:name="_Toc430782039"/>
      <w:r w:rsidRPr="0067297E">
        <w:rPr>
          <w:rFonts w:asciiTheme="minorHAnsi" w:hAnsiTheme="minorHAnsi" w:cs="Calibri"/>
          <w:lang w:val="en-GB"/>
        </w:rPr>
        <w:t>Dwelling type and mix</w:t>
      </w:r>
      <w:bookmarkEnd w:id="410"/>
      <w:bookmarkEnd w:id="411"/>
    </w:p>
    <w:p w14:paraId="4E6743B9" w14:textId="77777777" w:rsidR="00D631C4" w:rsidRPr="0067297E" w:rsidRDefault="00D631C4" w:rsidP="00543A76">
      <w:pPr>
        <w:pStyle w:val="Heading2"/>
        <w:rPr>
          <w:rFonts w:asciiTheme="minorHAnsi" w:hAnsiTheme="minorHAnsi"/>
        </w:rPr>
      </w:pPr>
      <w:bookmarkStart w:id="416" w:name="_Toc1385784"/>
      <w:bookmarkStart w:id="417" w:name="_Toc23151101"/>
      <w:r w:rsidRPr="0067297E">
        <w:rPr>
          <w:rFonts w:asciiTheme="minorHAnsi" w:hAnsiTheme="minorHAnsi"/>
        </w:rPr>
        <w:t>Introduction</w:t>
      </w:r>
      <w:bookmarkEnd w:id="416"/>
      <w:bookmarkEnd w:id="417"/>
    </w:p>
    <w:p w14:paraId="6A9DE7A5" w14:textId="77777777" w:rsidR="00F6633F" w:rsidRPr="0067297E" w:rsidRDefault="00D631C4" w:rsidP="00543A76">
      <w:pPr>
        <w:pStyle w:val="Reporttext"/>
        <w:tabs>
          <w:tab w:val="num" w:pos="1419"/>
        </w:tabs>
        <w:rPr>
          <w:rFonts w:asciiTheme="minorHAnsi" w:hAnsiTheme="minorHAnsi"/>
        </w:rPr>
      </w:pPr>
      <w:r w:rsidRPr="0067297E">
        <w:rPr>
          <w:rFonts w:asciiTheme="minorHAnsi" w:hAnsiTheme="minorHAnsi"/>
        </w:rPr>
        <w:t xml:space="preserve">The purpose of this chapter is to consider the dwelling type and size mix which is appropriate for </w:t>
      </w:r>
      <w:r w:rsidR="009943CC" w:rsidRPr="0067297E">
        <w:rPr>
          <w:rFonts w:asciiTheme="minorHAnsi" w:hAnsiTheme="minorHAnsi"/>
          <w:lang w:val="en-GB"/>
        </w:rPr>
        <w:t>the borough</w:t>
      </w:r>
      <w:r w:rsidRPr="0067297E">
        <w:rPr>
          <w:rFonts w:asciiTheme="minorHAnsi" w:hAnsiTheme="minorHAnsi"/>
        </w:rPr>
        <w:t xml:space="preserve">. </w:t>
      </w:r>
      <w:r w:rsidR="00F6633F" w:rsidRPr="0067297E">
        <w:rPr>
          <w:rFonts w:asciiTheme="minorHAnsi" w:hAnsiTheme="minorHAnsi"/>
        </w:rPr>
        <w:t>There are three main data sources which provide the starting point for the analysis: household projections, dwelling stock information and national estimates of the relationships between households and dwellings derived from arc</w:t>
      </w:r>
      <w:r w:rsidR="00F6633F" w:rsidRPr="0067297E">
        <w:rPr>
          <w:rFonts w:asciiTheme="minorHAnsi" w:hAnsiTheme="minorHAnsi"/>
          <w:vertAlign w:val="superscript"/>
        </w:rPr>
        <w:t>4</w:t>
      </w:r>
      <w:r w:rsidR="00F6633F" w:rsidRPr="0067297E">
        <w:rPr>
          <w:rFonts w:asciiTheme="minorHAnsi" w:hAnsiTheme="minorHAnsi"/>
        </w:rPr>
        <w:t xml:space="preserve"> household surveys.  </w:t>
      </w:r>
    </w:p>
    <w:p w14:paraId="46CCA42B" w14:textId="77777777" w:rsidR="00F6633F" w:rsidRPr="0067297E" w:rsidRDefault="00F6633F" w:rsidP="00A96554">
      <w:pPr>
        <w:rPr>
          <w:rFonts w:asciiTheme="minorHAnsi" w:hAnsiTheme="minorHAnsi"/>
        </w:rPr>
      </w:pPr>
    </w:p>
    <w:p w14:paraId="33C2EFCC" w14:textId="77777777" w:rsidR="00F6633F" w:rsidRPr="0067297E" w:rsidRDefault="00F6633F" w:rsidP="006C722F">
      <w:pPr>
        <w:pStyle w:val="Heading3"/>
        <w:rPr>
          <w:rFonts w:asciiTheme="minorHAnsi" w:hAnsiTheme="minorHAnsi"/>
        </w:rPr>
      </w:pPr>
      <w:r w:rsidRPr="0067297E">
        <w:rPr>
          <w:rFonts w:asciiTheme="minorHAnsi" w:hAnsiTheme="minorHAnsi"/>
        </w:rPr>
        <w:t>CLG Household projections</w:t>
      </w:r>
    </w:p>
    <w:p w14:paraId="58762758" w14:textId="6EB49A93" w:rsidR="00F6633F" w:rsidRPr="0067297E" w:rsidRDefault="00F6633F" w:rsidP="006C722F">
      <w:pPr>
        <w:pStyle w:val="Reporttext"/>
        <w:tabs>
          <w:tab w:val="num" w:pos="1419"/>
        </w:tabs>
        <w:rPr>
          <w:rFonts w:asciiTheme="minorHAnsi" w:hAnsiTheme="minorHAnsi"/>
        </w:rPr>
      </w:pPr>
      <w:r w:rsidRPr="0067297E">
        <w:rPr>
          <w:rFonts w:asciiTheme="minorHAnsi" w:hAnsiTheme="minorHAnsi"/>
        </w:rPr>
        <w:t xml:space="preserve">These are used to establish the number of households </w:t>
      </w:r>
      <w:r w:rsidR="005B2517" w:rsidRPr="0067297E">
        <w:rPr>
          <w:rFonts w:asciiTheme="minorHAnsi" w:hAnsiTheme="minorHAnsi"/>
        </w:rPr>
        <w:t>by</w:t>
      </w:r>
      <w:r w:rsidR="005B2517" w:rsidRPr="0067297E">
        <w:rPr>
          <w:rFonts w:asciiTheme="minorHAnsi" w:hAnsiTheme="minorHAnsi"/>
          <w:lang w:val="en-US"/>
        </w:rPr>
        <w:t xml:space="preserve"> Household</w:t>
      </w:r>
      <w:r w:rsidR="00E413E6" w:rsidRPr="0067297E">
        <w:rPr>
          <w:rFonts w:asciiTheme="minorHAnsi" w:hAnsiTheme="minorHAnsi"/>
          <w:lang w:val="en-US"/>
        </w:rPr>
        <w:t xml:space="preserve"> Reference Person  (</w:t>
      </w:r>
      <w:r w:rsidRPr="0067297E">
        <w:rPr>
          <w:rFonts w:asciiTheme="minorHAnsi" w:hAnsiTheme="minorHAnsi"/>
        </w:rPr>
        <w:t>HRP</w:t>
      </w:r>
      <w:r w:rsidR="00203E57" w:rsidRPr="0067297E">
        <w:rPr>
          <w:rFonts w:asciiTheme="minorHAnsi" w:hAnsiTheme="minorHAnsi"/>
          <w:lang w:val="en-US"/>
        </w:rPr>
        <w:t>)</w:t>
      </w:r>
      <w:r w:rsidR="00367646" w:rsidRPr="0067297E">
        <w:rPr>
          <w:rFonts w:asciiTheme="minorHAnsi" w:hAnsiTheme="minorHAnsi"/>
          <w:lang w:val="en-US"/>
        </w:rPr>
        <w:t xml:space="preserve"> </w:t>
      </w:r>
      <w:r w:rsidRPr="0067297E">
        <w:rPr>
          <w:rFonts w:asciiTheme="minorHAnsi" w:hAnsiTheme="minorHAnsi"/>
        </w:rPr>
        <w:t>and household type using the latest (currently 2014-based</w:t>
      </w:r>
      <w:r w:rsidR="00DF121C" w:rsidRPr="0067297E">
        <w:rPr>
          <w:rStyle w:val="FootnoteReference"/>
          <w:rFonts w:asciiTheme="minorHAnsi" w:hAnsiTheme="minorHAnsi"/>
        </w:rPr>
        <w:footnoteReference w:id="59"/>
      </w:r>
      <w:r w:rsidRPr="0067297E">
        <w:rPr>
          <w:rFonts w:asciiTheme="minorHAnsi" w:hAnsiTheme="minorHAnsi"/>
        </w:rPr>
        <w:t xml:space="preserve">) data and how this is expected to change over a specified period. </w:t>
      </w:r>
      <w:r w:rsidR="006859AE">
        <w:rPr>
          <w:rFonts w:asciiTheme="minorHAnsi" w:hAnsiTheme="minorHAnsi"/>
          <w:lang w:val="en-US"/>
        </w:rPr>
        <w:t xml:space="preserve">Although </w:t>
      </w:r>
      <w:r w:rsidRPr="0067297E">
        <w:rPr>
          <w:rFonts w:asciiTheme="minorHAnsi" w:hAnsiTheme="minorHAnsi"/>
        </w:rPr>
        <w:t xml:space="preserve">analysis focuses on </w:t>
      </w:r>
      <w:r w:rsidR="006859AE">
        <w:rPr>
          <w:rFonts w:asciiTheme="minorHAnsi" w:hAnsiTheme="minorHAnsi"/>
          <w:lang w:val="en-US"/>
        </w:rPr>
        <w:t xml:space="preserve">the </w:t>
      </w:r>
      <w:r w:rsidRPr="0067297E">
        <w:rPr>
          <w:rFonts w:asciiTheme="minorHAnsi" w:hAnsiTheme="minorHAnsi"/>
        </w:rPr>
        <w:t xml:space="preserve">Local Plan </w:t>
      </w:r>
      <w:r w:rsidR="006859AE">
        <w:rPr>
          <w:rFonts w:asciiTheme="minorHAnsi" w:hAnsiTheme="minorHAnsi"/>
          <w:lang w:val="en-US"/>
        </w:rPr>
        <w:t>p</w:t>
      </w:r>
      <w:r w:rsidRPr="0067297E">
        <w:rPr>
          <w:rFonts w:asciiTheme="minorHAnsi" w:hAnsiTheme="minorHAnsi"/>
        </w:rPr>
        <w:t>eriod</w:t>
      </w:r>
      <w:r w:rsidR="006859AE">
        <w:rPr>
          <w:rFonts w:asciiTheme="minorHAnsi" w:hAnsiTheme="minorHAnsi"/>
          <w:lang w:val="en-US"/>
        </w:rPr>
        <w:t xml:space="preserve"> 2020-2040, the 2014-based MHCLG household projection data only covers the period to 2039.  </w:t>
      </w:r>
    </w:p>
    <w:p w14:paraId="47D04AB0" w14:textId="77777777" w:rsidR="00F6633F" w:rsidRPr="0067297E" w:rsidRDefault="00F6633F" w:rsidP="006C722F">
      <w:pPr>
        <w:pStyle w:val="Reporttext"/>
        <w:tabs>
          <w:tab w:val="num" w:pos="1419"/>
        </w:tabs>
        <w:rPr>
          <w:rFonts w:asciiTheme="minorHAnsi" w:hAnsiTheme="minorHAnsi"/>
        </w:rPr>
      </w:pPr>
      <w:r w:rsidRPr="0067297E">
        <w:rPr>
          <w:rFonts w:asciiTheme="minorHAnsi" w:hAnsiTheme="minorHAnsi"/>
        </w:rPr>
        <w:t>The change in the number of households over this period can be established and, assuming that the dwelling needs of these households do not change significantly over the Plan Period, the potential impact on type/size of dwellings can be determined.</w:t>
      </w:r>
    </w:p>
    <w:p w14:paraId="1CCE151C" w14:textId="77777777" w:rsidR="00F6633F" w:rsidRPr="0067297E" w:rsidRDefault="00F6633F" w:rsidP="00FA273F">
      <w:pPr>
        <w:pStyle w:val="Reporttext"/>
        <w:numPr>
          <w:ilvl w:val="0"/>
          <w:numId w:val="0"/>
        </w:numPr>
        <w:ind w:left="709"/>
        <w:rPr>
          <w:rFonts w:asciiTheme="minorHAnsi" w:hAnsiTheme="minorHAnsi"/>
        </w:rPr>
      </w:pPr>
    </w:p>
    <w:p w14:paraId="290C9E7A" w14:textId="77777777" w:rsidR="00F6633F" w:rsidRPr="0067297E" w:rsidRDefault="00F6633F" w:rsidP="00543A76">
      <w:pPr>
        <w:pStyle w:val="Heading3"/>
        <w:rPr>
          <w:rFonts w:asciiTheme="minorHAnsi" w:hAnsiTheme="minorHAnsi"/>
        </w:rPr>
      </w:pPr>
      <w:r w:rsidRPr="0067297E">
        <w:rPr>
          <w:rFonts w:asciiTheme="minorHAnsi" w:hAnsiTheme="minorHAnsi"/>
        </w:rPr>
        <w:t>Dwelling stock</w:t>
      </w:r>
    </w:p>
    <w:p w14:paraId="642876D9" w14:textId="77777777" w:rsidR="00F6633F" w:rsidRPr="0067297E" w:rsidRDefault="00F6633F" w:rsidP="00543A76">
      <w:pPr>
        <w:pStyle w:val="Reporttext"/>
        <w:tabs>
          <w:tab w:val="num" w:pos="1419"/>
        </w:tabs>
        <w:rPr>
          <w:rFonts w:asciiTheme="minorHAnsi" w:hAnsiTheme="minorHAnsi"/>
        </w:rPr>
      </w:pPr>
      <w:r w:rsidRPr="0067297E">
        <w:rPr>
          <w:rFonts w:asciiTheme="minorHAnsi" w:hAnsiTheme="minorHAnsi"/>
        </w:rPr>
        <w:t xml:space="preserve">The latest Valuation Office Agency (VOA) data provides a summary of dwelling type (house, flat, bungalow) and size (number of bedrooms) as at September 2017. </w:t>
      </w:r>
    </w:p>
    <w:p w14:paraId="7F645C70" w14:textId="77777777" w:rsidR="00F6633F" w:rsidRPr="0067297E" w:rsidRDefault="00F6633F" w:rsidP="00FA273F">
      <w:pPr>
        <w:pStyle w:val="Reporttext"/>
        <w:numPr>
          <w:ilvl w:val="0"/>
          <w:numId w:val="0"/>
        </w:numPr>
        <w:ind w:left="709"/>
        <w:rPr>
          <w:rFonts w:asciiTheme="minorHAnsi" w:hAnsiTheme="minorHAnsi"/>
        </w:rPr>
      </w:pPr>
    </w:p>
    <w:p w14:paraId="483B2D52" w14:textId="77777777" w:rsidR="00F6633F" w:rsidRPr="0067297E" w:rsidRDefault="00F6633F" w:rsidP="00543A76">
      <w:pPr>
        <w:pStyle w:val="Heading3"/>
        <w:rPr>
          <w:rFonts w:asciiTheme="minorHAnsi" w:hAnsiTheme="minorHAnsi"/>
        </w:rPr>
      </w:pPr>
      <w:r w:rsidRPr="0067297E">
        <w:rPr>
          <w:rFonts w:asciiTheme="minorHAnsi" w:hAnsiTheme="minorHAnsi"/>
        </w:rPr>
        <w:t>Relationship between households and dwellings</w:t>
      </w:r>
    </w:p>
    <w:p w14:paraId="21468DB7" w14:textId="6CD272E6" w:rsidR="00F6633F" w:rsidRPr="0067297E" w:rsidRDefault="00F6633F" w:rsidP="00543A76">
      <w:pPr>
        <w:pStyle w:val="Reporttext"/>
        <w:tabs>
          <w:tab w:val="num" w:pos="1419"/>
        </w:tabs>
        <w:rPr>
          <w:rFonts w:asciiTheme="minorHAnsi" w:hAnsiTheme="minorHAnsi"/>
        </w:rPr>
      </w:pPr>
      <w:r w:rsidRPr="0067297E">
        <w:rPr>
          <w:rFonts w:asciiTheme="minorHAnsi" w:hAnsiTheme="minorHAnsi"/>
        </w:rPr>
        <w:t>arc</w:t>
      </w:r>
      <w:r w:rsidRPr="0067297E">
        <w:rPr>
          <w:rFonts w:asciiTheme="minorHAnsi" w:hAnsiTheme="minorHAnsi"/>
          <w:vertAlign w:val="superscript"/>
        </w:rPr>
        <w:t>4</w:t>
      </w:r>
      <w:r w:rsidRPr="0067297E">
        <w:rPr>
          <w:rFonts w:asciiTheme="minorHAnsi" w:hAnsiTheme="minorHAnsi"/>
        </w:rPr>
        <w:t xml:space="preserve"> has prepared data on the relationship between the age of household reference person, household type and dwellings occupied by type and size. This is a unique secondary data source and has been derived from amalgamating household survey data from around 40,000 households. The data av</w:t>
      </w:r>
      <w:r w:rsidR="000D2A58" w:rsidRPr="0067297E">
        <w:rPr>
          <w:rFonts w:asciiTheme="minorHAnsi" w:hAnsiTheme="minorHAnsi"/>
        </w:rPr>
        <w:t xml:space="preserve">ailable is summarised in Table </w:t>
      </w:r>
      <w:r w:rsidR="00A96554" w:rsidRPr="0067297E">
        <w:rPr>
          <w:rFonts w:asciiTheme="minorHAnsi" w:hAnsiTheme="minorHAnsi"/>
          <w:lang w:val="en-GB"/>
        </w:rPr>
        <w:t>7</w:t>
      </w:r>
      <w:r w:rsidRPr="0067297E">
        <w:rPr>
          <w:rFonts w:asciiTheme="minorHAnsi" w:hAnsiTheme="minorHAnsi"/>
        </w:rPr>
        <w:t xml:space="preserve">.1. </w:t>
      </w:r>
    </w:p>
    <w:p w14:paraId="2AB760AD" w14:textId="77777777" w:rsidR="00F6633F" w:rsidRPr="0067297E" w:rsidRDefault="00F6633F" w:rsidP="00FA273F">
      <w:pPr>
        <w:pStyle w:val="Reporttext"/>
        <w:numPr>
          <w:ilvl w:val="0"/>
          <w:numId w:val="0"/>
        </w:numPr>
        <w:ind w:left="709"/>
        <w:rPr>
          <w:rFonts w:asciiTheme="minorHAnsi" w:hAnsiTheme="minorHAnsi"/>
        </w:rPr>
      </w:pPr>
    </w:p>
    <w:p w14:paraId="5804935B" w14:textId="77777777" w:rsidR="00F6633F" w:rsidRPr="0067297E" w:rsidRDefault="00F6633F">
      <w:pPr>
        <w:rPr>
          <w:rFonts w:asciiTheme="minorHAnsi" w:hAnsiTheme="minorHAnsi"/>
          <w:b/>
        </w:rPr>
      </w:pPr>
      <w:r w:rsidRPr="0067297E">
        <w:rPr>
          <w:rFonts w:asciiTheme="minorHAnsi" w:hAnsiTheme="minorHAnsi"/>
          <w:b/>
        </w:rPr>
        <w:br w:type="page"/>
      </w:r>
    </w:p>
    <w:tbl>
      <w:tblPr>
        <w:tblStyle w:val="arc4table"/>
        <w:tblW w:w="5000" w:type="pct"/>
        <w:jc w:val="center"/>
        <w:tblLook w:val="04A0" w:firstRow="1" w:lastRow="0" w:firstColumn="1" w:lastColumn="0" w:noHBand="0" w:noVBand="1"/>
        <w:tblCaption w:val="Table 7.1 Age groups, household type and dwelling types used"/>
      </w:tblPr>
      <w:tblGrid>
        <w:gridCol w:w="2145"/>
        <w:gridCol w:w="2387"/>
        <w:gridCol w:w="2692"/>
        <w:gridCol w:w="1958"/>
      </w:tblGrid>
      <w:tr w:rsidR="00F6633F" w:rsidRPr="0067297E" w14:paraId="0AE4A546" w14:textId="77777777" w:rsidTr="00426BD8">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4"/>
          </w:tcPr>
          <w:p w14:paraId="4295E0FA" w14:textId="6127BE60" w:rsidR="00F6633F" w:rsidRPr="0067297E" w:rsidRDefault="000D2A58" w:rsidP="00FA273F">
            <w:pPr>
              <w:pStyle w:val="tableheading"/>
              <w:rPr>
                <w:rFonts w:asciiTheme="minorHAnsi" w:hAnsiTheme="minorHAnsi"/>
                <w:b/>
                <w:color w:val="000000"/>
              </w:rPr>
            </w:pPr>
            <w:bookmarkStart w:id="418" w:name="_Toc391751394"/>
            <w:bookmarkStart w:id="419" w:name="_Toc397250697"/>
            <w:bookmarkStart w:id="420" w:name="_Toc23151193"/>
            <w:r w:rsidRPr="0067297E">
              <w:rPr>
                <w:rFonts w:asciiTheme="minorHAnsi" w:hAnsiTheme="minorHAnsi"/>
                <w:b/>
              </w:rPr>
              <w:t xml:space="preserve">Table </w:t>
            </w:r>
            <w:r w:rsidR="00A96554" w:rsidRPr="0067297E">
              <w:rPr>
                <w:rFonts w:asciiTheme="minorHAnsi" w:hAnsiTheme="minorHAnsi"/>
                <w:b/>
              </w:rPr>
              <w:t>7</w:t>
            </w:r>
            <w:r w:rsidR="00F6633F" w:rsidRPr="0067297E">
              <w:rPr>
                <w:rFonts w:asciiTheme="minorHAnsi" w:hAnsiTheme="minorHAnsi"/>
                <w:b/>
              </w:rPr>
              <w:t>.1</w:t>
            </w:r>
            <w:r w:rsidR="00F6633F" w:rsidRPr="0067297E">
              <w:rPr>
                <w:rFonts w:asciiTheme="minorHAnsi" w:hAnsiTheme="minorHAnsi"/>
                <w:b/>
              </w:rPr>
              <w:tab/>
              <w:t>Age groups, household type and dwelling types used</w:t>
            </w:r>
            <w:bookmarkEnd w:id="418"/>
            <w:bookmarkEnd w:id="419"/>
            <w:bookmarkEnd w:id="420"/>
          </w:p>
        </w:tc>
      </w:tr>
      <w:tr w:rsidR="00F6633F" w:rsidRPr="0067297E" w14:paraId="65ADAFE5" w14:textId="77777777" w:rsidTr="00A96554">
        <w:trPr>
          <w:jc w:val="center"/>
        </w:trPr>
        <w:tc>
          <w:tcPr>
            <w:tcW w:w="1168" w:type="pct"/>
            <w:shd w:val="clear" w:color="auto" w:fill="009999"/>
            <w:hideMark/>
          </w:tcPr>
          <w:p w14:paraId="00A528BA" w14:textId="77777777" w:rsidR="00F6633F" w:rsidRPr="0067297E" w:rsidRDefault="00F6633F" w:rsidP="00FA273F">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Age group of Household Reference Person</w:t>
            </w:r>
          </w:p>
        </w:tc>
        <w:tc>
          <w:tcPr>
            <w:tcW w:w="1300" w:type="pct"/>
            <w:shd w:val="clear" w:color="auto" w:fill="009999"/>
            <w:hideMark/>
          </w:tcPr>
          <w:p w14:paraId="5B18272F" w14:textId="77777777" w:rsidR="00F6633F" w:rsidRPr="0067297E" w:rsidRDefault="00F6633F" w:rsidP="00FA273F">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Household (HH) type</w:t>
            </w:r>
          </w:p>
        </w:tc>
        <w:tc>
          <w:tcPr>
            <w:tcW w:w="1466" w:type="pct"/>
            <w:shd w:val="clear" w:color="auto" w:fill="009999"/>
            <w:hideMark/>
          </w:tcPr>
          <w:p w14:paraId="48A41815" w14:textId="77777777" w:rsidR="00F6633F" w:rsidRPr="0067297E" w:rsidRDefault="00F6633F" w:rsidP="00FA273F">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Dwelling type</w:t>
            </w:r>
          </w:p>
        </w:tc>
        <w:tc>
          <w:tcPr>
            <w:tcW w:w="1066" w:type="pct"/>
            <w:shd w:val="clear" w:color="auto" w:fill="009999"/>
            <w:hideMark/>
          </w:tcPr>
          <w:p w14:paraId="5A3CB30C" w14:textId="77777777" w:rsidR="00F6633F" w:rsidRPr="0067297E" w:rsidRDefault="00F6633F" w:rsidP="00FA273F">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Dwelling size</w:t>
            </w:r>
          </w:p>
        </w:tc>
      </w:tr>
      <w:tr w:rsidR="00F6633F" w:rsidRPr="0067297E" w14:paraId="646229D9" w14:textId="77777777" w:rsidTr="00A96554">
        <w:trPr>
          <w:jc w:val="center"/>
        </w:trPr>
        <w:tc>
          <w:tcPr>
            <w:tcW w:w="1168" w:type="pct"/>
            <w:noWrap/>
            <w:hideMark/>
          </w:tcPr>
          <w:p w14:paraId="5341CA8B"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15_24</w:t>
            </w:r>
          </w:p>
        </w:tc>
        <w:tc>
          <w:tcPr>
            <w:tcW w:w="1300" w:type="pct"/>
            <w:noWrap/>
            <w:hideMark/>
          </w:tcPr>
          <w:p w14:paraId="1E0414FC"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One Person</w:t>
            </w:r>
          </w:p>
        </w:tc>
        <w:tc>
          <w:tcPr>
            <w:tcW w:w="1466" w:type="pct"/>
            <w:noWrap/>
            <w:hideMark/>
          </w:tcPr>
          <w:p w14:paraId="1DA5BCE6"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1 Bed House</w:t>
            </w:r>
          </w:p>
        </w:tc>
        <w:tc>
          <w:tcPr>
            <w:tcW w:w="1066" w:type="pct"/>
            <w:noWrap/>
            <w:hideMark/>
          </w:tcPr>
          <w:p w14:paraId="7A4C839D"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1 Bedroom</w:t>
            </w:r>
          </w:p>
        </w:tc>
      </w:tr>
      <w:tr w:rsidR="00F6633F" w:rsidRPr="0067297E" w14:paraId="4808F0B7" w14:textId="77777777" w:rsidTr="00A96554">
        <w:trPr>
          <w:jc w:val="center"/>
        </w:trPr>
        <w:tc>
          <w:tcPr>
            <w:tcW w:w="1168" w:type="pct"/>
            <w:noWrap/>
            <w:hideMark/>
          </w:tcPr>
          <w:p w14:paraId="24EC67F0"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25_34</w:t>
            </w:r>
          </w:p>
        </w:tc>
        <w:tc>
          <w:tcPr>
            <w:tcW w:w="1300" w:type="pct"/>
            <w:noWrap/>
            <w:hideMark/>
          </w:tcPr>
          <w:p w14:paraId="1C5C3091"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Couple only</w:t>
            </w:r>
          </w:p>
        </w:tc>
        <w:tc>
          <w:tcPr>
            <w:tcW w:w="1466" w:type="pct"/>
            <w:noWrap/>
            <w:hideMark/>
          </w:tcPr>
          <w:p w14:paraId="17BFDE01"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2 Bed House</w:t>
            </w:r>
          </w:p>
        </w:tc>
        <w:tc>
          <w:tcPr>
            <w:tcW w:w="1066" w:type="pct"/>
            <w:noWrap/>
            <w:hideMark/>
          </w:tcPr>
          <w:p w14:paraId="36B49019"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2 Bedrooms</w:t>
            </w:r>
          </w:p>
        </w:tc>
      </w:tr>
      <w:tr w:rsidR="00F6633F" w:rsidRPr="0067297E" w14:paraId="3E9C15C2" w14:textId="77777777" w:rsidTr="00A96554">
        <w:trPr>
          <w:jc w:val="center"/>
        </w:trPr>
        <w:tc>
          <w:tcPr>
            <w:tcW w:w="1168" w:type="pct"/>
            <w:noWrap/>
            <w:hideMark/>
          </w:tcPr>
          <w:p w14:paraId="1A0769F5"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35_44</w:t>
            </w:r>
          </w:p>
        </w:tc>
        <w:tc>
          <w:tcPr>
            <w:tcW w:w="1300" w:type="pct"/>
            <w:noWrap/>
            <w:hideMark/>
          </w:tcPr>
          <w:p w14:paraId="2978AECD"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HH with 1/2 Child(ren)</w:t>
            </w:r>
          </w:p>
        </w:tc>
        <w:tc>
          <w:tcPr>
            <w:tcW w:w="1466" w:type="pct"/>
            <w:noWrap/>
            <w:hideMark/>
          </w:tcPr>
          <w:p w14:paraId="15D6BD4D"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3 Bed House</w:t>
            </w:r>
          </w:p>
        </w:tc>
        <w:tc>
          <w:tcPr>
            <w:tcW w:w="1066" w:type="pct"/>
            <w:noWrap/>
            <w:hideMark/>
          </w:tcPr>
          <w:p w14:paraId="6A28E9BE"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3 Bedrooms</w:t>
            </w:r>
          </w:p>
        </w:tc>
      </w:tr>
      <w:tr w:rsidR="00F6633F" w:rsidRPr="0067297E" w14:paraId="4A5F0046" w14:textId="77777777" w:rsidTr="00A96554">
        <w:trPr>
          <w:jc w:val="center"/>
        </w:trPr>
        <w:tc>
          <w:tcPr>
            <w:tcW w:w="1168" w:type="pct"/>
            <w:noWrap/>
            <w:hideMark/>
          </w:tcPr>
          <w:p w14:paraId="04FB975C"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45_59</w:t>
            </w:r>
          </w:p>
        </w:tc>
        <w:tc>
          <w:tcPr>
            <w:tcW w:w="1300" w:type="pct"/>
            <w:noWrap/>
            <w:hideMark/>
          </w:tcPr>
          <w:p w14:paraId="42EA5CC5"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HH with 3 Children</w:t>
            </w:r>
          </w:p>
        </w:tc>
        <w:tc>
          <w:tcPr>
            <w:tcW w:w="1466" w:type="pct"/>
            <w:noWrap/>
            <w:hideMark/>
          </w:tcPr>
          <w:p w14:paraId="33F5BBD2"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4 or more bed House</w:t>
            </w:r>
          </w:p>
        </w:tc>
        <w:tc>
          <w:tcPr>
            <w:tcW w:w="1066" w:type="pct"/>
            <w:noWrap/>
            <w:hideMark/>
          </w:tcPr>
          <w:p w14:paraId="7533415A"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4+ Bedrooms</w:t>
            </w:r>
          </w:p>
        </w:tc>
      </w:tr>
      <w:tr w:rsidR="00F6633F" w:rsidRPr="0067297E" w14:paraId="5CC62C2B" w14:textId="77777777" w:rsidTr="00A96554">
        <w:trPr>
          <w:jc w:val="center"/>
        </w:trPr>
        <w:tc>
          <w:tcPr>
            <w:tcW w:w="1168" w:type="pct"/>
            <w:noWrap/>
            <w:hideMark/>
          </w:tcPr>
          <w:p w14:paraId="399A4A88"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60_84</w:t>
            </w:r>
          </w:p>
        </w:tc>
        <w:tc>
          <w:tcPr>
            <w:tcW w:w="1300" w:type="pct"/>
            <w:noWrap/>
            <w:hideMark/>
          </w:tcPr>
          <w:p w14:paraId="6F2A19B9"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Other Multi-person</w:t>
            </w:r>
          </w:p>
        </w:tc>
        <w:tc>
          <w:tcPr>
            <w:tcW w:w="1466" w:type="pct"/>
            <w:noWrap/>
            <w:hideMark/>
          </w:tcPr>
          <w:p w14:paraId="3D29B1A3"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1 Bed Flat</w:t>
            </w:r>
          </w:p>
        </w:tc>
        <w:tc>
          <w:tcPr>
            <w:tcW w:w="1066" w:type="pct"/>
            <w:noWrap/>
            <w:hideMark/>
          </w:tcPr>
          <w:p w14:paraId="0390958E" w14:textId="77777777" w:rsidR="00F6633F" w:rsidRPr="0067297E" w:rsidRDefault="00F6633F"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All</w:t>
            </w:r>
          </w:p>
        </w:tc>
      </w:tr>
      <w:tr w:rsidR="00A96554" w:rsidRPr="0067297E" w14:paraId="2E21E0B4" w14:textId="77777777" w:rsidTr="00A96554">
        <w:trPr>
          <w:jc w:val="center"/>
        </w:trPr>
        <w:tc>
          <w:tcPr>
            <w:tcW w:w="1168" w:type="pct"/>
            <w:noWrap/>
            <w:hideMark/>
          </w:tcPr>
          <w:p w14:paraId="399967AE" w14:textId="77777777" w:rsidR="00A96554" w:rsidRPr="0067297E" w:rsidRDefault="00A96554"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85+</w:t>
            </w:r>
          </w:p>
        </w:tc>
        <w:tc>
          <w:tcPr>
            <w:tcW w:w="1300" w:type="pct"/>
            <w:noWrap/>
            <w:hideMark/>
          </w:tcPr>
          <w:p w14:paraId="4D2B53EE" w14:textId="77777777" w:rsidR="00A96554" w:rsidRPr="0067297E" w:rsidRDefault="00A96554"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All</w:t>
            </w:r>
          </w:p>
        </w:tc>
        <w:tc>
          <w:tcPr>
            <w:tcW w:w="1466" w:type="pct"/>
            <w:noWrap/>
            <w:hideMark/>
          </w:tcPr>
          <w:p w14:paraId="123FA383" w14:textId="77777777" w:rsidR="00A96554" w:rsidRPr="0067297E" w:rsidRDefault="00A96554"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2 Bed Flat</w:t>
            </w:r>
          </w:p>
        </w:tc>
        <w:tc>
          <w:tcPr>
            <w:tcW w:w="1066" w:type="pct"/>
            <w:vMerge w:val="restart"/>
            <w:noWrap/>
            <w:hideMark/>
          </w:tcPr>
          <w:p w14:paraId="2E708819" w14:textId="77777777" w:rsidR="00A96554" w:rsidRPr="0067297E" w:rsidRDefault="00A96554" w:rsidP="00FA273F">
            <w:pPr>
              <w:spacing w:before="0" w:after="0"/>
              <w:jc w:val="center"/>
              <w:rPr>
                <w:rFonts w:asciiTheme="minorHAnsi" w:hAnsiTheme="minorHAnsi" w:cs="Calibri"/>
                <w:color w:val="000000"/>
                <w:sz w:val="22"/>
                <w:szCs w:val="22"/>
              </w:rPr>
            </w:pPr>
          </w:p>
        </w:tc>
      </w:tr>
      <w:tr w:rsidR="00A96554" w:rsidRPr="0067297E" w14:paraId="7C27BDB7" w14:textId="77777777" w:rsidTr="00A96554">
        <w:trPr>
          <w:jc w:val="center"/>
        </w:trPr>
        <w:tc>
          <w:tcPr>
            <w:tcW w:w="1168" w:type="pct"/>
            <w:noWrap/>
            <w:hideMark/>
          </w:tcPr>
          <w:p w14:paraId="64B62704" w14:textId="77777777" w:rsidR="00A96554" w:rsidRPr="0067297E" w:rsidRDefault="00A96554"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All</w:t>
            </w:r>
          </w:p>
        </w:tc>
        <w:tc>
          <w:tcPr>
            <w:tcW w:w="1300" w:type="pct"/>
            <w:noWrap/>
            <w:hideMark/>
          </w:tcPr>
          <w:p w14:paraId="3B03A530" w14:textId="77777777" w:rsidR="00A96554" w:rsidRPr="0067297E" w:rsidRDefault="00A96554" w:rsidP="00FA273F">
            <w:pPr>
              <w:spacing w:before="0" w:after="0"/>
              <w:jc w:val="center"/>
              <w:rPr>
                <w:rFonts w:asciiTheme="minorHAnsi" w:hAnsiTheme="minorHAnsi" w:cs="Calibri"/>
                <w:color w:val="000000"/>
                <w:sz w:val="22"/>
                <w:szCs w:val="22"/>
              </w:rPr>
            </w:pPr>
          </w:p>
        </w:tc>
        <w:tc>
          <w:tcPr>
            <w:tcW w:w="1466" w:type="pct"/>
            <w:noWrap/>
            <w:hideMark/>
          </w:tcPr>
          <w:p w14:paraId="15E4E906" w14:textId="77777777" w:rsidR="00A96554" w:rsidRPr="0067297E" w:rsidRDefault="00A96554"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3+ Bed flat</w:t>
            </w:r>
          </w:p>
        </w:tc>
        <w:tc>
          <w:tcPr>
            <w:tcW w:w="1066" w:type="pct"/>
            <w:vMerge/>
            <w:noWrap/>
            <w:hideMark/>
          </w:tcPr>
          <w:p w14:paraId="09CC42B5" w14:textId="77777777" w:rsidR="00A96554" w:rsidRPr="0067297E" w:rsidRDefault="00A96554" w:rsidP="00FA273F">
            <w:pPr>
              <w:spacing w:before="0" w:after="0"/>
              <w:jc w:val="center"/>
              <w:rPr>
                <w:rFonts w:asciiTheme="minorHAnsi" w:hAnsiTheme="minorHAnsi" w:cs="Calibri"/>
                <w:color w:val="000000"/>
                <w:sz w:val="22"/>
                <w:szCs w:val="22"/>
              </w:rPr>
            </w:pPr>
          </w:p>
        </w:tc>
      </w:tr>
      <w:tr w:rsidR="00A96554" w:rsidRPr="0067297E" w14:paraId="7AA27F31" w14:textId="77777777" w:rsidTr="00A96554">
        <w:trPr>
          <w:jc w:val="center"/>
        </w:trPr>
        <w:tc>
          <w:tcPr>
            <w:tcW w:w="1168" w:type="pct"/>
            <w:vMerge w:val="restart"/>
            <w:noWrap/>
            <w:hideMark/>
          </w:tcPr>
          <w:p w14:paraId="1BA61CE1" w14:textId="004AF314" w:rsidR="00A96554" w:rsidRPr="0067297E" w:rsidRDefault="00A96554" w:rsidP="00FA273F">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 </w:t>
            </w:r>
          </w:p>
        </w:tc>
        <w:tc>
          <w:tcPr>
            <w:tcW w:w="1300" w:type="pct"/>
            <w:vMerge w:val="restart"/>
            <w:noWrap/>
            <w:hideMark/>
          </w:tcPr>
          <w:p w14:paraId="4EAE9FE8" w14:textId="77777777" w:rsidR="00A96554" w:rsidRPr="0067297E" w:rsidRDefault="00A96554" w:rsidP="00FA273F">
            <w:pPr>
              <w:spacing w:before="0" w:after="0"/>
              <w:jc w:val="center"/>
              <w:rPr>
                <w:rFonts w:asciiTheme="minorHAnsi" w:hAnsiTheme="minorHAnsi" w:cs="Calibri"/>
                <w:color w:val="000000"/>
                <w:sz w:val="22"/>
                <w:szCs w:val="22"/>
              </w:rPr>
            </w:pPr>
          </w:p>
        </w:tc>
        <w:tc>
          <w:tcPr>
            <w:tcW w:w="1466" w:type="pct"/>
            <w:noWrap/>
            <w:hideMark/>
          </w:tcPr>
          <w:p w14:paraId="1C395BA7" w14:textId="77777777" w:rsidR="00A96554" w:rsidRPr="0067297E" w:rsidRDefault="00A96554"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1 Bed Bungalow</w:t>
            </w:r>
          </w:p>
        </w:tc>
        <w:tc>
          <w:tcPr>
            <w:tcW w:w="1066" w:type="pct"/>
            <w:vMerge/>
            <w:noWrap/>
            <w:hideMark/>
          </w:tcPr>
          <w:p w14:paraId="5F7DDD5F" w14:textId="77777777" w:rsidR="00A96554" w:rsidRPr="0067297E" w:rsidRDefault="00A96554" w:rsidP="00FA273F">
            <w:pPr>
              <w:spacing w:before="0" w:after="0"/>
              <w:jc w:val="center"/>
              <w:rPr>
                <w:rFonts w:asciiTheme="minorHAnsi" w:hAnsiTheme="minorHAnsi" w:cs="Calibri"/>
                <w:color w:val="000000"/>
                <w:sz w:val="22"/>
                <w:szCs w:val="22"/>
              </w:rPr>
            </w:pPr>
          </w:p>
        </w:tc>
      </w:tr>
      <w:tr w:rsidR="00A96554" w:rsidRPr="0067297E" w14:paraId="01F77683" w14:textId="77777777" w:rsidTr="00A96554">
        <w:trPr>
          <w:jc w:val="center"/>
        </w:trPr>
        <w:tc>
          <w:tcPr>
            <w:tcW w:w="1168" w:type="pct"/>
            <w:vMerge/>
            <w:noWrap/>
            <w:hideMark/>
          </w:tcPr>
          <w:p w14:paraId="46F67A67" w14:textId="52D704FF" w:rsidR="00A96554" w:rsidRPr="0067297E" w:rsidRDefault="00A96554" w:rsidP="00FA273F">
            <w:pPr>
              <w:spacing w:before="0" w:after="0"/>
              <w:rPr>
                <w:rFonts w:asciiTheme="minorHAnsi" w:hAnsiTheme="minorHAnsi" w:cs="Calibri"/>
                <w:color w:val="000000"/>
                <w:sz w:val="22"/>
                <w:szCs w:val="22"/>
              </w:rPr>
            </w:pPr>
          </w:p>
        </w:tc>
        <w:tc>
          <w:tcPr>
            <w:tcW w:w="1300" w:type="pct"/>
            <w:vMerge/>
            <w:noWrap/>
            <w:hideMark/>
          </w:tcPr>
          <w:p w14:paraId="78C2A824" w14:textId="77777777" w:rsidR="00A96554" w:rsidRPr="0067297E" w:rsidRDefault="00A96554" w:rsidP="00FA273F">
            <w:pPr>
              <w:spacing w:before="0" w:after="0"/>
              <w:jc w:val="center"/>
              <w:rPr>
                <w:rFonts w:asciiTheme="minorHAnsi" w:hAnsiTheme="minorHAnsi" w:cs="Calibri"/>
                <w:color w:val="000000"/>
                <w:sz w:val="22"/>
                <w:szCs w:val="22"/>
              </w:rPr>
            </w:pPr>
          </w:p>
        </w:tc>
        <w:tc>
          <w:tcPr>
            <w:tcW w:w="1466" w:type="pct"/>
            <w:noWrap/>
            <w:hideMark/>
          </w:tcPr>
          <w:p w14:paraId="5EB96E67" w14:textId="77777777" w:rsidR="00A96554" w:rsidRPr="0067297E" w:rsidRDefault="00A96554"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2 Bed Bungalow</w:t>
            </w:r>
          </w:p>
        </w:tc>
        <w:tc>
          <w:tcPr>
            <w:tcW w:w="1066" w:type="pct"/>
            <w:vMerge/>
            <w:noWrap/>
            <w:hideMark/>
          </w:tcPr>
          <w:p w14:paraId="0ACD530B" w14:textId="77777777" w:rsidR="00A96554" w:rsidRPr="0067297E" w:rsidRDefault="00A96554" w:rsidP="00FA273F">
            <w:pPr>
              <w:spacing w:before="0" w:after="0"/>
              <w:jc w:val="center"/>
              <w:rPr>
                <w:rFonts w:asciiTheme="minorHAnsi" w:hAnsiTheme="minorHAnsi" w:cs="Calibri"/>
                <w:color w:val="000000"/>
                <w:sz w:val="22"/>
                <w:szCs w:val="22"/>
              </w:rPr>
            </w:pPr>
          </w:p>
        </w:tc>
      </w:tr>
      <w:tr w:rsidR="00A96554" w:rsidRPr="0067297E" w14:paraId="1E64FAE7" w14:textId="77777777" w:rsidTr="00A96554">
        <w:trPr>
          <w:jc w:val="center"/>
        </w:trPr>
        <w:tc>
          <w:tcPr>
            <w:tcW w:w="1168" w:type="pct"/>
            <w:vMerge/>
            <w:noWrap/>
            <w:hideMark/>
          </w:tcPr>
          <w:p w14:paraId="0D8A24D5" w14:textId="75CB5F8F" w:rsidR="00A96554" w:rsidRPr="0067297E" w:rsidRDefault="00A96554" w:rsidP="00FA273F">
            <w:pPr>
              <w:spacing w:before="0" w:after="0"/>
              <w:rPr>
                <w:rFonts w:asciiTheme="minorHAnsi" w:hAnsiTheme="minorHAnsi" w:cs="Calibri"/>
                <w:color w:val="000000"/>
                <w:sz w:val="22"/>
                <w:szCs w:val="22"/>
              </w:rPr>
            </w:pPr>
          </w:p>
        </w:tc>
        <w:tc>
          <w:tcPr>
            <w:tcW w:w="1300" w:type="pct"/>
            <w:vMerge/>
            <w:noWrap/>
            <w:hideMark/>
          </w:tcPr>
          <w:p w14:paraId="07B3BD6D" w14:textId="77777777" w:rsidR="00A96554" w:rsidRPr="0067297E" w:rsidRDefault="00A96554" w:rsidP="00FA273F">
            <w:pPr>
              <w:spacing w:before="0" w:after="0"/>
              <w:jc w:val="center"/>
              <w:rPr>
                <w:rFonts w:asciiTheme="minorHAnsi" w:hAnsiTheme="minorHAnsi" w:cs="Calibri"/>
                <w:color w:val="000000"/>
                <w:sz w:val="22"/>
                <w:szCs w:val="22"/>
              </w:rPr>
            </w:pPr>
          </w:p>
        </w:tc>
        <w:tc>
          <w:tcPr>
            <w:tcW w:w="1466" w:type="pct"/>
            <w:noWrap/>
            <w:hideMark/>
          </w:tcPr>
          <w:p w14:paraId="1576B200" w14:textId="77777777" w:rsidR="00A96554" w:rsidRPr="0067297E" w:rsidRDefault="00A96554"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3+ Bed Bungalow</w:t>
            </w:r>
          </w:p>
        </w:tc>
        <w:tc>
          <w:tcPr>
            <w:tcW w:w="1066" w:type="pct"/>
            <w:vMerge/>
            <w:noWrap/>
            <w:hideMark/>
          </w:tcPr>
          <w:p w14:paraId="059774B5" w14:textId="77777777" w:rsidR="00A96554" w:rsidRPr="0067297E" w:rsidRDefault="00A96554" w:rsidP="00FA273F">
            <w:pPr>
              <w:spacing w:before="0" w:after="0"/>
              <w:jc w:val="center"/>
              <w:rPr>
                <w:rFonts w:asciiTheme="minorHAnsi" w:hAnsiTheme="minorHAnsi" w:cs="Calibri"/>
                <w:color w:val="000000"/>
                <w:sz w:val="22"/>
                <w:szCs w:val="22"/>
              </w:rPr>
            </w:pPr>
          </w:p>
        </w:tc>
      </w:tr>
      <w:tr w:rsidR="00A96554" w:rsidRPr="0067297E" w14:paraId="0713D8FE" w14:textId="77777777" w:rsidTr="00A96554">
        <w:trPr>
          <w:jc w:val="center"/>
        </w:trPr>
        <w:tc>
          <w:tcPr>
            <w:tcW w:w="1168" w:type="pct"/>
            <w:vMerge/>
            <w:noWrap/>
            <w:hideMark/>
          </w:tcPr>
          <w:p w14:paraId="22FA3DC5" w14:textId="4E45B2D3" w:rsidR="00A96554" w:rsidRPr="0067297E" w:rsidRDefault="00A96554" w:rsidP="00FA273F">
            <w:pPr>
              <w:spacing w:before="0" w:after="0"/>
              <w:rPr>
                <w:rFonts w:asciiTheme="minorHAnsi" w:hAnsiTheme="minorHAnsi" w:cs="Calibri"/>
                <w:color w:val="000000"/>
                <w:sz w:val="22"/>
                <w:szCs w:val="22"/>
              </w:rPr>
            </w:pPr>
          </w:p>
        </w:tc>
        <w:tc>
          <w:tcPr>
            <w:tcW w:w="1300" w:type="pct"/>
            <w:vMerge/>
            <w:noWrap/>
            <w:hideMark/>
          </w:tcPr>
          <w:p w14:paraId="75207DD6" w14:textId="77777777" w:rsidR="00A96554" w:rsidRPr="0067297E" w:rsidRDefault="00A96554" w:rsidP="00FA273F">
            <w:pPr>
              <w:spacing w:before="0" w:after="0"/>
              <w:jc w:val="center"/>
              <w:rPr>
                <w:rFonts w:asciiTheme="minorHAnsi" w:hAnsiTheme="minorHAnsi" w:cs="Calibri"/>
                <w:color w:val="000000"/>
                <w:sz w:val="22"/>
                <w:szCs w:val="22"/>
              </w:rPr>
            </w:pPr>
          </w:p>
        </w:tc>
        <w:tc>
          <w:tcPr>
            <w:tcW w:w="1466" w:type="pct"/>
            <w:noWrap/>
            <w:hideMark/>
          </w:tcPr>
          <w:p w14:paraId="7A8881AF" w14:textId="77777777" w:rsidR="00A96554" w:rsidRPr="0067297E" w:rsidRDefault="00A96554"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All</w:t>
            </w:r>
          </w:p>
        </w:tc>
        <w:tc>
          <w:tcPr>
            <w:tcW w:w="1066" w:type="pct"/>
            <w:vMerge/>
            <w:noWrap/>
            <w:hideMark/>
          </w:tcPr>
          <w:p w14:paraId="61E41C05" w14:textId="77777777" w:rsidR="00A96554" w:rsidRPr="0067297E" w:rsidRDefault="00A96554" w:rsidP="00FA273F">
            <w:pPr>
              <w:spacing w:before="0" w:after="0"/>
              <w:jc w:val="center"/>
              <w:rPr>
                <w:rFonts w:asciiTheme="minorHAnsi" w:hAnsiTheme="minorHAnsi" w:cs="Calibri"/>
                <w:color w:val="000000"/>
                <w:sz w:val="22"/>
                <w:szCs w:val="22"/>
              </w:rPr>
            </w:pPr>
          </w:p>
        </w:tc>
      </w:tr>
    </w:tbl>
    <w:p w14:paraId="1F782E57" w14:textId="77777777" w:rsidR="00F6633F" w:rsidRPr="0067297E" w:rsidRDefault="00F6633F" w:rsidP="00543A76">
      <w:pPr>
        <w:rPr>
          <w:rFonts w:asciiTheme="minorHAnsi" w:hAnsiTheme="minorHAnsi"/>
          <w:sz w:val="20"/>
        </w:rPr>
      </w:pPr>
      <w:r w:rsidRPr="0067297E">
        <w:rPr>
          <w:rFonts w:asciiTheme="minorHAnsi" w:hAnsiTheme="minorHAnsi"/>
          <w:sz w:val="20"/>
        </w:rPr>
        <w:t>Source: arc</w:t>
      </w:r>
      <w:r w:rsidRPr="0067297E">
        <w:rPr>
          <w:rFonts w:asciiTheme="minorHAnsi" w:hAnsiTheme="minorHAnsi"/>
          <w:sz w:val="20"/>
          <w:vertAlign w:val="superscript"/>
        </w:rPr>
        <w:t>4</w:t>
      </w:r>
      <w:r w:rsidRPr="0067297E">
        <w:rPr>
          <w:rFonts w:asciiTheme="minorHAnsi" w:hAnsiTheme="minorHAnsi"/>
          <w:sz w:val="20"/>
        </w:rPr>
        <w:t xml:space="preserve"> household surveys </w:t>
      </w:r>
    </w:p>
    <w:p w14:paraId="60967D92" w14:textId="77777777" w:rsidR="00F6633F" w:rsidRPr="0067297E" w:rsidRDefault="00F6633F" w:rsidP="00543A76">
      <w:pPr>
        <w:ind w:firstLine="709"/>
        <w:rPr>
          <w:rFonts w:asciiTheme="minorHAnsi" w:hAnsiTheme="minorHAnsi"/>
        </w:rPr>
      </w:pPr>
    </w:p>
    <w:p w14:paraId="085C2C33" w14:textId="201031F2" w:rsidR="00F6633F" w:rsidRPr="0067297E" w:rsidRDefault="00F6633F" w:rsidP="00543A76">
      <w:pPr>
        <w:pStyle w:val="Reporttext"/>
        <w:tabs>
          <w:tab w:val="num" w:pos="1419"/>
        </w:tabs>
        <w:rPr>
          <w:rFonts w:asciiTheme="minorHAnsi" w:hAnsiTheme="minorHAnsi"/>
        </w:rPr>
      </w:pPr>
      <w:r w:rsidRPr="0067297E">
        <w:rPr>
          <w:rFonts w:asciiTheme="minorHAnsi" w:hAnsiTheme="minorHAnsi"/>
        </w:rPr>
        <w:t>For each age group, the proportion of Household Reference Persons (HRPs) by household type living in different type/size and size of dwell</w:t>
      </w:r>
      <w:r w:rsidR="000D2A58" w:rsidRPr="0067297E">
        <w:rPr>
          <w:rFonts w:asciiTheme="minorHAnsi" w:hAnsiTheme="minorHAnsi"/>
        </w:rPr>
        <w:t xml:space="preserve">ing has been calculated. Table </w:t>
      </w:r>
      <w:r w:rsidR="002624F9" w:rsidRPr="0067297E">
        <w:rPr>
          <w:rFonts w:asciiTheme="minorHAnsi" w:hAnsiTheme="minorHAnsi"/>
          <w:lang w:val="en-GB"/>
        </w:rPr>
        <w:t>7</w:t>
      </w:r>
      <w:r w:rsidRPr="0067297E">
        <w:rPr>
          <w:rFonts w:asciiTheme="minorHAnsi" w:hAnsiTheme="minorHAnsi"/>
        </w:rPr>
        <w:t xml:space="preserve">.2 provides an example of the data for the 15-24 age group. </w:t>
      </w:r>
    </w:p>
    <w:p w14:paraId="1CA2A84B" w14:textId="7E0E2249" w:rsidR="00203E57" w:rsidRPr="0067297E" w:rsidRDefault="00664786" w:rsidP="00B32E87">
      <w:pPr>
        <w:pStyle w:val="Reporttext"/>
        <w:tabs>
          <w:tab w:val="num" w:pos="1419"/>
        </w:tabs>
        <w:rPr>
          <w:rFonts w:asciiTheme="minorHAnsi" w:hAnsiTheme="minorHAnsi"/>
        </w:rPr>
      </w:pPr>
      <w:r w:rsidRPr="0067297E">
        <w:rPr>
          <w:rFonts w:asciiTheme="minorHAnsi" w:hAnsiTheme="minorHAnsi"/>
        </w:rPr>
        <w:t xml:space="preserve">A key issue </w:t>
      </w:r>
      <w:r w:rsidR="001507FE" w:rsidRPr="0067297E">
        <w:rPr>
          <w:rFonts w:asciiTheme="minorHAnsi" w:hAnsiTheme="minorHAnsi"/>
        </w:rPr>
        <w:t xml:space="preserve">when running this analysis is the marked variance in the profile of dwelling stock in </w:t>
      </w:r>
      <w:r w:rsidR="009943CC" w:rsidRPr="0067297E">
        <w:rPr>
          <w:rFonts w:asciiTheme="minorHAnsi" w:hAnsiTheme="minorHAnsi"/>
        </w:rPr>
        <w:t>the borough</w:t>
      </w:r>
      <w:r w:rsidR="001507FE" w:rsidRPr="0067297E">
        <w:rPr>
          <w:rFonts w:asciiTheme="minorHAnsi" w:hAnsiTheme="minorHAnsi"/>
        </w:rPr>
        <w:t xml:space="preserve"> compared with Englan</w:t>
      </w:r>
      <w:r w:rsidR="0013293D" w:rsidRPr="0067297E">
        <w:rPr>
          <w:rFonts w:asciiTheme="minorHAnsi" w:hAnsiTheme="minorHAnsi"/>
        </w:rPr>
        <w:t xml:space="preserve">d. </w:t>
      </w:r>
      <w:r w:rsidR="001507FE" w:rsidRPr="0067297E">
        <w:rPr>
          <w:rFonts w:asciiTheme="minorHAnsi" w:hAnsiTheme="minorHAnsi"/>
        </w:rPr>
        <w:t xml:space="preserve">Most notably, 57.7% of </w:t>
      </w:r>
      <w:r w:rsidR="009943CC" w:rsidRPr="0067297E">
        <w:rPr>
          <w:rFonts w:asciiTheme="minorHAnsi" w:hAnsiTheme="minorHAnsi"/>
        </w:rPr>
        <w:t>the borough</w:t>
      </w:r>
      <w:r w:rsidR="001507FE" w:rsidRPr="0067297E">
        <w:rPr>
          <w:rFonts w:asciiTheme="minorHAnsi" w:hAnsiTheme="minorHAnsi"/>
        </w:rPr>
        <w:t>’s dwelling stock are flats/apartments (compared with 22.9% nationally) and 41.9% are houses</w:t>
      </w:r>
      <w:r w:rsidR="009943CC" w:rsidRPr="0067297E">
        <w:rPr>
          <w:rFonts w:asciiTheme="minorHAnsi" w:hAnsiTheme="minorHAnsi"/>
        </w:rPr>
        <w:t>, particularly</w:t>
      </w:r>
      <w:r w:rsidR="00EC3B66" w:rsidRPr="0067297E">
        <w:rPr>
          <w:rFonts w:asciiTheme="minorHAnsi" w:hAnsiTheme="minorHAnsi"/>
        </w:rPr>
        <w:t xml:space="preserve"> 3-bedroom</w:t>
      </w:r>
      <w:r w:rsidR="001507FE" w:rsidRPr="0067297E">
        <w:rPr>
          <w:rFonts w:asciiTheme="minorHAnsi" w:hAnsiTheme="minorHAnsi"/>
        </w:rPr>
        <w:t xml:space="preserve"> </w:t>
      </w:r>
      <w:r w:rsidR="00EC3B66" w:rsidRPr="0067297E">
        <w:rPr>
          <w:rFonts w:asciiTheme="minorHAnsi" w:hAnsiTheme="minorHAnsi"/>
        </w:rPr>
        <w:t xml:space="preserve">terraced, </w:t>
      </w:r>
      <w:r w:rsidR="001507FE" w:rsidRPr="0067297E">
        <w:rPr>
          <w:rFonts w:asciiTheme="minorHAnsi" w:hAnsiTheme="minorHAnsi"/>
        </w:rPr>
        <w:t xml:space="preserve">compared with 67.4% nationally. </w:t>
      </w:r>
      <w:r w:rsidR="00EC3B66" w:rsidRPr="0067297E">
        <w:rPr>
          <w:rFonts w:asciiTheme="minorHAnsi" w:hAnsiTheme="minorHAnsi"/>
        </w:rPr>
        <w:t xml:space="preserve">Applying national data would not provide relevant dwelling type outcomes for </w:t>
      </w:r>
      <w:r w:rsidR="009943CC" w:rsidRPr="0067297E">
        <w:rPr>
          <w:rFonts w:asciiTheme="minorHAnsi" w:hAnsiTheme="minorHAnsi"/>
        </w:rPr>
        <w:t>the borough</w:t>
      </w:r>
      <w:r w:rsidR="00EC3B66" w:rsidRPr="0067297E">
        <w:rPr>
          <w:rFonts w:asciiTheme="minorHAnsi" w:hAnsiTheme="minorHAnsi"/>
        </w:rPr>
        <w:t xml:space="preserve">. </w:t>
      </w:r>
      <w:r w:rsidR="001507FE" w:rsidRPr="0067297E">
        <w:rPr>
          <w:rFonts w:asciiTheme="minorHAnsi" w:hAnsiTheme="minorHAnsi"/>
        </w:rPr>
        <w:t xml:space="preserve">Therefore, the focus of this analysis is market mix based on tenure and dwelling size.  </w:t>
      </w:r>
    </w:p>
    <w:p w14:paraId="7F46354B" w14:textId="77777777" w:rsidR="00B32E87" w:rsidRPr="0067297E" w:rsidRDefault="00B32E87" w:rsidP="00B32E87">
      <w:pPr>
        <w:pStyle w:val="Reporttext"/>
        <w:numPr>
          <w:ilvl w:val="0"/>
          <w:numId w:val="0"/>
        </w:numPr>
        <w:ind w:left="709"/>
        <w:rPr>
          <w:rFonts w:asciiTheme="minorHAnsi" w:hAnsiTheme="minorHAnsi"/>
        </w:rPr>
      </w:pPr>
    </w:p>
    <w:tbl>
      <w:tblPr>
        <w:tblStyle w:val="arc4table"/>
        <w:tblW w:w="5000" w:type="pct"/>
        <w:tblLayout w:type="fixed"/>
        <w:tblLook w:val="04A0" w:firstRow="1" w:lastRow="0" w:firstColumn="1" w:lastColumn="0" w:noHBand="0" w:noVBand="1"/>
        <w:tblCaption w:val="Table 7.2 Illustration of the relationship between dwelling type/ size and household type by age group (15 to 24-year age group used)"/>
      </w:tblPr>
      <w:tblGrid>
        <w:gridCol w:w="1126"/>
        <w:gridCol w:w="1886"/>
        <w:gridCol w:w="874"/>
        <w:gridCol w:w="1010"/>
        <w:gridCol w:w="1168"/>
        <w:gridCol w:w="1050"/>
        <w:gridCol w:w="1041"/>
        <w:gridCol w:w="1027"/>
      </w:tblGrid>
      <w:tr w:rsidR="00203E57" w:rsidRPr="0067297E" w14:paraId="4957BCC2" w14:textId="77777777" w:rsidTr="00426BD8">
        <w:trPr>
          <w:cnfStyle w:val="100000000000" w:firstRow="1" w:lastRow="0" w:firstColumn="0" w:lastColumn="0" w:oddVBand="0" w:evenVBand="0" w:oddHBand="0" w:evenHBand="0" w:firstRowFirstColumn="0" w:firstRowLastColumn="0" w:lastRowFirstColumn="0" w:lastRowLastColumn="0"/>
          <w:trHeight w:val="300"/>
          <w:tblHeader/>
        </w:trPr>
        <w:tc>
          <w:tcPr>
            <w:tcW w:w="5000" w:type="pct"/>
            <w:gridSpan w:val="8"/>
            <w:noWrap/>
          </w:tcPr>
          <w:p w14:paraId="695A540F" w14:textId="30C7F399" w:rsidR="00203E57" w:rsidRPr="0067297E" w:rsidRDefault="00203E57" w:rsidP="00FA273F">
            <w:pPr>
              <w:pStyle w:val="tableheading"/>
              <w:rPr>
                <w:rFonts w:asciiTheme="minorHAnsi" w:hAnsiTheme="minorHAnsi"/>
                <w:b/>
                <w:color w:val="000000"/>
              </w:rPr>
            </w:pPr>
            <w:bookmarkStart w:id="421" w:name="_Toc23151194"/>
            <w:r w:rsidRPr="0067297E">
              <w:rPr>
                <w:rFonts w:asciiTheme="minorHAnsi" w:hAnsiTheme="minorHAnsi"/>
                <w:b/>
              </w:rPr>
              <w:t xml:space="preserve">Table </w:t>
            </w:r>
            <w:r w:rsidR="00B32E87" w:rsidRPr="0067297E">
              <w:rPr>
                <w:rFonts w:asciiTheme="minorHAnsi" w:hAnsiTheme="minorHAnsi"/>
                <w:b/>
                <w:lang w:val="en-GB"/>
              </w:rPr>
              <w:t>7</w:t>
            </w:r>
            <w:r w:rsidRPr="0067297E">
              <w:rPr>
                <w:rFonts w:asciiTheme="minorHAnsi" w:hAnsiTheme="minorHAnsi"/>
                <w:b/>
              </w:rPr>
              <w:t>.2</w:t>
            </w:r>
            <w:r w:rsidRPr="0067297E">
              <w:rPr>
                <w:rFonts w:asciiTheme="minorHAnsi" w:hAnsiTheme="minorHAnsi"/>
                <w:b/>
              </w:rPr>
              <w:tab/>
              <w:t>Illustration of the relationship between dwelling type/size and household type by age group (15 to 24-year age group used)</w:t>
            </w:r>
            <w:bookmarkEnd w:id="421"/>
          </w:p>
        </w:tc>
      </w:tr>
      <w:tr w:rsidR="00203E57" w:rsidRPr="0067297E" w14:paraId="150CAF38" w14:textId="77777777" w:rsidTr="00A96554">
        <w:trPr>
          <w:trHeight w:val="300"/>
        </w:trPr>
        <w:tc>
          <w:tcPr>
            <w:tcW w:w="613" w:type="pct"/>
            <w:vMerge w:val="restart"/>
            <w:shd w:val="clear" w:color="auto" w:fill="009999"/>
            <w:noWrap/>
            <w:vAlign w:val="bottom"/>
            <w:hideMark/>
          </w:tcPr>
          <w:p w14:paraId="45F13B3D" w14:textId="77777777" w:rsidR="00203E57" w:rsidRPr="0067297E" w:rsidRDefault="00203E57" w:rsidP="00FA273F">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HRP Age group</w:t>
            </w:r>
          </w:p>
        </w:tc>
        <w:tc>
          <w:tcPr>
            <w:tcW w:w="1027" w:type="pct"/>
            <w:vMerge w:val="restart"/>
            <w:shd w:val="clear" w:color="auto" w:fill="009999"/>
            <w:noWrap/>
            <w:vAlign w:val="bottom"/>
            <w:hideMark/>
          </w:tcPr>
          <w:p w14:paraId="527A680E" w14:textId="77777777" w:rsidR="00203E57" w:rsidRPr="0067297E" w:rsidRDefault="00203E57" w:rsidP="00FA273F">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Dwelling type/size</w:t>
            </w:r>
          </w:p>
        </w:tc>
        <w:tc>
          <w:tcPr>
            <w:tcW w:w="2801" w:type="pct"/>
            <w:gridSpan w:val="5"/>
            <w:shd w:val="clear" w:color="auto" w:fill="009999"/>
            <w:noWrap/>
            <w:vAlign w:val="bottom"/>
            <w:hideMark/>
          </w:tcPr>
          <w:p w14:paraId="3CF6B335" w14:textId="77777777" w:rsidR="00203E57" w:rsidRPr="0067297E" w:rsidRDefault="00203E57" w:rsidP="00FA273F">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Household type</w:t>
            </w:r>
          </w:p>
        </w:tc>
        <w:tc>
          <w:tcPr>
            <w:tcW w:w="559" w:type="pct"/>
            <w:vMerge w:val="restart"/>
            <w:shd w:val="clear" w:color="auto" w:fill="009999"/>
            <w:noWrap/>
            <w:vAlign w:val="bottom"/>
            <w:hideMark/>
          </w:tcPr>
          <w:p w14:paraId="5F45D517" w14:textId="77777777" w:rsidR="00203E57" w:rsidRPr="0067297E" w:rsidRDefault="00203E57" w:rsidP="00FA273F">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Total</w:t>
            </w:r>
          </w:p>
        </w:tc>
      </w:tr>
      <w:tr w:rsidR="00116319" w:rsidRPr="0067297E" w14:paraId="3CF926EE" w14:textId="77777777" w:rsidTr="00A96554">
        <w:trPr>
          <w:trHeight w:val="900"/>
        </w:trPr>
        <w:tc>
          <w:tcPr>
            <w:tcW w:w="613" w:type="pct"/>
            <w:vMerge/>
            <w:shd w:val="clear" w:color="auto" w:fill="009999"/>
            <w:noWrap/>
            <w:hideMark/>
          </w:tcPr>
          <w:p w14:paraId="22AAC559" w14:textId="77777777" w:rsidR="00203E57" w:rsidRPr="0067297E" w:rsidRDefault="00203E57" w:rsidP="00FA273F">
            <w:pPr>
              <w:spacing w:before="0" w:after="0"/>
              <w:rPr>
                <w:rFonts w:asciiTheme="minorHAnsi" w:hAnsiTheme="minorHAnsi" w:cs="Calibri"/>
                <w:bCs/>
                <w:color w:val="FFFFFF" w:themeColor="background1"/>
                <w:sz w:val="22"/>
                <w:szCs w:val="22"/>
              </w:rPr>
            </w:pPr>
          </w:p>
        </w:tc>
        <w:tc>
          <w:tcPr>
            <w:tcW w:w="1027" w:type="pct"/>
            <w:vMerge/>
            <w:shd w:val="clear" w:color="auto" w:fill="009999"/>
            <w:noWrap/>
            <w:hideMark/>
          </w:tcPr>
          <w:p w14:paraId="0C619E2F" w14:textId="77777777" w:rsidR="00203E57" w:rsidRPr="0067297E" w:rsidRDefault="00203E57" w:rsidP="00FA273F">
            <w:pPr>
              <w:spacing w:before="0" w:after="0"/>
              <w:rPr>
                <w:rFonts w:asciiTheme="minorHAnsi" w:hAnsiTheme="minorHAnsi" w:cs="Calibri"/>
                <w:bCs/>
                <w:color w:val="FFFFFF" w:themeColor="background1"/>
                <w:sz w:val="22"/>
                <w:szCs w:val="22"/>
              </w:rPr>
            </w:pPr>
          </w:p>
        </w:tc>
        <w:tc>
          <w:tcPr>
            <w:tcW w:w="476" w:type="pct"/>
            <w:shd w:val="clear" w:color="auto" w:fill="009999"/>
            <w:vAlign w:val="bottom"/>
            <w:hideMark/>
          </w:tcPr>
          <w:p w14:paraId="17FE230E" w14:textId="77777777" w:rsidR="00203E57" w:rsidRPr="0067297E" w:rsidRDefault="00203E57" w:rsidP="00FA273F">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One Person</w:t>
            </w:r>
          </w:p>
        </w:tc>
        <w:tc>
          <w:tcPr>
            <w:tcW w:w="550" w:type="pct"/>
            <w:shd w:val="clear" w:color="auto" w:fill="009999"/>
            <w:vAlign w:val="bottom"/>
            <w:hideMark/>
          </w:tcPr>
          <w:p w14:paraId="0B93897C" w14:textId="77777777" w:rsidR="00203E57" w:rsidRPr="0067297E" w:rsidRDefault="00203E57" w:rsidP="00FA273F">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Couple only</w:t>
            </w:r>
          </w:p>
        </w:tc>
        <w:tc>
          <w:tcPr>
            <w:tcW w:w="636" w:type="pct"/>
            <w:shd w:val="clear" w:color="auto" w:fill="009999"/>
            <w:vAlign w:val="bottom"/>
            <w:hideMark/>
          </w:tcPr>
          <w:p w14:paraId="360E12C5" w14:textId="77777777" w:rsidR="00203E57" w:rsidRPr="0067297E" w:rsidRDefault="00203E57" w:rsidP="00FA273F">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HH with 1/2 Children</w:t>
            </w:r>
          </w:p>
        </w:tc>
        <w:tc>
          <w:tcPr>
            <w:tcW w:w="572" w:type="pct"/>
            <w:shd w:val="clear" w:color="auto" w:fill="009999"/>
            <w:vAlign w:val="bottom"/>
            <w:hideMark/>
          </w:tcPr>
          <w:p w14:paraId="54F2D64C" w14:textId="77777777" w:rsidR="00203E57" w:rsidRPr="0067297E" w:rsidRDefault="00203E57" w:rsidP="00FA273F">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HH with 3 Children</w:t>
            </w:r>
          </w:p>
        </w:tc>
        <w:tc>
          <w:tcPr>
            <w:tcW w:w="567" w:type="pct"/>
            <w:shd w:val="clear" w:color="auto" w:fill="009999"/>
            <w:vAlign w:val="bottom"/>
            <w:hideMark/>
          </w:tcPr>
          <w:p w14:paraId="03140D6F" w14:textId="77777777" w:rsidR="00203E57" w:rsidRPr="0067297E" w:rsidRDefault="00203E57" w:rsidP="00FA273F">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Other Multi-person</w:t>
            </w:r>
          </w:p>
        </w:tc>
        <w:tc>
          <w:tcPr>
            <w:tcW w:w="559" w:type="pct"/>
            <w:vMerge/>
            <w:shd w:val="clear" w:color="auto" w:fill="009999"/>
            <w:hideMark/>
          </w:tcPr>
          <w:p w14:paraId="33541D69" w14:textId="77777777" w:rsidR="00203E57" w:rsidRPr="0067297E" w:rsidRDefault="00203E57" w:rsidP="00FA273F">
            <w:pPr>
              <w:spacing w:before="0" w:after="0"/>
              <w:jc w:val="center"/>
              <w:rPr>
                <w:rFonts w:asciiTheme="minorHAnsi" w:hAnsiTheme="minorHAnsi" w:cs="Calibri"/>
                <w:bCs/>
                <w:color w:val="FFFFFF" w:themeColor="background1"/>
                <w:sz w:val="22"/>
                <w:szCs w:val="22"/>
              </w:rPr>
            </w:pPr>
          </w:p>
        </w:tc>
      </w:tr>
      <w:tr w:rsidR="00203E57" w:rsidRPr="0067297E" w14:paraId="1C66540D" w14:textId="77777777" w:rsidTr="00A96554">
        <w:trPr>
          <w:trHeight w:val="300"/>
        </w:trPr>
        <w:tc>
          <w:tcPr>
            <w:tcW w:w="613" w:type="pct"/>
            <w:vMerge w:val="restart"/>
            <w:noWrap/>
            <w:hideMark/>
          </w:tcPr>
          <w:p w14:paraId="3D574483" w14:textId="77777777" w:rsidR="00203E57" w:rsidRPr="0067297E" w:rsidRDefault="00203E57"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15-24</w:t>
            </w:r>
          </w:p>
        </w:tc>
        <w:tc>
          <w:tcPr>
            <w:tcW w:w="1027" w:type="pct"/>
            <w:noWrap/>
            <w:hideMark/>
          </w:tcPr>
          <w:p w14:paraId="57EC3D70" w14:textId="77777777" w:rsidR="00203E57" w:rsidRPr="0067297E" w:rsidRDefault="00203E57"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1</w:t>
            </w:r>
          </w:p>
        </w:tc>
        <w:tc>
          <w:tcPr>
            <w:tcW w:w="476" w:type="pct"/>
            <w:noWrap/>
            <w:hideMark/>
          </w:tcPr>
          <w:p w14:paraId="1CFDE874"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64.3</w:t>
            </w:r>
          </w:p>
        </w:tc>
        <w:tc>
          <w:tcPr>
            <w:tcW w:w="550" w:type="pct"/>
            <w:noWrap/>
            <w:hideMark/>
          </w:tcPr>
          <w:p w14:paraId="53CB59CB"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30.6</w:t>
            </w:r>
          </w:p>
        </w:tc>
        <w:tc>
          <w:tcPr>
            <w:tcW w:w="636" w:type="pct"/>
            <w:noWrap/>
            <w:hideMark/>
          </w:tcPr>
          <w:p w14:paraId="3B40AEAB"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0.2</w:t>
            </w:r>
          </w:p>
        </w:tc>
        <w:tc>
          <w:tcPr>
            <w:tcW w:w="572" w:type="pct"/>
            <w:noWrap/>
            <w:hideMark/>
          </w:tcPr>
          <w:p w14:paraId="3B799B81"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0.0</w:t>
            </w:r>
          </w:p>
        </w:tc>
        <w:tc>
          <w:tcPr>
            <w:tcW w:w="567" w:type="pct"/>
            <w:noWrap/>
            <w:hideMark/>
          </w:tcPr>
          <w:p w14:paraId="434F8558"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0.0</w:t>
            </w:r>
          </w:p>
        </w:tc>
        <w:tc>
          <w:tcPr>
            <w:tcW w:w="559" w:type="pct"/>
            <w:noWrap/>
            <w:hideMark/>
          </w:tcPr>
          <w:p w14:paraId="5CBB66DF"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23.1</w:t>
            </w:r>
          </w:p>
        </w:tc>
      </w:tr>
      <w:tr w:rsidR="00203E57" w:rsidRPr="0067297E" w14:paraId="36276A9F" w14:textId="77777777" w:rsidTr="00A96554">
        <w:trPr>
          <w:trHeight w:val="300"/>
        </w:trPr>
        <w:tc>
          <w:tcPr>
            <w:tcW w:w="613" w:type="pct"/>
            <w:vMerge/>
            <w:noWrap/>
            <w:hideMark/>
          </w:tcPr>
          <w:p w14:paraId="1CB344CD" w14:textId="77777777" w:rsidR="00203E57" w:rsidRPr="0067297E" w:rsidRDefault="00203E57" w:rsidP="00FA273F">
            <w:pPr>
              <w:spacing w:before="0" w:after="0"/>
              <w:rPr>
                <w:rFonts w:asciiTheme="minorHAnsi" w:hAnsiTheme="minorHAnsi" w:cs="Calibri"/>
                <w:color w:val="000000"/>
                <w:sz w:val="22"/>
                <w:szCs w:val="22"/>
              </w:rPr>
            </w:pPr>
          </w:p>
        </w:tc>
        <w:tc>
          <w:tcPr>
            <w:tcW w:w="1027" w:type="pct"/>
            <w:noWrap/>
            <w:hideMark/>
          </w:tcPr>
          <w:p w14:paraId="24632A4A" w14:textId="77777777" w:rsidR="00203E57" w:rsidRPr="0067297E" w:rsidRDefault="00203E57"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2</w:t>
            </w:r>
          </w:p>
        </w:tc>
        <w:tc>
          <w:tcPr>
            <w:tcW w:w="476" w:type="pct"/>
            <w:noWrap/>
            <w:hideMark/>
          </w:tcPr>
          <w:p w14:paraId="0B5A2D1B"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21.4</w:t>
            </w:r>
          </w:p>
        </w:tc>
        <w:tc>
          <w:tcPr>
            <w:tcW w:w="550" w:type="pct"/>
            <w:noWrap/>
            <w:hideMark/>
          </w:tcPr>
          <w:p w14:paraId="1D811E95"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51.0</w:t>
            </w:r>
          </w:p>
        </w:tc>
        <w:tc>
          <w:tcPr>
            <w:tcW w:w="636" w:type="pct"/>
            <w:noWrap/>
            <w:hideMark/>
          </w:tcPr>
          <w:p w14:paraId="7D7EEF53"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71.1</w:t>
            </w:r>
          </w:p>
        </w:tc>
        <w:tc>
          <w:tcPr>
            <w:tcW w:w="572" w:type="pct"/>
            <w:noWrap/>
            <w:hideMark/>
          </w:tcPr>
          <w:p w14:paraId="09B04202"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18.9</w:t>
            </w:r>
          </w:p>
        </w:tc>
        <w:tc>
          <w:tcPr>
            <w:tcW w:w="567" w:type="pct"/>
            <w:noWrap/>
            <w:hideMark/>
          </w:tcPr>
          <w:p w14:paraId="49E10E22"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38.6</w:t>
            </w:r>
          </w:p>
        </w:tc>
        <w:tc>
          <w:tcPr>
            <w:tcW w:w="559" w:type="pct"/>
            <w:noWrap/>
            <w:hideMark/>
          </w:tcPr>
          <w:p w14:paraId="59E80C29"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44.6</w:t>
            </w:r>
          </w:p>
        </w:tc>
      </w:tr>
      <w:tr w:rsidR="00203E57" w:rsidRPr="0067297E" w14:paraId="083BBED6" w14:textId="77777777" w:rsidTr="00A96554">
        <w:trPr>
          <w:trHeight w:val="300"/>
        </w:trPr>
        <w:tc>
          <w:tcPr>
            <w:tcW w:w="613" w:type="pct"/>
            <w:vMerge/>
            <w:noWrap/>
            <w:hideMark/>
          </w:tcPr>
          <w:p w14:paraId="2132148E" w14:textId="77777777" w:rsidR="00203E57" w:rsidRPr="0067297E" w:rsidRDefault="00203E57" w:rsidP="00FA273F">
            <w:pPr>
              <w:spacing w:before="0" w:after="0"/>
              <w:rPr>
                <w:rFonts w:asciiTheme="minorHAnsi" w:hAnsiTheme="minorHAnsi" w:cs="Calibri"/>
                <w:color w:val="000000"/>
                <w:sz w:val="22"/>
                <w:szCs w:val="22"/>
              </w:rPr>
            </w:pPr>
          </w:p>
        </w:tc>
        <w:tc>
          <w:tcPr>
            <w:tcW w:w="1027" w:type="pct"/>
            <w:noWrap/>
            <w:hideMark/>
          </w:tcPr>
          <w:p w14:paraId="194B474E" w14:textId="77777777" w:rsidR="00203E57" w:rsidRPr="0067297E" w:rsidRDefault="00203E57"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3</w:t>
            </w:r>
          </w:p>
        </w:tc>
        <w:tc>
          <w:tcPr>
            <w:tcW w:w="476" w:type="pct"/>
            <w:noWrap/>
            <w:hideMark/>
          </w:tcPr>
          <w:p w14:paraId="77FB4C41"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14.3</w:t>
            </w:r>
          </w:p>
        </w:tc>
        <w:tc>
          <w:tcPr>
            <w:tcW w:w="550" w:type="pct"/>
            <w:noWrap/>
            <w:hideMark/>
          </w:tcPr>
          <w:p w14:paraId="7EA96068"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17.2</w:t>
            </w:r>
          </w:p>
        </w:tc>
        <w:tc>
          <w:tcPr>
            <w:tcW w:w="636" w:type="pct"/>
            <w:noWrap/>
            <w:hideMark/>
          </w:tcPr>
          <w:p w14:paraId="42E46D4B"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27.7</w:t>
            </w:r>
          </w:p>
        </w:tc>
        <w:tc>
          <w:tcPr>
            <w:tcW w:w="572" w:type="pct"/>
            <w:noWrap/>
            <w:hideMark/>
          </w:tcPr>
          <w:p w14:paraId="5041A54B"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74.2</w:t>
            </w:r>
          </w:p>
        </w:tc>
        <w:tc>
          <w:tcPr>
            <w:tcW w:w="567" w:type="pct"/>
            <w:noWrap/>
            <w:hideMark/>
          </w:tcPr>
          <w:p w14:paraId="016F204B"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14.5</w:t>
            </w:r>
          </w:p>
        </w:tc>
        <w:tc>
          <w:tcPr>
            <w:tcW w:w="559" w:type="pct"/>
            <w:noWrap/>
            <w:hideMark/>
          </w:tcPr>
          <w:p w14:paraId="1F367BE5"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19.6</w:t>
            </w:r>
          </w:p>
        </w:tc>
      </w:tr>
      <w:tr w:rsidR="00203E57" w:rsidRPr="0067297E" w14:paraId="321E06F6" w14:textId="77777777" w:rsidTr="00A96554">
        <w:trPr>
          <w:trHeight w:val="300"/>
        </w:trPr>
        <w:tc>
          <w:tcPr>
            <w:tcW w:w="613" w:type="pct"/>
            <w:vMerge/>
            <w:noWrap/>
            <w:hideMark/>
          </w:tcPr>
          <w:p w14:paraId="7714D106" w14:textId="77777777" w:rsidR="00203E57" w:rsidRPr="0067297E" w:rsidRDefault="00203E57" w:rsidP="00FA273F">
            <w:pPr>
              <w:spacing w:before="0" w:after="0"/>
              <w:rPr>
                <w:rFonts w:asciiTheme="minorHAnsi" w:hAnsiTheme="minorHAnsi" w:cs="Calibri"/>
                <w:color w:val="000000"/>
                <w:sz w:val="22"/>
                <w:szCs w:val="22"/>
              </w:rPr>
            </w:pPr>
          </w:p>
        </w:tc>
        <w:tc>
          <w:tcPr>
            <w:tcW w:w="1027" w:type="pct"/>
            <w:noWrap/>
            <w:hideMark/>
          </w:tcPr>
          <w:p w14:paraId="74A3BAFD" w14:textId="77777777" w:rsidR="00203E57" w:rsidRPr="0067297E" w:rsidRDefault="00203E57" w:rsidP="00FA273F">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4/4+</w:t>
            </w:r>
          </w:p>
        </w:tc>
        <w:tc>
          <w:tcPr>
            <w:tcW w:w="476" w:type="pct"/>
            <w:noWrap/>
            <w:hideMark/>
          </w:tcPr>
          <w:p w14:paraId="48498268"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0.0</w:t>
            </w:r>
          </w:p>
        </w:tc>
        <w:tc>
          <w:tcPr>
            <w:tcW w:w="550" w:type="pct"/>
            <w:noWrap/>
            <w:hideMark/>
          </w:tcPr>
          <w:p w14:paraId="471CAB6B"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1.2</w:t>
            </w:r>
          </w:p>
        </w:tc>
        <w:tc>
          <w:tcPr>
            <w:tcW w:w="636" w:type="pct"/>
            <w:noWrap/>
            <w:hideMark/>
          </w:tcPr>
          <w:p w14:paraId="31E90755"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0.9</w:t>
            </w:r>
          </w:p>
        </w:tc>
        <w:tc>
          <w:tcPr>
            <w:tcW w:w="572" w:type="pct"/>
            <w:noWrap/>
            <w:hideMark/>
          </w:tcPr>
          <w:p w14:paraId="53CB0B17"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6.9</w:t>
            </w:r>
          </w:p>
        </w:tc>
        <w:tc>
          <w:tcPr>
            <w:tcW w:w="567" w:type="pct"/>
            <w:noWrap/>
            <w:hideMark/>
          </w:tcPr>
          <w:p w14:paraId="2F754893"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46.9</w:t>
            </w:r>
          </w:p>
        </w:tc>
        <w:tc>
          <w:tcPr>
            <w:tcW w:w="559" w:type="pct"/>
            <w:noWrap/>
            <w:hideMark/>
          </w:tcPr>
          <w:p w14:paraId="416DF35D" w14:textId="77777777" w:rsidR="00203E57" w:rsidRPr="0067297E" w:rsidRDefault="00203E57" w:rsidP="00425A04">
            <w:pPr>
              <w:spacing w:before="0" w:after="0"/>
              <w:jc w:val="right"/>
              <w:rPr>
                <w:rFonts w:asciiTheme="minorHAnsi" w:hAnsiTheme="minorHAnsi" w:cs="Calibri"/>
                <w:color w:val="000000"/>
                <w:sz w:val="22"/>
                <w:szCs w:val="22"/>
              </w:rPr>
            </w:pPr>
            <w:r w:rsidRPr="0067297E">
              <w:rPr>
                <w:rFonts w:asciiTheme="minorHAnsi" w:hAnsiTheme="minorHAnsi" w:cs="Calibri"/>
                <w:color w:val="000000"/>
                <w:sz w:val="22"/>
                <w:szCs w:val="22"/>
              </w:rPr>
              <w:t>12.7</w:t>
            </w:r>
          </w:p>
        </w:tc>
      </w:tr>
      <w:tr w:rsidR="00203E57" w:rsidRPr="0067297E" w14:paraId="3DC96979" w14:textId="77777777" w:rsidTr="00A96554">
        <w:trPr>
          <w:trHeight w:val="300"/>
        </w:trPr>
        <w:tc>
          <w:tcPr>
            <w:tcW w:w="613" w:type="pct"/>
            <w:vMerge/>
            <w:noWrap/>
            <w:hideMark/>
          </w:tcPr>
          <w:p w14:paraId="44FDCC7B" w14:textId="77777777" w:rsidR="00203E57" w:rsidRPr="0067297E" w:rsidRDefault="00203E57" w:rsidP="00FA273F">
            <w:pPr>
              <w:spacing w:before="0" w:after="0"/>
              <w:rPr>
                <w:rFonts w:asciiTheme="minorHAnsi" w:hAnsiTheme="minorHAnsi" w:cs="Calibri"/>
                <w:color w:val="000000"/>
                <w:sz w:val="22"/>
                <w:szCs w:val="22"/>
              </w:rPr>
            </w:pPr>
          </w:p>
        </w:tc>
        <w:tc>
          <w:tcPr>
            <w:tcW w:w="1027" w:type="pct"/>
            <w:noWrap/>
            <w:hideMark/>
          </w:tcPr>
          <w:p w14:paraId="579A5E9A" w14:textId="77777777" w:rsidR="00203E57" w:rsidRPr="0067297E" w:rsidRDefault="00203E57" w:rsidP="00A96554">
            <w:pPr>
              <w:spacing w:before="0" w:after="0"/>
              <w:rPr>
                <w:rFonts w:asciiTheme="minorHAnsi" w:hAnsiTheme="minorHAnsi" w:cs="Calibri"/>
                <w:b/>
                <w:color w:val="000000"/>
                <w:sz w:val="22"/>
                <w:szCs w:val="22"/>
              </w:rPr>
            </w:pPr>
            <w:r w:rsidRPr="0067297E">
              <w:rPr>
                <w:rFonts w:asciiTheme="minorHAnsi" w:hAnsiTheme="minorHAnsi" w:cs="Calibri"/>
                <w:b/>
                <w:color w:val="000000"/>
                <w:sz w:val="22"/>
                <w:szCs w:val="22"/>
              </w:rPr>
              <w:t>Total</w:t>
            </w:r>
          </w:p>
        </w:tc>
        <w:tc>
          <w:tcPr>
            <w:tcW w:w="476" w:type="pct"/>
            <w:noWrap/>
            <w:hideMark/>
          </w:tcPr>
          <w:p w14:paraId="582C2491" w14:textId="77777777" w:rsidR="00203E57" w:rsidRPr="0067297E" w:rsidRDefault="00203E57" w:rsidP="00425A04">
            <w:pPr>
              <w:spacing w:before="0" w:after="0"/>
              <w:jc w:val="right"/>
              <w:rPr>
                <w:rFonts w:asciiTheme="minorHAnsi" w:hAnsiTheme="minorHAnsi" w:cs="Calibri"/>
                <w:b/>
                <w:color w:val="000000"/>
                <w:sz w:val="22"/>
                <w:szCs w:val="22"/>
              </w:rPr>
            </w:pPr>
            <w:r w:rsidRPr="0067297E">
              <w:rPr>
                <w:rFonts w:asciiTheme="minorHAnsi" w:hAnsiTheme="minorHAnsi" w:cs="Calibri"/>
                <w:b/>
                <w:color w:val="000000"/>
                <w:sz w:val="22"/>
                <w:szCs w:val="22"/>
              </w:rPr>
              <w:t>100.0</w:t>
            </w:r>
          </w:p>
        </w:tc>
        <w:tc>
          <w:tcPr>
            <w:tcW w:w="550" w:type="pct"/>
            <w:noWrap/>
            <w:hideMark/>
          </w:tcPr>
          <w:p w14:paraId="3083BAB9" w14:textId="77777777" w:rsidR="00203E57" w:rsidRPr="0067297E" w:rsidRDefault="00203E57" w:rsidP="00425A04">
            <w:pPr>
              <w:spacing w:before="0" w:after="0"/>
              <w:jc w:val="right"/>
              <w:rPr>
                <w:rFonts w:asciiTheme="minorHAnsi" w:hAnsiTheme="minorHAnsi" w:cs="Calibri"/>
                <w:b/>
                <w:color w:val="000000"/>
                <w:sz w:val="22"/>
                <w:szCs w:val="22"/>
              </w:rPr>
            </w:pPr>
            <w:r w:rsidRPr="0067297E">
              <w:rPr>
                <w:rFonts w:asciiTheme="minorHAnsi" w:hAnsiTheme="minorHAnsi" w:cs="Calibri"/>
                <w:b/>
                <w:color w:val="000000"/>
                <w:sz w:val="22"/>
                <w:szCs w:val="22"/>
              </w:rPr>
              <w:t>100.0</w:t>
            </w:r>
          </w:p>
        </w:tc>
        <w:tc>
          <w:tcPr>
            <w:tcW w:w="636" w:type="pct"/>
            <w:noWrap/>
            <w:hideMark/>
          </w:tcPr>
          <w:p w14:paraId="489F2233" w14:textId="77777777" w:rsidR="00203E57" w:rsidRPr="0067297E" w:rsidRDefault="00203E57" w:rsidP="00425A04">
            <w:pPr>
              <w:spacing w:before="0" w:after="0"/>
              <w:jc w:val="right"/>
              <w:rPr>
                <w:rFonts w:asciiTheme="minorHAnsi" w:hAnsiTheme="minorHAnsi" w:cs="Calibri"/>
                <w:b/>
                <w:color w:val="000000"/>
                <w:sz w:val="22"/>
                <w:szCs w:val="22"/>
              </w:rPr>
            </w:pPr>
            <w:r w:rsidRPr="0067297E">
              <w:rPr>
                <w:rFonts w:asciiTheme="minorHAnsi" w:hAnsiTheme="minorHAnsi" w:cs="Calibri"/>
                <w:b/>
                <w:color w:val="000000"/>
                <w:sz w:val="22"/>
                <w:szCs w:val="22"/>
              </w:rPr>
              <w:t>100.0</w:t>
            </w:r>
          </w:p>
        </w:tc>
        <w:tc>
          <w:tcPr>
            <w:tcW w:w="572" w:type="pct"/>
            <w:noWrap/>
            <w:hideMark/>
          </w:tcPr>
          <w:p w14:paraId="1BEFD3F3" w14:textId="77777777" w:rsidR="00203E57" w:rsidRPr="0067297E" w:rsidRDefault="00203E57" w:rsidP="00425A04">
            <w:pPr>
              <w:spacing w:before="0" w:after="0"/>
              <w:jc w:val="right"/>
              <w:rPr>
                <w:rFonts w:asciiTheme="minorHAnsi" w:hAnsiTheme="minorHAnsi" w:cs="Calibri"/>
                <w:b/>
                <w:color w:val="000000"/>
                <w:sz w:val="22"/>
                <w:szCs w:val="22"/>
              </w:rPr>
            </w:pPr>
            <w:r w:rsidRPr="0067297E">
              <w:rPr>
                <w:rFonts w:asciiTheme="minorHAnsi" w:hAnsiTheme="minorHAnsi" w:cs="Calibri"/>
                <w:b/>
                <w:color w:val="000000"/>
                <w:sz w:val="22"/>
                <w:szCs w:val="22"/>
              </w:rPr>
              <w:t>100.0</w:t>
            </w:r>
          </w:p>
        </w:tc>
        <w:tc>
          <w:tcPr>
            <w:tcW w:w="567" w:type="pct"/>
            <w:noWrap/>
            <w:hideMark/>
          </w:tcPr>
          <w:p w14:paraId="5AA2C773" w14:textId="77777777" w:rsidR="00203E57" w:rsidRPr="0067297E" w:rsidRDefault="00203E57" w:rsidP="00425A04">
            <w:pPr>
              <w:spacing w:before="0" w:after="0"/>
              <w:jc w:val="right"/>
              <w:rPr>
                <w:rFonts w:asciiTheme="minorHAnsi" w:hAnsiTheme="minorHAnsi" w:cs="Calibri"/>
                <w:b/>
                <w:color w:val="000000"/>
                <w:sz w:val="22"/>
                <w:szCs w:val="22"/>
              </w:rPr>
            </w:pPr>
            <w:r w:rsidRPr="0067297E">
              <w:rPr>
                <w:rFonts w:asciiTheme="minorHAnsi" w:hAnsiTheme="minorHAnsi" w:cs="Calibri"/>
                <w:b/>
                <w:color w:val="000000"/>
                <w:sz w:val="22"/>
                <w:szCs w:val="22"/>
              </w:rPr>
              <w:t>100.0</w:t>
            </w:r>
          </w:p>
        </w:tc>
        <w:tc>
          <w:tcPr>
            <w:tcW w:w="559" w:type="pct"/>
            <w:noWrap/>
            <w:hideMark/>
          </w:tcPr>
          <w:p w14:paraId="31CA6D21" w14:textId="77777777" w:rsidR="00203E57" w:rsidRPr="0067297E" w:rsidRDefault="00203E57" w:rsidP="00425A04">
            <w:pPr>
              <w:spacing w:before="0" w:after="0"/>
              <w:jc w:val="right"/>
              <w:rPr>
                <w:rFonts w:asciiTheme="minorHAnsi" w:hAnsiTheme="minorHAnsi" w:cs="Calibri"/>
                <w:b/>
                <w:color w:val="000000"/>
                <w:sz w:val="22"/>
                <w:szCs w:val="22"/>
              </w:rPr>
            </w:pPr>
            <w:r w:rsidRPr="0067297E">
              <w:rPr>
                <w:rFonts w:asciiTheme="minorHAnsi" w:hAnsiTheme="minorHAnsi" w:cs="Calibri"/>
                <w:b/>
                <w:color w:val="000000"/>
                <w:sz w:val="22"/>
                <w:szCs w:val="22"/>
              </w:rPr>
              <w:t>100.0</w:t>
            </w:r>
          </w:p>
        </w:tc>
      </w:tr>
    </w:tbl>
    <w:p w14:paraId="72E022AB" w14:textId="77777777" w:rsidR="00203E57" w:rsidRPr="0067297E" w:rsidRDefault="00203E57" w:rsidP="00FA273F">
      <w:pPr>
        <w:pStyle w:val="Reporttext"/>
        <w:numPr>
          <w:ilvl w:val="0"/>
          <w:numId w:val="0"/>
        </w:numPr>
        <w:ind w:left="709" w:hanging="709"/>
        <w:rPr>
          <w:rFonts w:asciiTheme="minorHAnsi" w:hAnsiTheme="minorHAnsi"/>
          <w:sz w:val="20"/>
        </w:rPr>
      </w:pPr>
      <w:r w:rsidRPr="0067297E">
        <w:rPr>
          <w:rFonts w:asciiTheme="minorHAnsi" w:hAnsiTheme="minorHAnsi"/>
          <w:sz w:val="20"/>
        </w:rPr>
        <w:t>Source: arc</w:t>
      </w:r>
      <w:r w:rsidRPr="0067297E">
        <w:rPr>
          <w:rFonts w:asciiTheme="minorHAnsi" w:hAnsiTheme="minorHAnsi"/>
          <w:sz w:val="20"/>
          <w:vertAlign w:val="superscript"/>
        </w:rPr>
        <w:t>4</w:t>
      </w:r>
      <w:r w:rsidRPr="0067297E">
        <w:rPr>
          <w:rFonts w:asciiTheme="minorHAnsi" w:hAnsiTheme="minorHAnsi"/>
          <w:sz w:val="20"/>
        </w:rPr>
        <w:t xml:space="preserve"> surveys </w:t>
      </w:r>
    </w:p>
    <w:p w14:paraId="13BFDD11" w14:textId="77777777" w:rsidR="00203E57" w:rsidRPr="0067297E" w:rsidRDefault="00203E57" w:rsidP="00FA273F">
      <w:pPr>
        <w:rPr>
          <w:rFonts w:asciiTheme="minorHAnsi" w:hAnsiTheme="minorHAnsi"/>
        </w:rPr>
      </w:pPr>
    </w:p>
    <w:p w14:paraId="088B7D81" w14:textId="77777777" w:rsidR="00F6633F" w:rsidRPr="0067297E" w:rsidRDefault="00F6633F">
      <w:pPr>
        <w:pStyle w:val="Heading3"/>
        <w:rPr>
          <w:rFonts w:asciiTheme="minorHAnsi" w:hAnsiTheme="minorHAnsi"/>
        </w:rPr>
      </w:pPr>
      <w:bookmarkStart w:id="422" w:name="_Toc395193581"/>
      <w:r w:rsidRPr="0067297E">
        <w:rPr>
          <w:rFonts w:asciiTheme="minorHAnsi" w:hAnsiTheme="minorHAnsi"/>
        </w:rPr>
        <w:t xml:space="preserve">Applying the data at </w:t>
      </w:r>
      <w:r w:rsidR="009943CC" w:rsidRPr="0067297E">
        <w:rPr>
          <w:rFonts w:asciiTheme="minorHAnsi" w:hAnsiTheme="minorHAnsi"/>
        </w:rPr>
        <w:t>b</w:t>
      </w:r>
      <w:r w:rsidRPr="0067297E">
        <w:rPr>
          <w:rFonts w:asciiTheme="minorHAnsi" w:hAnsiTheme="minorHAnsi"/>
        </w:rPr>
        <w:t>orough</w:t>
      </w:r>
      <w:r w:rsidR="009943CC" w:rsidRPr="0067297E">
        <w:rPr>
          <w:rFonts w:asciiTheme="minorHAnsi" w:hAnsiTheme="minorHAnsi"/>
        </w:rPr>
        <w:t xml:space="preserve"> </w:t>
      </w:r>
      <w:r w:rsidRPr="0067297E">
        <w:rPr>
          <w:rFonts w:asciiTheme="minorHAnsi" w:hAnsiTheme="minorHAnsi"/>
        </w:rPr>
        <w:t>level</w:t>
      </w:r>
      <w:bookmarkEnd w:id="422"/>
    </w:p>
    <w:p w14:paraId="59B72BE2" w14:textId="0113EE7B" w:rsidR="00203E57" w:rsidRPr="0067297E" w:rsidRDefault="00F6633F">
      <w:pPr>
        <w:pStyle w:val="Reporttext"/>
        <w:tabs>
          <w:tab w:val="num" w:pos="1419"/>
        </w:tabs>
        <w:rPr>
          <w:rFonts w:asciiTheme="minorHAnsi" w:hAnsiTheme="minorHAnsi"/>
        </w:rPr>
      </w:pPr>
      <w:r w:rsidRPr="0067297E">
        <w:rPr>
          <w:rFonts w:asciiTheme="minorHAnsi" w:hAnsiTheme="minorHAnsi"/>
        </w:rPr>
        <w:t>Applying the data at</w:t>
      </w:r>
      <w:r w:rsidR="00664786" w:rsidRPr="0067297E">
        <w:rPr>
          <w:rFonts w:asciiTheme="minorHAnsi" w:hAnsiTheme="minorHAnsi"/>
        </w:rPr>
        <w:t xml:space="preserve"> </w:t>
      </w:r>
      <w:r w:rsidRPr="0067297E">
        <w:rPr>
          <w:rFonts w:asciiTheme="minorHAnsi" w:hAnsiTheme="minorHAnsi"/>
        </w:rPr>
        <w:t>borough level is done in a systematic way. Firstly, the change in the number of households by age group and household type is established from household projections</w:t>
      </w:r>
      <w:r w:rsidR="00203E57" w:rsidRPr="0067297E">
        <w:rPr>
          <w:rFonts w:asciiTheme="minorHAnsi" w:hAnsiTheme="minorHAnsi"/>
          <w:lang w:val="en-US"/>
        </w:rPr>
        <w:t xml:space="preserve"> (Tab</w:t>
      </w:r>
      <w:r w:rsidR="00057709" w:rsidRPr="0067297E">
        <w:rPr>
          <w:rFonts w:asciiTheme="minorHAnsi" w:hAnsiTheme="minorHAnsi"/>
          <w:lang w:val="en-US"/>
        </w:rPr>
        <w:t>l</w:t>
      </w:r>
      <w:r w:rsidR="00203E57" w:rsidRPr="0067297E">
        <w:rPr>
          <w:rFonts w:asciiTheme="minorHAnsi" w:hAnsiTheme="minorHAnsi"/>
          <w:lang w:val="en-US"/>
        </w:rPr>
        <w:t xml:space="preserve">e </w:t>
      </w:r>
      <w:r w:rsidR="00B32E87" w:rsidRPr="0067297E">
        <w:rPr>
          <w:rFonts w:asciiTheme="minorHAnsi" w:hAnsiTheme="minorHAnsi"/>
          <w:lang w:val="en-US"/>
        </w:rPr>
        <w:t>7</w:t>
      </w:r>
      <w:r w:rsidR="00203E57" w:rsidRPr="0067297E">
        <w:rPr>
          <w:rFonts w:asciiTheme="minorHAnsi" w:hAnsiTheme="minorHAnsi"/>
          <w:lang w:val="en-US"/>
        </w:rPr>
        <w:t>.3A and B)</w:t>
      </w:r>
      <w:r w:rsidRPr="0067297E">
        <w:rPr>
          <w:rFonts w:asciiTheme="minorHAnsi" w:hAnsiTheme="minorHAnsi"/>
        </w:rPr>
        <w:t xml:space="preserve">. </w:t>
      </w:r>
      <w:r w:rsidR="00203E57" w:rsidRPr="0067297E">
        <w:rPr>
          <w:rFonts w:asciiTheme="minorHAnsi" w:hAnsiTheme="minorHAnsi"/>
        </w:rPr>
        <w:t>This illustrates that the total number of households is expected to increase by around 3</w:t>
      </w:r>
      <w:r w:rsidR="006859AE">
        <w:rPr>
          <w:rFonts w:asciiTheme="minorHAnsi" w:hAnsiTheme="minorHAnsi"/>
          <w:lang w:val="en-US"/>
        </w:rPr>
        <w:t>9</w:t>
      </w:r>
      <w:r w:rsidR="00203E57" w:rsidRPr="0067297E">
        <w:rPr>
          <w:rFonts w:asciiTheme="minorHAnsi" w:hAnsiTheme="minorHAnsi"/>
        </w:rPr>
        <w:t>,</w:t>
      </w:r>
      <w:r w:rsidR="006859AE">
        <w:rPr>
          <w:rFonts w:asciiTheme="minorHAnsi" w:hAnsiTheme="minorHAnsi"/>
          <w:lang w:val="en-US"/>
        </w:rPr>
        <w:t>7</w:t>
      </w:r>
      <w:r w:rsidR="00203E57" w:rsidRPr="0067297E">
        <w:rPr>
          <w:rFonts w:asciiTheme="minorHAnsi" w:hAnsiTheme="minorHAnsi"/>
        </w:rPr>
        <w:t xml:space="preserve">00 over the </w:t>
      </w:r>
      <w:r w:rsidR="006859AE">
        <w:rPr>
          <w:rFonts w:asciiTheme="minorHAnsi" w:hAnsiTheme="minorHAnsi"/>
          <w:lang w:val="en-US"/>
        </w:rPr>
        <w:t>period 2020 to 2039</w:t>
      </w:r>
      <w:r w:rsidR="00203E57" w:rsidRPr="0067297E">
        <w:rPr>
          <w:rFonts w:asciiTheme="minorHAnsi" w:hAnsiTheme="minorHAnsi"/>
        </w:rPr>
        <w:t xml:space="preserve"> using 2014-based DCLG household projections. Analysis indicates an increase in the number of households across most HRP age with the exception of the 25-34 age group, with the most substantial increases across the 45-59 and 60-</w:t>
      </w:r>
      <w:r w:rsidR="006859AE">
        <w:rPr>
          <w:rFonts w:asciiTheme="minorHAnsi" w:hAnsiTheme="minorHAnsi"/>
          <w:lang w:val="en-US"/>
        </w:rPr>
        <w:t>84</w:t>
      </w:r>
      <w:r w:rsidR="00203E57" w:rsidRPr="0067297E">
        <w:rPr>
          <w:rFonts w:asciiTheme="minorHAnsi" w:hAnsiTheme="minorHAnsi"/>
        </w:rPr>
        <w:t xml:space="preserve"> age groups</w:t>
      </w:r>
      <w:r w:rsidR="002624F9" w:rsidRPr="0067297E">
        <w:rPr>
          <w:rFonts w:asciiTheme="minorHAnsi" w:hAnsiTheme="minorHAnsi"/>
          <w:lang w:val="en-GB"/>
        </w:rPr>
        <w:t>.</w:t>
      </w:r>
    </w:p>
    <w:p w14:paraId="3CF90E6A" w14:textId="706C9749" w:rsidR="00203E57" w:rsidRPr="0067297E" w:rsidRDefault="00203E57">
      <w:pPr>
        <w:pStyle w:val="Reporttext"/>
        <w:tabs>
          <w:tab w:val="num" w:pos="1419"/>
        </w:tabs>
        <w:rPr>
          <w:rFonts w:asciiTheme="minorHAnsi" w:hAnsiTheme="minorHAnsi"/>
        </w:rPr>
      </w:pPr>
      <w:r w:rsidRPr="0067297E">
        <w:rPr>
          <w:rFonts w:asciiTheme="minorHAnsi" w:hAnsiTheme="minorHAnsi"/>
          <w:lang w:val="en-US"/>
        </w:rPr>
        <w:t>From national data, the relationship between age group of the HRP, household type and dwelling size can be established. This can be applied to the household projections to consider the overall impact of household change on housing size assuming that the initial dwelling profiles by age group do not change over the plan period</w:t>
      </w:r>
      <w:r w:rsidR="00116319" w:rsidRPr="0067297E">
        <w:rPr>
          <w:rFonts w:asciiTheme="minorHAnsi" w:hAnsiTheme="minorHAnsi"/>
          <w:lang w:val="en-US"/>
        </w:rPr>
        <w:t>.</w:t>
      </w:r>
    </w:p>
    <w:p w14:paraId="7CF384F5" w14:textId="77777777" w:rsidR="00A96554" w:rsidRPr="0067297E" w:rsidRDefault="00A96554">
      <w:pPr>
        <w:rPr>
          <w:rFonts w:asciiTheme="minorHAnsi" w:hAnsiTheme="minorHAnsi"/>
          <w:sz w:val="20"/>
        </w:rPr>
      </w:pPr>
    </w:p>
    <w:tbl>
      <w:tblPr>
        <w:tblStyle w:val="arc4table"/>
        <w:tblW w:w="5000" w:type="pct"/>
        <w:tblLook w:val="04A0" w:firstRow="1" w:lastRow="0" w:firstColumn="1" w:lastColumn="0" w:noHBand="0" w:noVBand="1"/>
        <w:tblCaption w:val="Table 7.3A Change in number of housholds by age group 2020-2039"/>
      </w:tblPr>
      <w:tblGrid>
        <w:gridCol w:w="1324"/>
        <w:gridCol w:w="2551"/>
        <w:gridCol w:w="1726"/>
        <w:gridCol w:w="1368"/>
        <w:gridCol w:w="2213"/>
      </w:tblGrid>
      <w:tr w:rsidR="00F6633F" w:rsidRPr="0067297E" w14:paraId="5256E55B" w14:textId="77777777" w:rsidTr="00426BD8">
        <w:trPr>
          <w:cnfStyle w:val="100000000000" w:firstRow="1" w:lastRow="0" w:firstColumn="0" w:lastColumn="0" w:oddVBand="0" w:evenVBand="0" w:oddHBand="0" w:evenHBand="0" w:firstRowFirstColumn="0" w:firstRowLastColumn="0" w:lastRowFirstColumn="0" w:lastRowLastColumn="0"/>
          <w:trHeight w:val="300"/>
          <w:tblHeader/>
        </w:trPr>
        <w:tc>
          <w:tcPr>
            <w:tcW w:w="5000" w:type="pct"/>
            <w:gridSpan w:val="5"/>
            <w:noWrap/>
          </w:tcPr>
          <w:p w14:paraId="09C47F5E" w14:textId="3573F273" w:rsidR="00F6633F" w:rsidRPr="0067297E" w:rsidRDefault="000D2A58" w:rsidP="009D0288">
            <w:pPr>
              <w:pStyle w:val="tableheading"/>
              <w:rPr>
                <w:rFonts w:asciiTheme="minorHAnsi" w:hAnsiTheme="minorHAnsi"/>
                <w:b/>
                <w:color w:val="000000"/>
              </w:rPr>
            </w:pPr>
            <w:bookmarkStart w:id="423" w:name="_Toc391751396"/>
            <w:bookmarkStart w:id="424" w:name="_Toc397250699"/>
            <w:bookmarkStart w:id="425" w:name="_Toc23151195"/>
            <w:r w:rsidRPr="0067297E">
              <w:rPr>
                <w:rFonts w:asciiTheme="minorHAnsi" w:hAnsiTheme="minorHAnsi"/>
                <w:b/>
              </w:rPr>
              <w:t xml:space="preserve">Table </w:t>
            </w:r>
            <w:r w:rsidR="00B32E87" w:rsidRPr="0067297E">
              <w:rPr>
                <w:rFonts w:asciiTheme="minorHAnsi" w:hAnsiTheme="minorHAnsi"/>
                <w:b/>
                <w:lang w:val="en-GB"/>
              </w:rPr>
              <w:t>7</w:t>
            </w:r>
            <w:r w:rsidR="00F6633F" w:rsidRPr="0067297E">
              <w:rPr>
                <w:rFonts w:asciiTheme="minorHAnsi" w:hAnsiTheme="minorHAnsi"/>
                <w:b/>
              </w:rPr>
              <w:t>.3A</w:t>
            </w:r>
            <w:r w:rsidR="00F6633F" w:rsidRPr="0067297E">
              <w:rPr>
                <w:rFonts w:asciiTheme="minorHAnsi" w:hAnsiTheme="minorHAnsi"/>
                <w:b/>
              </w:rPr>
              <w:tab/>
              <w:t>Change in number</w:t>
            </w:r>
            <w:r w:rsidR="00BD5090" w:rsidRPr="0067297E">
              <w:rPr>
                <w:rFonts w:asciiTheme="minorHAnsi" w:hAnsiTheme="minorHAnsi"/>
                <w:b/>
              </w:rPr>
              <w:t xml:space="preserve"> of households by age group 20</w:t>
            </w:r>
            <w:r w:rsidR="006859AE">
              <w:rPr>
                <w:rFonts w:asciiTheme="minorHAnsi" w:hAnsiTheme="minorHAnsi"/>
                <w:b/>
                <w:lang w:val="en-US"/>
              </w:rPr>
              <w:t>20</w:t>
            </w:r>
            <w:r w:rsidR="00F6633F" w:rsidRPr="0067297E">
              <w:rPr>
                <w:rFonts w:asciiTheme="minorHAnsi" w:hAnsiTheme="minorHAnsi"/>
                <w:b/>
              </w:rPr>
              <w:t>-203</w:t>
            </w:r>
            <w:bookmarkEnd w:id="423"/>
            <w:bookmarkEnd w:id="424"/>
            <w:r w:rsidR="006859AE">
              <w:rPr>
                <w:rFonts w:asciiTheme="minorHAnsi" w:hAnsiTheme="minorHAnsi"/>
                <w:b/>
              </w:rPr>
              <w:t>9</w:t>
            </w:r>
            <w:bookmarkEnd w:id="425"/>
          </w:p>
        </w:tc>
      </w:tr>
      <w:tr w:rsidR="00F6633F" w:rsidRPr="0067297E" w14:paraId="22D554E4" w14:textId="77777777" w:rsidTr="00A96554">
        <w:trPr>
          <w:trHeight w:val="300"/>
        </w:trPr>
        <w:tc>
          <w:tcPr>
            <w:tcW w:w="721" w:type="pct"/>
            <w:vMerge w:val="restart"/>
            <w:shd w:val="clear" w:color="auto" w:fill="009999"/>
            <w:noWrap/>
            <w:vAlign w:val="bottom"/>
            <w:hideMark/>
          </w:tcPr>
          <w:p w14:paraId="6AA9B457" w14:textId="77777777" w:rsidR="00F6633F" w:rsidRPr="0067297E" w:rsidRDefault="00F6633F" w:rsidP="00A96554">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Age group</w:t>
            </w:r>
          </w:p>
        </w:tc>
        <w:tc>
          <w:tcPr>
            <w:tcW w:w="1389" w:type="pct"/>
            <w:vMerge w:val="restart"/>
            <w:shd w:val="clear" w:color="auto" w:fill="009999"/>
            <w:noWrap/>
            <w:vAlign w:val="bottom"/>
            <w:hideMark/>
          </w:tcPr>
          <w:p w14:paraId="0B78571C" w14:textId="77777777" w:rsidR="00F6633F" w:rsidRPr="0067297E" w:rsidRDefault="00F6633F" w:rsidP="00A96554">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Household Type</w:t>
            </w:r>
          </w:p>
        </w:tc>
        <w:tc>
          <w:tcPr>
            <w:tcW w:w="1685" w:type="pct"/>
            <w:gridSpan w:val="2"/>
            <w:shd w:val="clear" w:color="auto" w:fill="009999"/>
            <w:noWrap/>
            <w:vAlign w:val="bottom"/>
            <w:hideMark/>
          </w:tcPr>
          <w:p w14:paraId="22B2770F" w14:textId="77777777" w:rsidR="00F6633F" w:rsidRPr="0067297E" w:rsidRDefault="00F6633F" w:rsidP="00A04CC5">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Year</w:t>
            </w:r>
          </w:p>
        </w:tc>
        <w:tc>
          <w:tcPr>
            <w:tcW w:w="1205" w:type="pct"/>
            <w:vMerge w:val="restart"/>
            <w:shd w:val="clear" w:color="auto" w:fill="009999"/>
            <w:noWrap/>
            <w:vAlign w:val="bottom"/>
            <w:hideMark/>
          </w:tcPr>
          <w:p w14:paraId="338E4288" w14:textId="77777777" w:rsidR="00F6633F" w:rsidRPr="0067297E" w:rsidRDefault="00F6633F" w:rsidP="007E2C96">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Change in households</w:t>
            </w:r>
          </w:p>
          <w:p w14:paraId="739B2B34" w14:textId="09148268" w:rsidR="00F6633F" w:rsidRPr="0067297E" w:rsidRDefault="00BD5090" w:rsidP="00516B53">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20</w:t>
            </w:r>
            <w:r w:rsidR="006859AE">
              <w:rPr>
                <w:rFonts w:asciiTheme="minorHAnsi" w:hAnsiTheme="minorHAnsi" w:cs="Calibri"/>
                <w:b/>
                <w:bCs/>
                <w:color w:val="FFFFFF" w:themeColor="background1"/>
                <w:sz w:val="22"/>
                <w:szCs w:val="22"/>
              </w:rPr>
              <w:t>20</w:t>
            </w:r>
            <w:r w:rsidRPr="0067297E">
              <w:rPr>
                <w:rFonts w:asciiTheme="minorHAnsi" w:hAnsiTheme="minorHAnsi" w:cs="Calibri"/>
                <w:b/>
                <w:bCs/>
                <w:color w:val="FFFFFF" w:themeColor="background1"/>
                <w:sz w:val="22"/>
                <w:szCs w:val="22"/>
              </w:rPr>
              <w:t>-203</w:t>
            </w:r>
            <w:r w:rsidR="006859AE">
              <w:rPr>
                <w:rFonts w:asciiTheme="minorHAnsi" w:hAnsiTheme="minorHAnsi" w:cs="Calibri"/>
                <w:b/>
                <w:bCs/>
                <w:color w:val="FFFFFF" w:themeColor="background1"/>
                <w:sz w:val="22"/>
                <w:szCs w:val="22"/>
              </w:rPr>
              <w:t>9</w:t>
            </w:r>
          </w:p>
        </w:tc>
      </w:tr>
      <w:tr w:rsidR="00F6633F" w:rsidRPr="0067297E" w14:paraId="1C44832D" w14:textId="77777777" w:rsidTr="00A96554">
        <w:trPr>
          <w:trHeight w:val="250"/>
        </w:trPr>
        <w:tc>
          <w:tcPr>
            <w:tcW w:w="721" w:type="pct"/>
            <w:vMerge/>
            <w:noWrap/>
            <w:hideMark/>
          </w:tcPr>
          <w:p w14:paraId="6D2670FD" w14:textId="77777777" w:rsidR="00F6633F" w:rsidRPr="0067297E" w:rsidRDefault="00F6633F">
            <w:pPr>
              <w:spacing w:before="0" w:after="0"/>
              <w:rPr>
                <w:rFonts w:asciiTheme="minorHAnsi" w:hAnsiTheme="minorHAnsi" w:cs="Calibri"/>
                <w:b/>
                <w:bCs/>
                <w:color w:val="000000"/>
                <w:sz w:val="22"/>
                <w:szCs w:val="22"/>
              </w:rPr>
            </w:pPr>
          </w:p>
        </w:tc>
        <w:tc>
          <w:tcPr>
            <w:tcW w:w="1389" w:type="pct"/>
            <w:vMerge/>
            <w:noWrap/>
            <w:hideMark/>
          </w:tcPr>
          <w:p w14:paraId="76C982A8" w14:textId="77777777" w:rsidR="00F6633F" w:rsidRPr="0067297E" w:rsidRDefault="00F6633F">
            <w:pPr>
              <w:spacing w:before="0" w:after="0"/>
              <w:rPr>
                <w:rFonts w:asciiTheme="minorHAnsi" w:hAnsiTheme="minorHAnsi" w:cs="Calibri"/>
                <w:b/>
                <w:bCs/>
                <w:color w:val="000000"/>
                <w:sz w:val="22"/>
                <w:szCs w:val="22"/>
              </w:rPr>
            </w:pPr>
          </w:p>
        </w:tc>
        <w:tc>
          <w:tcPr>
            <w:tcW w:w="940" w:type="pct"/>
            <w:shd w:val="clear" w:color="auto" w:fill="009999"/>
            <w:noWrap/>
            <w:hideMark/>
          </w:tcPr>
          <w:p w14:paraId="2BA664D6" w14:textId="72DB7D43" w:rsidR="00F6633F" w:rsidRPr="0067297E" w:rsidRDefault="00BD5090">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20</w:t>
            </w:r>
            <w:r w:rsidR="006859AE">
              <w:rPr>
                <w:rFonts w:asciiTheme="minorHAnsi" w:hAnsiTheme="minorHAnsi" w:cs="Calibri"/>
                <w:bCs/>
                <w:color w:val="FFFFFF" w:themeColor="background1"/>
                <w:sz w:val="22"/>
                <w:szCs w:val="22"/>
              </w:rPr>
              <w:t>20</w:t>
            </w:r>
          </w:p>
        </w:tc>
        <w:tc>
          <w:tcPr>
            <w:tcW w:w="745" w:type="pct"/>
            <w:shd w:val="clear" w:color="auto" w:fill="009999"/>
            <w:noWrap/>
            <w:hideMark/>
          </w:tcPr>
          <w:p w14:paraId="29773EAF" w14:textId="696156FE" w:rsidR="00F6633F" w:rsidRPr="0067297E" w:rsidRDefault="00BD5090">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203</w:t>
            </w:r>
            <w:r w:rsidR="006859AE">
              <w:rPr>
                <w:rFonts w:asciiTheme="minorHAnsi" w:hAnsiTheme="minorHAnsi" w:cs="Calibri"/>
                <w:bCs/>
                <w:color w:val="FFFFFF" w:themeColor="background1"/>
                <w:sz w:val="22"/>
                <w:szCs w:val="22"/>
              </w:rPr>
              <w:t>9</w:t>
            </w:r>
          </w:p>
        </w:tc>
        <w:tc>
          <w:tcPr>
            <w:tcW w:w="1205" w:type="pct"/>
            <w:vMerge/>
            <w:hideMark/>
          </w:tcPr>
          <w:p w14:paraId="5EAC8A5A" w14:textId="77777777" w:rsidR="00F6633F" w:rsidRPr="0067297E" w:rsidRDefault="00F6633F">
            <w:pPr>
              <w:spacing w:before="0" w:after="0"/>
              <w:jc w:val="center"/>
              <w:rPr>
                <w:rFonts w:asciiTheme="minorHAnsi" w:hAnsiTheme="minorHAnsi" w:cs="Calibri"/>
                <w:b/>
                <w:bCs/>
                <w:color w:val="000000"/>
                <w:sz w:val="22"/>
                <w:szCs w:val="22"/>
              </w:rPr>
            </w:pPr>
          </w:p>
        </w:tc>
      </w:tr>
      <w:tr w:rsidR="006859AE" w:rsidRPr="0067297E" w14:paraId="2124936E" w14:textId="77777777" w:rsidTr="00A96554">
        <w:trPr>
          <w:trHeight w:val="300"/>
        </w:trPr>
        <w:tc>
          <w:tcPr>
            <w:tcW w:w="721" w:type="pct"/>
            <w:vMerge w:val="restart"/>
            <w:noWrap/>
            <w:hideMark/>
          </w:tcPr>
          <w:p w14:paraId="0B691F15" w14:textId="77777777" w:rsidR="006859AE" w:rsidRPr="0067297E" w:rsidRDefault="006859AE" w:rsidP="006859AE">
            <w:pPr>
              <w:spacing w:before="0" w:after="0"/>
              <w:ind w:left="720" w:hanging="720"/>
              <w:jc w:val="center"/>
              <w:rPr>
                <w:rFonts w:asciiTheme="minorHAnsi" w:hAnsiTheme="minorHAnsi" w:cs="Calibri"/>
                <w:b/>
                <w:color w:val="000000"/>
                <w:sz w:val="22"/>
                <w:szCs w:val="22"/>
              </w:rPr>
            </w:pPr>
            <w:r w:rsidRPr="0067297E">
              <w:rPr>
                <w:rFonts w:asciiTheme="minorHAnsi" w:hAnsiTheme="minorHAnsi" w:cs="Calibri"/>
                <w:b/>
                <w:color w:val="000000"/>
                <w:sz w:val="22"/>
                <w:szCs w:val="22"/>
              </w:rPr>
              <w:t>15-24</w:t>
            </w:r>
          </w:p>
        </w:tc>
        <w:tc>
          <w:tcPr>
            <w:tcW w:w="1389" w:type="pct"/>
            <w:noWrap/>
            <w:hideMark/>
          </w:tcPr>
          <w:p w14:paraId="5ADA11EA"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One Person</w:t>
            </w:r>
          </w:p>
        </w:tc>
        <w:tc>
          <w:tcPr>
            <w:tcW w:w="940" w:type="pct"/>
            <w:noWrap/>
            <w:vAlign w:val="bottom"/>
            <w:hideMark/>
          </w:tcPr>
          <w:p w14:paraId="7AEE1B11" w14:textId="56533E97"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1,199</w:t>
            </w:r>
          </w:p>
        </w:tc>
        <w:tc>
          <w:tcPr>
            <w:tcW w:w="745" w:type="pct"/>
            <w:noWrap/>
            <w:vAlign w:val="bottom"/>
            <w:hideMark/>
          </w:tcPr>
          <w:p w14:paraId="1B914BF2" w14:textId="52950B69"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1,268</w:t>
            </w:r>
          </w:p>
        </w:tc>
        <w:tc>
          <w:tcPr>
            <w:tcW w:w="1205" w:type="pct"/>
            <w:noWrap/>
            <w:vAlign w:val="bottom"/>
            <w:hideMark/>
          </w:tcPr>
          <w:p w14:paraId="301B44A1" w14:textId="3AE38BD8"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69</w:t>
            </w:r>
          </w:p>
        </w:tc>
      </w:tr>
      <w:tr w:rsidR="006859AE" w:rsidRPr="0067297E" w14:paraId="1FBEBE3F" w14:textId="77777777" w:rsidTr="00A96554">
        <w:trPr>
          <w:trHeight w:val="300"/>
        </w:trPr>
        <w:tc>
          <w:tcPr>
            <w:tcW w:w="721" w:type="pct"/>
            <w:vMerge/>
            <w:noWrap/>
            <w:hideMark/>
          </w:tcPr>
          <w:p w14:paraId="1338AC9E"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0042F215"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Couple only</w:t>
            </w:r>
          </w:p>
        </w:tc>
        <w:tc>
          <w:tcPr>
            <w:tcW w:w="940" w:type="pct"/>
            <w:noWrap/>
            <w:vAlign w:val="bottom"/>
            <w:hideMark/>
          </w:tcPr>
          <w:p w14:paraId="234DCA73" w14:textId="4678A8FF"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188</w:t>
            </w:r>
          </w:p>
        </w:tc>
        <w:tc>
          <w:tcPr>
            <w:tcW w:w="745" w:type="pct"/>
            <w:noWrap/>
            <w:vAlign w:val="bottom"/>
            <w:hideMark/>
          </w:tcPr>
          <w:p w14:paraId="7A5C67CE" w14:textId="1DF81C13"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66</w:t>
            </w:r>
          </w:p>
        </w:tc>
        <w:tc>
          <w:tcPr>
            <w:tcW w:w="1205" w:type="pct"/>
            <w:noWrap/>
            <w:vAlign w:val="bottom"/>
            <w:hideMark/>
          </w:tcPr>
          <w:p w14:paraId="460743BF" w14:textId="5259CBC9"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-122</w:t>
            </w:r>
          </w:p>
        </w:tc>
      </w:tr>
      <w:tr w:rsidR="006859AE" w:rsidRPr="0067297E" w14:paraId="549EA90B" w14:textId="77777777" w:rsidTr="00A96554">
        <w:trPr>
          <w:trHeight w:val="300"/>
        </w:trPr>
        <w:tc>
          <w:tcPr>
            <w:tcW w:w="721" w:type="pct"/>
            <w:vMerge/>
            <w:noWrap/>
            <w:hideMark/>
          </w:tcPr>
          <w:p w14:paraId="739531C7"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3DA396A7"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HH with 1/2 children</w:t>
            </w:r>
          </w:p>
        </w:tc>
        <w:tc>
          <w:tcPr>
            <w:tcW w:w="940" w:type="pct"/>
            <w:noWrap/>
            <w:vAlign w:val="bottom"/>
            <w:hideMark/>
          </w:tcPr>
          <w:p w14:paraId="47D76C25" w14:textId="59EBB16A"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1,235</w:t>
            </w:r>
          </w:p>
        </w:tc>
        <w:tc>
          <w:tcPr>
            <w:tcW w:w="745" w:type="pct"/>
            <w:noWrap/>
            <w:vAlign w:val="bottom"/>
            <w:hideMark/>
          </w:tcPr>
          <w:p w14:paraId="2E5C9B5D" w14:textId="42020FB7"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1,426</w:t>
            </w:r>
          </w:p>
        </w:tc>
        <w:tc>
          <w:tcPr>
            <w:tcW w:w="1205" w:type="pct"/>
            <w:noWrap/>
            <w:vAlign w:val="bottom"/>
            <w:hideMark/>
          </w:tcPr>
          <w:p w14:paraId="31C1030C" w14:textId="6421C202"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191</w:t>
            </w:r>
          </w:p>
        </w:tc>
      </w:tr>
      <w:tr w:rsidR="006859AE" w:rsidRPr="0067297E" w14:paraId="03BE08AE" w14:textId="77777777" w:rsidTr="00A96554">
        <w:trPr>
          <w:trHeight w:val="300"/>
        </w:trPr>
        <w:tc>
          <w:tcPr>
            <w:tcW w:w="721" w:type="pct"/>
            <w:vMerge/>
            <w:noWrap/>
            <w:hideMark/>
          </w:tcPr>
          <w:p w14:paraId="65C7E1FC"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40357C54"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HH with 3 children</w:t>
            </w:r>
          </w:p>
        </w:tc>
        <w:tc>
          <w:tcPr>
            <w:tcW w:w="940" w:type="pct"/>
            <w:noWrap/>
            <w:vAlign w:val="bottom"/>
            <w:hideMark/>
          </w:tcPr>
          <w:p w14:paraId="5EEF7F0D" w14:textId="7E1CC175"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66</w:t>
            </w:r>
          </w:p>
        </w:tc>
        <w:tc>
          <w:tcPr>
            <w:tcW w:w="745" w:type="pct"/>
            <w:noWrap/>
            <w:vAlign w:val="bottom"/>
            <w:hideMark/>
          </w:tcPr>
          <w:p w14:paraId="24E9FC14" w14:textId="30369393"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77</w:t>
            </w:r>
          </w:p>
        </w:tc>
        <w:tc>
          <w:tcPr>
            <w:tcW w:w="1205" w:type="pct"/>
            <w:noWrap/>
            <w:vAlign w:val="bottom"/>
            <w:hideMark/>
          </w:tcPr>
          <w:p w14:paraId="3F784363" w14:textId="38C841CC"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11</w:t>
            </w:r>
          </w:p>
        </w:tc>
      </w:tr>
      <w:tr w:rsidR="006859AE" w:rsidRPr="0067297E" w14:paraId="133F1FFD" w14:textId="77777777" w:rsidTr="00A96554">
        <w:trPr>
          <w:trHeight w:val="300"/>
        </w:trPr>
        <w:tc>
          <w:tcPr>
            <w:tcW w:w="721" w:type="pct"/>
            <w:vMerge/>
            <w:noWrap/>
            <w:hideMark/>
          </w:tcPr>
          <w:p w14:paraId="2C5FBB47"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6FA051E1"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Other Multi-person</w:t>
            </w:r>
          </w:p>
        </w:tc>
        <w:tc>
          <w:tcPr>
            <w:tcW w:w="940" w:type="pct"/>
            <w:noWrap/>
            <w:vAlign w:val="bottom"/>
            <w:hideMark/>
          </w:tcPr>
          <w:p w14:paraId="747222B1" w14:textId="75910F50"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1,361</w:t>
            </w:r>
          </w:p>
        </w:tc>
        <w:tc>
          <w:tcPr>
            <w:tcW w:w="745" w:type="pct"/>
            <w:noWrap/>
            <w:vAlign w:val="bottom"/>
            <w:hideMark/>
          </w:tcPr>
          <w:p w14:paraId="59A9C72D" w14:textId="590578F5"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1,565</w:t>
            </w:r>
          </w:p>
        </w:tc>
        <w:tc>
          <w:tcPr>
            <w:tcW w:w="1205" w:type="pct"/>
            <w:noWrap/>
            <w:vAlign w:val="bottom"/>
            <w:hideMark/>
          </w:tcPr>
          <w:p w14:paraId="614AF252" w14:textId="41FE2373"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204</w:t>
            </w:r>
          </w:p>
        </w:tc>
      </w:tr>
      <w:tr w:rsidR="006859AE" w:rsidRPr="0067297E" w14:paraId="7A27B336" w14:textId="77777777" w:rsidTr="00A96554">
        <w:trPr>
          <w:trHeight w:val="300"/>
        </w:trPr>
        <w:tc>
          <w:tcPr>
            <w:tcW w:w="721" w:type="pct"/>
            <w:vMerge/>
            <w:noWrap/>
            <w:hideMark/>
          </w:tcPr>
          <w:p w14:paraId="77BAEB79"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58E8747F" w14:textId="77777777" w:rsidR="006859AE" w:rsidRPr="00894104" w:rsidRDefault="006859AE" w:rsidP="006859AE">
            <w:pPr>
              <w:spacing w:before="0" w:after="0"/>
              <w:rPr>
                <w:rFonts w:asciiTheme="minorHAnsi" w:hAnsiTheme="minorHAnsi" w:cs="Calibri"/>
                <w:b/>
                <w:color w:val="000000"/>
                <w:sz w:val="22"/>
                <w:szCs w:val="22"/>
              </w:rPr>
            </w:pPr>
            <w:r w:rsidRPr="00894104">
              <w:rPr>
                <w:rFonts w:asciiTheme="minorHAnsi" w:hAnsiTheme="minorHAnsi" w:cs="Calibri"/>
                <w:b/>
                <w:color w:val="000000"/>
                <w:sz w:val="22"/>
                <w:szCs w:val="22"/>
              </w:rPr>
              <w:t>Total</w:t>
            </w:r>
          </w:p>
        </w:tc>
        <w:tc>
          <w:tcPr>
            <w:tcW w:w="940" w:type="pct"/>
            <w:noWrap/>
            <w:vAlign w:val="bottom"/>
            <w:hideMark/>
          </w:tcPr>
          <w:p w14:paraId="68CA0992" w14:textId="4DA2C174"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4,049</w:t>
            </w:r>
          </w:p>
        </w:tc>
        <w:tc>
          <w:tcPr>
            <w:tcW w:w="745" w:type="pct"/>
            <w:noWrap/>
            <w:vAlign w:val="bottom"/>
            <w:hideMark/>
          </w:tcPr>
          <w:p w14:paraId="29DE1349" w14:textId="77E44E56"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4,402</w:t>
            </w:r>
          </w:p>
        </w:tc>
        <w:tc>
          <w:tcPr>
            <w:tcW w:w="1205" w:type="pct"/>
            <w:noWrap/>
            <w:vAlign w:val="bottom"/>
            <w:hideMark/>
          </w:tcPr>
          <w:p w14:paraId="4796AAEA" w14:textId="0C9E3939"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353</w:t>
            </w:r>
          </w:p>
        </w:tc>
      </w:tr>
      <w:tr w:rsidR="006859AE" w:rsidRPr="0067297E" w14:paraId="7367BDCD" w14:textId="77777777" w:rsidTr="00A96554">
        <w:trPr>
          <w:trHeight w:val="300"/>
        </w:trPr>
        <w:tc>
          <w:tcPr>
            <w:tcW w:w="721" w:type="pct"/>
            <w:vMerge w:val="restart"/>
            <w:noWrap/>
            <w:hideMark/>
          </w:tcPr>
          <w:p w14:paraId="60132782" w14:textId="77777777" w:rsidR="006859AE" w:rsidRPr="0067297E" w:rsidRDefault="006859AE" w:rsidP="006859AE">
            <w:pPr>
              <w:spacing w:before="0" w:after="0"/>
              <w:jc w:val="center"/>
              <w:rPr>
                <w:rFonts w:asciiTheme="minorHAnsi" w:hAnsiTheme="minorHAnsi" w:cs="Calibri"/>
                <w:b/>
                <w:color w:val="000000"/>
                <w:sz w:val="22"/>
                <w:szCs w:val="22"/>
              </w:rPr>
            </w:pPr>
            <w:r w:rsidRPr="0067297E">
              <w:rPr>
                <w:rFonts w:asciiTheme="minorHAnsi" w:hAnsiTheme="minorHAnsi" w:cs="Calibri"/>
                <w:b/>
                <w:color w:val="000000"/>
                <w:sz w:val="22"/>
                <w:szCs w:val="22"/>
              </w:rPr>
              <w:t>25-34</w:t>
            </w:r>
          </w:p>
        </w:tc>
        <w:tc>
          <w:tcPr>
            <w:tcW w:w="1389" w:type="pct"/>
            <w:noWrap/>
            <w:hideMark/>
          </w:tcPr>
          <w:p w14:paraId="59DFA108"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One Person</w:t>
            </w:r>
          </w:p>
        </w:tc>
        <w:tc>
          <w:tcPr>
            <w:tcW w:w="940" w:type="pct"/>
            <w:noWrap/>
            <w:vAlign w:val="bottom"/>
            <w:hideMark/>
          </w:tcPr>
          <w:p w14:paraId="7331A4F1" w14:textId="2D05FC7A"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6,351</w:t>
            </w:r>
          </w:p>
        </w:tc>
        <w:tc>
          <w:tcPr>
            <w:tcW w:w="745" w:type="pct"/>
            <w:noWrap/>
            <w:vAlign w:val="bottom"/>
            <w:hideMark/>
          </w:tcPr>
          <w:p w14:paraId="5291A71D" w14:textId="59B393B5"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5,473</w:t>
            </w:r>
          </w:p>
        </w:tc>
        <w:tc>
          <w:tcPr>
            <w:tcW w:w="1205" w:type="pct"/>
            <w:noWrap/>
            <w:vAlign w:val="bottom"/>
            <w:hideMark/>
          </w:tcPr>
          <w:p w14:paraId="38C4DD3A" w14:textId="59367A38"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-878</w:t>
            </w:r>
          </w:p>
        </w:tc>
      </w:tr>
      <w:tr w:rsidR="006859AE" w:rsidRPr="0067297E" w14:paraId="463A83BF" w14:textId="77777777" w:rsidTr="00A96554">
        <w:trPr>
          <w:trHeight w:val="300"/>
        </w:trPr>
        <w:tc>
          <w:tcPr>
            <w:tcW w:w="721" w:type="pct"/>
            <w:vMerge/>
            <w:noWrap/>
            <w:hideMark/>
          </w:tcPr>
          <w:p w14:paraId="6DE96977"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2E7FEE25"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Couple only</w:t>
            </w:r>
          </w:p>
        </w:tc>
        <w:tc>
          <w:tcPr>
            <w:tcW w:w="940" w:type="pct"/>
            <w:noWrap/>
            <w:vAlign w:val="bottom"/>
            <w:hideMark/>
          </w:tcPr>
          <w:p w14:paraId="7CDFDB47" w14:textId="19FB8CAA"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4,350</w:t>
            </w:r>
          </w:p>
        </w:tc>
        <w:tc>
          <w:tcPr>
            <w:tcW w:w="745" w:type="pct"/>
            <w:noWrap/>
            <w:vAlign w:val="bottom"/>
            <w:hideMark/>
          </w:tcPr>
          <w:p w14:paraId="32EC2AD4" w14:textId="625012D3"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3,216</w:t>
            </w:r>
          </w:p>
        </w:tc>
        <w:tc>
          <w:tcPr>
            <w:tcW w:w="1205" w:type="pct"/>
            <w:noWrap/>
            <w:vAlign w:val="bottom"/>
            <w:hideMark/>
          </w:tcPr>
          <w:p w14:paraId="2933E08F" w14:textId="34EF03EA"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-1,134</w:t>
            </w:r>
          </w:p>
        </w:tc>
      </w:tr>
      <w:tr w:rsidR="006859AE" w:rsidRPr="0067297E" w14:paraId="11D680AE" w14:textId="77777777" w:rsidTr="00A96554">
        <w:trPr>
          <w:trHeight w:val="300"/>
        </w:trPr>
        <w:tc>
          <w:tcPr>
            <w:tcW w:w="721" w:type="pct"/>
            <w:vMerge/>
            <w:noWrap/>
            <w:hideMark/>
          </w:tcPr>
          <w:p w14:paraId="4DDD2043"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372B7711"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HH with 1/2 children</w:t>
            </w:r>
          </w:p>
        </w:tc>
        <w:tc>
          <w:tcPr>
            <w:tcW w:w="940" w:type="pct"/>
            <w:noWrap/>
            <w:vAlign w:val="bottom"/>
            <w:hideMark/>
          </w:tcPr>
          <w:p w14:paraId="1983A104" w14:textId="50760AFD"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6,531</w:t>
            </w:r>
          </w:p>
        </w:tc>
        <w:tc>
          <w:tcPr>
            <w:tcW w:w="745" w:type="pct"/>
            <w:noWrap/>
            <w:vAlign w:val="bottom"/>
            <w:hideMark/>
          </w:tcPr>
          <w:p w14:paraId="69C4E81F" w14:textId="5B9063BA"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5,347</w:t>
            </w:r>
          </w:p>
        </w:tc>
        <w:tc>
          <w:tcPr>
            <w:tcW w:w="1205" w:type="pct"/>
            <w:noWrap/>
            <w:vAlign w:val="bottom"/>
            <w:hideMark/>
          </w:tcPr>
          <w:p w14:paraId="4209ED04" w14:textId="4D4EABEA"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-1,184</w:t>
            </w:r>
          </w:p>
        </w:tc>
      </w:tr>
      <w:tr w:rsidR="006859AE" w:rsidRPr="0067297E" w14:paraId="63C8B3C6" w14:textId="77777777" w:rsidTr="00A96554">
        <w:trPr>
          <w:trHeight w:val="300"/>
        </w:trPr>
        <w:tc>
          <w:tcPr>
            <w:tcW w:w="721" w:type="pct"/>
            <w:vMerge/>
            <w:noWrap/>
            <w:hideMark/>
          </w:tcPr>
          <w:p w14:paraId="6D135EF6"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1B2EF5B6"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HH with 3 children</w:t>
            </w:r>
          </w:p>
        </w:tc>
        <w:tc>
          <w:tcPr>
            <w:tcW w:w="940" w:type="pct"/>
            <w:noWrap/>
            <w:vAlign w:val="bottom"/>
            <w:hideMark/>
          </w:tcPr>
          <w:p w14:paraId="739501C9" w14:textId="5E260593"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1,157</w:t>
            </w:r>
          </w:p>
        </w:tc>
        <w:tc>
          <w:tcPr>
            <w:tcW w:w="745" w:type="pct"/>
            <w:noWrap/>
            <w:vAlign w:val="bottom"/>
            <w:hideMark/>
          </w:tcPr>
          <w:p w14:paraId="36725E7A" w14:textId="73B0C2DF"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867</w:t>
            </w:r>
          </w:p>
        </w:tc>
        <w:tc>
          <w:tcPr>
            <w:tcW w:w="1205" w:type="pct"/>
            <w:noWrap/>
            <w:vAlign w:val="bottom"/>
            <w:hideMark/>
          </w:tcPr>
          <w:p w14:paraId="5C9F3BDF" w14:textId="5F30E97C"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-290</w:t>
            </w:r>
          </w:p>
        </w:tc>
      </w:tr>
      <w:tr w:rsidR="006859AE" w:rsidRPr="0067297E" w14:paraId="29BAF862" w14:textId="77777777" w:rsidTr="00A96554">
        <w:trPr>
          <w:trHeight w:val="300"/>
        </w:trPr>
        <w:tc>
          <w:tcPr>
            <w:tcW w:w="721" w:type="pct"/>
            <w:vMerge/>
            <w:noWrap/>
            <w:hideMark/>
          </w:tcPr>
          <w:p w14:paraId="25A5A400"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5E914B25"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Other Multi-person</w:t>
            </w:r>
          </w:p>
        </w:tc>
        <w:tc>
          <w:tcPr>
            <w:tcW w:w="940" w:type="pct"/>
            <w:noWrap/>
            <w:vAlign w:val="bottom"/>
            <w:hideMark/>
          </w:tcPr>
          <w:p w14:paraId="06FCBEA9" w14:textId="727A1947"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5,581</w:t>
            </w:r>
          </w:p>
        </w:tc>
        <w:tc>
          <w:tcPr>
            <w:tcW w:w="745" w:type="pct"/>
            <w:noWrap/>
            <w:vAlign w:val="bottom"/>
            <w:hideMark/>
          </w:tcPr>
          <w:p w14:paraId="292B024F" w14:textId="5128B3D3"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6,865</w:t>
            </w:r>
          </w:p>
        </w:tc>
        <w:tc>
          <w:tcPr>
            <w:tcW w:w="1205" w:type="pct"/>
            <w:noWrap/>
            <w:vAlign w:val="bottom"/>
            <w:hideMark/>
          </w:tcPr>
          <w:p w14:paraId="72044AEA" w14:textId="21878962"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1,284</w:t>
            </w:r>
          </w:p>
        </w:tc>
      </w:tr>
      <w:tr w:rsidR="006859AE" w:rsidRPr="0067297E" w14:paraId="3456732D" w14:textId="77777777" w:rsidTr="00A96554">
        <w:trPr>
          <w:trHeight w:val="300"/>
        </w:trPr>
        <w:tc>
          <w:tcPr>
            <w:tcW w:w="721" w:type="pct"/>
            <w:vMerge/>
            <w:noWrap/>
            <w:hideMark/>
          </w:tcPr>
          <w:p w14:paraId="04D7875F"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5B70EABA" w14:textId="77777777" w:rsidR="006859AE" w:rsidRPr="00894104" w:rsidRDefault="006859AE" w:rsidP="006859AE">
            <w:pPr>
              <w:spacing w:before="0" w:after="0"/>
              <w:rPr>
                <w:rFonts w:asciiTheme="minorHAnsi" w:hAnsiTheme="minorHAnsi" w:cs="Calibri"/>
                <w:b/>
                <w:color w:val="000000"/>
                <w:sz w:val="22"/>
                <w:szCs w:val="22"/>
              </w:rPr>
            </w:pPr>
            <w:r w:rsidRPr="00894104">
              <w:rPr>
                <w:rFonts w:asciiTheme="minorHAnsi" w:hAnsiTheme="minorHAnsi" w:cs="Calibri"/>
                <w:b/>
                <w:color w:val="000000"/>
                <w:sz w:val="22"/>
                <w:szCs w:val="22"/>
              </w:rPr>
              <w:t>Total</w:t>
            </w:r>
          </w:p>
        </w:tc>
        <w:tc>
          <w:tcPr>
            <w:tcW w:w="940" w:type="pct"/>
            <w:noWrap/>
            <w:vAlign w:val="bottom"/>
            <w:hideMark/>
          </w:tcPr>
          <w:p w14:paraId="15E9C9A6" w14:textId="67AE455F"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23,970</w:t>
            </w:r>
          </w:p>
        </w:tc>
        <w:tc>
          <w:tcPr>
            <w:tcW w:w="745" w:type="pct"/>
            <w:noWrap/>
            <w:vAlign w:val="bottom"/>
            <w:hideMark/>
          </w:tcPr>
          <w:p w14:paraId="44E9A43F" w14:textId="23A84660"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21,768</w:t>
            </w:r>
          </w:p>
        </w:tc>
        <w:tc>
          <w:tcPr>
            <w:tcW w:w="1205" w:type="pct"/>
            <w:noWrap/>
            <w:vAlign w:val="bottom"/>
            <w:hideMark/>
          </w:tcPr>
          <w:p w14:paraId="524ECE8A" w14:textId="09A083D4"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-2,202</w:t>
            </w:r>
          </w:p>
        </w:tc>
      </w:tr>
      <w:tr w:rsidR="006859AE" w:rsidRPr="0067297E" w14:paraId="42E9F147" w14:textId="77777777" w:rsidTr="00A96554">
        <w:trPr>
          <w:trHeight w:val="300"/>
        </w:trPr>
        <w:tc>
          <w:tcPr>
            <w:tcW w:w="721" w:type="pct"/>
            <w:vMerge w:val="restart"/>
            <w:noWrap/>
            <w:hideMark/>
          </w:tcPr>
          <w:p w14:paraId="738D6687" w14:textId="77777777" w:rsidR="006859AE" w:rsidRPr="0067297E" w:rsidRDefault="006859AE" w:rsidP="006859AE">
            <w:pPr>
              <w:spacing w:before="0" w:after="0"/>
              <w:jc w:val="center"/>
              <w:rPr>
                <w:rFonts w:asciiTheme="minorHAnsi" w:hAnsiTheme="minorHAnsi" w:cs="Calibri"/>
                <w:b/>
                <w:color w:val="000000"/>
                <w:sz w:val="22"/>
                <w:szCs w:val="22"/>
              </w:rPr>
            </w:pPr>
            <w:r w:rsidRPr="0067297E">
              <w:rPr>
                <w:rFonts w:asciiTheme="minorHAnsi" w:hAnsiTheme="minorHAnsi" w:cs="Calibri"/>
                <w:b/>
                <w:color w:val="000000"/>
                <w:sz w:val="22"/>
                <w:szCs w:val="22"/>
              </w:rPr>
              <w:t>35-44</w:t>
            </w:r>
          </w:p>
        </w:tc>
        <w:tc>
          <w:tcPr>
            <w:tcW w:w="1389" w:type="pct"/>
            <w:noWrap/>
            <w:hideMark/>
          </w:tcPr>
          <w:p w14:paraId="12A33970"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One Person</w:t>
            </w:r>
          </w:p>
        </w:tc>
        <w:tc>
          <w:tcPr>
            <w:tcW w:w="940" w:type="pct"/>
            <w:noWrap/>
            <w:vAlign w:val="bottom"/>
            <w:hideMark/>
          </w:tcPr>
          <w:p w14:paraId="1ADF42D9" w14:textId="6DEE2345"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10,031</w:t>
            </w:r>
          </w:p>
        </w:tc>
        <w:tc>
          <w:tcPr>
            <w:tcW w:w="745" w:type="pct"/>
            <w:noWrap/>
            <w:vAlign w:val="bottom"/>
            <w:hideMark/>
          </w:tcPr>
          <w:p w14:paraId="02144B6A" w14:textId="63CC044D"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10,368</w:t>
            </w:r>
          </w:p>
        </w:tc>
        <w:tc>
          <w:tcPr>
            <w:tcW w:w="1205" w:type="pct"/>
            <w:noWrap/>
            <w:vAlign w:val="bottom"/>
            <w:hideMark/>
          </w:tcPr>
          <w:p w14:paraId="5F9DC70C" w14:textId="24CDF017"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337</w:t>
            </w:r>
          </w:p>
        </w:tc>
      </w:tr>
      <w:tr w:rsidR="006859AE" w:rsidRPr="0067297E" w14:paraId="09DB02A9" w14:textId="77777777" w:rsidTr="00A96554">
        <w:trPr>
          <w:trHeight w:val="300"/>
        </w:trPr>
        <w:tc>
          <w:tcPr>
            <w:tcW w:w="721" w:type="pct"/>
            <w:vMerge/>
            <w:noWrap/>
            <w:hideMark/>
          </w:tcPr>
          <w:p w14:paraId="23D9FA13"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7C5B771A"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Couple only</w:t>
            </w:r>
          </w:p>
        </w:tc>
        <w:tc>
          <w:tcPr>
            <w:tcW w:w="940" w:type="pct"/>
            <w:noWrap/>
            <w:vAlign w:val="bottom"/>
            <w:hideMark/>
          </w:tcPr>
          <w:p w14:paraId="5BF5163B" w14:textId="0B806E56"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5,079</w:t>
            </w:r>
          </w:p>
        </w:tc>
        <w:tc>
          <w:tcPr>
            <w:tcW w:w="745" w:type="pct"/>
            <w:noWrap/>
            <w:vAlign w:val="bottom"/>
            <w:hideMark/>
          </w:tcPr>
          <w:p w14:paraId="6462C3F3" w14:textId="591593C3"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6,296</w:t>
            </w:r>
          </w:p>
        </w:tc>
        <w:tc>
          <w:tcPr>
            <w:tcW w:w="1205" w:type="pct"/>
            <w:noWrap/>
            <w:vAlign w:val="bottom"/>
            <w:hideMark/>
          </w:tcPr>
          <w:p w14:paraId="3C043E68" w14:textId="43C6C311" w:rsidR="006859AE" w:rsidRPr="0015368C" w:rsidRDefault="006859AE" w:rsidP="00425A04">
            <w:pPr>
              <w:spacing w:before="0" w:after="0"/>
              <w:jc w:val="right"/>
              <w:rPr>
                <w:rFonts w:asciiTheme="minorHAnsi" w:hAnsiTheme="minorHAnsi" w:cs="Calibri"/>
                <w:color w:val="000000"/>
                <w:sz w:val="22"/>
                <w:szCs w:val="22"/>
              </w:rPr>
            </w:pPr>
            <w:r w:rsidRPr="0015368C">
              <w:rPr>
                <w:color w:val="000000"/>
                <w:sz w:val="22"/>
                <w:szCs w:val="22"/>
              </w:rPr>
              <w:t>1,217</w:t>
            </w:r>
          </w:p>
        </w:tc>
      </w:tr>
      <w:tr w:rsidR="006859AE" w:rsidRPr="0067297E" w14:paraId="017BCFA7" w14:textId="77777777" w:rsidTr="00A96554">
        <w:trPr>
          <w:trHeight w:val="300"/>
        </w:trPr>
        <w:tc>
          <w:tcPr>
            <w:tcW w:w="721" w:type="pct"/>
            <w:vMerge/>
            <w:noWrap/>
            <w:hideMark/>
          </w:tcPr>
          <w:p w14:paraId="3201CFEF"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0A92C2B1"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HH with 1/2 children</w:t>
            </w:r>
          </w:p>
        </w:tc>
        <w:tc>
          <w:tcPr>
            <w:tcW w:w="940" w:type="pct"/>
            <w:noWrap/>
            <w:vAlign w:val="bottom"/>
            <w:hideMark/>
          </w:tcPr>
          <w:p w14:paraId="3B43C2FD" w14:textId="3B362E41"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13,650</w:t>
            </w:r>
          </w:p>
        </w:tc>
        <w:tc>
          <w:tcPr>
            <w:tcW w:w="745" w:type="pct"/>
            <w:noWrap/>
            <w:vAlign w:val="bottom"/>
            <w:hideMark/>
          </w:tcPr>
          <w:p w14:paraId="319C30B6" w14:textId="28994D9B"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12,546</w:t>
            </w:r>
          </w:p>
        </w:tc>
        <w:tc>
          <w:tcPr>
            <w:tcW w:w="1205" w:type="pct"/>
            <w:noWrap/>
            <w:vAlign w:val="bottom"/>
            <w:hideMark/>
          </w:tcPr>
          <w:p w14:paraId="500596ED" w14:textId="1C42EC8E"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-1,104</w:t>
            </w:r>
          </w:p>
        </w:tc>
      </w:tr>
      <w:tr w:rsidR="006859AE" w:rsidRPr="0067297E" w14:paraId="76F52219" w14:textId="77777777" w:rsidTr="00A96554">
        <w:trPr>
          <w:trHeight w:val="300"/>
        </w:trPr>
        <w:tc>
          <w:tcPr>
            <w:tcW w:w="721" w:type="pct"/>
            <w:vMerge/>
            <w:noWrap/>
            <w:hideMark/>
          </w:tcPr>
          <w:p w14:paraId="05D9ED13"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1468963F"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HH with 3 children</w:t>
            </w:r>
          </w:p>
        </w:tc>
        <w:tc>
          <w:tcPr>
            <w:tcW w:w="940" w:type="pct"/>
            <w:noWrap/>
            <w:vAlign w:val="bottom"/>
            <w:hideMark/>
          </w:tcPr>
          <w:p w14:paraId="0B58B189" w14:textId="4E79D4BC"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3,369</w:t>
            </w:r>
          </w:p>
        </w:tc>
        <w:tc>
          <w:tcPr>
            <w:tcW w:w="745" w:type="pct"/>
            <w:noWrap/>
            <w:vAlign w:val="bottom"/>
            <w:hideMark/>
          </w:tcPr>
          <w:p w14:paraId="649F8348" w14:textId="32E2FF46"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2,575</w:t>
            </w:r>
          </w:p>
        </w:tc>
        <w:tc>
          <w:tcPr>
            <w:tcW w:w="1205" w:type="pct"/>
            <w:noWrap/>
            <w:vAlign w:val="bottom"/>
            <w:hideMark/>
          </w:tcPr>
          <w:p w14:paraId="567C3B20" w14:textId="4967E524"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-794</w:t>
            </w:r>
          </w:p>
        </w:tc>
      </w:tr>
      <w:tr w:rsidR="006859AE" w:rsidRPr="0067297E" w14:paraId="60F933D9" w14:textId="77777777" w:rsidTr="00A96554">
        <w:trPr>
          <w:trHeight w:val="300"/>
        </w:trPr>
        <w:tc>
          <w:tcPr>
            <w:tcW w:w="721" w:type="pct"/>
            <w:vMerge/>
            <w:noWrap/>
            <w:hideMark/>
          </w:tcPr>
          <w:p w14:paraId="352A135E"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2A35C169"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Other Multi-person</w:t>
            </w:r>
          </w:p>
        </w:tc>
        <w:tc>
          <w:tcPr>
            <w:tcW w:w="940" w:type="pct"/>
            <w:noWrap/>
            <w:vAlign w:val="bottom"/>
            <w:hideMark/>
          </w:tcPr>
          <w:p w14:paraId="6B499ED3" w14:textId="31CE5F36"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3,111</w:t>
            </w:r>
          </w:p>
        </w:tc>
        <w:tc>
          <w:tcPr>
            <w:tcW w:w="745" w:type="pct"/>
            <w:noWrap/>
            <w:vAlign w:val="bottom"/>
            <w:hideMark/>
          </w:tcPr>
          <w:p w14:paraId="025F0203" w14:textId="552758E2"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3,013</w:t>
            </w:r>
          </w:p>
        </w:tc>
        <w:tc>
          <w:tcPr>
            <w:tcW w:w="1205" w:type="pct"/>
            <w:noWrap/>
            <w:vAlign w:val="bottom"/>
            <w:hideMark/>
          </w:tcPr>
          <w:p w14:paraId="11DCDC39" w14:textId="6189ADC4"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-98</w:t>
            </w:r>
          </w:p>
        </w:tc>
      </w:tr>
      <w:tr w:rsidR="006859AE" w:rsidRPr="0067297E" w14:paraId="4CF0670A" w14:textId="77777777" w:rsidTr="00A96554">
        <w:trPr>
          <w:trHeight w:val="300"/>
        </w:trPr>
        <w:tc>
          <w:tcPr>
            <w:tcW w:w="721" w:type="pct"/>
            <w:vMerge/>
            <w:noWrap/>
            <w:hideMark/>
          </w:tcPr>
          <w:p w14:paraId="53470511"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669A32F7" w14:textId="77777777" w:rsidR="006859AE" w:rsidRPr="00894104" w:rsidRDefault="006859AE" w:rsidP="006859AE">
            <w:pPr>
              <w:spacing w:before="0" w:after="0"/>
              <w:rPr>
                <w:rFonts w:asciiTheme="minorHAnsi" w:hAnsiTheme="minorHAnsi" w:cs="Calibri"/>
                <w:b/>
                <w:color w:val="000000"/>
                <w:sz w:val="22"/>
                <w:szCs w:val="22"/>
              </w:rPr>
            </w:pPr>
            <w:r w:rsidRPr="00894104">
              <w:rPr>
                <w:rFonts w:asciiTheme="minorHAnsi" w:hAnsiTheme="minorHAnsi" w:cs="Calibri"/>
                <w:b/>
                <w:color w:val="000000"/>
                <w:sz w:val="22"/>
                <w:szCs w:val="22"/>
              </w:rPr>
              <w:t>Total</w:t>
            </w:r>
          </w:p>
        </w:tc>
        <w:tc>
          <w:tcPr>
            <w:tcW w:w="940" w:type="pct"/>
            <w:noWrap/>
            <w:vAlign w:val="bottom"/>
            <w:hideMark/>
          </w:tcPr>
          <w:p w14:paraId="44A22D1C" w14:textId="79DC25F8"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35,240</w:t>
            </w:r>
          </w:p>
        </w:tc>
        <w:tc>
          <w:tcPr>
            <w:tcW w:w="745" w:type="pct"/>
            <w:noWrap/>
            <w:vAlign w:val="bottom"/>
            <w:hideMark/>
          </w:tcPr>
          <w:p w14:paraId="1CA95CEC" w14:textId="0DA99F45"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34,798</w:t>
            </w:r>
          </w:p>
        </w:tc>
        <w:tc>
          <w:tcPr>
            <w:tcW w:w="1205" w:type="pct"/>
            <w:noWrap/>
            <w:vAlign w:val="bottom"/>
            <w:hideMark/>
          </w:tcPr>
          <w:p w14:paraId="285E83BB" w14:textId="3F4FDD6D"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-442</w:t>
            </w:r>
          </w:p>
        </w:tc>
      </w:tr>
      <w:tr w:rsidR="006859AE" w:rsidRPr="0067297E" w14:paraId="15A7E126" w14:textId="77777777" w:rsidTr="00A96554">
        <w:trPr>
          <w:trHeight w:val="300"/>
        </w:trPr>
        <w:tc>
          <w:tcPr>
            <w:tcW w:w="721" w:type="pct"/>
            <w:vMerge w:val="restart"/>
            <w:noWrap/>
            <w:hideMark/>
          </w:tcPr>
          <w:p w14:paraId="3DADB6C3" w14:textId="77777777" w:rsidR="006859AE" w:rsidRPr="0067297E" w:rsidRDefault="006859AE" w:rsidP="006859AE">
            <w:pPr>
              <w:spacing w:before="0" w:after="0"/>
              <w:jc w:val="center"/>
              <w:rPr>
                <w:rFonts w:asciiTheme="minorHAnsi" w:hAnsiTheme="minorHAnsi" w:cs="Calibri"/>
                <w:b/>
                <w:color w:val="000000"/>
                <w:sz w:val="22"/>
                <w:szCs w:val="22"/>
              </w:rPr>
            </w:pPr>
            <w:r w:rsidRPr="0067297E">
              <w:rPr>
                <w:rFonts w:asciiTheme="minorHAnsi" w:hAnsiTheme="minorHAnsi" w:cs="Calibri"/>
                <w:b/>
                <w:color w:val="000000"/>
                <w:sz w:val="22"/>
                <w:szCs w:val="22"/>
              </w:rPr>
              <w:t>45-59</w:t>
            </w:r>
          </w:p>
        </w:tc>
        <w:tc>
          <w:tcPr>
            <w:tcW w:w="1389" w:type="pct"/>
            <w:noWrap/>
            <w:hideMark/>
          </w:tcPr>
          <w:p w14:paraId="4C491F4C"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One Person</w:t>
            </w:r>
          </w:p>
        </w:tc>
        <w:tc>
          <w:tcPr>
            <w:tcW w:w="940" w:type="pct"/>
            <w:noWrap/>
            <w:vAlign w:val="bottom"/>
            <w:hideMark/>
          </w:tcPr>
          <w:p w14:paraId="2C4272E3" w14:textId="75EE83BF"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14,558</w:t>
            </w:r>
          </w:p>
        </w:tc>
        <w:tc>
          <w:tcPr>
            <w:tcW w:w="745" w:type="pct"/>
            <w:noWrap/>
            <w:vAlign w:val="bottom"/>
            <w:hideMark/>
          </w:tcPr>
          <w:p w14:paraId="0C3E44DC" w14:textId="5A413ED4"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21,260</w:t>
            </w:r>
          </w:p>
        </w:tc>
        <w:tc>
          <w:tcPr>
            <w:tcW w:w="1205" w:type="pct"/>
            <w:noWrap/>
            <w:vAlign w:val="bottom"/>
            <w:hideMark/>
          </w:tcPr>
          <w:p w14:paraId="4BE46FF5" w14:textId="14144261"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6,702</w:t>
            </w:r>
          </w:p>
        </w:tc>
      </w:tr>
      <w:tr w:rsidR="006859AE" w:rsidRPr="0067297E" w14:paraId="62A4C2C7" w14:textId="77777777" w:rsidTr="00A96554">
        <w:trPr>
          <w:trHeight w:val="300"/>
        </w:trPr>
        <w:tc>
          <w:tcPr>
            <w:tcW w:w="721" w:type="pct"/>
            <w:vMerge/>
            <w:noWrap/>
            <w:hideMark/>
          </w:tcPr>
          <w:p w14:paraId="64752BCB"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7E1E0566"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Couple only</w:t>
            </w:r>
          </w:p>
        </w:tc>
        <w:tc>
          <w:tcPr>
            <w:tcW w:w="940" w:type="pct"/>
            <w:noWrap/>
            <w:vAlign w:val="bottom"/>
            <w:hideMark/>
          </w:tcPr>
          <w:p w14:paraId="60C22785" w14:textId="68434446"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3,772</w:t>
            </w:r>
          </w:p>
        </w:tc>
        <w:tc>
          <w:tcPr>
            <w:tcW w:w="745" w:type="pct"/>
            <w:noWrap/>
            <w:vAlign w:val="bottom"/>
            <w:hideMark/>
          </w:tcPr>
          <w:p w14:paraId="1372F0C3" w14:textId="779F24BE"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2,961</w:t>
            </w:r>
          </w:p>
        </w:tc>
        <w:tc>
          <w:tcPr>
            <w:tcW w:w="1205" w:type="pct"/>
            <w:noWrap/>
            <w:vAlign w:val="bottom"/>
            <w:hideMark/>
          </w:tcPr>
          <w:p w14:paraId="3B8B1B58" w14:textId="2F517BC5"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-811</w:t>
            </w:r>
          </w:p>
        </w:tc>
      </w:tr>
      <w:tr w:rsidR="006859AE" w:rsidRPr="0067297E" w14:paraId="7BCAB70C" w14:textId="77777777" w:rsidTr="00A96554">
        <w:trPr>
          <w:trHeight w:val="300"/>
        </w:trPr>
        <w:tc>
          <w:tcPr>
            <w:tcW w:w="721" w:type="pct"/>
            <w:vMerge/>
            <w:noWrap/>
            <w:hideMark/>
          </w:tcPr>
          <w:p w14:paraId="65D134E4"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25E6FE8C"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HH with 1/2 children</w:t>
            </w:r>
          </w:p>
        </w:tc>
        <w:tc>
          <w:tcPr>
            <w:tcW w:w="940" w:type="pct"/>
            <w:noWrap/>
            <w:vAlign w:val="bottom"/>
            <w:hideMark/>
          </w:tcPr>
          <w:p w14:paraId="29C01408" w14:textId="6405FA06"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13,056</w:t>
            </w:r>
          </w:p>
        </w:tc>
        <w:tc>
          <w:tcPr>
            <w:tcW w:w="745" w:type="pct"/>
            <w:noWrap/>
            <w:vAlign w:val="bottom"/>
            <w:hideMark/>
          </w:tcPr>
          <w:p w14:paraId="48CD4235" w14:textId="74002244" w:rsidR="006859AE" w:rsidRPr="0015368C" w:rsidRDefault="006859AE" w:rsidP="00425A04">
            <w:pPr>
              <w:spacing w:before="0" w:after="0"/>
              <w:jc w:val="right"/>
              <w:rPr>
                <w:rFonts w:asciiTheme="minorHAnsi" w:hAnsiTheme="minorHAnsi" w:cs="Calibri"/>
                <w:color w:val="000000"/>
                <w:sz w:val="22"/>
                <w:szCs w:val="22"/>
              </w:rPr>
            </w:pPr>
            <w:r w:rsidRPr="0015368C">
              <w:rPr>
                <w:color w:val="000000"/>
                <w:sz w:val="22"/>
                <w:szCs w:val="22"/>
              </w:rPr>
              <w:t>19,684</w:t>
            </w:r>
          </w:p>
        </w:tc>
        <w:tc>
          <w:tcPr>
            <w:tcW w:w="1205" w:type="pct"/>
            <w:noWrap/>
            <w:vAlign w:val="bottom"/>
            <w:hideMark/>
          </w:tcPr>
          <w:p w14:paraId="0571DA27" w14:textId="6F2D153C" w:rsidR="006859AE" w:rsidRPr="0015368C" w:rsidRDefault="006859AE" w:rsidP="00425A04">
            <w:pPr>
              <w:spacing w:before="0" w:after="0"/>
              <w:jc w:val="right"/>
              <w:rPr>
                <w:rFonts w:asciiTheme="minorHAnsi" w:hAnsiTheme="minorHAnsi" w:cs="Calibri"/>
                <w:color w:val="000000"/>
                <w:sz w:val="22"/>
                <w:szCs w:val="22"/>
              </w:rPr>
            </w:pPr>
            <w:r w:rsidRPr="0015368C">
              <w:rPr>
                <w:color w:val="000000"/>
                <w:sz w:val="22"/>
                <w:szCs w:val="22"/>
              </w:rPr>
              <w:t>6,628</w:t>
            </w:r>
          </w:p>
        </w:tc>
      </w:tr>
      <w:tr w:rsidR="006859AE" w:rsidRPr="0067297E" w14:paraId="3D8E3E81" w14:textId="77777777" w:rsidTr="00A96554">
        <w:trPr>
          <w:trHeight w:val="300"/>
        </w:trPr>
        <w:tc>
          <w:tcPr>
            <w:tcW w:w="721" w:type="pct"/>
            <w:vMerge/>
            <w:noWrap/>
            <w:hideMark/>
          </w:tcPr>
          <w:p w14:paraId="2ADD3FFF"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04ECDE33"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HH with 3 children</w:t>
            </w:r>
          </w:p>
        </w:tc>
        <w:tc>
          <w:tcPr>
            <w:tcW w:w="940" w:type="pct"/>
            <w:noWrap/>
            <w:vAlign w:val="bottom"/>
            <w:hideMark/>
          </w:tcPr>
          <w:p w14:paraId="0E1505B9" w14:textId="2F9494BC"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2,528</w:t>
            </w:r>
          </w:p>
        </w:tc>
        <w:tc>
          <w:tcPr>
            <w:tcW w:w="745" w:type="pct"/>
            <w:noWrap/>
            <w:vAlign w:val="bottom"/>
            <w:hideMark/>
          </w:tcPr>
          <w:p w14:paraId="578950B7" w14:textId="721AC689"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4,178</w:t>
            </w:r>
          </w:p>
        </w:tc>
        <w:tc>
          <w:tcPr>
            <w:tcW w:w="1205" w:type="pct"/>
            <w:noWrap/>
            <w:vAlign w:val="bottom"/>
            <w:hideMark/>
          </w:tcPr>
          <w:p w14:paraId="49EA5366" w14:textId="083F7899"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1,650</w:t>
            </w:r>
          </w:p>
        </w:tc>
      </w:tr>
      <w:tr w:rsidR="006859AE" w:rsidRPr="0067297E" w14:paraId="16693822" w14:textId="77777777" w:rsidTr="00A96554">
        <w:trPr>
          <w:trHeight w:val="300"/>
        </w:trPr>
        <w:tc>
          <w:tcPr>
            <w:tcW w:w="721" w:type="pct"/>
            <w:vMerge/>
            <w:noWrap/>
            <w:hideMark/>
          </w:tcPr>
          <w:p w14:paraId="1500BB86"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5826C34B"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Other Multi-person</w:t>
            </w:r>
          </w:p>
        </w:tc>
        <w:tc>
          <w:tcPr>
            <w:tcW w:w="940" w:type="pct"/>
            <w:noWrap/>
            <w:vAlign w:val="bottom"/>
            <w:hideMark/>
          </w:tcPr>
          <w:p w14:paraId="621EF640" w14:textId="06023EC2"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8,886</w:t>
            </w:r>
          </w:p>
        </w:tc>
        <w:tc>
          <w:tcPr>
            <w:tcW w:w="745" w:type="pct"/>
            <w:noWrap/>
            <w:vAlign w:val="bottom"/>
            <w:hideMark/>
          </w:tcPr>
          <w:p w14:paraId="58D9E591" w14:textId="1F2E3C4B"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11,585</w:t>
            </w:r>
          </w:p>
        </w:tc>
        <w:tc>
          <w:tcPr>
            <w:tcW w:w="1205" w:type="pct"/>
            <w:noWrap/>
            <w:vAlign w:val="bottom"/>
            <w:hideMark/>
          </w:tcPr>
          <w:p w14:paraId="3A48D03B" w14:textId="4BCBDC57"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2,699</w:t>
            </w:r>
          </w:p>
        </w:tc>
      </w:tr>
      <w:tr w:rsidR="006859AE" w:rsidRPr="0067297E" w14:paraId="6A9DB53C" w14:textId="77777777" w:rsidTr="00A96554">
        <w:trPr>
          <w:trHeight w:val="300"/>
        </w:trPr>
        <w:tc>
          <w:tcPr>
            <w:tcW w:w="721" w:type="pct"/>
            <w:vMerge/>
            <w:noWrap/>
            <w:hideMark/>
          </w:tcPr>
          <w:p w14:paraId="5D9B3BE1"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2755042D" w14:textId="77777777" w:rsidR="006859AE" w:rsidRPr="00894104" w:rsidRDefault="006859AE" w:rsidP="006859AE">
            <w:pPr>
              <w:spacing w:before="0" w:after="0"/>
              <w:rPr>
                <w:rFonts w:asciiTheme="minorHAnsi" w:hAnsiTheme="minorHAnsi" w:cs="Calibri"/>
                <w:b/>
                <w:color w:val="000000"/>
                <w:sz w:val="22"/>
                <w:szCs w:val="22"/>
              </w:rPr>
            </w:pPr>
            <w:r w:rsidRPr="00894104">
              <w:rPr>
                <w:rFonts w:asciiTheme="minorHAnsi" w:hAnsiTheme="minorHAnsi" w:cs="Calibri"/>
                <w:b/>
                <w:color w:val="000000"/>
                <w:sz w:val="22"/>
                <w:szCs w:val="22"/>
              </w:rPr>
              <w:t>Total</w:t>
            </w:r>
          </w:p>
        </w:tc>
        <w:tc>
          <w:tcPr>
            <w:tcW w:w="940" w:type="pct"/>
            <w:noWrap/>
            <w:vAlign w:val="bottom"/>
            <w:hideMark/>
          </w:tcPr>
          <w:p w14:paraId="038DF93C" w14:textId="66D0E04D"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42,800</w:t>
            </w:r>
          </w:p>
        </w:tc>
        <w:tc>
          <w:tcPr>
            <w:tcW w:w="745" w:type="pct"/>
            <w:noWrap/>
            <w:vAlign w:val="bottom"/>
            <w:hideMark/>
          </w:tcPr>
          <w:p w14:paraId="789F1FD3" w14:textId="7639DCFC"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59,668</w:t>
            </w:r>
          </w:p>
        </w:tc>
        <w:tc>
          <w:tcPr>
            <w:tcW w:w="1205" w:type="pct"/>
            <w:noWrap/>
            <w:vAlign w:val="bottom"/>
            <w:hideMark/>
          </w:tcPr>
          <w:p w14:paraId="0B94E83A" w14:textId="24DFA8C8"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16,868</w:t>
            </w:r>
          </w:p>
        </w:tc>
      </w:tr>
      <w:tr w:rsidR="006859AE" w:rsidRPr="0067297E" w14:paraId="2B8DB3D6" w14:textId="77777777" w:rsidTr="00A96554">
        <w:trPr>
          <w:trHeight w:val="300"/>
        </w:trPr>
        <w:tc>
          <w:tcPr>
            <w:tcW w:w="721" w:type="pct"/>
            <w:vMerge w:val="restart"/>
            <w:noWrap/>
            <w:hideMark/>
          </w:tcPr>
          <w:p w14:paraId="3F3EB988" w14:textId="77777777" w:rsidR="006859AE" w:rsidRPr="0067297E" w:rsidRDefault="006859AE" w:rsidP="006859AE">
            <w:pPr>
              <w:spacing w:before="0" w:after="0"/>
              <w:jc w:val="center"/>
              <w:rPr>
                <w:rFonts w:asciiTheme="minorHAnsi" w:hAnsiTheme="minorHAnsi" w:cs="Calibri"/>
                <w:b/>
                <w:color w:val="000000"/>
                <w:sz w:val="22"/>
                <w:szCs w:val="22"/>
              </w:rPr>
            </w:pPr>
            <w:r w:rsidRPr="0067297E">
              <w:rPr>
                <w:rFonts w:asciiTheme="minorHAnsi" w:hAnsiTheme="minorHAnsi" w:cs="Calibri"/>
                <w:b/>
                <w:color w:val="000000"/>
                <w:sz w:val="22"/>
                <w:szCs w:val="22"/>
              </w:rPr>
              <w:t>60-84</w:t>
            </w:r>
          </w:p>
        </w:tc>
        <w:tc>
          <w:tcPr>
            <w:tcW w:w="1389" w:type="pct"/>
            <w:noWrap/>
            <w:hideMark/>
          </w:tcPr>
          <w:p w14:paraId="64605E1C"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One Person</w:t>
            </w:r>
          </w:p>
        </w:tc>
        <w:tc>
          <w:tcPr>
            <w:tcW w:w="940" w:type="pct"/>
            <w:noWrap/>
            <w:vAlign w:val="bottom"/>
            <w:hideMark/>
          </w:tcPr>
          <w:p w14:paraId="600751DB" w14:textId="335AD69A"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14,531</w:t>
            </w:r>
          </w:p>
        </w:tc>
        <w:tc>
          <w:tcPr>
            <w:tcW w:w="745" w:type="pct"/>
            <w:noWrap/>
            <w:vAlign w:val="bottom"/>
            <w:hideMark/>
          </w:tcPr>
          <w:p w14:paraId="13DC17CD" w14:textId="3EE79289"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25,420</w:t>
            </w:r>
          </w:p>
        </w:tc>
        <w:tc>
          <w:tcPr>
            <w:tcW w:w="1205" w:type="pct"/>
            <w:noWrap/>
            <w:vAlign w:val="bottom"/>
            <w:hideMark/>
          </w:tcPr>
          <w:p w14:paraId="7D89D3C2" w14:textId="54ED5B46"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10,889</w:t>
            </w:r>
          </w:p>
        </w:tc>
      </w:tr>
      <w:tr w:rsidR="006859AE" w:rsidRPr="0067297E" w14:paraId="6947AAFC" w14:textId="77777777" w:rsidTr="00A96554">
        <w:trPr>
          <w:trHeight w:val="300"/>
        </w:trPr>
        <w:tc>
          <w:tcPr>
            <w:tcW w:w="721" w:type="pct"/>
            <w:vMerge/>
            <w:noWrap/>
            <w:hideMark/>
          </w:tcPr>
          <w:p w14:paraId="7638E40B"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7F9168E3"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Couple only</w:t>
            </w:r>
          </w:p>
        </w:tc>
        <w:tc>
          <w:tcPr>
            <w:tcW w:w="940" w:type="pct"/>
            <w:noWrap/>
            <w:vAlign w:val="bottom"/>
            <w:hideMark/>
          </w:tcPr>
          <w:p w14:paraId="0871C614" w14:textId="30D36D8A"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5,756</w:t>
            </w:r>
          </w:p>
        </w:tc>
        <w:tc>
          <w:tcPr>
            <w:tcW w:w="745" w:type="pct"/>
            <w:noWrap/>
            <w:vAlign w:val="bottom"/>
            <w:hideMark/>
          </w:tcPr>
          <w:p w14:paraId="0FC89940" w14:textId="3A1E0A32"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8,431</w:t>
            </w:r>
          </w:p>
        </w:tc>
        <w:tc>
          <w:tcPr>
            <w:tcW w:w="1205" w:type="pct"/>
            <w:noWrap/>
            <w:vAlign w:val="bottom"/>
            <w:hideMark/>
          </w:tcPr>
          <w:p w14:paraId="1DABF7A1" w14:textId="2D79E972"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2,675</w:t>
            </w:r>
          </w:p>
        </w:tc>
      </w:tr>
      <w:tr w:rsidR="006859AE" w:rsidRPr="0067297E" w14:paraId="742F2239" w14:textId="77777777" w:rsidTr="00A96554">
        <w:trPr>
          <w:trHeight w:val="300"/>
        </w:trPr>
        <w:tc>
          <w:tcPr>
            <w:tcW w:w="721" w:type="pct"/>
            <w:vMerge/>
            <w:noWrap/>
            <w:hideMark/>
          </w:tcPr>
          <w:p w14:paraId="7D777B08"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6BB7DAEA"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HH with 1/2 children</w:t>
            </w:r>
          </w:p>
        </w:tc>
        <w:tc>
          <w:tcPr>
            <w:tcW w:w="940" w:type="pct"/>
            <w:noWrap/>
            <w:vAlign w:val="bottom"/>
            <w:hideMark/>
          </w:tcPr>
          <w:p w14:paraId="07562A56" w14:textId="38FD869E"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1,016</w:t>
            </w:r>
          </w:p>
        </w:tc>
        <w:tc>
          <w:tcPr>
            <w:tcW w:w="745" w:type="pct"/>
            <w:noWrap/>
            <w:vAlign w:val="bottom"/>
            <w:hideMark/>
          </w:tcPr>
          <w:p w14:paraId="0FA2EB4E" w14:textId="71222AD2"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1,713</w:t>
            </w:r>
          </w:p>
        </w:tc>
        <w:tc>
          <w:tcPr>
            <w:tcW w:w="1205" w:type="pct"/>
            <w:noWrap/>
            <w:vAlign w:val="bottom"/>
            <w:hideMark/>
          </w:tcPr>
          <w:p w14:paraId="7829BC71" w14:textId="46D1A8CF"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697</w:t>
            </w:r>
          </w:p>
        </w:tc>
      </w:tr>
      <w:tr w:rsidR="006859AE" w:rsidRPr="0067297E" w14:paraId="334E0848" w14:textId="77777777" w:rsidTr="00A96554">
        <w:trPr>
          <w:trHeight w:val="300"/>
        </w:trPr>
        <w:tc>
          <w:tcPr>
            <w:tcW w:w="721" w:type="pct"/>
            <w:vMerge/>
            <w:noWrap/>
            <w:hideMark/>
          </w:tcPr>
          <w:p w14:paraId="4F40E98E"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084CC860"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HH with 3 children</w:t>
            </w:r>
          </w:p>
        </w:tc>
        <w:tc>
          <w:tcPr>
            <w:tcW w:w="940" w:type="pct"/>
            <w:noWrap/>
            <w:vAlign w:val="bottom"/>
            <w:hideMark/>
          </w:tcPr>
          <w:p w14:paraId="04AFD1E9" w14:textId="7445E40A"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87</w:t>
            </w:r>
          </w:p>
        </w:tc>
        <w:tc>
          <w:tcPr>
            <w:tcW w:w="745" w:type="pct"/>
            <w:noWrap/>
            <w:vAlign w:val="bottom"/>
            <w:hideMark/>
          </w:tcPr>
          <w:p w14:paraId="6814929C" w14:textId="384A417A"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171</w:t>
            </w:r>
          </w:p>
        </w:tc>
        <w:tc>
          <w:tcPr>
            <w:tcW w:w="1205" w:type="pct"/>
            <w:noWrap/>
            <w:vAlign w:val="bottom"/>
            <w:hideMark/>
          </w:tcPr>
          <w:p w14:paraId="784968FF" w14:textId="13BECA40"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84</w:t>
            </w:r>
          </w:p>
        </w:tc>
      </w:tr>
      <w:tr w:rsidR="006859AE" w:rsidRPr="0067297E" w14:paraId="23D5315A" w14:textId="77777777" w:rsidTr="00A96554">
        <w:trPr>
          <w:trHeight w:val="300"/>
        </w:trPr>
        <w:tc>
          <w:tcPr>
            <w:tcW w:w="721" w:type="pct"/>
            <w:vMerge/>
            <w:noWrap/>
            <w:hideMark/>
          </w:tcPr>
          <w:p w14:paraId="53A07F8E"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4F4A5CC7"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Other Multi-person</w:t>
            </w:r>
          </w:p>
        </w:tc>
        <w:tc>
          <w:tcPr>
            <w:tcW w:w="940" w:type="pct"/>
            <w:noWrap/>
            <w:vAlign w:val="bottom"/>
            <w:hideMark/>
          </w:tcPr>
          <w:p w14:paraId="72D6113C" w14:textId="1961C66E"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7,942</w:t>
            </w:r>
          </w:p>
        </w:tc>
        <w:tc>
          <w:tcPr>
            <w:tcW w:w="745" w:type="pct"/>
            <w:noWrap/>
            <w:vAlign w:val="bottom"/>
            <w:hideMark/>
          </w:tcPr>
          <w:p w14:paraId="19602DED" w14:textId="570620E2"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16,165</w:t>
            </w:r>
          </w:p>
        </w:tc>
        <w:tc>
          <w:tcPr>
            <w:tcW w:w="1205" w:type="pct"/>
            <w:noWrap/>
            <w:vAlign w:val="bottom"/>
            <w:hideMark/>
          </w:tcPr>
          <w:p w14:paraId="19CE8BC8" w14:textId="21285D6A"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8,223</w:t>
            </w:r>
          </w:p>
        </w:tc>
      </w:tr>
      <w:tr w:rsidR="006859AE" w:rsidRPr="0067297E" w14:paraId="355A956D" w14:textId="77777777" w:rsidTr="00A96554">
        <w:trPr>
          <w:trHeight w:val="300"/>
        </w:trPr>
        <w:tc>
          <w:tcPr>
            <w:tcW w:w="721" w:type="pct"/>
            <w:vMerge/>
            <w:noWrap/>
            <w:hideMark/>
          </w:tcPr>
          <w:p w14:paraId="44D31E4A"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723DD97E" w14:textId="77777777" w:rsidR="006859AE" w:rsidRPr="00894104" w:rsidRDefault="006859AE" w:rsidP="006859AE">
            <w:pPr>
              <w:spacing w:before="0" w:after="0"/>
              <w:rPr>
                <w:rFonts w:asciiTheme="minorHAnsi" w:hAnsiTheme="minorHAnsi" w:cs="Calibri"/>
                <w:b/>
                <w:color w:val="000000"/>
                <w:sz w:val="22"/>
                <w:szCs w:val="22"/>
              </w:rPr>
            </w:pPr>
            <w:r w:rsidRPr="00894104">
              <w:rPr>
                <w:rFonts w:asciiTheme="minorHAnsi" w:hAnsiTheme="minorHAnsi" w:cs="Calibri"/>
                <w:b/>
                <w:color w:val="000000"/>
                <w:sz w:val="22"/>
                <w:szCs w:val="22"/>
              </w:rPr>
              <w:t>Total</w:t>
            </w:r>
          </w:p>
        </w:tc>
        <w:tc>
          <w:tcPr>
            <w:tcW w:w="940" w:type="pct"/>
            <w:noWrap/>
            <w:vAlign w:val="bottom"/>
            <w:hideMark/>
          </w:tcPr>
          <w:p w14:paraId="49CDA418" w14:textId="249460C9"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29,332</w:t>
            </w:r>
          </w:p>
        </w:tc>
        <w:tc>
          <w:tcPr>
            <w:tcW w:w="745" w:type="pct"/>
            <w:noWrap/>
            <w:vAlign w:val="bottom"/>
            <w:hideMark/>
          </w:tcPr>
          <w:p w14:paraId="711D0728" w14:textId="6B51B81D"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51,900</w:t>
            </w:r>
          </w:p>
        </w:tc>
        <w:tc>
          <w:tcPr>
            <w:tcW w:w="1205" w:type="pct"/>
            <w:noWrap/>
            <w:vAlign w:val="bottom"/>
            <w:hideMark/>
          </w:tcPr>
          <w:p w14:paraId="01A86C97" w14:textId="39111A1C"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22,568</w:t>
            </w:r>
          </w:p>
        </w:tc>
      </w:tr>
    </w:tbl>
    <w:p w14:paraId="205DF83B" w14:textId="7B43F6D9" w:rsidR="00425A04" w:rsidRDefault="00425A04" w:rsidP="00425A04">
      <w:pPr>
        <w:jc w:val="right"/>
        <w:rPr>
          <w:rFonts w:asciiTheme="minorHAnsi" w:hAnsiTheme="minorHAnsi"/>
        </w:rPr>
      </w:pPr>
      <w:r w:rsidRPr="0067297E">
        <w:rPr>
          <w:rFonts w:asciiTheme="minorHAnsi" w:hAnsiTheme="minorHAnsi"/>
        </w:rPr>
        <w:t>Continued overleaf/...</w:t>
      </w:r>
      <w:r w:rsidRPr="0067297E">
        <w:rPr>
          <w:rFonts w:asciiTheme="minorHAnsi" w:hAnsiTheme="minorHAnsi"/>
        </w:rPr>
        <w:br w:type="page"/>
      </w:r>
    </w:p>
    <w:tbl>
      <w:tblPr>
        <w:tblStyle w:val="arc4table"/>
        <w:tblW w:w="5000" w:type="pct"/>
        <w:tblLook w:val="04A0" w:firstRow="1" w:lastRow="0" w:firstColumn="1" w:lastColumn="0" w:noHBand="0" w:noVBand="1"/>
        <w:tblCaption w:val="Table 7.3A Change in number of households by age group 2020-2039"/>
      </w:tblPr>
      <w:tblGrid>
        <w:gridCol w:w="1324"/>
        <w:gridCol w:w="2551"/>
        <w:gridCol w:w="1726"/>
        <w:gridCol w:w="1368"/>
        <w:gridCol w:w="2213"/>
      </w:tblGrid>
      <w:tr w:rsidR="00425A04" w:rsidRPr="0067297E" w14:paraId="5FF3479B" w14:textId="77777777" w:rsidTr="00426BD8">
        <w:trPr>
          <w:cnfStyle w:val="100000000000" w:firstRow="1" w:lastRow="0" w:firstColumn="0" w:lastColumn="0" w:oddVBand="0" w:evenVBand="0" w:oddHBand="0" w:evenHBand="0" w:firstRowFirstColumn="0" w:firstRowLastColumn="0" w:lastRowFirstColumn="0" w:lastRowLastColumn="0"/>
          <w:trHeight w:val="300"/>
          <w:tblHeader/>
        </w:trPr>
        <w:tc>
          <w:tcPr>
            <w:tcW w:w="5000" w:type="pct"/>
            <w:gridSpan w:val="5"/>
            <w:noWrap/>
          </w:tcPr>
          <w:p w14:paraId="383EE566" w14:textId="77777777" w:rsidR="00425A04" w:rsidRPr="0067297E" w:rsidRDefault="00425A04" w:rsidP="008B00D8">
            <w:pPr>
              <w:pStyle w:val="tableheading"/>
              <w:rPr>
                <w:rFonts w:asciiTheme="minorHAnsi" w:hAnsiTheme="minorHAnsi"/>
                <w:b/>
                <w:color w:val="000000"/>
              </w:rPr>
            </w:pPr>
            <w:bookmarkStart w:id="426" w:name="_Toc23151196"/>
            <w:r w:rsidRPr="0067297E">
              <w:rPr>
                <w:rFonts w:asciiTheme="minorHAnsi" w:hAnsiTheme="minorHAnsi"/>
                <w:b/>
              </w:rPr>
              <w:t xml:space="preserve">Table </w:t>
            </w:r>
            <w:r w:rsidRPr="0067297E">
              <w:rPr>
                <w:rFonts w:asciiTheme="minorHAnsi" w:hAnsiTheme="minorHAnsi"/>
                <w:b/>
                <w:lang w:val="en-GB"/>
              </w:rPr>
              <w:t>7</w:t>
            </w:r>
            <w:r w:rsidRPr="0067297E">
              <w:rPr>
                <w:rFonts w:asciiTheme="minorHAnsi" w:hAnsiTheme="minorHAnsi"/>
                <w:b/>
              </w:rPr>
              <w:t>.3A</w:t>
            </w:r>
            <w:r w:rsidRPr="0067297E">
              <w:rPr>
                <w:rFonts w:asciiTheme="minorHAnsi" w:hAnsiTheme="minorHAnsi"/>
                <w:b/>
              </w:rPr>
              <w:tab/>
              <w:t>Change in number of households by age group 20</w:t>
            </w:r>
            <w:r>
              <w:rPr>
                <w:rFonts w:asciiTheme="minorHAnsi" w:hAnsiTheme="minorHAnsi"/>
                <w:b/>
                <w:lang w:val="en-US"/>
              </w:rPr>
              <w:t>20</w:t>
            </w:r>
            <w:r w:rsidRPr="0067297E">
              <w:rPr>
                <w:rFonts w:asciiTheme="minorHAnsi" w:hAnsiTheme="minorHAnsi"/>
                <w:b/>
              </w:rPr>
              <w:t>-203</w:t>
            </w:r>
            <w:r>
              <w:rPr>
                <w:rFonts w:asciiTheme="minorHAnsi" w:hAnsiTheme="minorHAnsi"/>
                <w:b/>
              </w:rPr>
              <w:t>9</w:t>
            </w:r>
            <w:bookmarkEnd w:id="426"/>
          </w:p>
        </w:tc>
      </w:tr>
      <w:tr w:rsidR="00425A04" w:rsidRPr="0067297E" w14:paraId="3002B8A7" w14:textId="77777777" w:rsidTr="008B00D8">
        <w:trPr>
          <w:trHeight w:val="300"/>
        </w:trPr>
        <w:tc>
          <w:tcPr>
            <w:tcW w:w="721" w:type="pct"/>
            <w:vMerge w:val="restart"/>
            <w:shd w:val="clear" w:color="auto" w:fill="009999"/>
            <w:noWrap/>
            <w:vAlign w:val="bottom"/>
            <w:hideMark/>
          </w:tcPr>
          <w:p w14:paraId="55423CD6" w14:textId="77777777" w:rsidR="00425A04" w:rsidRPr="0067297E" w:rsidRDefault="00425A04" w:rsidP="008B00D8">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Age group</w:t>
            </w:r>
          </w:p>
        </w:tc>
        <w:tc>
          <w:tcPr>
            <w:tcW w:w="1389" w:type="pct"/>
            <w:vMerge w:val="restart"/>
            <w:shd w:val="clear" w:color="auto" w:fill="009999"/>
            <w:noWrap/>
            <w:vAlign w:val="bottom"/>
            <w:hideMark/>
          </w:tcPr>
          <w:p w14:paraId="6924B6D4" w14:textId="77777777" w:rsidR="00425A04" w:rsidRPr="0067297E" w:rsidRDefault="00425A04" w:rsidP="008B00D8">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Household Type</w:t>
            </w:r>
          </w:p>
        </w:tc>
        <w:tc>
          <w:tcPr>
            <w:tcW w:w="1685" w:type="pct"/>
            <w:gridSpan w:val="2"/>
            <w:shd w:val="clear" w:color="auto" w:fill="009999"/>
            <w:noWrap/>
            <w:vAlign w:val="bottom"/>
            <w:hideMark/>
          </w:tcPr>
          <w:p w14:paraId="4086E218" w14:textId="77777777" w:rsidR="00425A04" w:rsidRPr="0067297E" w:rsidRDefault="00425A04" w:rsidP="008B00D8">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Year</w:t>
            </w:r>
          </w:p>
        </w:tc>
        <w:tc>
          <w:tcPr>
            <w:tcW w:w="1205" w:type="pct"/>
            <w:vMerge w:val="restart"/>
            <w:shd w:val="clear" w:color="auto" w:fill="009999"/>
            <w:noWrap/>
            <w:vAlign w:val="bottom"/>
            <w:hideMark/>
          </w:tcPr>
          <w:p w14:paraId="119C8EF5" w14:textId="77777777" w:rsidR="00425A04" w:rsidRPr="0067297E" w:rsidRDefault="00425A04" w:rsidP="008B00D8">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Change in households</w:t>
            </w:r>
          </w:p>
          <w:p w14:paraId="3E25177C" w14:textId="77777777" w:rsidR="00425A04" w:rsidRPr="0067297E" w:rsidRDefault="00425A04" w:rsidP="008B00D8">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20</w:t>
            </w:r>
            <w:r>
              <w:rPr>
                <w:rFonts w:asciiTheme="minorHAnsi" w:hAnsiTheme="minorHAnsi" w:cs="Calibri"/>
                <w:b/>
                <w:bCs/>
                <w:color w:val="FFFFFF" w:themeColor="background1"/>
                <w:sz w:val="22"/>
                <w:szCs w:val="22"/>
              </w:rPr>
              <w:t>20</w:t>
            </w:r>
            <w:r w:rsidRPr="0067297E">
              <w:rPr>
                <w:rFonts w:asciiTheme="minorHAnsi" w:hAnsiTheme="minorHAnsi" w:cs="Calibri"/>
                <w:b/>
                <w:bCs/>
                <w:color w:val="FFFFFF" w:themeColor="background1"/>
                <w:sz w:val="22"/>
                <w:szCs w:val="22"/>
              </w:rPr>
              <w:t>-203</w:t>
            </w:r>
            <w:r>
              <w:rPr>
                <w:rFonts w:asciiTheme="minorHAnsi" w:hAnsiTheme="minorHAnsi" w:cs="Calibri"/>
                <w:b/>
                <w:bCs/>
                <w:color w:val="FFFFFF" w:themeColor="background1"/>
                <w:sz w:val="22"/>
                <w:szCs w:val="22"/>
              </w:rPr>
              <w:t>9</w:t>
            </w:r>
          </w:p>
        </w:tc>
      </w:tr>
      <w:tr w:rsidR="00425A04" w:rsidRPr="0067297E" w14:paraId="55B7DC2A" w14:textId="77777777" w:rsidTr="008B00D8">
        <w:trPr>
          <w:trHeight w:val="250"/>
        </w:trPr>
        <w:tc>
          <w:tcPr>
            <w:tcW w:w="721" w:type="pct"/>
            <w:vMerge/>
            <w:noWrap/>
            <w:hideMark/>
          </w:tcPr>
          <w:p w14:paraId="7372B8E1" w14:textId="77777777" w:rsidR="00425A04" w:rsidRPr="0067297E" w:rsidRDefault="00425A04" w:rsidP="008B00D8">
            <w:pPr>
              <w:spacing w:before="0" w:after="0"/>
              <w:rPr>
                <w:rFonts w:asciiTheme="minorHAnsi" w:hAnsiTheme="minorHAnsi" w:cs="Calibri"/>
                <w:b/>
                <w:bCs/>
                <w:color w:val="000000"/>
                <w:sz w:val="22"/>
                <w:szCs w:val="22"/>
              </w:rPr>
            </w:pPr>
          </w:p>
        </w:tc>
        <w:tc>
          <w:tcPr>
            <w:tcW w:w="1389" w:type="pct"/>
            <w:vMerge/>
            <w:noWrap/>
            <w:hideMark/>
          </w:tcPr>
          <w:p w14:paraId="132B8441" w14:textId="77777777" w:rsidR="00425A04" w:rsidRPr="0067297E" w:rsidRDefault="00425A04" w:rsidP="008B00D8">
            <w:pPr>
              <w:spacing w:before="0" w:after="0"/>
              <w:rPr>
                <w:rFonts w:asciiTheme="minorHAnsi" w:hAnsiTheme="minorHAnsi" w:cs="Calibri"/>
                <w:b/>
                <w:bCs/>
                <w:color w:val="000000"/>
                <w:sz w:val="22"/>
                <w:szCs w:val="22"/>
              </w:rPr>
            </w:pPr>
          </w:p>
        </w:tc>
        <w:tc>
          <w:tcPr>
            <w:tcW w:w="940" w:type="pct"/>
            <w:shd w:val="clear" w:color="auto" w:fill="009999"/>
            <w:noWrap/>
            <w:hideMark/>
          </w:tcPr>
          <w:p w14:paraId="077D767A" w14:textId="77777777" w:rsidR="00425A04" w:rsidRPr="0067297E" w:rsidRDefault="00425A04" w:rsidP="008B00D8">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20</w:t>
            </w:r>
            <w:r>
              <w:rPr>
                <w:rFonts w:asciiTheme="minorHAnsi" w:hAnsiTheme="minorHAnsi" w:cs="Calibri"/>
                <w:bCs/>
                <w:color w:val="FFFFFF" w:themeColor="background1"/>
                <w:sz w:val="22"/>
                <w:szCs w:val="22"/>
              </w:rPr>
              <w:t>20</w:t>
            </w:r>
          </w:p>
        </w:tc>
        <w:tc>
          <w:tcPr>
            <w:tcW w:w="745" w:type="pct"/>
            <w:shd w:val="clear" w:color="auto" w:fill="009999"/>
            <w:noWrap/>
            <w:hideMark/>
          </w:tcPr>
          <w:p w14:paraId="7336D705" w14:textId="77777777" w:rsidR="00425A04" w:rsidRPr="0067297E" w:rsidRDefault="00425A04" w:rsidP="008B00D8">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203</w:t>
            </w:r>
            <w:r>
              <w:rPr>
                <w:rFonts w:asciiTheme="minorHAnsi" w:hAnsiTheme="minorHAnsi" w:cs="Calibri"/>
                <w:bCs/>
                <w:color w:val="FFFFFF" w:themeColor="background1"/>
                <w:sz w:val="22"/>
                <w:szCs w:val="22"/>
              </w:rPr>
              <w:t>9</w:t>
            </w:r>
          </w:p>
        </w:tc>
        <w:tc>
          <w:tcPr>
            <w:tcW w:w="1205" w:type="pct"/>
            <w:vMerge/>
            <w:hideMark/>
          </w:tcPr>
          <w:p w14:paraId="19E3DD92" w14:textId="77777777" w:rsidR="00425A04" w:rsidRPr="0067297E" w:rsidRDefault="00425A04" w:rsidP="008B00D8">
            <w:pPr>
              <w:spacing w:before="0" w:after="0"/>
              <w:jc w:val="center"/>
              <w:rPr>
                <w:rFonts w:asciiTheme="minorHAnsi" w:hAnsiTheme="minorHAnsi" w:cs="Calibri"/>
                <w:b/>
                <w:bCs/>
                <w:color w:val="000000"/>
                <w:sz w:val="22"/>
                <w:szCs w:val="22"/>
              </w:rPr>
            </w:pPr>
          </w:p>
        </w:tc>
      </w:tr>
      <w:tr w:rsidR="006859AE" w:rsidRPr="0067297E" w14:paraId="1EFFD67F" w14:textId="77777777" w:rsidTr="00A96554">
        <w:trPr>
          <w:trHeight w:val="300"/>
        </w:trPr>
        <w:tc>
          <w:tcPr>
            <w:tcW w:w="721" w:type="pct"/>
            <w:vMerge w:val="restart"/>
            <w:noWrap/>
            <w:hideMark/>
          </w:tcPr>
          <w:p w14:paraId="6F2355C1" w14:textId="4F663DCE" w:rsidR="006859AE" w:rsidRPr="0067297E" w:rsidRDefault="006859AE" w:rsidP="006859AE">
            <w:pPr>
              <w:spacing w:before="0" w:after="0"/>
              <w:jc w:val="center"/>
              <w:rPr>
                <w:rFonts w:asciiTheme="minorHAnsi" w:hAnsiTheme="minorHAnsi" w:cs="Calibri"/>
                <w:b/>
                <w:color w:val="000000"/>
                <w:sz w:val="22"/>
                <w:szCs w:val="22"/>
              </w:rPr>
            </w:pPr>
            <w:r w:rsidRPr="0067297E">
              <w:rPr>
                <w:rFonts w:asciiTheme="minorHAnsi" w:hAnsiTheme="minorHAnsi" w:cs="Calibri"/>
                <w:b/>
                <w:color w:val="000000"/>
                <w:sz w:val="22"/>
                <w:szCs w:val="22"/>
              </w:rPr>
              <w:t>85+</w:t>
            </w:r>
          </w:p>
        </w:tc>
        <w:tc>
          <w:tcPr>
            <w:tcW w:w="1389" w:type="pct"/>
            <w:noWrap/>
            <w:hideMark/>
          </w:tcPr>
          <w:p w14:paraId="399DCCAE"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One Person</w:t>
            </w:r>
          </w:p>
        </w:tc>
        <w:tc>
          <w:tcPr>
            <w:tcW w:w="940" w:type="pct"/>
            <w:noWrap/>
            <w:vAlign w:val="bottom"/>
            <w:hideMark/>
          </w:tcPr>
          <w:p w14:paraId="75C1FF4E" w14:textId="60237B76"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2,130</w:t>
            </w:r>
          </w:p>
        </w:tc>
        <w:tc>
          <w:tcPr>
            <w:tcW w:w="745" w:type="pct"/>
            <w:noWrap/>
            <w:vAlign w:val="bottom"/>
            <w:hideMark/>
          </w:tcPr>
          <w:p w14:paraId="2E6C5A35" w14:textId="4C444F29"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3,405</w:t>
            </w:r>
          </w:p>
        </w:tc>
        <w:tc>
          <w:tcPr>
            <w:tcW w:w="1205" w:type="pct"/>
            <w:noWrap/>
            <w:vAlign w:val="bottom"/>
            <w:hideMark/>
          </w:tcPr>
          <w:p w14:paraId="0DCD7B4C" w14:textId="739DA3F2"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1,275</w:t>
            </w:r>
          </w:p>
        </w:tc>
      </w:tr>
      <w:tr w:rsidR="006859AE" w:rsidRPr="0067297E" w14:paraId="3FEDA238" w14:textId="77777777" w:rsidTr="00A96554">
        <w:trPr>
          <w:trHeight w:val="300"/>
        </w:trPr>
        <w:tc>
          <w:tcPr>
            <w:tcW w:w="721" w:type="pct"/>
            <w:vMerge/>
            <w:noWrap/>
            <w:hideMark/>
          </w:tcPr>
          <w:p w14:paraId="57D48F57"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108BE835"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Couple only</w:t>
            </w:r>
          </w:p>
        </w:tc>
        <w:tc>
          <w:tcPr>
            <w:tcW w:w="940" w:type="pct"/>
            <w:noWrap/>
            <w:vAlign w:val="bottom"/>
            <w:hideMark/>
          </w:tcPr>
          <w:p w14:paraId="6257E66F" w14:textId="01A762C5"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439</w:t>
            </w:r>
          </w:p>
        </w:tc>
        <w:tc>
          <w:tcPr>
            <w:tcW w:w="745" w:type="pct"/>
            <w:noWrap/>
            <w:vAlign w:val="bottom"/>
            <w:hideMark/>
          </w:tcPr>
          <w:p w14:paraId="61301E78" w14:textId="0D84C9C1"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691</w:t>
            </w:r>
          </w:p>
        </w:tc>
        <w:tc>
          <w:tcPr>
            <w:tcW w:w="1205" w:type="pct"/>
            <w:noWrap/>
            <w:vAlign w:val="bottom"/>
            <w:hideMark/>
          </w:tcPr>
          <w:p w14:paraId="0E0DBBE3" w14:textId="3A3CAEB5"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252</w:t>
            </w:r>
          </w:p>
        </w:tc>
      </w:tr>
      <w:tr w:rsidR="006859AE" w:rsidRPr="0067297E" w14:paraId="7EC5DC0C" w14:textId="77777777" w:rsidTr="00A96554">
        <w:trPr>
          <w:trHeight w:val="300"/>
        </w:trPr>
        <w:tc>
          <w:tcPr>
            <w:tcW w:w="721" w:type="pct"/>
            <w:vMerge/>
            <w:noWrap/>
            <w:hideMark/>
          </w:tcPr>
          <w:p w14:paraId="1A75255F"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1B277DFD"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HH with 1/2 children</w:t>
            </w:r>
          </w:p>
        </w:tc>
        <w:tc>
          <w:tcPr>
            <w:tcW w:w="940" w:type="pct"/>
            <w:noWrap/>
            <w:vAlign w:val="bottom"/>
            <w:hideMark/>
          </w:tcPr>
          <w:p w14:paraId="55190988" w14:textId="45072092"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26</w:t>
            </w:r>
          </w:p>
        </w:tc>
        <w:tc>
          <w:tcPr>
            <w:tcW w:w="745" w:type="pct"/>
            <w:noWrap/>
            <w:vAlign w:val="bottom"/>
            <w:hideMark/>
          </w:tcPr>
          <w:p w14:paraId="3C8F9035" w14:textId="3D7955DC"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49</w:t>
            </w:r>
          </w:p>
        </w:tc>
        <w:tc>
          <w:tcPr>
            <w:tcW w:w="1205" w:type="pct"/>
            <w:noWrap/>
            <w:vAlign w:val="bottom"/>
            <w:hideMark/>
          </w:tcPr>
          <w:p w14:paraId="6A9C0703" w14:textId="72DFA412"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23</w:t>
            </w:r>
          </w:p>
        </w:tc>
      </w:tr>
      <w:tr w:rsidR="006859AE" w:rsidRPr="0067297E" w14:paraId="1B529E5B" w14:textId="77777777" w:rsidTr="00A96554">
        <w:trPr>
          <w:trHeight w:val="300"/>
        </w:trPr>
        <w:tc>
          <w:tcPr>
            <w:tcW w:w="721" w:type="pct"/>
            <w:vMerge/>
            <w:noWrap/>
            <w:hideMark/>
          </w:tcPr>
          <w:p w14:paraId="0797B006"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61488CCD"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HH with 3 children</w:t>
            </w:r>
          </w:p>
        </w:tc>
        <w:tc>
          <w:tcPr>
            <w:tcW w:w="940" w:type="pct"/>
            <w:noWrap/>
            <w:vAlign w:val="bottom"/>
            <w:hideMark/>
          </w:tcPr>
          <w:p w14:paraId="374E7E46" w14:textId="08A64DDD"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w:t>
            </w:r>
          </w:p>
        </w:tc>
        <w:tc>
          <w:tcPr>
            <w:tcW w:w="745" w:type="pct"/>
            <w:noWrap/>
            <w:vAlign w:val="bottom"/>
            <w:hideMark/>
          </w:tcPr>
          <w:p w14:paraId="594F0930" w14:textId="6F05CC8E"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w:t>
            </w:r>
          </w:p>
        </w:tc>
        <w:tc>
          <w:tcPr>
            <w:tcW w:w="1205" w:type="pct"/>
            <w:noWrap/>
            <w:vAlign w:val="bottom"/>
            <w:hideMark/>
          </w:tcPr>
          <w:p w14:paraId="48205466" w14:textId="4C856968"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w:t>
            </w:r>
          </w:p>
        </w:tc>
      </w:tr>
      <w:tr w:rsidR="006859AE" w:rsidRPr="0067297E" w14:paraId="603AD300" w14:textId="77777777" w:rsidTr="00A96554">
        <w:trPr>
          <w:trHeight w:val="300"/>
        </w:trPr>
        <w:tc>
          <w:tcPr>
            <w:tcW w:w="721" w:type="pct"/>
            <w:vMerge/>
            <w:noWrap/>
            <w:hideMark/>
          </w:tcPr>
          <w:p w14:paraId="4B91BF9B"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31708024"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Other Multi-person</w:t>
            </w:r>
          </w:p>
        </w:tc>
        <w:tc>
          <w:tcPr>
            <w:tcW w:w="940" w:type="pct"/>
            <w:noWrap/>
            <w:vAlign w:val="bottom"/>
            <w:hideMark/>
          </w:tcPr>
          <w:p w14:paraId="43F0AEF5" w14:textId="3529A482"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725</w:t>
            </w:r>
          </w:p>
        </w:tc>
        <w:tc>
          <w:tcPr>
            <w:tcW w:w="745" w:type="pct"/>
            <w:noWrap/>
            <w:vAlign w:val="bottom"/>
            <w:hideMark/>
          </w:tcPr>
          <w:p w14:paraId="0374CA98" w14:textId="1998CE05"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1,704</w:t>
            </w:r>
          </w:p>
        </w:tc>
        <w:tc>
          <w:tcPr>
            <w:tcW w:w="1205" w:type="pct"/>
            <w:noWrap/>
            <w:vAlign w:val="bottom"/>
            <w:hideMark/>
          </w:tcPr>
          <w:p w14:paraId="328CD7AD" w14:textId="1624518A"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979</w:t>
            </w:r>
          </w:p>
        </w:tc>
      </w:tr>
      <w:tr w:rsidR="006859AE" w:rsidRPr="0067297E" w14:paraId="2D81D408" w14:textId="77777777" w:rsidTr="00A96554">
        <w:trPr>
          <w:trHeight w:val="300"/>
        </w:trPr>
        <w:tc>
          <w:tcPr>
            <w:tcW w:w="721" w:type="pct"/>
            <w:vMerge/>
            <w:noWrap/>
            <w:hideMark/>
          </w:tcPr>
          <w:p w14:paraId="4BBD87F5"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41159D7E" w14:textId="77777777" w:rsidR="006859AE" w:rsidRPr="00894104" w:rsidRDefault="006859AE" w:rsidP="006859AE">
            <w:pPr>
              <w:spacing w:before="0" w:after="0"/>
              <w:rPr>
                <w:rFonts w:asciiTheme="minorHAnsi" w:hAnsiTheme="minorHAnsi" w:cs="Calibri"/>
                <w:b/>
                <w:color w:val="000000"/>
                <w:sz w:val="22"/>
                <w:szCs w:val="22"/>
              </w:rPr>
            </w:pPr>
            <w:r w:rsidRPr="00894104">
              <w:rPr>
                <w:rFonts w:asciiTheme="minorHAnsi" w:hAnsiTheme="minorHAnsi" w:cs="Calibri"/>
                <w:b/>
                <w:color w:val="000000"/>
                <w:sz w:val="22"/>
                <w:szCs w:val="22"/>
              </w:rPr>
              <w:t>Total</w:t>
            </w:r>
          </w:p>
        </w:tc>
        <w:tc>
          <w:tcPr>
            <w:tcW w:w="940" w:type="pct"/>
            <w:noWrap/>
            <w:vAlign w:val="bottom"/>
            <w:hideMark/>
          </w:tcPr>
          <w:p w14:paraId="7547BC4B" w14:textId="0A58C5B2"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3,322</w:t>
            </w:r>
          </w:p>
        </w:tc>
        <w:tc>
          <w:tcPr>
            <w:tcW w:w="745" w:type="pct"/>
            <w:noWrap/>
            <w:vAlign w:val="bottom"/>
            <w:hideMark/>
          </w:tcPr>
          <w:p w14:paraId="5C0F7B10" w14:textId="0AA4F7BD"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5,850</w:t>
            </w:r>
          </w:p>
        </w:tc>
        <w:tc>
          <w:tcPr>
            <w:tcW w:w="1205" w:type="pct"/>
            <w:noWrap/>
            <w:vAlign w:val="bottom"/>
            <w:hideMark/>
          </w:tcPr>
          <w:p w14:paraId="58F0EB5A" w14:textId="75C0B85E"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2,528</w:t>
            </w:r>
          </w:p>
        </w:tc>
      </w:tr>
    </w:tbl>
    <w:p w14:paraId="68B005CE" w14:textId="5CE7FA85" w:rsidR="00F6633F" w:rsidRPr="0067297E" w:rsidRDefault="00F6633F" w:rsidP="00543A76">
      <w:pPr>
        <w:jc w:val="right"/>
        <w:rPr>
          <w:rFonts w:asciiTheme="minorHAnsi" w:hAnsiTheme="minorHAnsi"/>
        </w:rPr>
      </w:pPr>
    </w:p>
    <w:tbl>
      <w:tblPr>
        <w:tblStyle w:val="arc4table"/>
        <w:tblW w:w="5000" w:type="pct"/>
        <w:tblLook w:val="04A0" w:firstRow="1" w:lastRow="0" w:firstColumn="1" w:lastColumn="0" w:noHBand="0" w:noVBand="1"/>
        <w:tblCaption w:val="Table 7.3B Change in number of households by age group 2018-2033"/>
      </w:tblPr>
      <w:tblGrid>
        <w:gridCol w:w="1324"/>
        <w:gridCol w:w="2551"/>
        <w:gridCol w:w="1726"/>
        <w:gridCol w:w="1368"/>
        <w:gridCol w:w="2213"/>
      </w:tblGrid>
      <w:tr w:rsidR="00F6633F" w:rsidRPr="0067297E" w14:paraId="59C751CD" w14:textId="77777777" w:rsidTr="00426BD8">
        <w:trPr>
          <w:cnfStyle w:val="100000000000" w:firstRow="1" w:lastRow="0" w:firstColumn="0" w:lastColumn="0" w:oddVBand="0" w:evenVBand="0" w:oddHBand="0" w:evenHBand="0" w:firstRowFirstColumn="0" w:firstRowLastColumn="0" w:lastRowFirstColumn="0" w:lastRowLastColumn="0"/>
          <w:trHeight w:val="300"/>
          <w:tblHeader/>
        </w:trPr>
        <w:tc>
          <w:tcPr>
            <w:tcW w:w="5000" w:type="pct"/>
            <w:gridSpan w:val="5"/>
            <w:noWrap/>
          </w:tcPr>
          <w:p w14:paraId="43DB93F1" w14:textId="4C980BC8" w:rsidR="00F6633F" w:rsidRPr="0067297E" w:rsidRDefault="000D2A58" w:rsidP="009D0288">
            <w:pPr>
              <w:pStyle w:val="tableheading"/>
              <w:rPr>
                <w:rFonts w:asciiTheme="minorHAnsi" w:hAnsiTheme="minorHAnsi"/>
                <w:b/>
                <w:color w:val="000000"/>
              </w:rPr>
            </w:pPr>
            <w:bookmarkStart w:id="427" w:name="_Toc397250700"/>
            <w:bookmarkStart w:id="428" w:name="_Toc23151197"/>
            <w:r w:rsidRPr="0067297E">
              <w:rPr>
                <w:rFonts w:asciiTheme="minorHAnsi" w:hAnsiTheme="minorHAnsi"/>
                <w:b/>
              </w:rPr>
              <w:t xml:space="preserve">Table </w:t>
            </w:r>
            <w:r w:rsidR="00B32E87" w:rsidRPr="0067297E">
              <w:rPr>
                <w:rFonts w:asciiTheme="minorHAnsi" w:hAnsiTheme="minorHAnsi"/>
                <w:b/>
                <w:lang w:val="en-GB"/>
              </w:rPr>
              <w:t>7</w:t>
            </w:r>
            <w:r w:rsidRPr="0067297E">
              <w:rPr>
                <w:rFonts w:asciiTheme="minorHAnsi" w:hAnsiTheme="minorHAnsi"/>
                <w:b/>
              </w:rPr>
              <w:t>.</w:t>
            </w:r>
            <w:r w:rsidR="00F6633F" w:rsidRPr="0067297E">
              <w:rPr>
                <w:rFonts w:asciiTheme="minorHAnsi" w:hAnsiTheme="minorHAnsi"/>
                <w:b/>
              </w:rPr>
              <w:t>3B</w:t>
            </w:r>
            <w:r w:rsidR="00F6633F" w:rsidRPr="0067297E">
              <w:rPr>
                <w:rFonts w:asciiTheme="minorHAnsi" w:hAnsiTheme="minorHAnsi"/>
                <w:b/>
              </w:rPr>
              <w:tab/>
              <w:t>Change in number</w:t>
            </w:r>
            <w:r w:rsidR="00BD5090" w:rsidRPr="0067297E">
              <w:rPr>
                <w:rFonts w:asciiTheme="minorHAnsi" w:hAnsiTheme="minorHAnsi"/>
                <w:b/>
              </w:rPr>
              <w:t xml:space="preserve"> of households by age group 2018</w:t>
            </w:r>
            <w:r w:rsidR="00F6633F" w:rsidRPr="0067297E">
              <w:rPr>
                <w:rFonts w:asciiTheme="minorHAnsi" w:hAnsiTheme="minorHAnsi"/>
                <w:b/>
              </w:rPr>
              <w:t>-203</w:t>
            </w:r>
            <w:bookmarkEnd w:id="427"/>
            <w:r w:rsidR="00BD5090" w:rsidRPr="0067297E">
              <w:rPr>
                <w:rFonts w:asciiTheme="minorHAnsi" w:hAnsiTheme="minorHAnsi"/>
                <w:b/>
              </w:rPr>
              <w:t>3</w:t>
            </w:r>
            <w:bookmarkEnd w:id="428"/>
          </w:p>
        </w:tc>
      </w:tr>
      <w:tr w:rsidR="00F6633F" w:rsidRPr="0067297E" w14:paraId="61526610" w14:textId="77777777" w:rsidTr="006859AE">
        <w:trPr>
          <w:trHeight w:val="300"/>
        </w:trPr>
        <w:tc>
          <w:tcPr>
            <w:tcW w:w="721" w:type="pct"/>
            <w:vMerge w:val="restart"/>
            <w:shd w:val="clear" w:color="auto" w:fill="009999"/>
            <w:noWrap/>
            <w:vAlign w:val="bottom"/>
            <w:hideMark/>
          </w:tcPr>
          <w:p w14:paraId="4E9A09BA" w14:textId="77777777" w:rsidR="00F6633F" w:rsidRPr="0067297E" w:rsidRDefault="00F6633F" w:rsidP="00A96554">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Age group</w:t>
            </w:r>
          </w:p>
        </w:tc>
        <w:tc>
          <w:tcPr>
            <w:tcW w:w="1389" w:type="pct"/>
            <w:vMerge w:val="restart"/>
            <w:shd w:val="clear" w:color="auto" w:fill="009999"/>
            <w:noWrap/>
            <w:vAlign w:val="bottom"/>
            <w:hideMark/>
          </w:tcPr>
          <w:p w14:paraId="0673FFC3" w14:textId="77777777" w:rsidR="00F6633F" w:rsidRPr="0067297E" w:rsidRDefault="00F6633F" w:rsidP="00A04CC5">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Household Type</w:t>
            </w:r>
          </w:p>
        </w:tc>
        <w:tc>
          <w:tcPr>
            <w:tcW w:w="1685" w:type="pct"/>
            <w:gridSpan w:val="2"/>
            <w:shd w:val="clear" w:color="auto" w:fill="009999"/>
            <w:noWrap/>
            <w:vAlign w:val="bottom"/>
            <w:hideMark/>
          </w:tcPr>
          <w:p w14:paraId="2B27917D" w14:textId="77777777" w:rsidR="00F6633F" w:rsidRPr="0067297E" w:rsidRDefault="00F6633F" w:rsidP="007E2C96">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Year</w:t>
            </w:r>
          </w:p>
        </w:tc>
        <w:tc>
          <w:tcPr>
            <w:tcW w:w="1205" w:type="pct"/>
            <w:vMerge w:val="restart"/>
            <w:shd w:val="clear" w:color="auto" w:fill="009999"/>
            <w:noWrap/>
            <w:vAlign w:val="bottom"/>
            <w:hideMark/>
          </w:tcPr>
          <w:p w14:paraId="28054459" w14:textId="77777777" w:rsidR="00F6633F" w:rsidRPr="0067297E" w:rsidRDefault="00F6633F" w:rsidP="00516B53">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Change in households</w:t>
            </w:r>
          </w:p>
          <w:p w14:paraId="6D1BDF4C" w14:textId="7AB1A338" w:rsidR="00F6633F" w:rsidRPr="0067297E" w:rsidRDefault="00BD5090" w:rsidP="00516B53">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20</w:t>
            </w:r>
            <w:r w:rsidR="006859AE">
              <w:rPr>
                <w:rFonts w:asciiTheme="minorHAnsi" w:hAnsiTheme="minorHAnsi" w:cs="Calibri"/>
                <w:b/>
                <w:bCs/>
                <w:color w:val="FFFFFF" w:themeColor="background1"/>
                <w:sz w:val="22"/>
                <w:szCs w:val="22"/>
              </w:rPr>
              <w:t>20</w:t>
            </w:r>
            <w:r w:rsidRPr="0067297E">
              <w:rPr>
                <w:rFonts w:asciiTheme="minorHAnsi" w:hAnsiTheme="minorHAnsi" w:cs="Calibri"/>
                <w:b/>
                <w:bCs/>
                <w:color w:val="FFFFFF" w:themeColor="background1"/>
                <w:sz w:val="22"/>
                <w:szCs w:val="22"/>
              </w:rPr>
              <w:t>-203</w:t>
            </w:r>
            <w:r w:rsidR="006859AE">
              <w:rPr>
                <w:rFonts w:asciiTheme="minorHAnsi" w:hAnsiTheme="minorHAnsi" w:cs="Calibri"/>
                <w:b/>
                <w:bCs/>
                <w:color w:val="FFFFFF" w:themeColor="background1"/>
                <w:sz w:val="22"/>
                <w:szCs w:val="22"/>
              </w:rPr>
              <w:t>9</w:t>
            </w:r>
          </w:p>
        </w:tc>
      </w:tr>
      <w:tr w:rsidR="00F6633F" w:rsidRPr="0067297E" w14:paraId="440ED3EC" w14:textId="77777777" w:rsidTr="006859AE">
        <w:trPr>
          <w:trHeight w:val="250"/>
        </w:trPr>
        <w:tc>
          <w:tcPr>
            <w:tcW w:w="721" w:type="pct"/>
            <w:vMerge/>
            <w:noWrap/>
            <w:hideMark/>
          </w:tcPr>
          <w:p w14:paraId="31224C9B" w14:textId="77777777" w:rsidR="00F6633F" w:rsidRPr="0067297E" w:rsidRDefault="00F6633F">
            <w:pPr>
              <w:spacing w:before="0" w:after="0"/>
              <w:rPr>
                <w:rFonts w:asciiTheme="minorHAnsi" w:hAnsiTheme="minorHAnsi" w:cs="Calibri"/>
                <w:b/>
                <w:bCs/>
                <w:color w:val="000000"/>
                <w:sz w:val="22"/>
                <w:szCs w:val="22"/>
              </w:rPr>
            </w:pPr>
          </w:p>
        </w:tc>
        <w:tc>
          <w:tcPr>
            <w:tcW w:w="1389" w:type="pct"/>
            <w:vMerge/>
            <w:noWrap/>
            <w:hideMark/>
          </w:tcPr>
          <w:p w14:paraId="0BE19327" w14:textId="77777777" w:rsidR="00F6633F" w:rsidRPr="0067297E" w:rsidRDefault="00F6633F">
            <w:pPr>
              <w:spacing w:before="0" w:after="0"/>
              <w:rPr>
                <w:rFonts w:asciiTheme="minorHAnsi" w:hAnsiTheme="minorHAnsi" w:cs="Calibri"/>
                <w:b/>
                <w:bCs/>
                <w:color w:val="000000"/>
                <w:sz w:val="22"/>
                <w:szCs w:val="22"/>
              </w:rPr>
            </w:pPr>
          </w:p>
        </w:tc>
        <w:tc>
          <w:tcPr>
            <w:tcW w:w="940" w:type="pct"/>
            <w:shd w:val="clear" w:color="auto" w:fill="009999"/>
            <w:noWrap/>
            <w:hideMark/>
          </w:tcPr>
          <w:p w14:paraId="67D70586" w14:textId="0BCF9182" w:rsidR="00F6633F" w:rsidRPr="0067297E" w:rsidRDefault="00BD5090">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20</w:t>
            </w:r>
            <w:r w:rsidR="006859AE">
              <w:rPr>
                <w:rFonts w:asciiTheme="minorHAnsi" w:hAnsiTheme="minorHAnsi" w:cs="Calibri"/>
                <w:bCs/>
                <w:color w:val="FFFFFF" w:themeColor="background1"/>
                <w:sz w:val="22"/>
                <w:szCs w:val="22"/>
              </w:rPr>
              <w:t>20</w:t>
            </w:r>
          </w:p>
        </w:tc>
        <w:tc>
          <w:tcPr>
            <w:tcW w:w="745" w:type="pct"/>
            <w:shd w:val="clear" w:color="auto" w:fill="009999"/>
            <w:noWrap/>
            <w:hideMark/>
          </w:tcPr>
          <w:p w14:paraId="3EFBD506" w14:textId="350DECF0" w:rsidR="00F6633F" w:rsidRPr="0067297E" w:rsidRDefault="00BD5090">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203</w:t>
            </w:r>
            <w:r w:rsidR="006859AE">
              <w:rPr>
                <w:rFonts w:asciiTheme="minorHAnsi" w:hAnsiTheme="minorHAnsi" w:cs="Calibri"/>
                <w:bCs/>
                <w:color w:val="FFFFFF" w:themeColor="background1"/>
                <w:sz w:val="22"/>
                <w:szCs w:val="22"/>
              </w:rPr>
              <w:t>9</w:t>
            </w:r>
          </w:p>
        </w:tc>
        <w:tc>
          <w:tcPr>
            <w:tcW w:w="1205" w:type="pct"/>
            <w:vMerge/>
            <w:hideMark/>
          </w:tcPr>
          <w:p w14:paraId="5E281DDF" w14:textId="77777777" w:rsidR="00F6633F" w:rsidRPr="0067297E" w:rsidRDefault="00F6633F">
            <w:pPr>
              <w:spacing w:before="0" w:after="0"/>
              <w:jc w:val="center"/>
              <w:rPr>
                <w:rFonts w:asciiTheme="minorHAnsi" w:hAnsiTheme="minorHAnsi" w:cs="Calibri"/>
                <w:b/>
                <w:bCs/>
                <w:color w:val="000000"/>
                <w:sz w:val="22"/>
                <w:szCs w:val="22"/>
              </w:rPr>
            </w:pPr>
          </w:p>
        </w:tc>
      </w:tr>
      <w:tr w:rsidR="006859AE" w:rsidRPr="0067297E" w14:paraId="629F78EF" w14:textId="77777777" w:rsidTr="006859AE">
        <w:trPr>
          <w:trHeight w:val="300"/>
        </w:trPr>
        <w:tc>
          <w:tcPr>
            <w:tcW w:w="721" w:type="pct"/>
            <w:vMerge w:val="restart"/>
            <w:noWrap/>
            <w:hideMark/>
          </w:tcPr>
          <w:p w14:paraId="07E4CB65" w14:textId="77777777" w:rsidR="006859AE" w:rsidRPr="0067297E" w:rsidRDefault="006859AE" w:rsidP="006859AE">
            <w:pPr>
              <w:spacing w:before="0" w:after="0"/>
              <w:jc w:val="center"/>
              <w:rPr>
                <w:rFonts w:asciiTheme="minorHAnsi" w:hAnsiTheme="minorHAnsi" w:cs="Calibri"/>
                <w:b/>
                <w:color w:val="000000"/>
                <w:sz w:val="22"/>
                <w:szCs w:val="22"/>
              </w:rPr>
            </w:pPr>
            <w:r w:rsidRPr="0067297E">
              <w:rPr>
                <w:rFonts w:asciiTheme="minorHAnsi" w:hAnsiTheme="minorHAnsi" w:cs="Calibri"/>
                <w:b/>
                <w:color w:val="000000"/>
                <w:sz w:val="22"/>
                <w:szCs w:val="22"/>
              </w:rPr>
              <w:t>ALL</w:t>
            </w:r>
          </w:p>
        </w:tc>
        <w:tc>
          <w:tcPr>
            <w:tcW w:w="1389" w:type="pct"/>
            <w:noWrap/>
            <w:hideMark/>
          </w:tcPr>
          <w:p w14:paraId="6F5BA02E"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One Person</w:t>
            </w:r>
          </w:p>
        </w:tc>
        <w:tc>
          <w:tcPr>
            <w:tcW w:w="940" w:type="pct"/>
            <w:noWrap/>
            <w:vAlign w:val="bottom"/>
            <w:hideMark/>
          </w:tcPr>
          <w:p w14:paraId="291CF149" w14:textId="72477C51"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48,799</w:t>
            </w:r>
          </w:p>
        </w:tc>
        <w:tc>
          <w:tcPr>
            <w:tcW w:w="745" w:type="pct"/>
            <w:noWrap/>
            <w:vAlign w:val="bottom"/>
            <w:hideMark/>
          </w:tcPr>
          <w:p w14:paraId="566138A3" w14:textId="3B79140E"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67,195</w:t>
            </w:r>
          </w:p>
        </w:tc>
        <w:tc>
          <w:tcPr>
            <w:tcW w:w="1205" w:type="pct"/>
            <w:noWrap/>
            <w:vAlign w:val="bottom"/>
            <w:hideMark/>
          </w:tcPr>
          <w:p w14:paraId="6AC6AB1D" w14:textId="2F0334D4"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18,396</w:t>
            </w:r>
          </w:p>
        </w:tc>
      </w:tr>
      <w:tr w:rsidR="006859AE" w:rsidRPr="0067297E" w14:paraId="17D8F8F9" w14:textId="77777777" w:rsidTr="006859AE">
        <w:trPr>
          <w:trHeight w:val="300"/>
        </w:trPr>
        <w:tc>
          <w:tcPr>
            <w:tcW w:w="721" w:type="pct"/>
            <w:vMerge/>
            <w:noWrap/>
            <w:hideMark/>
          </w:tcPr>
          <w:p w14:paraId="1AEF5D57"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6BDC9763"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Couple only</w:t>
            </w:r>
          </w:p>
        </w:tc>
        <w:tc>
          <w:tcPr>
            <w:tcW w:w="940" w:type="pct"/>
            <w:noWrap/>
            <w:vAlign w:val="bottom"/>
            <w:hideMark/>
          </w:tcPr>
          <w:p w14:paraId="08A8A76E" w14:textId="290E7764"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19,583</w:t>
            </w:r>
          </w:p>
        </w:tc>
        <w:tc>
          <w:tcPr>
            <w:tcW w:w="745" w:type="pct"/>
            <w:noWrap/>
            <w:vAlign w:val="bottom"/>
            <w:hideMark/>
          </w:tcPr>
          <w:p w14:paraId="492BE12E" w14:textId="2B071105"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21,660</w:t>
            </w:r>
          </w:p>
        </w:tc>
        <w:tc>
          <w:tcPr>
            <w:tcW w:w="1205" w:type="pct"/>
            <w:noWrap/>
            <w:vAlign w:val="bottom"/>
            <w:hideMark/>
          </w:tcPr>
          <w:p w14:paraId="336A80B9" w14:textId="4924B08D"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2,077</w:t>
            </w:r>
          </w:p>
        </w:tc>
      </w:tr>
      <w:tr w:rsidR="006859AE" w:rsidRPr="0067297E" w14:paraId="07D2BEF3" w14:textId="77777777" w:rsidTr="006859AE">
        <w:trPr>
          <w:trHeight w:val="300"/>
        </w:trPr>
        <w:tc>
          <w:tcPr>
            <w:tcW w:w="721" w:type="pct"/>
            <w:vMerge/>
            <w:noWrap/>
            <w:hideMark/>
          </w:tcPr>
          <w:p w14:paraId="79D43209"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5C906B58"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HH with 1/2 children</w:t>
            </w:r>
          </w:p>
        </w:tc>
        <w:tc>
          <w:tcPr>
            <w:tcW w:w="940" w:type="pct"/>
            <w:noWrap/>
            <w:vAlign w:val="bottom"/>
            <w:hideMark/>
          </w:tcPr>
          <w:p w14:paraId="2B72F459" w14:textId="1F95F2DB"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35,514</w:t>
            </w:r>
          </w:p>
        </w:tc>
        <w:tc>
          <w:tcPr>
            <w:tcW w:w="745" w:type="pct"/>
            <w:noWrap/>
            <w:vAlign w:val="bottom"/>
            <w:hideMark/>
          </w:tcPr>
          <w:p w14:paraId="7414CAF4" w14:textId="4E9FF111" w:rsidR="006859AE" w:rsidRPr="0015368C" w:rsidRDefault="006859AE" w:rsidP="00425A04">
            <w:pPr>
              <w:spacing w:before="0" w:after="0"/>
              <w:jc w:val="right"/>
              <w:rPr>
                <w:rFonts w:asciiTheme="minorHAnsi" w:hAnsiTheme="minorHAnsi" w:cs="Calibri"/>
                <w:color w:val="000000"/>
                <w:sz w:val="22"/>
                <w:szCs w:val="22"/>
              </w:rPr>
            </w:pPr>
            <w:r w:rsidRPr="0015368C">
              <w:rPr>
                <w:color w:val="000000"/>
                <w:sz w:val="22"/>
                <w:szCs w:val="22"/>
              </w:rPr>
              <w:t>40,763</w:t>
            </w:r>
          </w:p>
        </w:tc>
        <w:tc>
          <w:tcPr>
            <w:tcW w:w="1205" w:type="pct"/>
            <w:noWrap/>
            <w:vAlign w:val="bottom"/>
            <w:hideMark/>
          </w:tcPr>
          <w:p w14:paraId="5CBADD90" w14:textId="68EFE800"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5,249</w:t>
            </w:r>
          </w:p>
        </w:tc>
      </w:tr>
      <w:tr w:rsidR="006859AE" w:rsidRPr="0067297E" w14:paraId="5FE7AB1E" w14:textId="77777777" w:rsidTr="006859AE">
        <w:trPr>
          <w:trHeight w:val="300"/>
        </w:trPr>
        <w:tc>
          <w:tcPr>
            <w:tcW w:w="721" w:type="pct"/>
            <w:vMerge/>
            <w:noWrap/>
            <w:hideMark/>
          </w:tcPr>
          <w:p w14:paraId="3AF41764"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41322A20"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HH with 3 children</w:t>
            </w:r>
          </w:p>
        </w:tc>
        <w:tc>
          <w:tcPr>
            <w:tcW w:w="940" w:type="pct"/>
            <w:noWrap/>
            <w:vAlign w:val="bottom"/>
            <w:hideMark/>
          </w:tcPr>
          <w:p w14:paraId="3C86DC73" w14:textId="56A42523"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7,209</w:t>
            </w:r>
          </w:p>
        </w:tc>
        <w:tc>
          <w:tcPr>
            <w:tcW w:w="745" w:type="pct"/>
            <w:noWrap/>
            <w:vAlign w:val="bottom"/>
            <w:hideMark/>
          </w:tcPr>
          <w:p w14:paraId="1CC404EA" w14:textId="72318116"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7,869</w:t>
            </w:r>
          </w:p>
        </w:tc>
        <w:tc>
          <w:tcPr>
            <w:tcW w:w="1205" w:type="pct"/>
            <w:noWrap/>
            <w:vAlign w:val="bottom"/>
            <w:hideMark/>
          </w:tcPr>
          <w:p w14:paraId="26FD5662" w14:textId="70320CDE"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660</w:t>
            </w:r>
          </w:p>
        </w:tc>
      </w:tr>
      <w:tr w:rsidR="006859AE" w:rsidRPr="0067297E" w14:paraId="251F6BAE" w14:textId="77777777" w:rsidTr="006859AE">
        <w:trPr>
          <w:trHeight w:val="300"/>
        </w:trPr>
        <w:tc>
          <w:tcPr>
            <w:tcW w:w="721" w:type="pct"/>
            <w:vMerge/>
            <w:noWrap/>
            <w:hideMark/>
          </w:tcPr>
          <w:p w14:paraId="559C7C9B"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6F6536EC" w14:textId="77777777" w:rsidR="006859AE" w:rsidRPr="0067297E" w:rsidRDefault="006859AE" w:rsidP="006859AE">
            <w:pPr>
              <w:spacing w:before="0" w:after="0"/>
              <w:rPr>
                <w:rFonts w:asciiTheme="minorHAnsi" w:hAnsiTheme="minorHAnsi" w:cs="Calibri"/>
                <w:color w:val="000000"/>
                <w:sz w:val="22"/>
                <w:szCs w:val="22"/>
              </w:rPr>
            </w:pPr>
            <w:r w:rsidRPr="0067297E">
              <w:rPr>
                <w:rFonts w:asciiTheme="minorHAnsi" w:hAnsiTheme="minorHAnsi" w:cs="Calibri"/>
                <w:color w:val="000000"/>
                <w:sz w:val="22"/>
                <w:szCs w:val="22"/>
              </w:rPr>
              <w:t>Other Multi-person</w:t>
            </w:r>
          </w:p>
        </w:tc>
        <w:tc>
          <w:tcPr>
            <w:tcW w:w="940" w:type="pct"/>
            <w:noWrap/>
            <w:vAlign w:val="bottom"/>
            <w:hideMark/>
          </w:tcPr>
          <w:p w14:paraId="18F8FC2A" w14:textId="4B24A5CC"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27,605</w:t>
            </w:r>
          </w:p>
        </w:tc>
        <w:tc>
          <w:tcPr>
            <w:tcW w:w="745" w:type="pct"/>
            <w:noWrap/>
            <w:vAlign w:val="bottom"/>
            <w:hideMark/>
          </w:tcPr>
          <w:p w14:paraId="22EE97A0" w14:textId="57F95468"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40,896</w:t>
            </w:r>
          </w:p>
        </w:tc>
        <w:tc>
          <w:tcPr>
            <w:tcW w:w="1205" w:type="pct"/>
            <w:noWrap/>
            <w:vAlign w:val="bottom"/>
            <w:hideMark/>
          </w:tcPr>
          <w:p w14:paraId="363B89BA" w14:textId="1327F6B2"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13,291</w:t>
            </w:r>
          </w:p>
        </w:tc>
      </w:tr>
      <w:tr w:rsidR="006859AE" w:rsidRPr="0067297E" w14:paraId="08E509E4" w14:textId="77777777" w:rsidTr="006859AE">
        <w:trPr>
          <w:trHeight w:val="300"/>
        </w:trPr>
        <w:tc>
          <w:tcPr>
            <w:tcW w:w="721" w:type="pct"/>
            <w:vMerge/>
            <w:noWrap/>
            <w:hideMark/>
          </w:tcPr>
          <w:p w14:paraId="4172B426" w14:textId="77777777" w:rsidR="006859AE" w:rsidRPr="0067297E" w:rsidRDefault="006859AE" w:rsidP="006859AE">
            <w:pPr>
              <w:spacing w:before="0" w:after="0"/>
              <w:jc w:val="center"/>
              <w:rPr>
                <w:rFonts w:asciiTheme="minorHAnsi" w:hAnsiTheme="minorHAnsi" w:cs="Calibri"/>
                <w:b/>
                <w:color w:val="000000"/>
                <w:sz w:val="22"/>
                <w:szCs w:val="22"/>
              </w:rPr>
            </w:pPr>
          </w:p>
        </w:tc>
        <w:tc>
          <w:tcPr>
            <w:tcW w:w="1389" w:type="pct"/>
            <w:noWrap/>
            <w:hideMark/>
          </w:tcPr>
          <w:p w14:paraId="6875E9A6" w14:textId="77777777" w:rsidR="006859AE" w:rsidRPr="00894104" w:rsidRDefault="006859AE" w:rsidP="006859AE">
            <w:pPr>
              <w:spacing w:before="0" w:after="0"/>
              <w:rPr>
                <w:rFonts w:asciiTheme="minorHAnsi" w:hAnsiTheme="minorHAnsi" w:cs="Calibri"/>
                <w:b/>
                <w:color w:val="000000"/>
                <w:sz w:val="22"/>
                <w:szCs w:val="22"/>
              </w:rPr>
            </w:pPr>
            <w:r w:rsidRPr="00894104">
              <w:rPr>
                <w:rFonts w:asciiTheme="minorHAnsi" w:hAnsiTheme="minorHAnsi" w:cs="Calibri"/>
                <w:b/>
                <w:color w:val="000000"/>
                <w:sz w:val="22"/>
                <w:szCs w:val="22"/>
              </w:rPr>
              <w:t>Total</w:t>
            </w:r>
          </w:p>
        </w:tc>
        <w:tc>
          <w:tcPr>
            <w:tcW w:w="940" w:type="pct"/>
            <w:noWrap/>
            <w:vAlign w:val="bottom"/>
            <w:hideMark/>
          </w:tcPr>
          <w:p w14:paraId="0E9168F6" w14:textId="7F2FC721"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138,709</w:t>
            </w:r>
          </w:p>
        </w:tc>
        <w:tc>
          <w:tcPr>
            <w:tcW w:w="745" w:type="pct"/>
            <w:noWrap/>
            <w:vAlign w:val="bottom"/>
            <w:hideMark/>
          </w:tcPr>
          <w:p w14:paraId="7B746F2B" w14:textId="66F72D3B"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178,383</w:t>
            </w:r>
          </w:p>
        </w:tc>
        <w:tc>
          <w:tcPr>
            <w:tcW w:w="1205" w:type="pct"/>
            <w:noWrap/>
            <w:vAlign w:val="bottom"/>
            <w:hideMark/>
          </w:tcPr>
          <w:p w14:paraId="3CD9C19A" w14:textId="338F0E2C" w:rsidR="006859AE" w:rsidRPr="00894104" w:rsidRDefault="006859AE" w:rsidP="00425A04">
            <w:pPr>
              <w:spacing w:before="0" w:after="0"/>
              <w:jc w:val="right"/>
              <w:rPr>
                <w:rFonts w:asciiTheme="minorHAnsi" w:hAnsiTheme="minorHAnsi" w:cs="Calibri"/>
                <w:b/>
                <w:color w:val="000000"/>
                <w:sz w:val="22"/>
                <w:szCs w:val="22"/>
              </w:rPr>
            </w:pPr>
            <w:r w:rsidRPr="0015368C">
              <w:rPr>
                <w:b/>
                <w:color w:val="000000"/>
                <w:sz w:val="22"/>
                <w:szCs w:val="22"/>
              </w:rPr>
              <w:t>39,674</w:t>
            </w:r>
          </w:p>
        </w:tc>
      </w:tr>
    </w:tbl>
    <w:p w14:paraId="55B9143E" w14:textId="77777777" w:rsidR="00F6633F" w:rsidRPr="0067297E" w:rsidRDefault="00F6633F" w:rsidP="00FA273F">
      <w:pPr>
        <w:pStyle w:val="Reporttext"/>
        <w:numPr>
          <w:ilvl w:val="0"/>
          <w:numId w:val="0"/>
        </w:numPr>
        <w:ind w:left="709" w:hanging="709"/>
        <w:rPr>
          <w:rFonts w:asciiTheme="minorHAnsi" w:hAnsiTheme="minorHAnsi"/>
          <w:sz w:val="20"/>
        </w:rPr>
      </w:pPr>
      <w:r w:rsidRPr="0067297E">
        <w:rPr>
          <w:rFonts w:asciiTheme="minorHAnsi" w:hAnsiTheme="minorHAnsi"/>
          <w:sz w:val="20"/>
        </w:rPr>
        <w:t xml:space="preserve">Source: DCLG 2014-based household projections (subject to rounding) </w:t>
      </w:r>
    </w:p>
    <w:p w14:paraId="384A7301" w14:textId="77777777" w:rsidR="00F6633F" w:rsidRPr="0067297E" w:rsidRDefault="00F6633F" w:rsidP="00425A04"/>
    <w:p w14:paraId="1B2AB718" w14:textId="1AAD76F3" w:rsidR="00F6633F" w:rsidRPr="0067297E" w:rsidRDefault="000D2A58" w:rsidP="00543A76">
      <w:pPr>
        <w:pStyle w:val="Reporttext"/>
        <w:tabs>
          <w:tab w:val="num" w:pos="1419"/>
        </w:tabs>
        <w:rPr>
          <w:rFonts w:asciiTheme="minorHAnsi" w:hAnsiTheme="minorHAnsi"/>
        </w:rPr>
      </w:pPr>
      <w:r w:rsidRPr="0067297E">
        <w:rPr>
          <w:rFonts w:asciiTheme="minorHAnsi" w:hAnsiTheme="minorHAnsi"/>
        </w:rPr>
        <w:t xml:space="preserve">Table </w:t>
      </w:r>
      <w:r w:rsidR="00B32E87" w:rsidRPr="0067297E">
        <w:rPr>
          <w:rFonts w:asciiTheme="minorHAnsi" w:hAnsiTheme="minorHAnsi"/>
          <w:lang w:val="en-GB"/>
        </w:rPr>
        <w:t>7</w:t>
      </w:r>
      <w:r w:rsidR="00F6633F" w:rsidRPr="0067297E">
        <w:rPr>
          <w:rFonts w:asciiTheme="minorHAnsi" w:hAnsiTheme="minorHAnsi"/>
        </w:rPr>
        <w:t xml:space="preserve">.4 applies the national data on dwelling occupancy to the demographic trends in </w:t>
      </w:r>
      <w:r w:rsidR="009943CC" w:rsidRPr="0067297E">
        <w:rPr>
          <w:rFonts w:asciiTheme="minorHAnsi" w:hAnsiTheme="minorHAnsi"/>
        </w:rPr>
        <w:t>the borough</w:t>
      </w:r>
      <w:r w:rsidR="00F6633F" w:rsidRPr="0067297E">
        <w:rPr>
          <w:rFonts w:asciiTheme="minorHAnsi" w:hAnsiTheme="minorHAnsi"/>
        </w:rPr>
        <w:t>. The two right hand columns indicate the likely change in demand for dwelling sizes and how this translates to an overall percentage change in dwelling requirement. Analysis indicates that th</w:t>
      </w:r>
      <w:r w:rsidR="00BD5090" w:rsidRPr="0067297E">
        <w:rPr>
          <w:rFonts w:asciiTheme="minorHAnsi" w:hAnsiTheme="minorHAnsi"/>
        </w:rPr>
        <w:t>e majority of need will be for 3-bedroom (42.</w:t>
      </w:r>
      <w:r w:rsidR="006859AE">
        <w:rPr>
          <w:rFonts w:asciiTheme="minorHAnsi" w:hAnsiTheme="minorHAnsi"/>
          <w:lang w:val="en-US"/>
        </w:rPr>
        <w:t>3</w:t>
      </w:r>
      <w:r w:rsidR="00BD5090" w:rsidRPr="0067297E">
        <w:rPr>
          <w:rFonts w:asciiTheme="minorHAnsi" w:hAnsiTheme="minorHAnsi"/>
        </w:rPr>
        <w:t>%) and 2-bedroom (2</w:t>
      </w:r>
      <w:r w:rsidR="006859AE">
        <w:rPr>
          <w:rFonts w:asciiTheme="minorHAnsi" w:hAnsiTheme="minorHAnsi"/>
          <w:lang w:val="en-US"/>
        </w:rPr>
        <w:t>6.2%</w:t>
      </w:r>
      <w:r w:rsidR="00BD5090" w:rsidRPr="0067297E">
        <w:rPr>
          <w:rFonts w:asciiTheme="minorHAnsi" w:hAnsiTheme="minorHAnsi"/>
        </w:rPr>
        <w:t>) followed by four bedroom (</w:t>
      </w:r>
      <w:r w:rsidR="006859AE">
        <w:rPr>
          <w:rFonts w:asciiTheme="minorHAnsi" w:hAnsiTheme="minorHAnsi"/>
          <w:lang w:val="en-US"/>
        </w:rPr>
        <w:t>19.4</w:t>
      </w:r>
      <w:r w:rsidR="00F6633F" w:rsidRPr="0067297E">
        <w:rPr>
          <w:rFonts w:asciiTheme="minorHAnsi" w:hAnsiTheme="minorHAnsi"/>
        </w:rPr>
        <w:t xml:space="preserve">%) and </w:t>
      </w:r>
      <w:r w:rsidR="00BD5090" w:rsidRPr="0067297E">
        <w:rPr>
          <w:rFonts w:asciiTheme="minorHAnsi" w:hAnsiTheme="minorHAnsi"/>
        </w:rPr>
        <w:t>1- bedroom dwellings (1</w:t>
      </w:r>
      <w:r w:rsidR="006859AE">
        <w:rPr>
          <w:rFonts w:asciiTheme="minorHAnsi" w:hAnsiTheme="minorHAnsi"/>
          <w:lang w:val="en-US"/>
        </w:rPr>
        <w:t>2.</w:t>
      </w:r>
      <w:r w:rsidR="00BD5090" w:rsidRPr="0067297E">
        <w:rPr>
          <w:rFonts w:asciiTheme="minorHAnsi" w:hAnsiTheme="minorHAnsi"/>
        </w:rPr>
        <w:t>1</w:t>
      </w:r>
      <w:r w:rsidR="00F6633F" w:rsidRPr="0067297E">
        <w:rPr>
          <w:rFonts w:asciiTheme="minorHAnsi" w:hAnsiTheme="minorHAnsi"/>
        </w:rPr>
        <w:t xml:space="preserve">%). </w:t>
      </w:r>
    </w:p>
    <w:p w14:paraId="50BEE35E" w14:textId="77777777" w:rsidR="00F6633F" w:rsidRPr="0067297E" w:rsidRDefault="00F6633F" w:rsidP="00425A04"/>
    <w:tbl>
      <w:tblPr>
        <w:tblStyle w:val="arc4table"/>
        <w:tblW w:w="5000" w:type="pct"/>
        <w:tblLook w:val="04A0" w:firstRow="1" w:lastRow="0" w:firstColumn="1" w:lastColumn="0" w:noHBand="0" w:noVBand="1"/>
        <w:tblCaption w:val="Table 7.4 Impact fo change in households by age group on dwellings occupied 2020-2039"/>
      </w:tblPr>
      <w:tblGrid>
        <w:gridCol w:w="2039"/>
        <w:gridCol w:w="790"/>
        <w:gridCol w:w="805"/>
        <w:gridCol w:w="946"/>
        <w:gridCol w:w="829"/>
        <w:gridCol w:w="946"/>
        <w:gridCol w:w="964"/>
        <w:gridCol w:w="831"/>
        <w:gridCol w:w="1032"/>
      </w:tblGrid>
      <w:tr w:rsidR="00F6633F" w:rsidRPr="0067297E" w14:paraId="24686406" w14:textId="77777777" w:rsidTr="00426BD8">
        <w:trPr>
          <w:cnfStyle w:val="100000000000" w:firstRow="1" w:lastRow="0" w:firstColumn="0" w:lastColumn="0" w:oddVBand="0" w:evenVBand="0" w:oddHBand="0" w:evenHBand="0" w:firstRowFirstColumn="0" w:firstRowLastColumn="0" w:lastRowFirstColumn="0" w:lastRowLastColumn="0"/>
          <w:trHeight w:val="300"/>
          <w:tblHeader/>
        </w:trPr>
        <w:tc>
          <w:tcPr>
            <w:tcW w:w="5000" w:type="pct"/>
            <w:gridSpan w:val="9"/>
            <w:noWrap/>
          </w:tcPr>
          <w:p w14:paraId="46256A36" w14:textId="32B329EF" w:rsidR="00F6633F" w:rsidRPr="0015368C" w:rsidRDefault="000D2A58" w:rsidP="009D0288">
            <w:pPr>
              <w:pStyle w:val="tableheading"/>
              <w:rPr>
                <w:rFonts w:asciiTheme="minorHAnsi" w:hAnsiTheme="minorHAnsi"/>
                <w:b/>
                <w:color w:val="000000"/>
                <w:lang w:val="en-US"/>
              </w:rPr>
            </w:pPr>
            <w:bookmarkStart w:id="429" w:name="_Toc391751397"/>
            <w:bookmarkStart w:id="430" w:name="_Toc397250701"/>
            <w:bookmarkStart w:id="431" w:name="_Toc23151198"/>
            <w:r w:rsidRPr="0067297E">
              <w:rPr>
                <w:rFonts w:asciiTheme="minorHAnsi" w:hAnsiTheme="minorHAnsi"/>
                <w:b/>
              </w:rPr>
              <w:t xml:space="preserve">Table </w:t>
            </w:r>
            <w:r w:rsidR="00B32E87" w:rsidRPr="0067297E">
              <w:rPr>
                <w:rFonts w:asciiTheme="minorHAnsi" w:hAnsiTheme="minorHAnsi"/>
                <w:b/>
                <w:lang w:val="en-GB"/>
              </w:rPr>
              <w:t>7</w:t>
            </w:r>
            <w:r w:rsidR="00F6633F" w:rsidRPr="0067297E">
              <w:rPr>
                <w:rFonts w:asciiTheme="minorHAnsi" w:hAnsiTheme="minorHAnsi"/>
                <w:b/>
              </w:rPr>
              <w:t>.4</w:t>
            </w:r>
            <w:r w:rsidR="00F6633F" w:rsidRPr="0067297E">
              <w:rPr>
                <w:rFonts w:asciiTheme="minorHAnsi" w:hAnsiTheme="minorHAnsi"/>
                <w:b/>
              </w:rPr>
              <w:tab/>
              <w:t>Impact of change in households by age group on dwellings occupied</w:t>
            </w:r>
            <w:bookmarkEnd w:id="429"/>
            <w:bookmarkEnd w:id="430"/>
            <w:r w:rsidR="006859AE">
              <w:rPr>
                <w:rFonts w:asciiTheme="minorHAnsi" w:hAnsiTheme="minorHAnsi"/>
                <w:b/>
                <w:lang w:val="en-US"/>
              </w:rPr>
              <w:t xml:space="preserve"> 2020-2039</w:t>
            </w:r>
            <w:bookmarkEnd w:id="431"/>
          </w:p>
        </w:tc>
      </w:tr>
      <w:tr w:rsidR="00F6633F" w:rsidRPr="0067297E" w14:paraId="3314ED98" w14:textId="77777777" w:rsidTr="006859AE">
        <w:trPr>
          <w:trHeight w:val="300"/>
        </w:trPr>
        <w:tc>
          <w:tcPr>
            <w:tcW w:w="1111" w:type="pct"/>
            <w:vMerge w:val="restart"/>
            <w:shd w:val="clear" w:color="auto" w:fill="009999"/>
            <w:noWrap/>
            <w:hideMark/>
          </w:tcPr>
          <w:p w14:paraId="53D1FBD1" w14:textId="77777777" w:rsidR="00F6633F" w:rsidRPr="0067297E" w:rsidRDefault="00BD5090" w:rsidP="00A96554">
            <w:pPr>
              <w:spacing w:before="0" w:after="0"/>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 xml:space="preserve">Dwelling </w:t>
            </w:r>
            <w:r w:rsidR="00F6633F" w:rsidRPr="0067297E">
              <w:rPr>
                <w:rFonts w:asciiTheme="minorHAnsi" w:hAnsiTheme="minorHAnsi" w:cs="Calibri"/>
                <w:b/>
                <w:bCs/>
                <w:color w:val="FFFFFF" w:themeColor="background1"/>
                <w:sz w:val="22"/>
                <w:szCs w:val="22"/>
              </w:rPr>
              <w:t>size</w:t>
            </w:r>
          </w:p>
        </w:tc>
        <w:tc>
          <w:tcPr>
            <w:tcW w:w="2876" w:type="pct"/>
            <w:gridSpan w:val="6"/>
            <w:shd w:val="clear" w:color="auto" w:fill="009999"/>
            <w:noWrap/>
            <w:hideMark/>
          </w:tcPr>
          <w:p w14:paraId="39B65F43" w14:textId="77777777" w:rsidR="00F6633F" w:rsidRPr="0067297E" w:rsidRDefault="00F6633F" w:rsidP="00FA273F">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Age group of Household Reference Person</w:t>
            </w:r>
          </w:p>
        </w:tc>
        <w:tc>
          <w:tcPr>
            <w:tcW w:w="451" w:type="pct"/>
            <w:vMerge w:val="restart"/>
            <w:shd w:val="clear" w:color="auto" w:fill="009999"/>
            <w:vAlign w:val="bottom"/>
          </w:tcPr>
          <w:p w14:paraId="24715B1E" w14:textId="77777777" w:rsidR="00F6633F" w:rsidRPr="0067297E" w:rsidRDefault="00F6633F" w:rsidP="00A96554">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Total</w:t>
            </w:r>
          </w:p>
        </w:tc>
        <w:tc>
          <w:tcPr>
            <w:tcW w:w="562" w:type="pct"/>
            <w:vMerge w:val="restart"/>
            <w:shd w:val="clear" w:color="auto" w:fill="009999"/>
            <w:vAlign w:val="bottom"/>
          </w:tcPr>
          <w:p w14:paraId="2BC15635" w14:textId="77777777" w:rsidR="00F6633F" w:rsidRPr="0067297E" w:rsidRDefault="00F6633F" w:rsidP="00A04CC5">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 change</w:t>
            </w:r>
          </w:p>
        </w:tc>
      </w:tr>
      <w:tr w:rsidR="00F6633F" w:rsidRPr="0067297E" w14:paraId="23893481" w14:textId="77777777" w:rsidTr="006859AE">
        <w:trPr>
          <w:trHeight w:val="300"/>
        </w:trPr>
        <w:tc>
          <w:tcPr>
            <w:tcW w:w="1111" w:type="pct"/>
            <w:vMerge/>
            <w:shd w:val="clear" w:color="auto" w:fill="009999"/>
            <w:noWrap/>
            <w:hideMark/>
          </w:tcPr>
          <w:p w14:paraId="44EBBEDA" w14:textId="77777777" w:rsidR="00F6633F" w:rsidRPr="0067297E" w:rsidRDefault="00F6633F">
            <w:pPr>
              <w:spacing w:before="0" w:after="0"/>
              <w:rPr>
                <w:rFonts w:asciiTheme="minorHAnsi" w:hAnsiTheme="minorHAnsi" w:cs="Calibri"/>
                <w:bCs/>
                <w:color w:val="FFFFFF" w:themeColor="background1"/>
                <w:sz w:val="22"/>
                <w:szCs w:val="22"/>
              </w:rPr>
            </w:pPr>
          </w:p>
        </w:tc>
        <w:tc>
          <w:tcPr>
            <w:tcW w:w="431" w:type="pct"/>
            <w:shd w:val="clear" w:color="auto" w:fill="009999"/>
            <w:noWrap/>
            <w:hideMark/>
          </w:tcPr>
          <w:p w14:paraId="23059AD9" w14:textId="77777777" w:rsidR="00F6633F" w:rsidRPr="0067297E" w:rsidRDefault="00F6633F">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15-24</w:t>
            </w:r>
          </w:p>
        </w:tc>
        <w:tc>
          <w:tcPr>
            <w:tcW w:w="439" w:type="pct"/>
            <w:shd w:val="clear" w:color="auto" w:fill="009999"/>
            <w:noWrap/>
            <w:hideMark/>
          </w:tcPr>
          <w:p w14:paraId="29122EA8" w14:textId="77777777" w:rsidR="00F6633F" w:rsidRPr="0067297E" w:rsidRDefault="00F6633F">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25-34</w:t>
            </w:r>
          </w:p>
        </w:tc>
        <w:tc>
          <w:tcPr>
            <w:tcW w:w="515" w:type="pct"/>
            <w:shd w:val="clear" w:color="auto" w:fill="009999"/>
            <w:noWrap/>
            <w:hideMark/>
          </w:tcPr>
          <w:p w14:paraId="3994A2DF" w14:textId="77777777" w:rsidR="00F6633F" w:rsidRPr="0067297E" w:rsidRDefault="00F6633F">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35-44</w:t>
            </w:r>
          </w:p>
        </w:tc>
        <w:tc>
          <w:tcPr>
            <w:tcW w:w="451" w:type="pct"/>
            <w:shd w:val="clear" w:color="auto" w:fill="009999"/>
            <w:noWrap/>
            <w:hideMark/>
          </w:tcPr>
          <w:p w14:paraId="16391590" w14:textId="77777777" w:rsidR="00F6633F" w:rsidRPr="0067297E" w:rsidRDefault="00F6633F">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45-59</w:t>
            </w:r>
          </w:p>
        </w:tc>
        <w:tc>
          <w:tcPr>
            <w:tcW w:w="515" w:type="pct"/>
            <w:shd w:val="clear" w:color="auto" w:fill="009999"/>
            <w:noWrap/>
            <w:hideMark/>
          </w:tcPr>
          <w:p w14:paraId="26FCF2E8" w14:textId="77777777" w:rsidR="00F6633F" w:rsidRPr="0067297E" w:rsidRDefault="00F6633F">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60-84</w:t>
            </w:r>
          </w:p>
        </w:tc>
        <w:tc>
          <w:tcPr>
            <w:tcW w:w="525" w:type="pct"/>
            <w:shd w:val="clear" w:color="auto" w:fill="009999"/>
            <w:noWrap/>
            <w:hideMark/>
          </w:tcPr>
          <w:p w14:paraId="50FF6D98" w14:textId="77777777" w:rsidR="00F6633F" w:rsidRPr="0067297E" w:rsidRDefault="00F6633F">
            <w:pPr>
              <w:spacing w:before="0" w:after="0"/>
              <w:jc w:val="center"/>
              <w:rPr>
                <w:rFonts w:asciiTheme="minorHAnsi" w:hAnsiTheme="minorHAnsi" w:cs="Calibri"/>
                <w:bCs/>
                <w:color w:val="FFFFFF" w:themeColor="background1"/>
                <w:sz w:val="22"/>
                <w:szCs w:val="22"/>
              </w:rPr>
            </w:pPr>
            <w:r w:rsidRPr="0067297E">
              <w:rPr>
                <w:rFonts w:asciiTheme="minorHAnsi" w:hAnsiTheme="minorHAnsi" w:cs="Calibri"/>
                <w:bCs/>
                <w:color w:val="FFFFFF" w:themeColor="background1"/>
                <w:sz w:val="22"/>
                <w:szCs w:val="22"/>
              </w:rPr>
              <w:t>85+</w:t>
            </w:r>
          </w:p>
        </w:tc>
        <w:tc>
          <w:tcPr>
            <w:tcW w:w="451" w:type="pct"/>
            <w:vMerge/>
            <w:shd w:val="clear" w:color="auto" w:fill="009999"/>
            <w:noWrap/>
            <w:hideMark/>
          </w:tcPr>
          <w:p w14:paraId="721C4CB6" w14:textId="77777777" w:rsidR="00F6633F" w:rsidRPr="0067297E" w:rsidRDefault="00F6633F">
            <w:pPr>
              <w:spacing w:before="0" w:after="0"/>
              <w:jc w:val="center"/>
              <w:rPr>
                <w:rFonts w:asciiTheme="minorHAnsi" w:hAnsiTheme="minorHAnsi" w:cs="Calibri"/>
                <w:bCs/>
                <w:color w:val="FFFFFF" w:themeColor="background1"/>
                <w:sz w:val="22"/>
                <w:szCs w:val="22"/>
              </w:rPr>
            </w:pPr>
          </w:p>
        </w:tc>
        <w:tc>
          <w:tcPr>
            <w:tcW w:w="562" w:type="pct"/>
            <w:vMerge/>
            <w:shd w:val="clear" w:color="auto" w:fill="009999"/>
            <w:noWrap/>
            <w:hideMark/>
          </w:tcPr>
          <w:p w14:paraId="42B7E2EB" w14:textId="77777777" w:rsidR="00F6633F" w:rsidRPr="0067297E" w:rsidRDefault="00F6633F">
            <w:pPr>
              <w:spacing w:before="0" w:after="0"/>
              <w:jc w:val="center"/>
              <w:rPr>
                <w:rFonts w:asciiTheme="minorHAnsi" w:hAnsiTheme="minorHAnsi" w:cs="Calibri"/>
                <w:bCs/>
                <w:color w:val="FFFFFF" w:themeColor="background1"/>
                <w:sz w:val="22"/>
                <w:szCs w:val="22"/>
              </w:rPr>
            </w:pPr>
          </w:p>
        </w:tc>
      </w:tr>
      <w:tr w:rsidR="006859AE" w:rsidRPr="0067297E" w14:paraId="2B3FA5A8" w14:textId="77777777" w:rsidTr="006859AE">
        <w:trPr>
          <w:trHeight w:val="300"/>
        </w:trPr>
        <w:tc>
          <w:tcPr>
            <w:tcW w:w="1111" w:type="pct"/>
            <w:noWrap/>
            <w:hideMark/>
          </w:tcPr>
          <w:p w14:paraId="61AFF840" w14:textId="77777777" w:rsidR="006859AE" w:rsidRPr="0067297E" w:rsidRDefault="006859AE" w:rsidP="006859AE">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1</w:t>
            </w:r>
          </w:p>
        </w:tc>
        <w:tc>
          <w:tcPr>
            <w:tcW w:w="431" w:type="pct"/>
            <w:noWrap/>
            <w:vAlign w:val="bottom"/>
            <w:hideMark/>
          </w:tcPr>
          <w:p w14:paraId="36D3A2B7" w14:textId="0BB9081F"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82</w:t>
            </w:r>
          </w:p>
        </w:tc>
        <w:tc>
          <w:tcPr>
            <w:tcW w:w="439" w:type="pct"/>
            <w:noWrap/>
            <w:vAlign w:val="bottom"/>
            <w:hideMark/>
          </w:tcPr>
          <w:p w14:paraId="70161CCC" w14:textId="54793772"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-267</w:t>
            </w:r>
          </w:p>
        </w:tc>
        <w:tc>
          <w:tcPr>
            <w:tcW w:w="515" w:type="pct"/>
            <w:noWrap/>
            <w:vAlign w:val="bottom"/>
            <w:hideMark/>
          </w:tcPr>
          <w:p w14:paraId="1B5BA18B" w14:textId="4950F45E"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-37</w:t>
            </w:r>
          </w:p>
        </w:tc>
        <w:tc>
          <w:tcPr>
            <w:tcW w:w="451" w:type="pct"/>
            <w:noWrap/>
            <w:vAlign w:val="bottom"/>
            <w:hideMark/>
          </w:tcPr>
          <w:p w14:paraId="25510679" w14:textId="41BB9FD4"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1,582</w:t>
            </w:r>
          </w:p>
        </w:tc>
        <w:tc>
          <w:tcPr>
            <w:tcW w:w="515" w:type="pct"/>
            <w:noWrap/>
            <w:vAlign w:val="bottom"/>
            <w:hideMark/>
          </w:tcPr>
          <w:p w14:paraId="3072138B" w14:textId="55EF4E26"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2,900</w:t>
            </w:r>
          </w:p>
        </w:tc>
        <w:tc>
          <w:tcPr>
            <w:tcW w:w="525" w:type="pct"/>
            <w:noWrap/>
            <w:vAlign w:val="bottom"/>
            <w:hideMark/>
          </w:tcPr>
          <w:p w14:paraId="23648F31" w14:textId="5895E23E"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546</w:t>
            </w:r>
          </w:p>
        </w:tc>
        <w:tc>
          <w:tcPr>
            <w:tcW w:w="451" w:type="pct"/>
            <w:noWrap/>
            <w:vAlign w:val="bottom"/>
            <w:hideMark/>
          </w:tcPr>
          <w:p w14:paraId="63D62084" w14:textId="09154795" w:rsidR="006859AE" w:rsidRPr="0015368C" w:rsidRDefault="006859AE" w:rsidP="00425A04">
            <w:pPr>
              <w:spacing w:before="0" w:after="0"/>
              <w:jc w:val="right"/>
              <w:rPr>
                <w:rFonts w:asciiTheme="minorHAnsi" w:hAnsiTheme="minorHAnsi" w:cs="Calibri"/>
                <w:b/>
                <w:bCs/>
                <w:color w:val="000000"/>
                <w:sz w:val="22"/>
                <w:szCs w:val="22"/>
              </w:rPr>
            </w:pPr>
            <w:r w:rsidRPr="0015368C">
              <w:rPr>
                <w:b/>
                <w:bCs/>
                <w:color w:val="000000"/>
                <w:sz w:val="22"/>
                <w:szCs w:val="22"/>
              </w:rPr>
              <w:t>4,805</w:t>
            </w:r>
          </w:p>
        </w:tc>
        <w:tc>
          <w:tcPr>
            <w:tcW w:w="562" w:type="pct"/>
            <w:noWrap/>
            <w:vAlign w:val="bottom"/>
            <w:hideMark/>
          </w:tcPr>
          <w:p w14:paraId="28AA605D" w14:textId="1067D78E" w:rsidR="006859AE" w:rsidRPr="0015368C" w:rsidRDefault="006859AE" w:rsidP="00425A04">
            <w:pPr>
              <w:spacing w:before="0" w:after="0"/>
              <w:jc w:val="right"/>
              <w:rPr>
                <w:rFonts w:asciiTheme="minorHAnsi" w:hAnsiTheme="minorHAnsi" w:cs="Calibri"/>
                <w:b/>
                <w:bCs/>
                <w:color w:val="000000"/>
                <w:sz w:val="22"/>
                <w:szCs w:val="22"/>
              </w:rPr>
            </w:pPr>
            <w:r w:rsidRPr="0015368C">
              <w:rPr>
                <w:b/>
                <w:bCs/>
                <w:color w:val="000000"/>
                <w:sz w:val="22"/>
                <w:szCs w:val="22"/>
              </w:rPr>
              <w:t>12.1</w:t>
            </w:r>
          </w:p>
        </w:tc>
      </w:tr>
      <w:tr w:rsidR="006859AE" w:rsidRPr="0067297E" w14:paraId="01270FE2" w14:textId="77777777" w:rsidTr="006859AE">
        <w:trPr>
          <w:trHeight w:val="300"/>
        </w:trPr>
        <w:tc>
          <w:tcPr>
            <w:tcW w:w="1111" w:type="pct"/>
            <w:noWrap/>
            <w:hideMark/>
          </w:tcPr>
          <w:p w14:paraId="43C2D7A7" w14:textId="77777777" w:rsidR="006859AE" w:rsidRPr="0067297E" w:rsidRDefault="006859AE" w:rsidP="006859AE">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2</w:t>
            </w:r>
          </w:p>
        </w:tc>
        <w:tc>
          <w:tcPr>
            <w:tcW w:w="431" w:type="pct"/>
            <w:noWrap/>
            <w:vAlign w:val="bottom"/>
            <w:hideMark/>
          </w:tcPr>
          <w:p w14:paraId="24D7EF4C" w14:textId="7AC50D71"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157</w:t>
            </w:r>
          </w:p>
        </w:tc>
        <w:tc>
          <w:tcPr>
            <w:tcW w:w="439" w:type="pct"/>
            <w:noWrap/>
            <w:vAlign w:val="bottom"/>
            <w:hideMark/>
          </w:tcPr>
          <w:p w14:paraId="0B03F0FB" w14:textId="74A1A45B"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-830</w:t>
            </w:r>
          </w:p>
        </w:tc>
        <w:tc>
          <w:tcPr>
            <w:tcW w:w="515" w:type="pct"/>
            <w:noWrap/>
            <w:vAlign w:val="bottom"/>
            <w:hideMark/>
          </w:tcPr>
          <w:p w14:paraId="314093C4" w14:textId="782B1E15"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-109</w:t>
            </w:r>
          </w:p>
        </w:tc>
        <w:tc>
          <w:tcPr>
            <w:tcW w:w="451" w:type="pct"/>
            <w:noWrap/>
            <w:vAlign w:val="bottom"/>
            <w:hideMark/>
          </w:tcPr>
          <w:p w14:paraId="1571A417" w14:textId="292E028B"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4,097</w:t>
            </w:r>
          </w:p>
        </w:tc>
        <w:tc>
          <w:tcPr>
            <w:tcW w:w="515" w:type="pct"/>
            <w:noWrap/>
            <w:vAlign w:val="bottom"/>
            <w:hideMark/>
          </w:tcPr>
          <w:p w14:paraId="43B0D0AF" w14:textId="65244C29"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6,145</w:t>
            </w:r>
          </w:p>
        </w:tc>
        <w:tc>
          <w:tcPr>
            <w:tcW w:w="525" w:type="pct"/>
            <w:noWrap/>
            <w:vAlign w:val="bottom"/>
            <w:hideMark/>
          </w:tcPr>
          <w:p w14:paraId="7142AA9B" w14:textId="3C8AAD8B"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936</w:t>
            </w:r>
          </w:p>
        </w:tc>
        <w:tc>
          <w:tcPr>
            <w:tcW w:w="451" w:type="pct"/>
            <w:noWrap/>
            <w:vAlign w:val="bottom"/>
            <w:hideMark/>
          </w:tcPr>
          <w:p w14:paraId="2597DEC4" w14:textId="7032A909" w:rsidR="006859AE" w:rsidRPr="0015368C" w:rsidRDefault="006859AE" w:rsidP="00425A04">
            <w:pPr>
              <w:spacing w:before="0" w:after="0"/>
              <w:jc w:val="right"/>
              <w:rPr>
                <w:rFonts w:asciiTheme="minorHAnsi" w:hAnsiTheme="minorHAnsi" w:cs="Calibri"/>
                <w:b/>
                <w:bCs/>
                <w:color w:val="000000"/>
                <w:sz w:val="22"/>
                <w:szCs w:val="22"/>
              </w:rPr>
            </w:pPr>
            <w:r w:rsidRPr="0015368C">
              <w:rPr>
                <w:b/>
                <w:bCs/>
                <w:color w:val="000000"/>
                <w:sz w:val="22"/>
                <w:szCs w:val="22"/>
              </w:rPr>
              <w:t>10,396</w:t>
            </w:r>
          </w:p>
        </w:tc>
        <w:tc>
          <w:tcPr>
            <w:tcW w:w="562" w:type="pct"/>
            <w:noWrap/>
            <w:vAlign w:val="bottom"/>
            <w:hideMark/>
          </w:tcPr>
          <w:p w14:paraId="4E49D2C1" w14:textId="628BC42A" w:rsidR="006859AE" w:rsidRPr="0015368C" w:rsidRDefault="006859AE" w:rsidP="00425A04">
            <w:pPr>
              <w:spacing w:before="0" w:after="0"/>
              <w:jc w:val="right"/>
              <w:rPr>
                <w:rFonts w:asciiTheme="minorHAnsi" w:hAnsiTheme="minorHAnsi" w:cs="Calibri"/>
                <w:b/>
                <w:bCs/>
                <w:color w:val="000000"/>
                <w:sz w:val="22"/>
                <w:szCs w:val="22"/>
              </w:rPr>
            </w:pPr>
            <w:r w:rsidRPr="0015368C">
              <w:rPr>
                <w:b/>
                <w:bCs/>
                <w:color w:val="000000"/>
                <w:sz w:val="22"/>
                <w:szCs w:val="22"/>
              </w:rPr>
              <w:t>26.2</w:t>
            </w:r>
          </w:p>
        </w:tc>
      </w:tr>
      <w:tr w:rsidR="006859AE" w:rsidRPr="0067297E" w14:paraId="4C3EB50D" w14:textId="77777777" w:rsidTr="006859AE">
        <w:trPr>
          <w:trHeight w:val="300"/>
        </w:trPr>
        <w:tc>
          <w:tcPr>
            <w:tcW w:w="1111" w:type="pct"/>
            <w:noWrap/>
            <w:hideMark/>
          </w:tcPr>
          <w:p w14:paraId="5298F571" w14:textId="77777777" w:rsidR="006859AE" w:rsidRPr="0067297E" w:rsidRDefault="006859AE" w:rsidP="006859AE">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3</w:t>
            </w:r>
          </w:p>
        </w:tc>
        <w:tc>
          <w:tcPr>
            <w:tcW w:w="431" w:type="pct"/>
            <w:noWrap/>
            <w:vAlign w:val="bottom"/>
            <w:hideMark/>
          </w:tcPr>
          <w:p w14:paraId="510CCD90" w14:textId="26F16FE0"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69</w:t>
            </w:r>
          </w:p>
        </w:tc>
        <w:tc>
          <w:tcPr>
            <w:tcW w:w="439" w:type="pct"/>
            <w:noWrap/>
            <w:vAlign w:val="bottom"/>
            <w:hideMark/>
          </w:tcPr>
          <w:p w14:paraId="7336E6A0" w14:textId="175DBE71"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-894</w:t>
            </w:r>
          </w:p>
        </w:tc>
        <w:tc>
          <w:tcPr>
            <w:tcW w:w="515" w:type="pct"/>
            <w:noWrap/>
            <w:vAlign w:val="bottom"/>
            <w:hideMark/>
          </w:tcPr>
          <w:p w14:paraId="1C3A75BF" w14:textId="025FB545"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-188</w:t>
            </w:r>
          </w:p>
        </w:tc>
        <w:tc>
          <w:tcPr>
            <w:tcW w:w="451" w:type="pct"/>
            <w:noWrap/>
            <w:vAlign w:val="bottom"/>
            <w:hideMark/>
          </w:tcPr>
          <w:p w14:paraId="09C3F057" w14:textId="2CB9BEBB"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7,099</w:t>
            </w:r>
          </w:p>
        </w:tc>
        <w:tc>
          <w:tcPr>
            <w:tcW w:w="515" w:type="pct"/>
            <w:noWrap/>
            <w:vAlign w:val="bottom"/>
            <w:hideMark/>
          </w:tcPr>
          <w:p w14:paraId="3CE7E5D0" w14:textId="6CD6DB48"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9,824</w:t>
            </w:r>
          </w:p>
        </w:tc>
        <w:tc>
          <w:tcPr>
            <w:tcW w:w="525" w:type="pct"/>
            <w:noWrap/>
            <w:vAlign w:val="bottom"/>
            <w:hideMark/>
          </w:tcPr>
          <w:p w14:paraId="27683CD9" w14:textId="09A757B7"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877</w:t>
            </w:r>
          </w:p>
        </w:tc>
        <w:tc>
          <w:tcPr>
            <w:tcW w:w="451" w:type="pct"/>
            <w:noWrap/>
            <w:vAlign w:val="bottom"/>
            <w:hideMark/>
          </w:tcPr>
          <w:p w14:paraId="64F313F7" w14:textId="73DCB303" w:rsidR="006859AE" w:rsidRPr="0015368C" w:rsidRDefault="006859AE" w:rsidP="00425A04">
            <w:pPr>
              <w:spacing w:before="0" w:after="0"/>
              <w:jc w:val="right"/>
              <w:rPr>
                <w:rFonts w:asciiTheme="minorHAnsi" w:hAnsiTheme="minorHAnsi" w:cs="Calibri"/>
                <w:b/>
                <w:bCs/>
                <w:color w:val="000000"/>
                <w:sz w:val="22"/>
                <w:szCs w:val="22"/>
              </w:rPr>
            </w:pPr>
            <w:r w:rsidRPr="0015368C">
              <w:rPr>
                <w:b/>
                <w:bCs/>
                <w:color w:val="000000"/>
                <w:sz w:val="22"/>
                <w:szCs w:val="22"/>
              </w:rPr>
              <w:t>16,788</w:t>
            </w:r>
          </w:p>
        </w:tc>
        <w:tc>
          <w:tcPr>
            <w:tcW w:w="562" w:type="pct"/>
            <w:noWrap/>
            <w:vAlign w:val="bottom"/>
            <w:hideMark/>
          </w:tcPr>
          <w:p w14:paraId="5C51E157" w14:textId="74CC6862" w:rsidR="006859AE" w:rsidRPr="0015368C" w:rsidRDefault="006859AE" w:rsidP="00425A04">
            <w:pPr>
              <w:spacing w:before="0" w:after="0"/>
              <w:jc w:val="right"/>
              <w:rPr>
                <w:rFonts w:asciiTheme="minorHAnsi" w:hAnsiTheme="minorHAnsi" w:cs="Calibri"/>
                <w:b/>
                <w:bCs/>
                <w:color w:val="000000"/>
                <w:sz w:val="22"/>
                <w:szCs w:val="22"/>
              </w:rPr>
            </w:pPr>
            <w:r w:rsidRPr="0015368C">
              <w:rPr>
                <w:b/>
                <w:bCs/>
                <w:color w:val="000000"/>
                <w:sz w:val="22"/>
                <w:szCs w:val="22"/>
              </w:rPr>
              <w:t>42.3</w:t>
            </w:r>
          </w:p>
        </w:tc>
      </w:tr>
      <w:tr w:rsidR="006859AE" w:rsidRPr="0067297E" w14:paraId="60BE5652" w14:textId="77777777" w:rsidTr="006859AE">
        <w:trPr>
          <w:trHeight w:val="300"/>
        </w:trPr>
        <w:tc>
          <w:tcPr>
            <w:tcW w:w="1111" w:type="pct"/>
            <w:noWrap/>
            <w:hideMark/>
          </w:tcPr>
          <w:p w14:paraId="1CB48386" w14:textId="77777777" w:rsidR="006859AE" w:rsidRPr="0067297E" w:rsidRDefault="006859AE" w:rsidP="006859AE">
            <w:pPr>
              <w:spacing w:before="0" w:after="0"/>
              <w:jc w:val="center"/>
              <w:rPr>
                <w:rFonts w:asciiTheme="minorHAnsi" w:hAnsiTheme="minorHAnsi" w:cs="Calibri"/>
                <w:color w:val="000000"/>
                <w:sz w:val="22"/>
                <w:szCs w:val="22"/>
              </w:rPr>
            </w:pPr>
            <w:r w:rsidRPr="0067297E">
              <w:rPr>
                <w:rFonts w:asciiTheme="minorHAnsi" w:hAnsiTheme="minorHAnsi" w:cs="Calibri"/>
                <w:color w:val="000000"/>
                <w:sz w:val="22"/>
                <w:szCs w:val="22"/>
              </w:rPr>
              <w:t>4 or more</w:t>
            </w:r>
          </w:p>
        </w:tc>
        <w:tc>
          <w:tcPr>
            <w:tcW w:w="431" w:type="pct"/>
            <w:noWrap/>
            <w:vAlign w:val="bottom"/>
            <w:hideMark/>
          </w:tcPr>
          <w:p w14:paraId="54267050" w14:textId="60CD5FD3"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45</w:t>
            </w:r>
          </w:p>
        </w:tc>
        <w:tc>
          <w:tcPr>
            <w:tcW w:w="439" w:type="pct"/>
            <w:noWrap/>
            <w:vAlign w:val="bottom"/>
            <w:hideMark/>
          </w:tcPr>
          <w:p w14:paraId="61AF9596" w14:textId="41E214F8"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-211</w:t>
            </w:r>
          </w:p>
        </w:tc>
        <w:tc>
          <w:tcPr>
            <w:tcW w:w="515" w:type="pct"/>
            <w:noWrap/>
            <w:vAlign w:val="bottom"/>
            <w:hideMark/>
          </w:tcPr>
          <w:p w14:paraId="280A843E" w14:textId="194B367A"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-108</w:t>
            </w:r>
          </w:p>
        </w:tc>
        <w:tc>
          <w:tcPr>
            <w:tcW w:w="451" w:type="pct"/>
            <w:noWrap/>
            <w:vAlign w:val="bottom"/>
            <w:hideMark/>
          </w:tcPr>
          <w:p w14:paraId="368015D1" w14:textId="7575ABA0"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4,090</w:t>
            </w:r>
          </w:p>
        </w:tc>
        <w:tc>
          <w:tcPr>
            <w:tcW w:w="515" w:type="pct"/>
            <w:noWrap/>
            <w:vAlign w:val="bottom"/>
            <w:hideMark/>
          </w:tcPr>
          <w:p w14:paraId="6AD1BDDA" w14:textId="3E461A01"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3,699</w:t>
            </w:r>
          </w:p>
        </w:tc>
        <w:tc>
          <w:tcPr>
            <w:tcW w:w="525" w:type="pct"/>
            <w:noWrap/>
            <w:vAlign w:val="bottom"/>
            <w:hideMark/>
          </w:tcPr>
          <w:p w14:paraId="0B6D469D" w14:textId="22605C07"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169</w:t>
            </w:r>
          </w:p>
        </w:tc>
        <w:tc>
          <w:tcPr>
            <w:tcW w:w="451" w:type="pct"/>
            <w:noWrap/>
            <w:vAlign w:val="bottom"/>
            <w:hideMark/>
          </w:tcPr>
          <w:p w14:paraId="7A3AB698" w14:textId="65B72CD7" w:rsidR="006859AE" w:rsidRPr="0015368C" w:rsidRDefault="006859AE" w:rsidP="00425A04">
            <w:pPr>
              <w:spacing w:before="0" w:after="0"/>
              <w:jc w:val="right"/>
              <w:rPr>
                <w:rFonts w:asciiTheme="minorHAnsi" w:hAnsiTheme="minorHAnsi" w:cs="Calibri"/>
                <w:b/>
                <w:bCs/>
                <w:color w:val="000000"/>
                <w:sz w:val="22"/>
                <w:szCs w:val="22"/>
              </w:rPr>
            </w:pPr>
            <w:r w:rsidRPr="0015368C">
              <w:rPr>
                <w:b/>
                <w:bCs/>
                <w:color w:val="000000"/>
                <w:sz w:val="22"/>
                <w:szCs w:val="22"/>
              </w:rPr>
              <w:t>7,684</w:t>
            </w:r>
          </w:p>
        </w:tc>
        <w:tc>
          <w:tcPr>
            <w:tcW w:w="562" w:type="pct"/>
            <w:noWrap/>
            <w:vAlign w:val="bottom"/>
            <w:hideMark/>
          </w:tcPr>
          <w:p w14:paraId="397BE2F3" w14:textId="3F402C11" w:rsidR="006859AE" w:rsidRPr="0015368C" w:rsidRDefault="006859AE" w:rsidP="00425A04">
            <w:pPr>
              <w:spacing w:before="0" w:after="0"/>
              <w:jc w:val="right"/>
              <w:rPr>
                <w:rFonts w:asciiTheme="minorHAnsi" w:hAnsiTheme="minorHAnsi" w:cs="Calibri"/>
                <w:b/>
                <w:bCs/>
                <w:color w:val="000000"/>
                <w:sz w:val="22"/>
                <w:szCs w:val="22"/>
              </w:rPr>
            </w:pPr>
            <w:r w:rsidRPr="0015368C">
              <w:rPr>
                <w:b/>
                <w:bCs/>
                <w:color w:val="000000"/>
                <w:sz w:val="22"/>
                <w:szCs w:val="22"/>
              </w:rPr>
              <w:t>19.4</w:t>
            </w:r>
          </w:p>
        </w:tc>
      </w:tr>
      <w:tr w:rsidR="006859AE" w:rsidRPr="0067297E" w14:paraId="3690F54E" w14:textId="77777777" w:rsidTr="006859AE">
        <w:trPr>
          <w:trHeight w:val="300"/>
        </w:trPr>
        <w:tc>
          <w:tcPr>
            <w:tcW w:w="1111" w:type="pct"/>
            <w:noWrap/>
            <w:hideMark/>
          </w:tcPr>
          <w:p w14:paraId="01028406" w14:textId="77777777" w:rsidR="006859AE" w:rsidRPr="0067297E" w:rsidRDefault="006859AE" w:rsidP="00425A04">
            <w:pPr>
              <w:spacing w:before="0" w:after="0"/>
              <w:jc w:val="center"/>
              <w:rPr>
                <w:rFonts w:asciiTheme="minorHAnsi" w:hAnsiTheme="minorHAnsi" w:cs="Calibri"/>
                <w:b/>
                <w:color w:val="000000"/>
                <w:sz w:val="22"/>
                <w:szCs w:val="22"/>
              </w:rPr>
            </w:pPr>
            <w:r w:rsidRPr="0067297E">
              <w:rPr>
                <w:rFonts w:asciiTheme="minorHAnsi" w:hAnsiTheme="minorHAnsi" w:cs="Calibri"/>
                <w:b/>
                <w:color w:val="000000"/>
                <w:sz w:val="22"/>
                <w:szCs w:val="22"/>
              </w:rPr>
              <w:t>Total</w:t>
            </w:r>
          </w:p>
        </w:tc>
        <w:tc>
          <w:tcPr>
            <w:tcW w:w="431" w:type="pct"/>
            <w:noWrap/>
            <w:vAlign w:val="bottom"/>
            <w:hideMark/>
          </w:tcPr>
          <w:p w14:paraId="588F93CC" w14:textId="1BE75A99"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353</w:t>
            </w:r>
          </w:p>
        </w:tc>
        <w:tc>
          <w:tcPr>
            <w:tcW w:w="439" w:type="pct"/>
            <w:noWrap/>
            <w:vAlign w:val="bottom"/>
            <w:hideMark/>
          </w:tcPr>
          <w:p w14:paraId="1725ED1A" w14:textId="158B71EE"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-2,202</w:t>
            </w:r>
          </w:p>
        </w:tc>
        <w:tc>
          <w:tcPr>
            <w:tcW w:w="515" w:type="pct"/>
            <w:noWrap/>
            <w:vAlign w:val="bottom"/>
            <w:hideMark/>
          </w:tcPr>
          <w:p w14:paraId="2505C448" w14:textId="219E82D7"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-442</w:t>
            </w:r>
          </w:p>
        </w:tc>
        <w:tc>
          <w:tcPr>
            <w:tcW w:w="451" w:type="pct"/>
            <w:noWrap/>
            <w:vAlign w:val="bottom"/>
            <w:hideMark/>
          </w:tcPr>
          <w:p w14:paraId="6947BCB8" w14:textId="590E419A"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16,868</w:t>
            </w:r>
          </w:p>
        </w:tc>
        <w:tc>
          <w:tcPr>
            <w:tcW w:w="515" w:type="pct"/>
            <w:noWrap/>
            <w:vAlign w:val="bottom"/>
            <w:hideMark/>
          </w:tcPr>
          <w:p w14:paraId="001FD263" w14:textId="41B8C2F8" w:rsidR="006859AE" w:rsidRPr="0015368C" w:rsidRDefault="006859AE" w:rsidP="00425A04">
            <w:pPr>
              <w:spacing w:before="0" w:after="0"/>
              <w:jc w:val="right"/>
              <w:rPr>
                <w:rFonts w:asciiTheme="minorHAnsi" w:hAnsiTheme="minorHAnsi" w:cs="Calibri"/>
                <w:color w:val="000000"/>
                <w:sz w:val="22"/>
                <w:szCs w:val="22"/>
              </w:rPr>
            </w:pPr>
            <w:r w:rsidRPr="0015368C">
              <w:rPr>
                <w:color w:val="000000"/>
                <w:sz w:val="22"/>
                <w:szCs w:val="22"/>
              </w:rPr>
              <w:t>22,568</w:t>
            </w:r>
          </w:p>
        </w:tc>
        <w:tc>
          <w:tcPr>
            <w:tcW w:w="525" w:type="pct"/>
            <w:noWrap/>
            <w:vAlign w:val="bottom"/>
            <w:hideMark/>
          </w:tcPr>
          <w:p w14:paraId="5FD6D6E3" w14:textId="681C8B58" w:rsidR="006859AE" w:rsidRPr="00894104" w:rsidRDefault="006859AE" w:rsidP="00425A04">
            <w:pPr>
              <w:spacing w:before="0" w:after="0"/>
              <w:jc w:val="right"/>
              <w:rPr>
                <w:rFonts w:asciiTheme="minorHAnsi" w:hAnsiTheme="minorHAnsi" w:cs="Calibri"/>
                <w:color w:val="000000"/>
                <w:sz w:val="22"/>
                <w:szCs w:val="22"/>
              </w:rPr>
            </w:pPr>
            <w:r w:rsidRPr="0015368C">
              <w:rPr>
                <w:color w:val="000000"/>
                <w:sz w:val="22"/>
                <w:szCs w:val="22"/>
              </w:rPr>
              <w:t>2,528</w:t>
            </w:r>
          </w:p>
        </w:tc>
        <w:tc>
          <w:tcPr>
            <w:tcW w:w="451" w:type="pct"/>
            <w:noWrap/>
            <w:vAlign w:val="bottom"/>
            <w:hideMark/>
          </w:tcPr>
          <w:p w14:paraId="4FFEA1C6" w14:textId="58B9EAF4" w:rsidR="006859AE" w:rsidRPr="0015368C" w:rsidRDefault="006859AE" w:rsidP="00425A04">
            <w:pPr>
              <w:spacing w:before="0" w:after="0"/>
              <w:jc w:val="right"/>
              <w:rPr>
                <w:rFonts w:asciiTheme="minorHAnsi" w:hAnsiTheme="minorHAnsi" w:cs="Calibri"/>
                <w:b/>
                <w:bCs/>
                <w:color w:val="000000"/>
                <w:sz w:val="22"/>
                <w:szCs w:val="22"/>
              </w:rPr>
            </w:pPr>
            <w:r w:rsidRPr="0015368C">
              <w:rPr>
                <w:b/>
                <w:bCs/>
                <w:color w:val="000000"/>
                <w:sz w:val="22"/>
                <w:szCs w:val="22"/>
              </w:rPr>
              <w:t>39,673</w:t>
            </w:r>
          </w:p>
        </w:tc>
        <w:tc>
          <w:tcPr>
            <w:tcW w:w="562" w:type="pct"/>
            <w:noWrap/>
            <w:vAlign w:val="bottom"/>
            <w:hideMark/>
          </w:tcPr>
          <w:p w14:paraId="769112F3" w14:textId="6F777D90" w:rsidR="006859AE" w:rsidRPr="0015368C" w:rsidRDefault="006859AE" w:rsidP="00425A04">
            <w:pPr>
              <w:spacing w:before="0" w:after="0"/>
              <w:jc w:val="right"/>
              <w:rPr>
                <w:rFonts w:asciiTheme="minorHAnsi" w:hAnsiTheme="minorHAnsi" w:cs="Calibri"/>
                <w:b/>
                <w:bCs/>
                <w:color w:val="000000"/>
                <w:sz w:val="22"/>
                <w:szCs w:val="22"/>
              </w:rPr>
            </w:pPr>
            <w:r w:rsidRPr="0015368C">
              <w:rPr>
                <w:b/>
                <w:bCs/>
                <w:color w:val="000000"/>
                <w:sz w:val="22"/>
                <w:szCs w:val="22"/>
              </w:rPr>
              <w:t>100.0</w:t>
            </w:r>
          </w:p>
        </w:tc>
      </w:tr>
    </w:tbl>
    <w:p w14:paraId="721F8314" w14:textId="77777777" w:rsidR="00F6633F" w:rsidRPr="0067297E" w:rsidRDefault="00F6633F" w:rsidP="00543A76">
      <w:pPr>
        <w:rPr>
          <w:rFonts w:asciiTheme="minorHAnsi" w:hAnsiTheme="minorHAnsi"/>
          <w:sz w:val="22"/>
        </w:rPr>
      </w:pPr>
      <w:r w:rsidRPr="0067297E">
        <w:rPr>
          <w:rFonts w:asciiTheme="minorHAnsi" w:hAnsiTheme="minorHAnsi"/>
          <w:sz w:val="22"/>
        </w:rPr>
        <w:t>Note totals by age group may vary slightly due to rounding errors</w:t>
      </w:r>
    </w:p>
    <w:p w14:paraId="3DF49CFD" w14:textId="77777777" w:rsidR="00F6633F" w:rsidRPr="0067297E" w:rsidRDefault="00F6633F" w:rsidP="00FA273F">
      <w:pPr>
        <w:pStyle w:val="Reporttext"/>
        <w:numPr>
          <w:ilvl w:val="0"/>
          <w:numId w:val="0"/>
        </w:numPr>
        <w:ind w:left="709" w:hanging="709"/>
        <w:rPr>
          <w:rFonts w:asciiTheme="minorHAnsi" w:hAnsiTheme="minorHAnsi"/>
          <w:sz w:val="22"/>
        </w:rPr>
      </w:pPr>
      <w:r w:rsidRPr="0067297E">
        <w:rPr>
          <w:rFonts w:asciiTheme="minorHAnsi" w:hAnsiTheme="minorHAnsi"/>
          <w:sz w:val="22"/>
        </w:rPr>
        <w:t>Source: DCLG 2014-based household projections and arc</w:t>
      </w:r>
      <w:r w:rsidRPr="0067297E">
        <w:rPr>
          <w:rFonts w:asciiTheme="minorHAnsi" w:hAnsiTheme="minorHAnsi"/>
          <w:sz w:val="22"/>
          <w:vertAlign w:val="superscript"/>
        </w:rPr>
        <w:t>4</w:t>
      </w:r>
      <w:r w:rsidRPr="0067297E">
        <w:rPr>
          <w:rFonts w:asciiTheme="minorHAnsi" w:hAnsiTheme="minorHAnsi"/>
          <w:sz w:val="22"/>
        </w:rPr>
        <w:t xml:space="preserve"> survey data</w:t>
      </w:r>
    </w:p>
    <w:p w14:paraId="6C376029" w14:textId="77777777" w:rsidR="0013293D" w:rsidRPr="0067297E" w:rsidRDefault="0013293D" w:rsidP="00425A04"/>
    <w:p w14:paraId="30420B88" w14:textId="77777777" w:rsidR="00425A04" w:rsidRDefault="00425A04">
      <w:pPr>
        <w:rPr>
          <w:rFonts w:asciiTheme="minorHAnsi" w:hAnsiTheme="minorHAnsi"/>
          <w:lang w:val="x-none"/>
        </w:rPr>
      </w:pPr>
      <w:r>
        <w:rPr>
          <w:rFonts w:asciiTheme="minorHAnsi" w:hAnsiTheme="minorHAnsi"/>
        </w:rPr>
        <w:br w:type="page"/>
      </w:r>
    </w:p>
    <w:p w14:paraId="23710553" w14:textId="7A447B7B" w:rsidR="00F6633F" w:rsidRPr="0067297E" w:rsidRDefault="00F6633F" w:rsidP="00543A76">
      <w:pPr>
        <w:pStyle w:val="Reporttext"/>
        <w:tabs>
          <w:tab w:val="num" w:pos="1419"/>
        </w:tabs>
        <w:rPr>
          <w:rFonts w:asciiTheme="minorHAnsi" w:hAnsiTheme="minorHAnsi"/>
        </w:rPr>
      </w:pPr>
      <w:r w:rsidRPr="0067297E">
        <w:rPr>
          <w:rFonts w:asciiTheme="minorHAnsi" w:hAnsiTheme="minorHAnsi"/>
        </w:rPr>
        <w:t xml:space="preserve">This analysis can be applied to the housing need </w:t>
      </w:r>
      <w:r w:rsidR="00B706E1">
        <w:rPr>
          <w:rFonts w:asciiTheme="minorHAnsi" w:hAnsiTheme="minorHAnsi"/>
          <w:lang w:val="en-GB"/>
        </w:rPr>
        <w:t xml:space="preserve">target in the 2017 Draft London Plan </w:t>
      </w:r>
      <w:r w:rsidRPr="0067297E">
        <w:rPr>
          <w:rFonts w:asciiTheme="minorHAnsi" w:hAnsiTheme="minorHAnsi"/>
        </w:rPr>
        <w:t xml:space="preserve">range established for </w:t>
      </w:r>
      <w:r w:rsidR="009943CC" w:rsidRPr="0067297E">
        <w:rPr>
          <w:rFonts w:asciiTheme="minorHAnsi" w:hAnsiTheme="minorHAnsi"/>
        </w:rPr>
        <w:t>the borough</w:t>
      </w:r>
      <w:r w:rsidR="000D2A58" w:rsidRPr="0067297E">
        <w:rPr>
          <w:rFonts w:asciiTheme="minorHAnsi" w:hAnsiTheme="minorHAnsi"/>
        </w:rPr>
        <w:t xml:space="preserve"> as set out in Table </w:t>
      </w:r>
      <w:r w:rsidR="00B32E87" w:rsidRPr="0067297E">
        <w:rPr>
          <w:rFonts w:asciiTheme="minorHAnsi" w:hAnsiTheme="minorHAnsi"/>
          <w:lang w:val="en-GB"/>
        </w:rPr>
        <w:t>7</w:t>
      </w:r>
      <w:r w:rsidRPr="0067297E">
        <w:rPr>
          <w:rFonts w:asciiTheme="minorHAnsi" w:hAnsiTheme="minorHAnsi"/>
        </w:rPr>
        <w:t xml:space="preserve">.5. </w:t>
      </w:r>
    </w:p>
    <w:p w14:paraId="3C90A69B" w14:textId="098624F5" w:rsidR="00425A04" w:rsidRDefault="00425A04" w:rsidP="00425A04"/>
    <w:tbl>
      <w:tblPr>
        <w:tblStyle w:val="arc4table"/>
        <w:tblW w:w="0" w:type="auto"/>
        <w:tblInd w:w="607" w:type="dxa"/>
        <w:tblLook w:val="04A0" w:firstRow="1" w:lastRow="0" w:firstColumn="1" w:lastColumn="0" w:noHBand="0" w:noVBand="1"/>
        <w:tblCaption w:val="Table 7.5 Overall dwelling mix based on range of housing need"/>
      </w:tblPr>
      <w:tblGrid>
        <w:gridCol w:w="2085"/>
        <w:gridCol w:w="2200"/>
        <w:gridCol w:w="2203"/>
      </w:tblGrid>
      <w:tr w:rsidR="00F6633F" w:rsidRPr="0067297E" w14:paraId="196AA17B" w14:textId="77777777" w:rsidTr="00426BD8">
        <w:trPr>
          <w:cnfStyle w:val="100000000000" w:firstRow="1" w:lastRow="0" w:firstColumn="0" w:lastColumn="0" w:oddVBand="0" w:evenVBand="0" w:oddHBand="0" w:evenHBand="0" w:firstRowFirstColumn="0" w:firstRowLastColumn="0" w:lastRowFirstColumn="0" w:lastRowLastColumn="0"/>
          <w:trHeight w:val="300"/>
          <w:tblHeader/>
        </w:trPr>
        <w:tc>
          <w:tcPr>
            <w:tcW w:w="0" w:type="auto"/>
            <w:gridSpan w:val="3"/>
            <w:noWrap/>
          </w:tcPr>
          <w:p w14:paraId="2FD4FFEB" w14:textId="1C05A1EF" w:rsidR="00F6633F" w:rsidRPr="0067297E" w:rsidRDefault="000D2A58" w:rsidP="001B5150">
            <w:pPr>
              <w:pStyle w:val="tableheading"/>
              <w:rPr>
                <w:rFonts w:asciiTheme="minorHAnsi" w:hAnsiTheme="minorHAnsi"/>
                <w:b/>
                <w:color w:val="000000"/>
              </w:rPr>
            </w:pPr>
            <w:bookmarkStart w:id="432" w:name="_Toc391751398"/>
            <w:bookmarkStart w:id="433" w:name="_Toc397250702"/>
            <w:bookmarkStart w:id="434" w:name="_Toc23151199"/>
            <w:r w:rsidRPr="0067297E">
              <w:rPr>
                <w:rFonts w:asciiTheme="minorHAnsi" w:hAnsiTheme="minorHAnsi"/>
                <w:b/>
              </w:rPr>
              <w:t xml:space="preserve">Table </w:t>
            </w:r>
            <w:r w:rsidR="00B32E87" w:rsidRPr="0067297E">
              <w:rPr>
                <w:rFonts w:asciiTheme="minorHAnsi" w:hAnsiTheme="minorHAnsi"/>
                <w:b/>
                <w:lang w:val="en-GB"/>
              </w:rPr>
              <w:t>7</w:t>
            </w:r>
            <w:r w:rsidR="00F6633F" w:rsidRPr="0067297E">
              <w:rPr>
                <w:rFonts w:asciiTheme="minorHAnsi" w:hAnsiTheme="minorHAnsi"/>
                <w:b/>
              </w:rPr>
              <w:t>.5</w:t>
            </w:r>
            <w:r w:rsidR="00F6633F" w:rsidRPr="0067297E">
              <w:rPr>
                <w:rFonts w:asciiTheme="minorHAnsi" w:hAnsiTheme="minorHAnsi"/>
                <w:b/>
              </w:rPr>
              <w:tab/>
              <w:t>Overall dwelling mix based on range of housing need</w:t>
            </w:r>
            <w:bookmarkEnd w:id="432"/>
            <w:bookmarkEnd w:id="433"/>
            <w:bookmarkEnd w:id="434"/>
          </w:p>
        </w:tc>
      </w:tr>
      <w:tr w:rsidR="00425A04" w:rsidRPr="0067297E" w14:paraId="0A089DF8" w14:textId="77777777" w:rsidTr="008B00D8">
        <w:tc>
          <w:tcPr>
            <w:tcW w:w="0" w:type="auto"/>
            <w:gridSpan w:val="3"/>
            <w:shd w:val="clear" w:color="auto" w:fill="009999"/>
            <w:noWrap/>
            <w:hideMark/>
          </w:tcPr>
          <w:p w14:paraId="632E809B" w14:textId="30805EEA" w:rsidR="00425A04" w:rsidRPr="0067297E" w:rsidRDefault="00425A04" w:rsidP="00FA273F">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Annual dwelling need</w:t>
            </w:r>
          </w:p>
        </w:tc>
      </w:tr>
      <w:tr w:rsidR="00F6633F" w:rsidRPr="0067297E" w14:paraId="50FEC10F" w14:textId="77777777" w:rsidTr="00425A04">
        <w:tc>
          <w:tcPr>
            <w:tcW w:w="0" w:type="auto"/>
            <w:shd w:val="clear" w:color="auto" w:fill="009999"/>
            <w:hideMark/>
          </w:tcPr>
          <w:p w14:paraId="07A0D68A" w14:textId="77777777" w:rsidR="00F6633F" w:rsidRPr="0067297E" w:rsidRDefault="00F6633F" w:rsidP="00FA273F">
            <w:pPr>
              <w:spacing w:before="0" w:after="0"/>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Dwelling size</w:t>
            </w:r>
          </w:p>
        </w:tc>
        <w:tc>
          <w:tcPr>
            <w:tcW w:w="0" w:type="auto"/>
            <w:shd w:val="clear" w:color="auto" w:fill="009999"/>
            <w:hideMark/>
          </w:tcPr>
          <w:p w14:paraId="40531C63" w14:textId="77777777" w:rsidR="00F6633F" w:rsidRPr="0067297E" w:rsidRDefault="00F6633F" w:rsidP="00FA273F">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 Dwelling stock</w:t>
            </w:r>
          </w:p>
        </w:tc>
        <w:tc>
          <w:tcPr>
            <w:tcW w:w="0" w:type="auto"/>
            <w:shd w:val="clear" w:color="auto" w:fill="009999"/>
            <w:hideMark/>
          </w:tcPr>
          <w:p w14:paraId="4F74DAE7" w14:textId="77777777" w:rsidR="00F6633F" w:rsidRPr="0067297E" w:rsidRDefault="00F6633F" w:rsidP="00FA273F">
            <w:pPr>
              <w:spacing w:before="0" w:after="0"/>
              <w:jc w:val="center"/>
              <w:rPr>
                <w:rFonts w:asciiTheme="minorHAnsi" w:hAnsiTheme="minorHAnsi" w:cs="Calibri"/>
                <w:b/>
                <w:bCs/>
                <w:color w:val="FFFFFF" w:themeColor="background1"/>
                <w:sz w:val="22"/>
                <w:szCs w:val="22"/>
              </w:rPr>
            </w:pPr>
            <w:r w:rsidRPr="0067297E">
              <w:rPr>
                <w:rFonts w:asciiTheme="minorHAnsi" w:hAnsiTheme="minorHAnsi" w:cs="Calibri"/>
                <w:b/>
                <w:bCs/>
                <w:color w:val="FFFFFF" w:themeColor="background1"/>
                <w:sz w:val="22"/>
                <w:szCs w:val="22"/>
              </w:rPr>
              <w:t>No. of dwellings</w:t>
            </w:r>
          </w:p>
        </w:tc>
      </w:tr>
      <w:tr w:rsidR="00F50C71" w:rsidRPr="0067297E" w14:paraId="0D2F97D7" w14:textId="77777777" w:rsidTr="00425A04">
        <w:tc>
          <w:tcPr>
            <w:tcW w:w="0" w:type="auto"/>
            <w:noWrap/>
            <w:hideMark/>
          </w:tcPr>
          <w:p w14:paraId="584140ED" w14:textId="77777777" w:rsidR="00F50C71" w:rsidRPr="00F50C71" w:rsidRDefault="00F50C71" w:rsidP="00F50C71">
            <w:pPr>
              <w:spacing w:before="0" w:after="0"/>
              <w:rPr>
                <w:rFonts w:asciiTheme="minorHAnsi" w:hAnsiTheme="minorHAnsi" w:cs="Calibri"/>
                <w:color w:val="000000"/>
                <w:sz w:val="22"/>
                <w:szCs w:val="22"/>
              </w:rPr>
            </w:pPr>
            <w:r w:rsidRPr="00F50C71">
              <w:rPr>
                <w:rFonts w:asciiTheme="minorHAnsi" w:hAnsiTheme="minorHAnsi" w:cs="Calibri"/>
                <w:color w:val="000000"/>
                <w:sz w:val="22"/>
                <w:szCs w:val="22"/>
              </w:rPr>
              <w:t>1-bedroom</w:t>
            </w:r>
          </w:p>
        </w:tc>
        <w:tc>
          <w:tcPr>
            <w:tcW w:w="0" w:type="auto"/>
            <w:noWrap/>
            <w:vAlign w:val="bottom"/>
            <w:hideMark/>
          </w:tcPr>
          <w:p w14:paraId="5A64B430" w14:textId="5618DEDE" w:rsidR="00F50C71" w:rsidRPr="00F50C71" w:rsidRDefault="00F50C71" w:rsidP="00425A04">
            <w:pPr>
              <w:spacing w:before="0" w:after="0"/>
              <w:jc w:val="right"/>
              <w:rPr>
                <w:rFonts w:asciiTheme="minorHAnsi" w:hAnsiTheme="minorHAnsi" w:cs="Calibri"/>
                <w:color w:val="000000"/>
                <w:sz w:val="22"/>
                <w:szCs w:val="22"/>
              </w:rPr>
            </w:pPr>
            <w:r w:rsidRPr="00F50C71">
              <w:rPr>
                <w:rFonts w:asciiTheme="minorHAnsi" w:hAnsiTheme="minorHAnsi" w:cs="Calibri"/>
                <w:color w:val="000000"/>
                <w:sz w:val="22"/>
                <w:szCs w:val="22"/>
              </w:rPr>
              <w:t>12.1</w:t>
            </w:r>
          </w:p>
        </w:tc>
        <w:tc>
          <w:tcPr>
            <w:tcW w:w="0" w:type="auto"/>
            <w:noWrap/>
            <w:hideMark/>
          </w:tcPr>
          <w:p w14:paraId="64618B73" w14:textId="132AD7AC" w:rsidR="00F50C71" w:rsidRPr="00F50C71" w:rsidRDefault="00F50C71" w:rsidP="00425A04">
            <w:pPr>
              <w:spacing w:before="0" w:after="0"/>
              <w:jc w:val="right"/>
              <w:rPr>
                <w:rFonts w:asciiTheme="minorHAnsi" w:hAnsiTheme="minorHAnsi" w:cs="Calibri"/>
                <w:color w:val="000000"/>
                <w:sz w:val="22"/>
                <w:szCs w:val="22"/>
              </w:rPr>
            </w:pPr>
            <w:r w:rsidRPr="0015368C">
              <w:rPr>
                <w:rFonts w:cs="Calibri"/>
                <w:color w:val="000000"/>
                <w:sz w:val="22"/>
                <w:szCs w:val="22"/>
              </w:rPr>
              <w:t>359</w:t>
            </w:r>
          </w:p>
        </w:tc>
      </w:tr>
      <w:tr w:rsidR="00F50C71" w:rsidRPr="0067297E" w14:paraId="58BC628E" w14:textId="77777777" w:rsidTr="00425A04">
        <w:tc>
          <w:tcPr>
            <w:tcW w:w="0" w:type="auto"/>
            <w:noWrap/>
            <w:hideMark/>
          </w:tcPr>
          <w:p w14:paraId="75E0DD82" w14:textId="77777777" w:rsidR="00F50C71" w:rsidRPr="00F50C71" w:rsidRDefault="00F50C71" w:rsidP="00F50C71">
            <w:pPr>
              <w:spacing w:before="0" w:after="0"/>
              <w:rPr>
                <w:rFonts w:asciiTheme="minorHAnsi" w:hAnsiTheme="minorHAnsi" w:cs="Calibri"/>
                <w:color w:val="000000"/>
                <w:sz w:val="22"/>
                <w:szCs w:val="22"/>
              </w:rPr>
            </w:pPr>
            <w:r w:rsidRPr="00F50C71">
              <w:rPr>
                <w:rFonts w:asciiTheme="minorHAnsi" w:hAnsiTheme="minorHAnsi" w:cs="Calibri"/>
                <w:color w:val="000000"/>
                <w:sz w:val="22"/>
                <w:szCs w:val="22"/>
              </w:rPr>
              <w:t>2-bedroom</w:t>
            </w:r>
          </w:p>
        </w:tc>
        <w:tc>
          <w:tcPr>
            <w:tcW w:w="0" w:type="auto"/>
            <w:noWrap/>
            <w:vAlign w:val="bottom"/>
            <w:hideMark/>
          </w:tcPr>
          <w:p w14:paraId="4E9EAC3A" w14:textId="6DA09FF9" w:rsidR="00F50C71" w:rsidRPr="00F50C71" w:rsidRDefault="00F50C71" w:rsidP="00425A04">
            <w:pPr>
              <w:spacing w:before="0" w:after="0"/>
              <w:jc w:val="right"/>
              <w:rPr>
                <w:rFonts w:asciiTheme="minorHAnsi" w:hAnsiTheme="minorHAnsi" w:cs="Calibri"/>
                <w:color w:val="000000"/>
                <w:sz w:val="22"/>
                <w:szCs w:val="22"/>
              </w:rPr>
            </w:pPr>
            <w:r w:rsidRPr="00F50C71">
              <w:rPr>
                <w:rFonts w:asciiTheme="minorHAnsi" w:hAnsiTheme="minorHAnsi" w:cs="Calibri"/>
                <w:color w:val="000000"/>
                <w:sz w:val="22"/>
                <w:szCs w:val="22"/>
              </w:rPr>
              <w:t>26.2</w:t>
            </w:r>
          </w:p>
        </w:tc>
        <w:tc>
          <w:tcPr>
            <w:tcW w:w="0" w:type="auto"/>
            <w:noWrap/>
            <w:hideMark/>
          </w:tcPr>
          <w:p w14:paraId="38420B68" w14:textId="46260007" w:rsidR="00F50C71" w:rsidRPr="00F50C71" w:rsidRDefault="00F50C71" w:rsidP="00425A04">
            <w:pPr>
              <w:spacing w:before="0" w:after="0"/>
              <w:jc w:val="right"/>
              <w:rPr>
                <w:rFonts w:asciiTheme="minorHAnsi" w:hAnsiTheme="minorHAnsi" w:cs="Calibri"/>
                <w:color w:val="000000"/>
                <w:sz w:val="22"/>
                <w:szCs w:val="22"/>
              </w:rPr>
            </w:pPr>
            <w:r w:rsidRPr="0015368C">
              <w:rPr>
                <w:rFonts w:cs="Calibri"/>
                <w:color w:val="000000"/>
                <w:sz w:val="22"/>
                <w:szCs w:val="22"/>
              </w:rPr>
              <w:t>777</w:t>
            </w:r>
          </w:p>
        </w:tc>
      </w:tr>
      <w:tr w:rsidR="00F50C71" w:rsidRPr="0067297E" w14:paraId="42E52519" w14:textId="77777777" w:rsidTr="00425A04">
        <w:tc>
          <w:tcPr>
            <w:tcW w:w="0" w:type="auto"/>
            <w:noWrap/>
            <w:hideMark/>
          </w:tcPr>
          <w:p w14:paraId="4E1DD041" w14:textId="77777777" w:rsidR="00F50C71" w:rsidRPr="00F50C71" w:rsidRDefault="00F50C71" w:rsidP="00F50C71">
            <w:pPr>
              <w:spacing w:before="0" w:after="0"/>
              <w:rPr>
                <w:rFonts w:asciiTheme="minorHAnsi" w:hAnsiTheme="minorHAnsi" w:cs="Calibri"/>
                <w:color w:val="000000"/>
                <w:sz w:val="22"/>
                <w:szCs w:val="22"/>
              </w:rPr>
            </w:pPr>
            <w:r w:rsidRPr="00F50C71">
              <w:rPr>
                <w:rFonts w:asciiTheme="minorHAnsi" w:hAnsiTheme="minorHAnsi" w:cs="Calibri"/>
                <w:color w:val="000000"/>
                <w:sz w:val="22"/>
                <w:szCs w:val="22"/>
              </w:rPr>
              <w:t>3-bedroom</w:t>
            </w:r>
          </w:p>
        </w:tc>
        <w:tc>
          <w:tcPr>
            <w:tcW w:w="0" w:type="auto"/>
            <w:noWrap/>
            <w:vAlign w:val="bottom"/>
            <w:hideMark/>
          </w:tcPr>
          <w:p w14:paraId="68CB3251" w14:textId="3ADBEE06" w:rsidR="00F50C71" w:rsidRPr="00F50C71" w:rsidRDefault="00F50C71" w:rsidP="00425A04">
            <w:pPr>
              <w:spacing w:before="0" w:after="0"/>
              <w:jc w:val="right"/>
              <w:rPr>
                <w:rFonts w:asciiTheme="minorHAnsi" w:hAnsiTheme="minorHAnsi" w:cs="Calibri"/>
                <w:color w:val="000000"/>
                <w:sz w:val="22"/>
                <w:szCs w:val="22"/>
              </w:rPr>
            </w:pPr>
            <w:r w:rsidRPr="00F50C71">
              <w:rPr>
                <w:rFonts w:asciiTheme="minorHAnsi" w:hAnsiTheme="minorHAnsi" w:cs="Calibri"/>
                <w:color w:val="000000"/>
                <w:sz w:val="22"/>
                <w:szCs w:val="22"/>
              </w:rPr>
              <w:t>43.3</w:t>
            </w:r>
          </w:p>
        </w:tc>
        <w:tc>
          <w:tcPr>
            <w:tcW w:w="0" w:type="auto"/>
            <w:noWrap/>
            <w:hideMark/>
          </w:tcPr>
          <w:p w14:paraId="56562C0F" w14:textId="22474216" w:rsidR="00F50C71" w:rsidRPr="00F50C71" w:rsidRDefault="00F50C71" w:rsidP="00425A04">
            <w:pPr>
              <w:spacing w:before="0" w:after="0"/>
              <w:jc w:val="right"/>
              <w:rPr>
                <w:rFonts w:asciiTheme="minorHAnsi" w:hAnsiTheme="minorHAnsi" w:cs="Calibri"/>
                <w:color w:val="000000"/>
                <w:sz w:val="22"/>
                <w:szCs w:val="22"/>
              </w:rPr>
            </w:pPr>
            <w:r w:rsidRPr="0015368C">
              <w:rPr>
                <w:rFonts w:cs="Calibri"/>
                <w:color w:val="000000"/>
                <w:sz w:val="22"/>
                <w:szCs w:val="22"/>
              </w:rPr>
              <w:t>1,254</w:t>
            </w:r>
          </w:p>
        </w:tc>
      </w:tr>
      <w:tr w:rsidR="00F50C71" w:rsidRPr="0067297E" w14:paraId="1DBCF8F9" w14:textId="77777777" w:rsidTr="00425A04">
        <w:tc>
          <w:tcPr>
            <w:tcW w:w="0" w:type="auto"/>
            <w:noWrap/>
            <w:hideMark/>
          </w:tcPr>
          <w:p w14:paraId="6BCD0E44" w14:textId="77777777" w:rsidR="00F50C71" w:rsidRPr="00F50C71" w:rsidRDefault="00F50C71" w:rsidP="00F50C71">
            <w:pPr>
              <w:spacing w:before="0" w:after="0"/>
              <w:rPr>
                <w:rFonts w:asciiTheme="minorHAnsi" w:hAnsiTheme="minorHAnsi" w:cs="Calibri"/>
                <w:color w:val="000000"/>
                <w:sz w:val="22"/>
                <w:szCs w:val="22"/>
              </w:rPr>
            </w:pPr>
            <w:r w:rsidRPr="00F50C71">
              <w:rPr>
                <w:rFonts w:asciiTheme="minorHAnsi" w:hAnsiTheme="minorHAnsi" w:cs="Calibri"/>
                <w:color w:val="000000"/>
                <w:sz w:val="22"/>
                <w:szCs w:val="22"/>
              </w:rPr>
              <w:t>4 or more</w:t>
            </w:r>
          </w:p>
        </w:tc>
        <w:tc>
          <w:tcPr>
            <w:tcW w:w="0" w:type="auto"/>
            <w:noWrap/>
            <w:vAlign w:val="bottom"/>
            <w:hideMark/>
          </w:tcPr>
          <w:p w14:paraId="34A92CE8" w14:textId="22BEFAAB" w:rsidR="00F50C71" w:rsidRPr="00F50C71" w:rsidRDefault="00F50C71" w:rsidP="00425A04">
            <w:pPr>
              <w:spacing w:before="0" w:after="0"/>
              <w:jc w:val="right"/>
              <w:rPr>
                <w:rFonts w:asciiTheme="minorHAnsi" w:hAnsiTheme="minorHAnsi" w:cs="Calibri"/>
                <w:color w:val="000000"/>
                <w:sz w:val="22"/>
                <w:szCs w:val="22"/>
              </w:rPr>
            </w:pPr>
            <w:r w:rsidRPr="00F50C71">
              <w:rPr>
                <w:rFonts w:asciiTheme="minorHAnsi" w:hAnsiTheme="minorHAnsi" w:cs="Calibri"/>
                <w:color w:val="000000"/>
                <w:sz w:val="22"/>
                <w:szCs w:val="22"/>
              </w:rPr>
              <w:t>19.4</w:t>
            </w:r>
          </w:p>
        </w:tc>
        <w:tc>
          <w:tcPr>
            <w:tcW w:w="0" w:type="auto"/>
            <w:noWrap/>
            <w:hideMark/>
          </w:tcPr>
          <w:p w14:paraId="592C90D4" w14:textId="13A34033" w:rsidR="00F50C71" w:rsidRPr="00F50C71" w:rsidRDefault="00F50C71" w:rsidP="00425A04">
            <w:pPr>
              <w:spacing w:before="0" w:after="0"/>
              <w:jc w:val="right"/>
              <w:rPr>
                <w:rFonts w:asciiTheme="minorHAnsi" w:hAnsiTheme="minorHAnsi" w:cs="Calibri"/>
                <w:color w:val="000000"/>
                <w:sz w:val="22"/>
                <w:szCs w:val="22"/>
              </w:rPr>
            </w:pPr>
            <w:r w:rsidRPr="0015368C">
              <w:rPr>
                <w:rFonts w:cs="Calibri"/>
                <w:color w:val="000000"/>
                <w:sz w:val="22"/>
                <w:szCs w:val="22"/>
              </w:rPr>
              <w:t>574</w:t>
            </w:r>
          </w:p>
        </w:tc>
      </w:tr>
      <w:tr w:rsidR="00F50C71" w:rsidRPr="0067297E" w14:paraId="3B5EFF4E" w14:textId="77777777" w:rsidTr="00425A04">
        <w:tc>
          <w:tcPr>
            <w:tcW w:w="0" w:type="auto"/>
            <w:noWrap/>
            <w:hideMark/>
          </w:tcPr>
          <w:p w14:paraId="75A827C5" w14:textId="77777777" w:rsidR="00F50C71" w:rsidRPr="00F50C71" w:rsidRDefault="00F50C71" w:rsidP="00F50C71">
            <w:pPr>
              <w:spacing w:before="0" w:after="0"/>
              <w:rPr>
                <w:rFonts w:asciiTheme="minorHAnsi" w:hAnsiTheme="minorHAnsi" w:cs="Calibri"/>
                <w:b/>
                <w:color w:val="000000"/>
                <w:sz w:val="22"/>
                <w:szCs w:val="22"/>
              </w:rPr>
            </w:pPr>
            <w:r w:rsidRPr="00F50C71">
              <w:rPr>
                <w:rFonts w:asciiTheme="minorHAnsi" w:hAnsiTheme="minorHAnsi" w:cs="Calibri"/>
                <w:b/>
                <w:color w:val="000000"/>
                <w:sz w:val="22"/>
                <w:szCs w:val="22"/>
              </w:rPr>
              <w:t>Total</w:t>
            </w:r>
          </w:p>
        </w:tc>
        <w:tc>
          <w:tcPr>
            <w:tcW w:w="0" w:type="auto"/>
            <w:noWrap/>
            <w:vAlign w:val="bottom"/>
            <w:hideMark/>
          </w:tcPr>
          <w:p w14:paraId="4F0A9D10" w14:textId="77777777" w:rsidR="00F50C71" w:rsidRPr="00F50C71" w:rsidRDefault="00F50C71" w:rsidP="00425A04">
            <w:pPr>
              <w:spacing w:before="0" w:after="0"/>
              <w:jc w:val="right"/>
              <w:rPr>
                <w:rFonts w:asciiTheme="minorHAnsi" w:hAnsiTheme="minorHAnsi" w:cs="Calibri"/>
                <w:color w:val="000000"/>
                <w:sz w:val="22"/>
                <w:szCs w:val="22"/>
              </w:rPr>
            </w:pPr>
            <w:r w:rsidRPr="00F50C71">
              <w:rPr>
                <w:rFonts w:asciiTheme="minorHAnsi" w:hAnsiTheme="minorHAnsi" w:cs="Calibri"/>
                <w:color w:val="000000"/>
                <w:sz w:val="22"/>
                <w:szCs w:val="22"/>
              </w:rPr>
              <w:t>100.0</w:t>
            </w:r>
          </w:p>
        </w:tc>
        <w:tc>
          <w:tcPr>
            <w:tcW w:w="0" w:type="auto"/>
            <w:noWrap/>
            <w:hideMark/>
          </w:tcPr>
          <w:p w14:paraId="65384940" w14:textId="78E2A257" w:rsidR="00F50C71" w:rsidRPr="00F50C71" w:rsidRDefault="00F50C71" w:rsidP="00425A04">
            <w:pPr>
              <w:spacing w:before="0" w:after="0"/>
              <w:jc w:val="right"/>
              <w:rPr>
                <w:rFonts w:asciiTheme="minorHAnsi" w:hAnsiTheme="minorHAnsi" w:cs="Calibri"/>
                <w:b/>
                <w:color w:val="000000"/>
                <w:sz w:val="22"/>
                <w:szCs w:val="22"/>
              </w:rPr>
            </w:pPr>
            <w:r w:rsidRPr="0015368C">
              <w:rPr>
                <w:rFonts w:cs="Calibri"/>
                <w:color w:val="000000"/>
                <w:sz w:val="22"/>
                <w:szCs w:val="22"/>
              </w:rPr>
              <w:t>2,964</w:t>
            </w:r>
          </w:p>
        </w:tc>
      </w:tr>
    </w:tbl>
    <w:p w14:paraId="4675321F" w14:textId="47C60B60" w:rsidR="00F6633F" w:rsidRDefault="00F6633F" w:rsidP="00425A04">
      <w:pPr>
        <w:ind w:left="709"/>
        <w:rPr>
          <w:rFonts w:asciiTheme="minorHAnsi" w:hAnsiTheme="minorHAnsi"/>
          <w:sz w:val="20"/>
          <w:szCs w:val="20"/>
          <w:vertAlign w:val="superscript"/>
        </w:rPr>
      </w:pPr>
      <w:r w:rsidRPr="0067297E">
        <w:rPr>
          <w:rFonts w:asciiTheme="minorHAnsi" w:hAnsiTheme="minorHAnsi"/>
          <w:sz w:val="20"/>
          <w:szCs w:val="20"/>
        </w:rPr>
        <w:t>Source: arc</w:t>
      </w:r>
      <w:r w:rsidRPr="0067297E">
        <w:rPr>
          <w:rFonts w:asciiTheme="minorHAnsi" w:hAnsiTheme="minorHAnsi"/>
          <w:sz w:val="20"/>
          <w:szCs w:val="20"/>
          <w:vertAlign w:val="superscript"/>
        </w:rPr>
        <w:t>4</w:t>
      </w:r>
    </w:p>
    <w:p w14:paraId="13AF4FF3" w14:textId="77777777" w:rsidR="00425A04" w:rsidRPr="0067297E" w:rsidRDefault="00425A04" w:rsidP="00425A04"/>
    <w:p w14:paraId="2921059A" w14:textId="77777777" w:rsidR="00894104" w:rsidRPr="0015368C" w:rsidRDefault="000D2A58" w:rsidP="00715936">
      <w:pPr>
        <w:pStyle w:val="Reporttext"/>
        <w:tabs>
          <w:tab w:val="num" w:pos="1419"/>
        </w:tabs>
        <w:rPr>
          <w:rFonts w:asciiTheme="minorHAnsi" w:hAnsiTheme="minorHAnsi"/>
        </w:rPr>
      </w:pPr>
      <w:r w:rsidRPr="00D16538">
        <w:rPr>
          <w:rFonts w:asciiTheme="minorHAnsi" w:hAnsiTheme="minorHAnsi"/>
        </w:rPr>
        <w:t xml:space="preserve">Table </w:t>
      </w:r>
      <w:r w:rsidR="00B32E87" w:rsidRPr="00D16538">
        <w:rPr>
          <w:rFonts w:asciiTheme="minorHAnsi" w:hAnsiTheme="minorHAnsi"/>
          <w:lang w:val="en-GB"/>
        </w:rPr>
        <w:t>7</w:t>
      </w:r>
      <w:r w:rsidR="00F6633F" w:rsidRPr="00D16538">
        <w:rPr>
          <w:rFonts w:asciiTheme="minorHAnsi" w:hAnsiTheme="minorHAnsi"/>
        </w:rPr>
        <w:t>.6</w:t>
      </w:r>
      <w:r w:rsidR="00C526AD" w:rsidRPr="00D16538">
        <w:rPr>
          <w:rFonts w:asciiTheme="minorHAnsi" w:hAnsiTheme="minorHAnsi"/>
        </w:rPr>
        <w:t xml:space="preserve"> then summarises dwelling s</w:t>
      </w:r>
      <w:r w:rsidR="00F6633F" w:rsidRPr="00D16538">
        <w:rPr>
          <w:rFonts w:asciiTheme="minorHAnsi" w:hAnsiTheme="minorHAnsi"/>
        </w:rPr>
        <w:t>ize mix by market and affordable housing</w:t>
      </w:r>
      <w:r w:rsidR="00894104">
        <w:rPr>
          <w:rFonts w:asciiTheme="minorHAnsi" w:hAnsiTheme="minorHAnsi"/>
          <w:lang w:val="en-US"/>
        </w:rPr>
        <w:t>. This has been calculated as follows:</w:t>
      </w:r>
    </w:p>
    <w:p w14:paraId="68E9D9D8" w14:textId="1C2C7C4A" w:rsidR="00894104" w:rsidRDefault="00894104" w:rsidP="00425A04">
      <w:pPr>
        <w:pStyle w:val="bullet"/>
      </w:pPr>
      <w:r>
        <w:t>The overall dwelling mix is based on the relationship between households and dwellings drawing upon arc4 national data and summarized in Table 7.5 and assumes that 2,964 dwellings are built each year in line with the 2017 draft London Plan targets;</w:t>
      </w:r>
    </w:p>
    <w:p w14:paraId="5E04678A" w14:textId="77777777" w:rsidR="00894104" w:rsidRDefault="00894104" w:rsidP="00425A04">
      <w:pPr>
        <w:pStyle w:val="bullet"/>
      </w:pPr>
      <w:r>
        <w:t>The affordable need has been calculated separately and establishes an annual need as set out in Table 6.3;</w:t>
      </w:r>
    </w:p>
    <w:p w14:paraId="32B37A50" w14:textId="4CA85EA9" w:rsidR="00894104" w:rsidRDefault="00894104" w:rsidP="00425A04">
      <w:pPr>
        <w:pStyle w:val="bullet"/>
      </w:pPr>
      <w:r>
        <w:t xml:space="preserve">Assuming that 50% of dwellings built are affordable and 50% are market, Table 7.6 calculates market mix by subtracting affordable need from the overall mix. </w:t>
      </w:r>
    </w:p>
    <w:p w14:paraId="7385F2DC" w14:textId="22DECE83" w:rsidR="00F6633F" w:rsidRPr="00D16538" w:rsidRDefault="00F6633F" w:rsidP="00425A04">
      <w:pPr>
        <w:pStyle w:val="bullet"/>
        <w:numPr>
          <w:ilvl w:val="0"/>
          <w:numId w:val="0"/>
        </w:numPr>
        <w:ind w:left="1069"/>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602"/>
        <w:gridCol w:w="1523"/>
        <w:gridCol w:w="1145"/>
        <w:gridCol w:w="1133"/>
        <w:gridCol w:w="1036"/>
        <w:gridCol w:w="1025"/>
        <w:gridCol w:w="718"/>
      </w:tblGrid>
      <w:tr w:rsidR="00894104" w:rsidRPr="00425A04" w14:paraId="0BB74ECA" w14:textId="1E1A678E" w:rsidTr="00426BD8">
        <w:trPr>
          <w:trHeight w:val="240"/>
          <w:tblHeader/>
        </w:trPr>
        <w:tc>
          <w:tcPr>
            <w:tcW w:w="5000" w:type="pct"/>
            <w:gridSpan w:val="7"/>
            <w:shd w:val="clear" w:color="auto" w:fill="009999"/>
          </w:tcPr>
          <w:p w14:paraId="76037079" w14:textId="46E1BEE8" w:rsidR="00F50C71" w:rsidRPr="00425A04" w:rsidRDefault="00F50C71" w:rsidP="003F4FF7">
            <w:pPr>
              <w:pStyle w:val="tableheading"/>
              <w:rPr>
                <w:rFonts w:asciiTheme="minorHAnsi" w:hAnsiTheme="minorHAnsi"/>
                <w:szCs w:val="22"/>
              </w:rPr>
            </w:pPr>
            <w:bookmarkStart w:id="435" w:name="_Toc23151200"/>
            <w:r w:rsidRPr="00425A04">
              <w:rPr>
                <w:rFonts w:asciiTheme="minorHAnsi" w:hAnsiTheme="minorHAnsi"/>
                <w:szCs w:val="22"/>
              </w:rPr>
              <w:t xml:space="preserve">Table </w:t>
            </w:r>
            <w:r w:rsidRPr="00425A04">
              <w:rPr>
                <w:rFonts w:asciiTheme="minorHAnsi" w:hAnsiTheme="minorHAnsi"/>
                <w:szCs w:val="22"/>
                <w:lang w:val="en-GB"/>
              </w:rPr>
              <w:t>7.6</w:t>
            </w:r>
            <w:r w:rsidRPr="00425A04">
              <w:rPr>
                <w:rFonts w:asciiTheme="minorHAnsi" w:hAnsiTheme="minorHAnsi"/>
                <w:szCs w:val="22"/>
              </w:rPr>
              <w:tab/>
              <w:t>Summary of dwelling mix by broad tenure group based on annual need</w:t>
            </w:r>
            <w:bookmarkEnd w:id="435"/>
          </w:p>
        </w:tc>
      </w:tr>
      <w:tr w:rsidR="00425A04" w:rsidRPr="00425A04" w14:paraId="25C3F48A" w14:textId="7CFED381" w:rsidTr="00425A04">
        <w:trPr>
          <w:trHeight w:val="240"/>
        </w:trPr>
        <w:tc>
          <w:tcPr>
            <w:tcW w:w="1417" w:type="pct"/>
            <w:vMerge w:val="restart"/>
            <w:shd w:val="clear" w:color="auto" w:fill="009999"/>
            <w:noWrap/>
            <w:hideMark/>
          </w:tcPr>
          <w:p w14:paraId="12566231" w14:textId="77777777" w:rsidR="00425A04" w:rsidRPr="00425A04" w:rsidRDefault="00425A04" w:rsidP="003F4FF7">
            <w:pPr>
              <w:spacing w:before="20" w:after="20"/>
              <w:rPr>
                <w:rFonts w:asciiTheme="minorHAnsi" w:hAnsiTheme="minorHAnsi" w:cs="Calibri"/>
                <w:b/>
                <w:color w:val="FFFFFF" w:themeColor="background1"/>
                <w:sz w:val="22"/>
                <w:szCs w:val="22"/>
              </w:rPr>
            </w:pPr>
            <w:r w:rsidRPr="00425A04">
              <w:rPr>
                <w:rFonts w:asciiTheme="minorHAnsi" w:hAnsiTheme="minorHAnsi" w:cs="Calibri"/>
                <w:b/>
                <w:color w:val="FFFFFF" w:themeColor="background1"/>
                <w:sz w:val="22"/>
                <w:szCs w:val="22"/>
              </w:rPr>
              <w:t>Number of bedrooms</w:t>
            </w:r>
          </w:p>
        </w:tc>
        <w:tc>
          <w:tcPr>
            <w:tcW w:w="829" w:type="pct"/>
            <w:vMerge w:val="restart"/>
            <w:shd w:val="clear" w:color="auto" w:fill="009999"/>
            <w:noWrap/>
            <w:hideMark/>
          </w:tcPr>
          <w:p w14:paraId="3691340A" w14:textId="77777777" w:rsidR="00425A04" w:rsidRPr="00425A04" w:rsidRDefault="00425A04" w:rsidP="003F4FF7">
            <w:pPr>
              <w:spacing w:before="20" w:after="20"/>
              <w:jc w:val="center"/>
              <w:rPr>
                <w:rFonts w:asciiTheme="minorHAnsi" w:hAnsiTheme="minorHAnsi" w:cs="Calibri"/>
                <w:b/>
                <w:color w:val="FFFFFF" w:themeColor="background1"/>
                <w:sz w:val="22"/>
                <w:szCs w:val="22"/>
              </w:rPr>
            </w:pPr>
            <w:r w:rsidRPr="00425A04">
              <w:rPr>
                <w:rFonts w:asciiTheme="minorHAnsi" w:hAnsiTheme="minorHAnsi" w:cs="Calibri"/>
                <w:b/>
                <w:color w:val="FFFFFF" w:themeColor="background1"/>
                <w:sz w:val="22"/>
                <w:szCs w:val="22"/>
              </w:rPr>
              <w:t xml:space="preserve">% new </w:t>
            </w:r>
          </w:p>
          <w:p w14:paraId="1701BE3B" w14:textId="7842D278" w:rsidR="00425A04" w:rsidRPr="00425A04" w:rsidRDefault="00425A04" w:rsidP="003F4FF7">
            <w:pPr>
              <w:spacing w:before="20" w:after="20"/>
              <w:jc w:val="center"/>
              <w:rPr>
                <w:rFonts w:asciiTheme="minorHAnsi" w:hAnsiTheme="minorHAnsi" w:cs="Calibri"/>
                <w:b/>
                <w:color w:val="FFFFFF" w:themeColor="background1"/>
                <w:sz w:val="22"/>
                <w:szCs w:val="22"/>
              </w:rPr>
            </w:pPr>
            <w:r w:rsidRPr="00425A04">
              <w:rPr>
                <w:rFonts w:asciiTheme="minorHAnsi" w:hAnsiTheme="minorHAnsi" w:cs="Calibri"/>
                <w:b/>
                <w:color w:val="FFFFFF" w:themeColor="background1"/>
                <w:sz w:val="22"/>
                <w:szCs w:val="22"/>
              </w:rPr>
              <w:t>dwelling stock</w:t>
            </w:r>
          </w:p>
        </w:tc>
        <w:tc>
          <w:tcPr>
            <w:tcW w:w="624" w:type="pct"/>
            <w:vMerge w:val="restart"/>
            <w:shd w:val="clear" w:color="auto" w:fill="009999"/>
            <w:noWrap/>
            <w:hideMark/>
          </w:tcPr>
          <w:p w14:paraId="0B0567A0" w14:textId="58A5394D" w:rsidR="00425A04" w:rsidRPr="00425A04" w:rsidRDefault="00425A04" w:rsidP="003F4FF7">
            <w:pPr>
              <w:spacing w:before="20" w:after="20"/>
              <w:jc w:val="center"/>
              <w:rPr>
                <w:rFonts w:asciiTheme="minorHAnsi" w:hAnsiTheme="minorHAnsi" w:cs="Calibri"/>
                <w:b/>
                <w:color w:val="FFFFFF" w:themeColor="background1"/>
                <w:sz w:val="22"/>
                <w:szCs w:val="22"/>
              </w:rPr>
            </w:pPr>
            <w:r w:rsidRPr="00425A04">
              <w:rPr>
                <w:rFonts w:asciiTheme="minorHAnsi" w:hAnsiTheme="minorHAnsi" w:cs="Calibri"/>
                <w:b/>
                <w:color w:val="FFFFFF" w:themeColor="background1"/>
                <w:sz w:val="22"/>
                <w:szCs w:val="22"/>
              </w:rPr>
              <w:t xml:space="preserve">Overall </w:t>
            </w:r>
          </w:p>
          <w:p w14:paraId="38EB9B66" w14:textId="6DCA755D" w:rsidR="00425A04" w:rsidRPr="00425A04" w:rsidRDefault="00425A04" w:rsidP="003F4FF7">
            <w:pPr>
              <w:spacing w:before="20" w:after="20"/>
              <w:jc w:val="center"/>
              <w:rPr>
                <w:rFonts w:asciiTheme="minorHAnsi" w:hAnsiTheme="minorHAnsi" w:cs="Calibri"/>
                <w:b/>
                <w:color w:val="FFFFFF" w:themeColor="background1"/>
                <w:sz w:val="22"/>
                <w:szCs w:val="22"/>
              </w:rPr>
            </w:pPr>
            <w:r w:rsidRPr="00425A04">
              <w:rPr>
                <w:rFonts w:asciiTheme="minorHAnsi" w:hAnsiTheme="minorHAnsi" w:cs="Calibri"/>
                <w:b/>
                <w:color w:val="FFFFFF" w:themeColor="background1"/>
                <w:sz w:val="22"/>
                <w:szCs w:val="22"/>
              </w:rPr>
              <w:t>mix</w:t>
            </w:r>
          </w:p>
        </w:tc>
        <w:tc>
          <w:tcPr>
            <w:tcW w:w="1181" w:type="pct"/>
            <w:gridSpan w:val="2"/>
            <w:shd w:val="clear" w:color="auto" w:fill="009999"/>
            <w:noWrap/>
            <w:hideMark/>
          </w:tcPr>
          <w:p w14:paraId="0CD7F61E" w14:textId="0D0B052E" w:rsidR="00425A04" w:rsidRPr="00425A04" w:rsidRDefault="00425A04" w:rsidP="003F4FF7">
            <w:pPr>
              <w:spacing w:before="20" w:after="20"/>
              <w:jc w:val="center"/>
              <w:rPr>
                <w:rFonts w:asciiTheme="minorHAnsi" w:hAnsiTheme="minorHAnsi" w:cs="Calibri"/>
                <w:b/>
                <w:color w:val="FFFFFF" w:themeColor="background1"/>
                <w:sz w:val="22"/>
                <w:szCs w:val="22"/>
              </w:rPr>
            </w:pPr>
            <w:r w:rsidRPr="00425A04">
              <w:rPr>
                <w:rFonts w:asciiTheme="minorHAnsi" w:hAnsiTheme="minorHAnsi" w:cs="Calibri"/>
                <w:b/>
                <w:color w:val="FFFFFF" w:themeColor="background1"/>
                <w:sz w:val="22"/>
                <w:szCs w:val="22"/>
              </w:rPr>
              <w:t xml:space="preserve">Market </w:t>
            </w:r>
          </w:p>
        </w:tc>
        <w:tc>
          <w:tcPr>
            <w:tcW w:w="949" w:type="pct"/>
            <w:gridSpan w:val="2"/>
            <w:shd w:val="clear" w:color="auto" w:fill="009999"/>
            <w:noWrap/>
            <w:hideMark/>
          </w:tcPr>
          <w:p w14:paraId="5704FE50" w14:textId="05D502B8" w:rsidR="00425A04" w:rsidRPr="00425A04" w:rsidRDefault="00425A04" w:rsidP="003F4FF7">
            <w:pPr>
              <w:spacing w:before="20" w:after="20"/>
              <w:jc w:val="center"/>
              <w:rPr>
                <w:rFonts w:asciiTheme="minorHAnsi" w:hAnsiTheme="minorHAnsi" w:cs="Calibri"/>
                <w:b/>
                <w:color w:val="FFFFFF" w:themeColor="background1"/>
                <w:sz w:val="22"/>
                <w:szCs w:val="22"/>
              </w:rPr>
            </w:pPr>
            <w:r w:rsidRPr="00425A04">
              <w:rPr>
                <w:rFonts w:asciiTheme="minorHAnsi" w:hAnsiTheme="minorHAnsi" w:cs="Calibri"/>
                <w:b/>
                <w:color w:val="FFFFFF" w:themeColor="background1"/>
                <w:sz w:val="22"/>
                <w:szCs w:val="22"/>
              </w:rPr>
              <w:t>Affordable</w:t>
            </w:r>
          </w:p>
        </w:tc>
      </w:tr>
      <w:tr w:rsidR="00425A04" w:rsidRPr="00425A04" w14:paraId="1D8D09A0" w14:textId="77777777" w:rsidTr="00425A04">
        <w:trPr>
          <w:trHeight w:val="240"/>
        </w:trPr>
        <w:tc>
          <w:tcPr>
            <w:tcW w:w="1417" w:type="pct"/>
            <w:vMerge/>
            <w:shd w:val="clear" w:color="auto" w:fill="009999"/>
            <w:noWrap/>
          </w:tcPr>
          <w:p w14:paraId="0FC50E73" w14:textId="77777777" w:rsidR="00425A04" w:rsidRPr="00425A04" w:rsidRDefault="00425A04" w:rsidP="003F4FF7">
            <w:pPr>
              <w:spacing w:before="20" w:after="20"/>
              <w:rPr>
                <w:rFonts w:asciiTheme="minorHAnsi" w:hAnsiTheme="minorHAnsi" w:cs="Calibri"/>
                <w:b/>
                <w:color w:val="FFFFFF" w:themeColor="background1"/>
                <w:sz w:val="22"/>
                <w:szCs w:val="22"/>
              </w:rPr>
            </w:pPr>
          </w:p>
        </w:tc>
        <w:tc>
          <w:tcPr>
            <w:tcW w:w="829" w:type="pct"/>
            <w:vMerge/>
            <w:shd w:val="clear" w:color="auto" w:fill="009999"/>
            <w:noWrap/>
          </w:tcPr>
          <w:p w14:paraId="15C81B96" w14:textId="77777777" w:rsidR="00425A04" w:rsidRPr="00425A04" w:rsidRDefault="00425A04" w:rsidP="003F4FF7">
            <w:pPr>
              <w:spacing w:before="20" w:after="20"/>
              <w:jc w:val="center"/>
              <w:rPr>
                <w:rFonts w:asciiTheme="minorHAnsi" w:hAnsiTheme="minorHAnsi" w:cs="Calibri"/>
                <w:b/>
                <w:color w:val="FFFFFF" w:themeColor="background1"/>
                <w:sz w:val="22"/>
                <w:szCs w:val="22"/>
              </w:rPr>
            </w:pPr>
          </w:p>
        </w:tc>
        <w:tc>
          <w:tcPr>
            <w:tcW w:w="624" w:type="pct"/>
            <w:vMerge/>
            <w:shd w:val="clear" w:color="auto" w:fill="009999"/>
            <w:noWrap/>
          </w:tcPr>
          <w:p w14:paraId="38D6F9BF" w14:textId="77777777" w:rsidR="00425A04" w:rsidRPr="00425A04" w:rsidRDefault="00425A04" w:rsidP="003F4FF7">
            <w:pPr>
              <w:spacing w:before="20" w:after="20"/>
              <w:jc w:val="center"/>
              <w:rPr>
                <w:rFonts w:asciiTheme="minorHAnsi" w:hAnsiTheme="minorHAnsi" w:cs="Calibri"/>
                <w:b/>
                <w:color w:val="FFFFFF" w:themeColor="background1"/>
                <w:sz w:val="22"/>
                <w:szCs w:val="22"/>
              </w:rPr>
            </w:pPr>
          </w:p>
        </w:tc>
        <w:tc>
          <w:tcPr>
            <w:tcW w:w="617" w:type="pct"/>
            <w:shd w:val="clear" w:color="auto" w:fill="009999"/>
            <w:noWrap/>
          </w:tcPr>
          <w:p w14:paraId="2A37ED54" w14:textId="754E8315" w:rsidR="00425A04" w:rsidRPr="00425A04" w:rsidRDefault="00425A04" w:rsidP="003F4FF7">
            <w:pPr>
              <w:spacing w:before="20" w:after="20"/>
              <w:jc w:val="center"/>
              <w:rPr>
                <w:rFonts w:asciiTheme="minorHAnsi" w:hAnsiTheme="minorHAnsi" w:cs="Calibri"/>
                <w:bCs/>
                <w:color w:val="FFFFFF" w:themeColor="background1"/>
                <w:sz w:val="22"/>
                <w:szCs w:val="22"/>
              </w:rPr>
            </w:pPr>
            <w:r w:rsidRPr="00425A04">
              <w:rPr>
                <w:rFonts w:asciiTheme="minorHAnsi" w:hAnsiTheme="minorHAnsi" w:cs="Calibri"/>
                <w:bCs/>
                <w:color w:val="FFFFFF" w:themeColor="background1"/>
                <w:sz w:val="22"/>
                <w:szCs w:val="22"/>
              </w:rPr>
              <w:t>No.</w:t>
            </w:r>
          </w:p>
        </w:tc>
        <w:tc>
          <w:tcPr>
            <w:tcW w:w="564" w:type="pct"/>
            <w:shd w:val="clear" w:color="auto" w:fill="009999"/>
          </w:tcPr>
          <w:p w14:paraId="3E987A4B" w14:textId="6007C153" w:rsidR="00425A04" w:rsidRPr="00425A04" w:rsidRDefault="00425A04" w:rsidP="003F4FF7">
            <w:pPr>
              <w:spacing w:before="20" w:after="20"/>
              <w:jc w:val="center"/>
              <w:rPr>
                <w:rFonts w:asciiTheme="minorHAnsi" w:hAnsiTheme="minorHAnsi" w:cs="Calibri"/>
                <w:bCs/>
                <w:color w:val="FFFFFF" w:themeColor="background1"/>
                <w:sz w:val="22"/>
                <w:szCs w:val="22"/>
              </w:rPr>
            </w:pPr>
            <w:r w:rsidRPr="00425A04">
              <w:rPr>
                <w:rFonts w:asciiTheme="minorHAnsi" w:hAnsiTheme="minorHAnsi" w:cs="Calibri"/>
                <w:bCs/>
                <w:color w:val="FFFFFF" w:themeColor="background1"/>
                <w:sz w:val="22"/>
                <w:szCs w:val="22"/>
              </w:rPr>
              <w:t>%</w:t>
            </w:r>
          </w:p>
        </w:tc>
        <w:tc>
          <w:tcPr>
            <w:tcW w:w="558" w:type="pct"/>
            <w:shd w:val="clear" w:color="auto" w:fill="009999"/>
            <w:noWrap/>
          </w:tcPr>
          <w:p w14:paraId="7A9873B9" w14:textId="159289D2" w:rsidR="00425A04" w:rsidRPr="00425A04" w:rsidRDefault="00425A04" w:rsidP="003F4FF7">
            <w:pPr>
              <w:spacing w:before="20" w:after="20"/>
              <w:jc w:val="center"/>
              <w:rPr>
                <w:rFonts w:asciiTheme="minorHAnsi" w:hAnsiTheme="minorHAnsi" w:cs="Calibri"/>
                <w:bCs/>
                <w:color w:val="FFFFFF" w:themeColor="background1"/>
                <w:sz w:val="22"/>
                <w:szCs w:val="22"/>
              </w:rPr>
            </w:pPr>
            <w:r w:rsidRPr="00425A04">
              <w:rPr>
                <w:rFonts w:asciiTheme="minorHAnsi" w:hAnsiTheme="minorHAnsi" w:cs="Calibri"/>
                <w:bCs/>
                <w:color w:val="FFFFFF" w:themeColor="background1"/>
                <w:sz w:val="22"/>
                <w:szCs w:val="22"/>
              </w:rPr>
              <w:t>No.</w:t>
            </w:r>
          </w:p>
        </w:tc>
        <w:tc>
          <w:tcPr>
            <w:tcW w:w="391" w:type="pct"/>
            <w:shd w:val="clear" w:color="auto" w:fill="009999"/>
          </w:tcPr>
          <w:p w14:paraId="459C704D" w14:textId="31BDF5F0" w:rsidR="00425A04" w:rsidRPr="00425A04" w:rsidRDefault="00425A04" w:rsidP="003F4FF7">
            <w:pPr>
              <w:spacing w:before="20" w:after="20"/>
              <w:jc w:val="center"/>
              <w:rPr>
                <w:rFonts w:asciiTheme="minorHAnsi" w:hAnsiTheme="minorHAnsi" w:cs="Calibri"/>
                <w:bCs/>
                <w:color w:val="FFFFFF" w:themeColor="background1"/>
                <w:sz w:val="22"/>
                <w:szCs w:val="22"/>
              </w:rPr>
            </w:pPr>
            <w:r w:rsidRPr="00425A04">
              <w:rPr>
                <w:rFonts w:asciiTheme="minorHAnsi" w:hAnsiTheme="minorHAnsi" w:cs="Calibri"/>
                <w:bCs/>
                <w:color w:val="FFFFFF" w:themeColor="background1"/>
                <w:sz w:val="22"/>
                <w:szCs w:val="22"/>
              </w:rPr>
              <w:t>%</w:t>
            </w:r>
          </w:p>
        </w:tc>
      </w:tr>
      <w:tr w:rsidR="00894104" w:rsidRPr="00425A04" w14:paraId="3D254101" w14:textId="759D260A" w:rsidTr="00425A04">
        <w:trPr>
          <w:trHeight w:val="240"/>
        </w:trPr>
        <w:tc>
          <w:tcPr>
            <w:tcW w:w="1417" w:type="pct"/>
            <w:shd w:val="clear" w:color="auto" w:fill="auto"/>
            <w:noWrap/>
            <w:vAlign w:val="center"/>
          </w:tcPr>
          <w:p w14:paraId="69892394" w14:textId="77777777" w:rsidR="00F50C71" w:rsidRPr="00425A04" w:rsidRDefault="00F50C71" w:rsidP="00F50C71">
            <w:pPr>
              <w:spacing w:before="20" w:after="20"/>
              <w:rPr>
                <w:rFonts w:asciiTheme="minorHAnsi" w:hAnsiTheme="minorHAnsi" w:cs="Calibri"/>
                <w:color w:val="000000"/>
                <w:sz w:val="22"/>
                <w:szCs w:val="22"/>
              </w:rPr>
            </w:pPr>
            <w:r w:rsidRPr="00425A04">
              <w:rPr>
                <w:rFonts w:asciiTheme="minorHAnsi" w:hAnsiTheme="minorHAnsi" w:cs="Calibri"/>
                <w:color w:val="000000"/>
                <w:sz w:val="22"/>
                <w:szCs w:val="22"/>
              </w:rPr>
              <w:t>Smaller 1 and 2-bedroom</w:t>
            </w:r>
          </w:p>
        </w:tc>
        <w:tc>
          <w:tcPr>
            <w:tcW w:w="829" w:type="pct"/>
            <w:shd w:val="clear" w:color="auto" w:fill="auto"/>
            <w:noWrap/>
            <w:vAlign w:val="bottom"/>
          </w:tcPr>
          <w:p w14:paraId="4D26CF9D" w14:textId="55942446" w:rsidR="00F50C71" w:rsidRPr="00425A04" w:rsidRDefault="00F50C71" w:rsidP="00425A04">
            <w:pPr>
              <w:spacing w:before="20" w:after="20"/>
              <w:jc w:val="right"/>
              <w:rPr>
                <w:rFonts w:asciiTheme="minorHAnsi" w:hAnsiTheme="minorHAnsi" w:cs="Calibri"/>
                <w:color w:val="000000"/>
                <w:sz w:val="22"/>
                <w:szCs w:val="22"/>
              </w:rPr>
            </w:pPr>
            <w:r w:rsidRPr="00425A04">
              <w:rPr>
                <w:rFonts w:cs="Calibri"/>
                <w:color w:val="000000"/>
                <w:sz w:val="22"/>
                <w:szCs w:val="22"/>
              </w:rPr>
              <w:t>38.3</w:t>
            </w:r>
          </w:p>
        </w:tc>
        <w:tc>
          <w:tcPr>
            <w:tcW w:w="624" w:type="pct"/>
            <w:shd w:val="clear" w:color="auto" w:fill="auto"/>
            <w:noWrap/>
            <w:vAlign w:val="center"/>
          </w:tcPr>
          <w:p w14:paraId="64F7949F" w14:textId="2F408173" w:rsidR="00F50C71" w:rsidRPr="00425A04" w:rsidRDefault="00F50C71" w:rsidP="00425A04">
            <w:pPr>
              <w:spacing w:before="20" w:after="20"/>
              <w:jc w:val="right"/>
              <w:rPr>
                <w:rFonts w:asciiTheme="minorHAnsi" w:hAnsiTheme="minorHAnsi" w:cs="Calibri"/>
                <w:color w:val="000000"/>
                <w:sz w:val="22"/>
                <w:szCs w:val="22"/>
              </w:rPr>
            </w:pPr>
            <w:r w:rsidRPr="00425A04">
              <w:rPr>
                <w:rFonts w:cs="Calibri"/>
                <w:color w:val="000000"/>
                <w:sz w:val="22"/>
                <w:szCs w:val="22"/>
              </w:rPr>
              <w:t>1136</w:t>
            </w:r>
          </w:p>
        </w:tc>
        <w:tc>
          <w:tcPr>
            <w:tcW w:w="617" w:type="pct"/>
            <w:shd w:val="clear" w:color="auto" w:fill="auto"/>
            <w:noWrap/>
            <w:vAlign w:val="center"/>
          </w:tcPr>
          <w:p w14:paraId="090D88C2" w14:textId="618026AF" w:rsidR="00F50C71" w:rsidRPr="00425A04" w:rsidRDefault="00F50C71" w:rsidP="00425A04">
            <w:pPr>
              <w:spacing w:before="20" w:after="20"/>
              <w:jc w:val="right"/>
              <w:rPr>
                <w:rFonts w:asciiTheme="minorHAnsi" w:hAnsiTheme="minorHAnsi" w:cs="Calibri"/>
                <w:color w:val="000000"/>
                <w:sz w:val="22"/>
                <w:szCs w:val="22"/>
              </w:rPr>
            </w:pPr>
            <w:r w:rsidRPr="00425A04">
              <w:rPr>
                <w:rFonts w:cs="Calibri"/>
                <w:color w:val="000000"/>
                <w:sz w:val="22"/>
                <w:szCs w:val="22"/>
              </w:rPr>
              <w:t>248</w:t>
            </w:r>
          </w:p>
        </w:tc>
        <w:tc>
          <w:tcPr>
            <w:tcW w:w="564" w:type="pct"/>
            <w:vAlign w:val="bottom"/>
          </w:tcPr>
          <w:p w14:paraId="0F2256F9" w14:textId="5EC0B9DC" w:rsidR="00F50C71" w:rsidRPr="00425A04" w:rsidRDefault="00F50C71" w:rsidP="00425A04">
            <w:pPr>
              <w:spacing w:before="20" w:after="20"/>
              <w:jc w:val="right"/>
              <w:rPr>
                <w:rFonts w:cs="Calibri"/>
                <w:color w:val="000000"/>
                <w:sz w:val="22"/>
                <w:szCs w:val="22"/>
              </w:rPr>
            </w:pPr>
            <w:r w:rsidRPr="00425A04">
              <w:rPr>
                <w:rFonts w:cs="Calibri"/>
                <w:color w:val="000000"/>
                <w:sz w:val="22"/>
                <w:szCs w:val="22"/>
              </w:rPr>
              <w:t>16.7</w:t>
            </w:r>
          </w:p>
        </w:tc>
        <w:tc>
          <w:tcPr>
            <w:tcW w:w="558" w:type="pct"/>
            <w:shd w:val="clear" w:color="auto" w:fill="auto"/>
            <w:noWrap/>
            <w:vAlign w:val="center"/>
          </w:tcPr>
          <w:p w14:paraId="67442AA7" w14:textId="271CBFB4" w:rsidR="00F50C71" w:rsidRPr="00425A04" w:rsidRDefault="00F50C71" w:rsidP="00425A04">
            <w:pPr>
              <w:spacing w:before="20" w:after="20"/>
              <w:jc w:val="right"/>
              <w:rPr>
                <w:rFonts w:asciiTheme="minorHAnsi" w:hAnsiTheme="minorHAnsi" w:cs="Calibri"/>
                <w:color w:val="000000"/>
                <w:sz w:val="22"/>
                <w:szCs w:val="22"/>
              </w:rPr>
            </w:pPr>
            <w:r w:rsidRPr="00425A04">
              <w:rPr>
                <w:rFonts w:cs="Calibri"/>
                <w:color w:val="000000"/>
                <w:sz w:val="22"/>
                <w:szCs w:val="22"/>
              </w:rPr>
              <w:t>888</w:t>
            </w:r>
          </w:p>
        </w:tc>
        <w:tc>
          <w:tcPr>
            <w:tcW w:w="391" w:type="pct"/>
            <w:vAlign w:val="bottom"/>
          </w:tcPr>
          <w:p w14:paraId="28C94BD0" w14:textId="081EB50A" w:rsidR="00F50C71" w:rsidRPr="00425A04" w:rsidRDefault="00F50C71" w:rsidP="00425A04">
            <w:pPr>
              <w:spacing w:before="20" w:after="20"/>
              <w:jc w:val="right"/>
              <w:rPr>
                <w:rFonts w:cs="Calibri"/>
                <w:color w:val="000000"/>
                <w:sz w:val="22"/>
                <w:szCs w:val="22"/>
              </w:rPr>
            </w:pPr>
            <w:r w:rsidRPr="00425A04">
              <w:rPr>
                <w:rFonts w:cs="Calibri"/>
                <w:color w:val="000000"/>
                <w:sz w:val="22"/>
                <w:szCs w:val="22"/>
              </w:rPr>
              <w:t>59.9</w:t>
            </w:r>
          </w:p>
        </w:tc>
      </w:tr>
      <w:tr w:rsidR="00894104" w:rsidRPr="00425A04" w14:paraId="040485CF" w14:textId="4D6E3FE8" w:rsidTr="00425A04">
        <w:trPr>
          <w:trHeight w:val="240"/>
        </w:trPr>
        <w:tc>
          <w:tcPr>
            <w:tcW w:w="1417" w:type="pct"/>
            <w:shd w:val="clear" w:color="auto" w:fill="auto"/>
            <w:noWrap/>
            <w:vAlign w:val="center"/>
          </w:tcPr>
          <w:p w14:paraId="593B9243" w14:textId="77777777" w:rsidR="00F50C71" w:rsidRPr="00425A04" w:rsidRDefault="00F50C71" w:rsidP="00F50C71">
            <w:pPr>
              <w:spacing w:before="20" w:after="20"/>
              <w:rPr>
                <w:rFonts w:asciiTheme="minorHAnsi" w:hAnsiTheme="minorHAnsi" w:cs="Calibri"/>
                <w:color w:val="000000"/>
                <w:sz w:val="22"/>
                <w:szCs w:val="22"/>
              </w:rPr>
            </w:pPr>
            <w:r w:rsidRPr="00425A04">
              <w:rPr>
                <w:rFonts w:asciiTheme="minorHAnsi" w:hAnsiTheme="minorHAnsi" w:cs="Calibri"/>
                <w:color w:val="000000"/>
                <w:sz w:val="22"/>
                <w:szCs w:val="22"/>
              </w:rPr>
              <w:t>3-bedroom</w:t>
            </w:r>
          </w:p>
        </w:tc>
        <w:tc>
          <w:tcPr>
            <w:tcW w:w="829" w:type="pct"/>
            <w:shd w:val="clear" w:color="auto" w:fill="auto"/>
            <w:noWrap/>
            <w:vAlign w:val="bottom"/>
          </w:tcPr>
          <w:p w14:paraId="5D66F871" w14:textId="14F3364F" w:rsidR="00F50C71" w:rsidRPr="00425A04" w:rsidRDefault="00F50C71" w:rsidP="00425A04">
            <w:pPr>
              <w:spacing w:before="20" w:after="20"/>
              <w:jc w:val="right"/>
              <w:rPr>
                <w:rFonts w:asciiTheme="minorHAnsi" w:hAnsiTheme="minorHAnsi" w:cs="Calibri"/>
                <w:color w:val="000000"/>
                <w:sz w:val="22"/>
                <w:szCs w:val="22"/>
              </w:rPr>
            </w:pPr>
            <w:r w:rsidRPr="00425A04">
              <w:rPr>
                <w:rFonts w:cs="Calibri"/>
                <w:color w:val="000000"/>
                <w:sz w:val="22"/>
                <w:szCs w:val="22"/>
              </w:rPr>
              <w:t>42.3</w:t>
            </w:r>
          </w:p>
        </w:tc>
        <w:tc>
          <w:tcPr>
            <w:tcW w:w="624" w:type="pct"/>
            <w:shd w:val="clear" w:color="auto" w:fill="auto"/>
            <w:noWrap/>
            <w:vAlign w:val="center"/>
          </w:tcPr>
          <w:p w14:paraId="5255FAAA" w14:textId="517726FA" w:rsidR="00F50C71" w:rsidRPr="00425A04" w:rsidRDefault="00F50C71" w:rsidP="00425A04">
            <w:pPr>
              <w:spacing w:before="20" w:after="20"/>
              <w:jc w:val="right"/>
              <w:rPr>
                <w:rFonts w:asciiTheme="minorHAnsi" w:hAnsiTheme="minorHAnsi" w:cs="Calibri"/>
                <w:color w:val="000000"/>
                <w:sz w:val="22"/>
                <w:szCs w:val="22"/>
              </w:rPr>
            </w:pPr>
            <w:r w:rsidRPr="00425A04">
              <w:rPr>
                <w:rFonts w:cs="Calibri"/>
                <w:color w:val="000000"/>
                <w:sz w:val="22"/>
                <w:szCs w:val="22"/>
              </w:rPr>
              <w:t>1254</w:t>
            </w:r>
          </w:p>
        </w:tc>
        <w:tc>
          <w:tcPr>
            <w:tcW w:w="617" w:type="pct"/>
            <w:shd w:val="clear" w:color="auto" w:fill="auto"/>
            <w:noWrap/>
            <w:vAlign w:val="center"/>
          </w:tcPr>
          <w:p w14:paraId="477E3003" w14:textId="3B38B2F5" w:rsidR="00F50C71" w:rsidRPr="00425A04" w:rsidRDefault="00F50C71" w:rsidP="00425A04">
            <w:pPr>
              <w:spacing w:before="20" w:after="20"/>
              <w:jc w:val="right"/>
              <w:rPr>
                <w:rFonts w:asciiTheme="minorHAnsi" w:hAnsiTheme="minorHAnsi" w:cs="Calibri"/>
                <w:color w:val="000000"/>
                <w:sz w:val="22"/>
                <w:szCs w:val="22"/>
              </w:rPr>
            </w:pPr>
            <w:r w:rsidRPr="00425A04">
              <w:rPr>
                <w:rFonts w:cs="Calibri"/>
                <w:color w:val="000000"/>
                <w:sz w:val="22"/>
                <w:szCs w:val="22"/>
              </w:rPr>
              <w:t>848</w:t>
            </w:r>
          </w:p>
        </w:tc>
        <w:tc>
          <w:tcPr>
            <w:tcW w:w="564" w:type="pct"/>
            <w:vAlign w:val="bottom"/>
          </w:tcPr>
          <w:p w14:paraId="4C94F2C4" w14:textId="22A70B2F" w:rsidR="00F50C71" w:rsidRPr="00425A04" w:rsidRDefault="00F50C71" w:rsidP="00425A04">
            <w:pPr>
              <w:spacing w:before="20" w:after="20"/>
              <w:jc w:val="right"/>
              <w:rPr>
                <w:rFonts w:cs="Calibri"/>
                <w:color w:val="000000"/>
                <w:sz w:val="22"/>
                <w:szCs w:val="22"/>
              </w:rPr>
            </w:pPr>
            <w:r w:rsidRPr="00425A04">
              <w:rPr>
                <w:rFonts w:cs="Calibri"/>
                <w:color w:val="000000"/>
                <w:sz w:val="22"/>
                <w:szCs w:val="22"/>
              </w:rPr>
              <w:t>57.2</w:t>
            </w:r>
          </w:p>
        </w:tc>
        <w:tc>
          <w:tcPr>
            <w:tcW w:w="558" w:type="pct"/>
            <w:shd w:val="clear" w:color="auto" w:fill="auto"/>
            <w:noWrap/>
            <w:vAlign w:val="center"/>
          </w:tcPr>
          <w:p w14:paraId="4F04BE47" w14:textId="7DD8C087" w:rsidR="00F50C71" w:rsidRPr="00425A04" w:rsidRDefault="00F50C71" w:rsidP="00425A04">
            <w:pPr>
              <w:spacing w:before="20" w:after="20"/>
              <w:jc w:val="right"/>
              <w:rPr>
                <w:rFonts w:asciiTheme="minorHAnsi" w:hAnsiTheme="minorHAnsi" w:cs="Calibri"/>
                <w:color w:val="000000"/>
                <w:sz w:val="22"/>
                <w:szCs w:val="22"/>
              </w:rPr>
            </w:pPr>
            <w:r w:rsidRPr="00425A04">
              <w:rPr>
                <w:rFonts w:cs="Calibri"/>
                <w:color w:val="000000"/>
                <w:sz w:val="22"/>
                <w:szCs w:val="22"/>
              </w:rPr>
              <w:t>406</w:t>
            </w:r>
          </w:p>
        </w:tc>
        <w:tc>
          <w:tcPr>
            <w:tcW w:w="391" w:type="pct"/>
            <w:vAlign w:val="bottom"/>
          </w:tcPr>
          <w:p w14:paraId="19967CDA" w14:textId="1D13FF81" w:rsidR="00F50C71" w:rsidRPr="00425A04" w:rsidRDefault="00F50C71" w:rsidP="00425A04">
            <w:pPr>
              <w:spacing w:before="20" w:after="20"/>
              <w:jc w:val="right"/>
              <w:rPr>
                <w:rFonts w:cs="Calibri"/>
                <w:color w:val="000000"/>
                <w:sz w:val="22"/>
                <w:szCs w:val="22"/>
              </w:rPr>
            </w:pPr>
            <w:r w:rsidRPr="00425A04">
              <w:rPr>
                <w:rFonts w:cs="Calibri"/>
                <w:color w:val="000000"/>
                <w:sz w:val="22"/>
                <w:szCs w:val="22"/>
              </w:rPr>
              <w:t>27.4</w:t>
            </w:r>
          </w:p>
        </w:tc>
      </w:tr>
      <w:tr w:rsidR="00894104" w:rsidRPr="00425A04" w14:paraId="27BB479F" w14:textId="3D407B4E" w:rsidTr="00425A04">
        <w:trPr>
          <w:trHeight w:val="240"/>
        </w:trPr>
        <w:tc>
          <w:tcPr>
            <w:tcW w:w="1417" w:type="pct"/>
            <w:shd w:val="clear" w:color="auto" w:fill="auto"/>
            <w:noWrap/>
            <w:vAlign w:val="center"/>
          </w:tcPr>
          <w:p w14:paraId="3C8E0BC6" w14:textId="77777777" w:rsidR="00F50C71" w:rsidRPr="00425A04" w:rsidRDefault="00F50C71" w:rsidP="00F50C71">
            <w:pPr>
              <w:spacing w:before="20" w:after="20"/>
              <w:rPr>
                <w:rFonts w:asciiTheme="minorHAnsi" w:hAnsiTheme="minorHAnsi" w:cs="Calibri"/>
                <w:color w:val="000000"/>
                <w:sz w:val="22"/>
                <w:szCs w:val="22"/>
              </w:rPr>
            </w:pPr>
            <w:r w:rsidRPr="00425A04">
              <w:rPr>
                <w:rFonts w:asciiTheme="minorHAnsi" w:hAnsiTheme="minorHAnsi" w:cs="Calibri"/>
                <w:color w:val="000000"/>
                <w:sz w:val="22"/>
                <w:szCs w:val="22"/>
              </w:rPr>
              <w:t>4-bedroom</w:t>
            </w:r>
          </w:p>
        </w:tc>
        <w:tc>
          <w:tcPr>
            <w:tcW w:w="829" w:type="pct"/>
            <w:shd w:val="clear" w:color="auto" w:fill="auto"/>
            <w:noWrap/>
            <w:vAlign w:val="bottom"/>
          </w:tcPr>
          <w:p w14:paraId="30667FE6" w14:textId="7F5F0429" w:rsidR="00F50C71" w:rsidRPr="00425A04" w:rsidRDefault="00F50C71" w:rsidP="00425A04">
            <w:pPr>
              <w:spacing w:before="20" w:after="20"/>
              <w:jc w:val="right"/>
              <w:rPr>
                <w:rFonts w:asciiTheme="minorHAnsi" w:hAnsiTheme="minorHAnsi" w:cs="Calibri"/>
                <w:color w:val="000000"/>
                <w:sz w:val="22"/>
                <w:szCs w:val="22"/>
              </w:rPr>
            </w:pPr>
            <w:r w:rsidRPr="00425A04">
              <w:rPr>
                <w:rFonts w:cs="Calibri"/>
                <w:color w:val="000000"/>
                <w:sz w:val="22"/>
                <w:szCs w:val="22"/>
              </w:rPr>
              <w:t>19.4</w:t>
            </w:r>
          </w:p>
        </w:tc>
        <w:tc>
          <w:tcPr>
            <w:tcW w:w="624" w:type="pct"/>
            <w:shd w:val="clear" w:color="auto" w:fill="auto"/>
            <w:noWrap/>
            <w:vAlign w:val="center"/>
          </w:tcPr>
          <w:p w14:paraId="674573A4" w14:textId="7B2F8251" w:rsidR="00F50C71" w:rsidRPr="00425A04" w:rsidRDefault="00F50C71" w:rsidP="00425A04">
            <w:pPr>
              <w:spacing w:before="20" w:after="20"/>
              <w:jc w:val="right"/>
              <w:rPr>
                <w:rFonts w:asciiTheme="minorHAnsi" w:hAnsiTheme="minorHAnsi" w:cs="Calibri"/>
                <w:color w:val="000000"/>
                <w:sz w:val="22"/>
                <w:szCs w:val="22"/>
              </w:rPr>
            </w:pPr>
            <w:r w:rsidRPr="00425A04">
              <w:rPr>
                <w:rFonts w:cs="Calibri"/>
                <w:color w:val="000000"/>
                <w:sz w:val="22"/>
                <w:szCs w:val="22"/>
              </w:rPr>
              <w:t>574</w:t>
            </w:r>
          </w:p>
        </w:tc>
        <w:tc>
          <w:tcPr>
            <w:tcW w:w="617" w:type="pct"/>
            <w:shd w:val="clear" w:color="auto" w:fill="auto"/>
            <w:noWrap/>
            <w:vAlign w:val="center"/>
          </w:tcPr>
          <w:p w14:paraId="6E7259A7" w14:textId="754757AF" w:rsidR="00F50C71" w:rsidRPr="00425A04" w:rsidRDefault="00F50C71" w:rsidP="00425A04">
            <w:pPr>
              <w:spacing w:before="20" w:after="20"/>
              <w:jc w:val="right"/>
              <w:rPr>
                <w:rFonts w:asciiTheme="minorHAnsi" w:hAnsiTheme="minorHAnsi" w:cs="Calibri"/>
                <w:color w:val="000000"/>
                <w:sz w:val="22"/>
                <w:szCs w:val="22"/>
              </w:rPr>
            </w:pPr>
            <w:r w:rsidRPr="00425A04">
              <w:rPr>
                <w:rFonts w:cs="Calibri"/>
                <w:color w:val="000000"/>
                <w:sz w:val="22"/>
                <w:szCs w:val="22"/>
              </w:rPr>
              <w:t>386</w:t>
            </w:r>
          </w:p>
        </w:tc>
        <w:tc>
          <w:tcPr>
            <w:tcW w:w="564" w:type="pct"/>
            <w:vAlign w:val="bottom"/>
          </w:tcPr>
          <w:p w14:paraId="636E8F0E" w14:textId="7D64D0E1" w:rsidR="00F50C71" w:rsidRPr="00425A04" w:rsidRDefault="00F50C71" w:rsidP="00425A04">
            <w:pPr>
              <w:spacing w:before="20" w:after="20"/>
              <w:jc w:val="right"/>
              <w:rPr>
                <w:rFonts w:cs="Calibri"/>
                <w:color w:val="000000"/>
                <w:sz w:val="22"/>
                <w:szCs w:val="22"/>
              </w:rPr>
            </w:pPr>
            <w:r w:rsidRPr="00425A04">
              <w:rPr>
                <w:rFonts w:cs="Calibri"/>
                <w:color w:val="000000"/>
                <w:sz w:val="22"/>
                <w:szCs w:val="22"/>
              </w:rPr>
              <w:t>26.0</w:t>
            </w:r>
          </w:p>
        </w:tc>
        <w:tc>
          <w:tcPr>
            <w:tcW w:w="558" w:type="pct"/>
            <w:shd w:val="clear" w:color="auto" w:fill="auto"/>
            <w:noWrap/>
            <w:vAlign w:val="center"/>
          </w:tcPr>
          <w:p w14:paraId="33E65E45" w14:textId="72FC552C" w:rsidR="00F50C71" w:rsidRPr="00425A04" w:rsidRDefault="00F50C71" w:rsidP="00425A04">
            <w:pPr>
              <w:spacing w:before="20" w:after="20"/>
              <w:jc w:val="right"/>
              <w:rPr>
                <w:rFonts w:asciiTheme="minorHAnsi" w:hAnsiTheme="minorHAnsi" w:cs="Calibri"/>
                <w:color w:val="000000"/>
                <w:sz w:val="22"/>
                <w:szCs w:val="22"/>
              </w:rPr>
            </w:pPr>
            <w:r w:rsidRPr="00425A04">
              <w:rPr>
                <w:rFonts w:cs="Calibri"/>
                <w:color w:val="000000"/>
                <w:sz w:val="22"/>
                <w:szCs w:val="22"/>
              </w:rPr>
              <w:t>188</w:t>
            </w:r>
          </w:p>
        </w:tc>
        <w:tc>
          <w:tcPr>
            <w:tcW w:w="391" w:type="pct"/>
            <w:vAlign w:val="bottom"/>
          </w:tcPr>
          <w:p w14:paraId="6DC73D72" w14:textId="233DAB2F" w:rsidR="00F50C71" w:rsidRPr="00425A04" w:rsidRDefault="00F50C71" w:rsidP="00425A04">
            <w:pPr>
              <w:spacing w:before="20" w:after="20"/>
              <w:jc w:val="right"/>
              <w:rPr>
                <w:rFonts w:cs="Calibri"/>
                <w:color w:val="000000"/>
                <w:sz w:val="22"/>
                <w:szCs w:val="22"/>
              </w:rPr>
            </w:pPr>
            <w:r w:rsidRPr="00425A04">
              <w:rPr>
                <w:rFonts w:cs="Calibri"/>
                <w:color w:val="000000"/>
                <w:sz w:val="22"/>
                <w:szCs w:val="22"/>
              </w:rPr>
              <w:t>12.7</w:t>
            </w:r>
          </w:p>
        </w:tc>
      </w:tr>
      <w:tr w:rsidR="00894104" w:rsidRPr="00425A04" w14:paraId="35B9E565" w14:textId="0F8D1DA7" w:rsidTr="00425A04">
        <w:trPr>
          <w:trHeight w:val="240"/>
        </w:trPr>
        <w:tc>
          <w:tcPr>
            <w:tcW w:w="1417" w:type="pct"/>
            <w:shd w:val="clear" w:color="auto" w:fill="auto"/>
            <w:noWrap/>
            <w:vAlign w:val="bottom"/>
            <w:hideMark/>
          </w:tcPr>
          <w:p w14:paraId="56B76E56" w14:textId="328FA4F5" w:rsidR="00F50C71" w:rsidRPr="00425A04" w:rsidRDefault="00F50C71" w:rsidP="00F50C71">
            <w:pPr>
              <w:spacing w:before="20" w:after="20"/>
              <w:rPr>
                <w:rFonts w:asciiTheme="minorHAnsi" w:hAnsiTheme="minorHAnsi" w:cs="Calibri"/>
                <w:b/>
                <w:color w:val="000000"/>
                <w:sz w:val="22"/>
                <w:szCs w:val="22"/>
              </w:rPr>
            </w:pPr>
            <w:r w:rsidRPr="00425A04">
              <w:rPr>
                <w:rFonts w:asciiTheme="minorHAnsi" w:hAnsiTheme="minorHAnsi" w:cs="Calibri"/>
                <w:b/>
                <w:color w:val="000000"/>
                <w:sz w:val="22"/>
                <w:szCs w:val="22"/>
              </w:rPr>
              <w:t>Base (London Plan Target)</w:t>
            </w:r>
          </w:p>
        </w:tc>
        <w:tc>
          <w:tcPr>
            <w:tcW w:w="829" w:type="pct"/>
            <w:shd w:val="clear" w:color="auto" w:fill="auto"/>
            <w:noWrap/>
            <w:vAlign w:val="bottom"/>
            <w:hideMark/>
          </w:tcPr>
          <w:p w14:paraId="5610AF55" w14:textId="555C80E7" w:rsidR="00F50C71" w:rsidRPr="00425A04" w:rsidRDefault="00F50C71" w:rsidP="00425A04">
            <w:pPr>
              <w:spacing w:before="20" w:after="20"/>
              <w:jc w:val="right"/>
              <w:rPr>
                <w:rFonts w:asciiTheme="minorHAnsi" w:hAnsiTheme="minorHAnsi" w:cs="Calibri"/>
                <w:color w:val="000000"/>
                <w:sz w:val="22"/>
                <w:szCs w:val="22"/>
              </w:rPr>
            </w:pPr>
            <w:r w:rsidRPr="00425A04">
              <w:rPr>
                <w:rFonts w:cs="Calibri"/>
                <w:b/>
                <w:bCs/>
                <w:color w:val="000000"/>
                <w:sz w:val="22"/>
                <w:szCs w:val="22"/>
              </w:rPr>
              <w:t>100.0</w:t>
            </w:r>
          </w:p>
        </w:tc>
        <w:tc>
          <w:tcPr>
            <w:tcW w:w="624" w:type="pct"/>
            <w:shd w:val="clear" w:color="auto" w:fill="auto"/>
            <w:noWrap/>
            <w:vAlign w:val="center"/>
            <w:hideMark/>
          </w:tcPr>
          <w:p w14:paraId="592344C4" w14:textId="58CA0AF0" w:rsidR="00F50C71" w:rsidRPr="00425A04" w:rsidRDefault="00F50C71" w:rsidP="00425A04">
            <w:pPr>
              <w:spacing w:before="20" w:after="20"/>
              <w:jc w:val="right"/>
              <w:rPr>
                <w:rFonts w:asciiTheme="minorHAnsi" w:hAnsiTheme="minorHAnsi" w:cs="Calibri"/>
                <w:color w:val="000000"/>
                <w:sz w:val="22"/>
                <w:szCs w:val="22"/>
              </w:rPr>
            </w:pPr>
            <w:r w:rsidRPr="00425A04">
              <w:rPr>
                <w:rFonts w:cs="Calibri"/>
                <w:b/>
                <w:bCs/>
                <w:color w:val="000000"/>
                <w:sz w:val="22"/>
                <w:szCs w:val="22"/>
              </w:rPr>
              <w:t>2964</w:t>
            </w:r>
          </w:p>
        </w:tc>
        <w:tc>
          <w:tcPr>
            <w:tcW w:w="617" w:type="pct"/>
            <w:shd w:val="clear" w:color="auto" w:fill="auto"/>
            <w:noWrap/>
            <w:vAlign w:val="center"/>
          </w:tcPr>
          <w:p w14:paraId="3911FAD4" w14:textId="5A127E0A" w:rsidR="00F50C71" w:rsidRPr="00425A04" w:rsidRDefault="00F50C71" w:rsidP="00425A04">
            <w:pPr>
              <w:spacing w:before="20" w:after="20"/>
              <w:jc w:val="right"/>
              <w:rPr>
                <w:rFonts w:asciiTheme="minorHAnsi" w:hAnsiTheme="minorHAnsi" w:cs="Calibri"/>
                <w:b/>
                <w:color w:val="000000"/>
                <w:sz w:val="22"/>
                <w:szCs w:val="22"/>
              </w:rPr>
            </w:pPr>
            <w:r w:rsidRPr="00425A04">
              <w:rPr>
                <w:rFonts w:cs="Calibri"/>
                <w:b/>
                <w:bCs/>
                <w:color w:val="000000"/>
                <w:sz w:val="22"/>
                <w:szCs w:val="22"/>
              </w:rPr>
              <w:t>1482</w:t>
            </w:r>
          </w:p>
        </w:tc>
        <w:tc>
          <w:tcPr>
            <w:tcW w:w="564" w:type="pct"/>
            <w:vAlign w:val="bottom"/>
          </w:tcPr>
          <w:p w14:paraId="0BB49236" w14:textId="1FAE3A88" w:rsidR="00F50C71" w:rsidRPr="00425A04" w:rsidRDefault="00F50C71" w:rsidP="00425A04">
            <w:pPr>
              <w:spacing w:before="20" w:after="20"/>
              <w:jc w:val="right"/>
              <w:rPr>
                <w:rFonts w:cs="Calibri"/>
                <w:b/>
                <w:bCs/>
                <w:color w:val="000000"/>
                <w:sz w:val="22"/>
                <w:szCs w:val="22"/>
              </w:rPr>
            </w:pPr>
            <w:r w:rsidRPr="00425A04">
              <w:rPr>
                <w:rFonts w:cs="Calibri"/>
                <w:color w:val="000000"/>
                <w:sz w:val="22"/>
                <w:szCs w:val="22"/>
              </w:rPr>
              <w:t>100.0</w:t>
            </w:r>
          </w:p>
        </w:tc>
        <w:tc>
          <w:tcPr>
            <w:tcW w:w="558" w:type="pct"/>
            <w:shd w:val="clear" w:color="auto" w:fill="auto"/>
            <w:noWrap/>
            <w:vAlign w:val="center"/>
          </w:tcPr>
          <w:p w14:paraId="01D078E0" w14:textId="127A3235" w:rsidR="00F50C71" w:rsidRPr="00425A04" w:rsidRDefault="00F50C71" w:rsidP="00425A04">
            <w:pPr>
              <w:spacing w:before="20" w:after="20"/>
              <w:jc w:val="right"/>
              <w:rPr>
                <w:rFonts w:asciiTheme="minorHAnsi" w:hAnsiTheme="minorHAnsi" w:cs="Calibri"/>
                <w:b/>
                <w:color w:val="000000"/>
                <w:sz w:val="22"/>
                <w:szCs w:val="22"/>
              </w:rPr>
            </w:pPr>
            <w:r w:rsidRPr="00425A04">
              <w:rPr>
                <w:rFonts w:cs="Calibri"/>
                <w:b/>
                <w:bCs/>
                <w:color w:val="000000"/>
                <w:sz w:val="22"/>
                <w:szCs w:val="22"/>
              </w:rPr>
              <w:t>1482</w:t>
            </w:r>
          </w:p>
        </w:tc>
        <w:tc>
          <w:tcPr>
            <w:tcW w:w="391" w:type="pct"/>
            <w:vAlign w:val="bottom"/>
          </w:tcPr>
          <w:p w14:paraId="33B73E0D" w14:textId="0FDCDE91" w:rsidR="00F50C71" w:rsidRPr="00425A04" w:rsidRDefault="00F50C71" w:rsidP="00425A04">
            <w:pPr>
              <w:spacing w:before="20" w:after="20"/>
              <w:jc w:val="right"/>
              <w:rPr>
                <w:rFonts w:cs="Calibri"/>
                <w:b/>
                <w:bCs/>
                <w:color w:val="000000"/>
                <w:sz w:val="22"/>
                <w:szCs w:val="22"/>
              </w:rPr>
            </w:pPr>
            <w:r w:rsidRPr="00425A04">
              <w:rPr>
                <w:rFonts w:cs="Calibri"/>
                <w:color w:val="000000"/>
                <w:sz w:val="22"/>
                <w:szCs w:val="22"/>
              </w:rPr>
              <w:t>100.0</w:t>
            </w:r>
          </w:p>
        </w:tc>
      </w:tr>
    </w:tbl>
    <w:p w14:paraId="6135BCE3" w14:textId="77777777" w:rsidR="003260C5" w:rsidRPr="0067297E" w:rsidRDefault="003260C5" w:rsidP="003260C5">
      <w:pPr>
        <w:rPr>
          <w:rFonts w:asciiTheme="minorHAnsi" w:hAnsiTheme="minorHAnsi"/>
          <w:sz w:val="20"/>
          <w:szCs w:val="20"/>
        </w:rPr>
      </w:pPr>
      <w:r w:rsidRPr="0067297E">
        <w:rPr>
          <w:rFonts w:asciiTheme="minorHAnsi" w:hAnsiTheme="minorHAnsi"/>
          <w:sz w:val="20"/>
          <w:szCs w:val="20"/>
        </w:rPr>
        <w:t>Source: arc</w:t>
      </w:r>
      <w:r w:rsidRPr="0067297E">
        <w:rPr>
          <w:rFonts w:asciiTheme="minorHAnsi" w:hAnsiTheme="minorHAnsi"/>
          <w:sz w:val="20"/>
          <w:szCs w:val="20"/>
          <w:vertAlign w:val="superscript"/>
        </w:rPr>
        <w:t>4</w:t>
      </w:r>
    </w:p>
    <w:p w14:paraId="1BE46646" w14:textId="77777777" w:rsidR="00F6633F" w:rsidRPr="0067297E" w:rsidRDefault="00F6633F" w:rsidP="00A96554">
      <w:pPr>
        <w:rPr>
          <w:rFonts w:asciiTheme="minorHAnsi" w:hAnsiTheme="minorHAnsi"/>
        </w:rPr>
      </w:pPr>
    </w:p>
    <w:p w14:paraId="24345AEE" w14:textId="12AD3E2C" w:rsidR="00EC3B66" w:rsidRPr="0067297E" w:rsidRDefault="000D2A58" w:rsidP="00543A76">
      <w:pPr>
        <w:pStyle w:val="Reporttext"/>
        <w:rPr>
          <w:rFonts w:asciiTheme="minorHAnsi" w:hAnsiTheme="minorHAnsi" w:cs="Calibri"/>
        </w:rPr>
      </w:pPr>
      <w:r w:rsidRPr="0067297E">
        <w:rPr>
          <w:rFonts w:asciiTheme="minorHAnsi" w:hAnsiTheme="minorHAnsi" w:cs="Calibri"/>
        </w:rPr>
        <w:t xml:space="preserve">Regarding dwelling type, Table </w:t>
      </w:r>
      <w:r w:rsidR="00B32E87" w:rsidRPr="0067297E">
        <w:rPr>
          <w:rFonts w:asciiTheme="minorHAnsi" w:hAnsiTheme="minorHAnsi" w:cs="Calibri"/>
          <w:lang w:val="en-GB"/>
        </w:rPr>
        <w:t>7</w:t>
      </w:r>
      <w:r w:rsidR="00EC3B66" w:rsidRPr="0067297E">
        <w:rPr>
          <w:rFonts w:asciiTheme="minorHAnsi" w:hAnsiTheme="minorHAnsi" w:cs="Calibri"/>
        </w:rPr>
        <w:t xml:space="preserve">.7 summarises the stock </w:t>
      </w:r>
      <w:r w:rsidR="005B2517" w:rsidRPr="0067297E">
        <w:rPr>
          <w:rFonts w:asciiTheme="minorHAnsi" w:hAnsiTheme="minorHAnsi" w:cs="Calibri"/>
        </w:rPr>
        <w:t>profile</w:t>
      </w:r>
      <w:r w:rsidR="00EC3B66" w:rsidRPr="0067297E">
        <w:rPr>
          <w:rFonts w:asciiTheme="minorHAnsi" w:hAnsiTheme="minorHAnsi" w:cs="Calibri"/>
        </w:rPr>
        <w:t xml:space="preserve"> of all dwellings based on Valuation Office Agency data by number of bedrooms. Evidence from new</w:t>
      </w:r>
      <w:r w:rsidR="00367646" w:rsidRPr="0067297E">
        <w:rPr>
          <w:rFonts w:asciiTheme="minorHAnsi" w:hAnsiTheme="minorHAnsi" w:cs="Calibri"/>
          <w:lang w:val="en-GB"/>
        </w:rPr>
        <w:t xml:space="preserve"> </w:t>
      </w:r>
      <w:r w:rsidR="00EC3B66" w:rsidRPr="0067297E">
        <w:rPr>
          <w:rFonts w:asciiTheme="minorHAnsi" w:hAnsiTheme="minorHAnsi" w:cs="Calibri"/>
        </w:rPr>
        <w:t xml:space="preserve">build activity demonstrates that the vast </w:t>
      </w:r>
      <w:r w:rsidR="005B2517" w:rsidRPr="0067297E">
        <w:rPr>
          <w:rFonts w:asciiTheme="minorHAnsi" w:hAnsiTheme="minorHAnsi" w:cs="Calibri"/>
        </w:rPr>
        <w:t>majority</w:t>
      </w:r>
      <w:r w:rsidR="00EC3B66" w:rsidRPr="0067297E">
        <w:rPr>
          <w:rFonts w:asciiTheme="minorHAnsi" w:hAnsiTheme="minorHAnsi" w:cs="Calibri"/>
        </w:rPr>
        <w:t xml:space="preserve"> of new build comprises flats/apartments and therefore it is anticipated that these will continue to dominate development </w:t>
      </w:r>
      <w:r w:rsidR="0013293D" w:rsidRPr="0067297E">
        <w:rPr>
          <w:rFonts w:asciiTheme="minorHAnsi" w:hAnsiTheme="minorHAnsi" w:cs="Calibri"/>
        </w:rPr>
        <w:t>across the borough</w:t>
      </w:r>
      <w:r w:rsidR="00EC3B66" w:rsidRPr="0067297E">
        <w:rPr>
          <w:rFonts w:asciiTheme="minorHAnsi" w:hAnsiTheme="minorHAnsi" w:cs="Calibri"/>
        </w:rPr>
        <w:t xml:space="preserve">. </w:t>
      </w:r>
    </w:p>
    <w:p w14:paraId="07912B97" w14:textId="1653BBA8" w:rsidR="00425A04" w:rsidRDefault="00425A04">
      <w:pPr>
        <w:rPr>
          <w:rFonts w:asciiTheme="minorHAnsi" w:hAnsiTheme="minorHAnsi"/>
        </w:rPr>
      </w:pPr>
      <w:r>
        <w:rPr>
          <w:rFonts w:asciiTheme="minorHAnsi" w:hAnsiTheme="minorHAnsi"/>
        </w:rPr>
        <w:br w:type="page"/>
      </w:r>
    </w:p>
    <w:tbl>
      <w:tblPr>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181"/>
        <w:gridCol w:w="1176"/>
        <w:gridCol w:w="1276"/>
        <w:gridCol w:w="1134"/>
        <w:gridCol w:w="1124"/>
      </w:tblGrid>
      <w:tr w:rsidR="00EC3B66" w:rsidRPr="00425A04" w14:paraId="670CE1F7" w14:textId="77777777" w:rsidTr="00426BD8">
        <w:trPr>
          <w:trHeight w:val="300"/>
          <w:tblHeader/>
        </w:trPr>
        <w:tc>
          <w:tcPr>
            <w:tcW w:w="6891" w:type="dxa"/>
            <w:gridSpan w:val="5"/>
            <w:shd w:val="clear" w:color="auto" w:fill="009999"/>
            <w:noWrap/>
            <w:vAlign w:val="bottom"/>
          </w:tcPr>
          <w:p w14:paraId="6741EC23" w14:textId="063285A1" w:rsidR="00EC3B66" w:rsidRPr="00425A04" w:rsidRDefault="000D2A58" w:rsidP="001B5150">
            <w:pPr>
              <w:pStyle w:val="tableheading"/>
              <w:rPr>
                <w:rFonts w:asciiTheme="minorHAnsi" w:hAnsiTheme="minorHAnsi"/>
                <w:szCs w:val="22"/>
              </w:rPr>
            </w:pPr>
            <w:bookmarkStart w:id="436" w:name="_Toc23151201"/>
            <w:r w:rsidRPr="00425A04">
              <w:rPr>
                <w:rFonts w:asciiTheme="minorHAnsi" w:hAnsiTheme="minorHAnsi"/>
                <w:szCs w:val="22"/>
              </w:rPr>
              <w:t xml:space="preserve">Table </w:t>
            </w:r>
            <w:r w:rsidR="00B32E87" w:rsidRPr="00425A04">
              <w:rPr>
                <w:rFonts w:asciiTheme="minorHAnsi" w:hAnsiTheme="minorHAnsi"/>
                <w:szCs w:val="22"/>
                <w:lang w:val="en-GB"/>
              </w:rPr>
              <w:t>7</w:t>
            </w:r>
            <w:r w:rsidRPr="00425A04">
              <w:rPr>
                <w:rFonts w:asciiTheme="minorHAnsi" w:hAnsiTheme="minorHAnsi"/>
                <w:szCs w:val="22"/>
              </w:rPr>
              <w:t>.7</w:t>
            </w:r>
            <w:r w:rsidR="00EC3B66" w:rsidRPr="00425A04">
              <w:rPr>
                <w:rFonts w:asciiTheme="minorHAnsi" w:hAnsiTheme="minorHAnsi"/>
                <w:szCs w:val="22"/>
              </w:rPr>
              <w:tab/>
              <w:t>S</w:t>
            </w:r>
            <w:r w:rsidR="003260C5" w:rsidRPr="00425A04">
              <w:rPr>
                <w:rFonts w:asciiTheme="minorHAnsi" w:hAnsiTheme="minorHAnsi"/>
                <w:szCs w:val="22"/>
                <w:lang w:val="en-GB"/>
              </w:rPr>
              <w:t>tock profile by number of bedrooms 2017</w:t>
            </w:r>
            <w:bookmarkEnd w:id="436"/>
          </w:p>
        </w:tc>
      </w:tr>
      <w:tr w:rsidR="00EC3B66" w:rsidRPr="00425A04" w14:paraId="4E0F85C3" w14:textId="77777777" w:rsidTr="00425A04">
        <w:trPr>
          <w:trHeight w:val="300"/>
        </w:trPr>
        <w:tc>
          <w:tcPr>
            <w:tcW w:w="0" w:type="auto"/>
            <w:shd w:val="clear" w:color="auto" w:fill="009999"/>
            <w:noWrap/>
            <w:vAlign w:val="bottom"/>
            <w:hideMark/>
          </w:tcPr>
          <w:p w14:paraId="7445A61B" w14:textId="77777777" w:rsidR="00EC3B66" w:rsidRPr="00425A04" w:rsidRDefault="00EC3B66" w:rsidP="00A96554">
            <w:pPr>
              <w:rPr>
                <w:rFonts w:asciiTheme="minorHAnsi" w:hAnsiTheme="minorHAnsi" w:cs="Calibri"/>
                <w:b/>
                <w:color w:val="FFFFFF" w:themeColor="background1"/>
                <w:sz w:val="22"/>
                <w:szCs w:val="22"/>
              </w:rPr>
            </w:pPr>
            <w:r w:rsidRPr="00425A04">
              <w:rPr>
                <w:rFonts w:asciiTheme="minorHAnsi" w:hAnsiTheme="minorHAnsi" w:cs="Calibri"/>
                <w:b/>
                <w:color w:val="FFFFFF" w:themeColor="background1"/>
                <w:sz w:val="22"/>
                <w:szCs w:val="22"/>
              </w:rPr>
              <w:t>Number of bedrooms</w:t>
            </w:r>
          </w:p>
        </w:tc>
        <w:tc>
          <w:tcPr>
            <w:tcW w:w="1176" w:type="dxa"/>
            <w:shd w:val="clear" w:color="auto" w:fill="009999"/>
            <w:noWrap/>
            <w:vAlign w:val="bottom"/>
            <w:hideMark/>
          </w:tcPr>
          <w:p w14:paraId="2F0250CC" w14:textId="77777777" w:rsidR="00EC3B66" w:rsidRPr="00425A04" w:rsidRDefault="00EC3B66" w:rsidP="00A96554">
            <w:pPr>
              <w:jc w:val="center"/>
              <w:rPr>
                <w:rFonts w:asciiTheme="minorHAnsi" w:hAnsiTheme="minorHAnsi" w:cs="Calibri"/>
                <w:b/>
                <w:color w:val="FFFFFF" w:themeColor="background1"/>
                <w:sz w:val="22"/>
                <w:szCs w:val="22"/>
              </w:rPr>
            </w:pPr>
            <w:r w:rsidRPr="00425A04">
              <w:rPr>
                <w:rFonts w:asciiTheme="minorHAnsi" w:hAnsiTheme="minorHAnsi" w:cs="Calibri"/>
                <w:b/>
                <w:color w:val="FFFFFF" w:themeColor="background1"/>
                <w:sz w:val="22"/>
                <w:szCs w:val="22"/>
              </w:rPr>
              <w:t>House</w:t>
            </w:r>
          </w:p>
        </w:tc>
        <w:tc>
          <w:tcPr>
            <w:tcW w:w="1276" w:type="dxa"/>
            <w:shd w:val="clear" w:color="auto" w:fill="009999"/>
            <w:noWrap/>
            <w:vAlign w:val="bottom"/>
            <w:hideMark/>
          </w:tcPr>
          <w:p w14:paraId="06E266AC" w14:textId="77777777" w:rsidR="00EC3B66" w:rsidRPr="00425A04" w:rsidRDefault="00EC3B66" w:rsidP="00A96554">
            <w:pPr>
              <w:jc w:val="center"/>
              <w:rPr>
                <w:rFonts w:asciiTheme="minorHAnsi" w:hAnsiTheme="minorHAnsi" w:cs="Calibri"/>
                <w:b/>
                <w:color w:val="FFFFFF" w:themeColor="background1"/>
                <w:sz w:val="22"/>
                <w:szCs w:val="22"/>
              </w:rPr>
            </w:pPr>
            <w:r w:rsidRPr="00425A04">
              <w:rPr>
                <w:rFonts w:asciiTheme="minorHAnsi" w:hAnsiTheme="minorHAnsi" w:cs="Calibri"/>
                <w:b/>
                <w:color w:val="FFFFFF" w:themeColor="background1"/>
                <w:sz w:val="22"/>
                <w:szCs w:val="22"/>
              </w:rPr>
              <w:t>Flat</w:t>
            </w:r>
          </w:p>
        </w:tc>
        <w:tc>
          <w:tcPr>
            <w:tcW w:w="1134" w:type="dxa"/>
            <w:shd w:val="clear" w:color="auto" w:fill="009999"/>
            <w:noWrap/>
            <w:vAlign w:val="bottom"/>
            <w:hideMark/>
          </w:tcPr>
          <w:p w14:paraId="36898FAE" w14:textId="77777777" w:rsidR="00EC3B66" w:rsidRPr="00425A04" w:rsidRDefault="00EC3B66" w:rsidP="00A96554">
            <w:pPr>
              <w:jc w:val="center"/>
              <w:rPr>
                <w:rFonts w:asciiTheme="minorHAnsi" w:hAnsiTheme="minorHAnsi" w:cs="Calibri"/>
                <w:b/>
                <w:color w:val="FFFFFF" w:themeColor="background1"/>
                <w:sz w:val="22"/>
                <w:szCs w:val="22"/>
              </w:rPr>
            </w:pPr>
            <w:r w:rsidRPr="00425A04">
              <w:rPr>
                <w:rFonts w:asciiTheme="minorHAnsi" w:hAnsiTheme="minorHAnsi" w:cs="Calibri"/>
                <w:b/>
                <w:color w:val="FFFFFF" w:themeColor="background1"/>
                <w:sz w:val="22"/>
                <w:szCs w:val="22"/>
              </w:rPr>
              <w:t>Bungalow</w:t>
            </w:r>
          </w:p>
        </w:tc>
        <w:tc>
          <w:tcPr>
            <w:tcW w:w="1124" w:type="dxa"/>
            <w:shd w:val="clear" w:color="auto" w:fill="009999"/>
            <w:noWrap/>
            <w:vAlign w:val="bottom"/>
            <w:hideMark/>
          </w:tcPr>
          <w:p w14:paraId="5659CCB8" w14:textId="77777777" w:rsidR="00EC3B66" w:rsidRPr="00425A04" w:rsidRDefault="00EC3B66" w:rsidP="00A96554">
            <w:pPr>
              <w:jc w:val="center"/>
              <w:rPr>
                <w:rFonts w:asciiTheme="minorHAnsi" w:hAnsiTheme="minorHAnsi" w:cs="Calibri"/>
                <w:b/>
                <w:color w:val="FFFFFF" w:themeColor="background1"/>
                <w:sz w:val="22"/>
                <w:szCs w:val="22"/>
              </w:rPr>
            </w:pPr>
            <w:r w:rsidRPr="00425A04">
              <w:rPr>
                <w:rFonts w:asciiTheme="minorHAnsi" w:hAnsiTheme="minorHAnsi" w:cs="Calibri"/>
                <w:b/>
                <w:color w:val="FFFFFF" w:themeColor="background1"/>
                <w:sz w:val="22"/>
                <w:szCs w:val="22"/>
              </w:rPr>
              <w:t>Total</w:t>
            </w:r>
          </w:p>
        </w:tc>
      </w:tr>
      <w:tr w:rsidR="00EC3B66" w:rsidRPr="00425A04" w14:paraId="21274B64" w14:textId="77777777" w:rsidTr="00425A04">
        <w:trPr>
          <w:trHeight w:val="300"/>
        </w:trPr>
        <w:tc>
          <w:tcPr>
            <w:tcW w:w="0" w:type="auto"/>
            <w:shd w:val="clear" w:color="auto" w:fill="auto"/>
            <w:noWrap/>
            <w:vAlign w:val="bottom"/>
            <w:hideMark/>
          </w:tcPr>
          <w:p w14:paraId="448B584A" w14:textId="77777777" w:rsidR="00EC3B66" w:rsidRPr="00425A04" w:rsidRDefault="00EC3B66" w:rsidP="00A96554">
            <w:pPr>
              <w:jc w:val="center"/>
              <w:rPr>
                <w:rFonts w:asciiTheme="minorHAnsi" w:hAnsiTheme="minorHAnsi" w:cs="Calibri"/>
                <w:color w:val="000000"/>
                <w:sz w:val="22"/>
                <w:szCs w:val="22"/>
              </w:rPr>
            </w:pPr>
            <w:r w:rsidRPr="00425A04">
              <w:rPr>
                <w:rFonts w:asciiTheme="minorHAnsi" w:hAnsiTheme="minorHAnsi" w:cs="Calibri"/>
                <w:color w:val="000000"/>
                <w:sz w:val="22"/>
                <w:szCs w:val="22"/>
              </w:rPr>
              <w:t>1</w:t>
            </w:r>
          </w:p>
        </w:tc>
        <w:tc>
          <w:tcPr>
            <w:tcW w:w="1176" w:type="dxa"/>
            <w:shd w:val="clear" w:color="auto" w:fill="auto"/>
            <w:noWrap/>
            <w:vAlign w:val="bottom"/>
            <w:hideMark/>
          </w:tcPr>
          <w:p w14:paraId="30C6EF8B"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0.4</w:t>
            </w:r>
          </w:p>
        </w:tc>
        <w:tc>
          <w:tcPr>
            <w:tcW w:w="1276" w:type="dxa"/>
            <w:shd w:val="clear" w:color="auto" w:fill="auto"/>
            <w:noWrap/>
            <w:vAlign w:val="bottom"/>
            <w:hideMark/>
          </w:tcPr>
          <w:p w14:paraId="5AE0671C"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25.8</w:t>
            </w:r>
          </w:p>
        </w:tc>
        <w:tc>
          <w:tcPr>
            <w:tcW w:w="1134" w:type="dxa"/>
            <w:shd w:val="clear" w:color="auto" w:fill="auto"/>
            <w:noWrap/>
            <w:vAlign w:val="bottom"/>
            <w:hideMark/>
          </w:tcPr>
          <w:p w14:paraId="6DE07F2D"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0.1</w:t>
            </w:r>
          </w:p>
        </w:tc>
        <w:tc>
          <w:tcPr>
            <w:tcW w:w="1124" w:type="dxa"/>
            <w:shd w:val="clear" w:color="auto" w:fill="auto"/>
            <w:noWrap/>
            <w:vAlign w:val="bottom"/>
            <w:hideMark/>
          </w:tcPr>
          <w:p w14:paraId="587BD1AA"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26.4</w:t>
            </w:r>
          </w:p>
        </w:tc>
      </w:tr>
      <w:tr w:rsidR="00EC3B66" w:rsidRPr="00425A04" w14:paraId="079A0DB6" w14:textId="77777777" w:rsidTr="00425A04">
        <w:trPr>
          <w:trHeight w:val="300"/>
        </w:trPr>
        <w:tc>
          <w:tcPr>
            <w:tcW w:w="0" w:type="auto"/>
            <w:shd w:val="clear" w:color="auto" w:fill="auto"/>
            <w:noWrap/>
            <w:vAlign w:val="bottom"/>
            <w:hideMark/>
          </w:tcPr>
          <w:p w14:paraId="7B83ECA1" w14:textId="77777777" w:rsidR="00EC3B66" w:rsidRPr="00425A04" w:rsidRDefault="00EC3B66" w:rsidP="00A96554">
            <w:pPr>
              <w:jc w:val="center"/>
              <w:rPr>
                <w:rFonts w:asciiTheme="minorHAnsi" w:hAnsiTheme="minorHAnsi" w:cs="Calibri"/>
                <w:color w:val="000000"/>
                <w:sz w:val="22"/>
                <w:szCs w:val="22"/>
              </w:rPr>
            </w:pPr>
            <w:r w:rsidRPr="00425A04">
              <w:rPr>
                <w:rFonts w:asciiTheme="minorHAnsi" w:hAnsiTheme="minorHAnsi" w:cs="Calibri"/>
                <w:color w:val="000000"/>
                <w:sz w:val="22"/>
                <w:szCs w:val="22"/>
              </w:rPr>
              <w:t>2</w:t>
            </w:r>
          </w:p>
        </w:tc>
        <w:tc>
          <w:tcPr>
            <w:tcW w:w="1176" w:type="dxa"/>
            <w:shd w:val="clear" w:color="auto" w:fill="auto"/>
            <w:noWrap/>
            <w:vAlign w:val="bottom"/>
            <w:hideMark/>
          </w:tcPr>
          <w:p w14:paraId="0F19CA43"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7.9</w:t>
            </w:r>
          </w:p>
        </w:tc>
        <w:tc>
          <w:tcPr>
            <w:tcW w:w="1276" w:type="dxa"/>
            <w:shd w:val="clear" w:color="auto" w:fill="auto"/>
            <w:noWrap/>
            <w:vAlign w:val="bottom"/>
            <w:hideMark/>
          </w:tcPr>
          <w:p w14:paraId="6B7123DC"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24.9</w:t>
            </w:r>
          </w:p>
        </w:tc>
        <w:tc>
          <w:tcPr>
            <w:tcW w:w="1134" w:type="dxa"/>
            <w:shd w:val="clear" w:color="auto" w:fill="auto"/>
            <w:noWrap/>
            <w:vAlign w:val="bottom"/>
            <w:hideMark/>
          </w:tcPr>
          <w:p w14:paraId="6E799F9D"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0.2</w:t>
            </w:r>
          </w:p>
        </w:tc>
        <w:tc>
          <w:tcPr>
            <w:tcW w:w="1124" w:type="dxa"/>
            <w:shd w:val="clear" w:color="auto" w:fill="auto"/>
            <w:noWrap/>
            <w:vAlign w:val="bottom"/>
            <w:hideMark/>
          </w:tcPr>
          <w:p w14:paraId="4AED2B11"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33.0</w:t>
            </w:r>
          </w:p>
        </w:tc>
      </w:tr>
      <w:tr w:rsidR="00EC3B66" w:rsidRPr="00425A04" w14:paraId="1E6BD78E" w14:textId="77777777" w:rsidTr="00425A04">
        <w:trPr>
          <w:trHeight w:val="300"/>
        </w:trPr>
        <w:tc>
          <w:tcPr>
            <w:tcW w:w="0" w:type="auto"/>
            <w:shd w:val="clear" w:color="auto" w:fill="auto"/>
            <w:noWrap/>
            <w:vAlign w:val="bottom"/>
            <w:hideMark/>
          </w:tcPr>
          <w:p w14:paraId="3C0CAD20" w14:textId="77777777" w:rsidR="00EC3B66" w:rsidRPr="00425A04" w:rsidRDefault="00EC3B66" w:rsidP="00A96554">
            <w:pPr>
              <w:jc w:val="center"/>
              <w:rPr>
                <w:rFonts w:asciiTheme="minorHAnsi" w:hAnsiTheme="minorHAnsi" w:cs="Calibri"/>
                <w:color w:val="000000"/>
                <w:sz w:val="22"/>
                <w:szCs w:val="22"/>
              </w:rPr>
            </w:pPr>
            <w:r w:rsidRPr="00425A04">
              <w:rPr>
                <w:rFonts w:asciiTheme="minorHAnsi" w:hAnsiTheme="minorHAnsi" w:cs="Calibri"/>
                <w:color w:val="000000"/>
                <w:sz w:val="22"/>
                <w:szCs w:val="22"/>
              </w:rPr>
              <w:t>3</w:t>
            </w:r>
          </w:p>
        </w:tc>
        <w:tc>
          <w:tcPr>
            <w:tcW w:w="1176" w:type="dxa"/>
            <w:shd w:val="clear" w:color="auto" w:fill="auto"/>
            <w:noWrap/>
            <w:vAlign w:val="bottom"/>
            <w:hideMark/>
          </w:tcPr>
          <w:p w14:paraId="4D5A6C55"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24.2</w:t>
            </w:r>
          </w:p>
        </w:tc>
        <w:tc>
          <w:tcPr>
            <w:tcW w:w="1276" w:type="dxa"/>
            <w:shd w:val="clear" w:color="auto" w:fill="auto"/>
            <w:noWrap/>
            <w:vAlign w:val="bottom"/>
            <w:hideMark/>
          </w:tcPr>
          <w:p w14:paraId="20FACC34"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6.2</w:t>
            </w:r>
          </w:p>
        </w:tc>
        <w:tc>
          <w:tcPr>
            <w:tcW w:w="1134" w:type="dxa"/>
            <w:shd w:val="clear" w:color="auto" w:fill="auto"/>
            <w:noWrap/>
            <w:vAlign w:val="bottom"/>
            <w:hideMark/>
          </w:tcPr>
          <w:p w14:paraId="507899C4"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0.0</w:t>
            </w:r>
          </w:p>
        </w:tc>
        <w:tc>
          <w:tcPr>
            <w:tcW w:w="1124" w:type="dxa"/>
            <w:shd w:val="clear" w:color="auto" w:fill="auto"/>
            <w:noWrap/>
            <w:vAlign w:val="bottom"/>
            <w:hideMark/>
          </w:tcPr>
          <w:p w14:paraId="3DAFDADB"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30.4</w:t>
            </w:r>
          </w:p>
        </w:tc>
      </w:tr>
      <w:tr w:rsidR="00EC3B66" w:rsidRPr="00425A04" w14:paraId="7279AECF" w14:textId="77777777" w:rsidTr="00425A04">
        <w:trPr>
          <w:trHeight w:val="300"/>
        </w:trPr>
        <w:tc>
          <w:tcPr>
            <w:tcW w:w="0" w:type="auto"/>
            <w:shd w:val="clear" w:color="auto" w:fill="auto"/>
            <w:noWrap/>
            <w:vAlign w:val="bottom"/>
            <w:hideMark/>
          </w:tcPr>
          <w:p w14:paraId="2A392DD1" w14:textId="77777777" w:rsidR="00EC3B66" w:rsidRPr="00425A04" w:rsidRDefault="00EC3B66" w:rsidP="00A96554">
            <w:pPr>
              <w:jc w:val="center"/>
              <w:rPr>
                <w:rFonts w:asciiTheme="minorHAnsi" w:hAnsiTheme="minorHAnsi" w:cs="Calibri"/>
                <w:color w:val="000000"/>
                <w:sz w:val="22"/>
                <w:szCs w:val="22"/>
              </w:rPr>
            </w:pPr>
            <w:r w:rsidRPr="00425A04">
              <w:rPr>
                <w:rFonts w:asciiTheme="minorHAnsi" w:hAnsiTheme="minorHAnsi" w:cs="Calibri"/>
                <w:color w:val="000000"/>
                <w:sz w:val="22"/>
                <w:szCs w:val="22"/>
              </w:rPr>
              <w:t>4</w:t>
            </w:r>
          </w:p>
        </w:tc>
        <w:tc>
          <w:tcPr>
            <w:tcW w:w="1176" w:type="dxa"/>
            <w:shd w:val="clear" w:color="auto" w:fill="auto"/>
            <w:noWrap/>
            <w:vAlign w:val="bottom"/>
            <w:hideMark/>
          </w:tcPr>
          <w:p w14:paraId="6E9F6C7C"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9.4</w:t>
            </w:r>
          </w:p>
        </w:tc>
        <w:tc>
          <w:tcPr>
            <w:tcW w:w="1276" w:type="dxa"/>
            <w:shd w:val="clear" w:color="auto" w:fill="auto"/>
            <w:noWrap/>
            <w:vAlign w:val="bottom"/>
            <w:hideMark/>
          </w:tcPr>
          <w:p w14:paraId="7511CEC6"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0.7</w:t>
            </w:r>
          </w:p>
        </w:tc>
        <w:tc>
          <w:tcPr>
            <w:tcW w:w="1134" w:type="dxa"/>
            <w:shd w:val="clear" w:color="auto" w:fill="auto"/>
            <w:noWrap/>
            <w:vAlign w:val="bottom"/>
            <w:hideMark/>
          </w:tcPr>
          <w:p w14:paraId="47367A57"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0.0</w:t>
            </w:r>
          </w:p>
        </w:tc>
        <w:tc>
          <w:tcPr>
            <w:tcW w:w="1124" w:type="dxa"/>
            <w:shd w:val="clear" w:color="auto" w:fill="auto"/>
            <w:noWrap/>
            <w:vAlign w:val="bottom"/>
            <w:hideMark/>
          </w:tcPr>
          <w:p w14:paraId="1000318D"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10.1</w:t>
            </w:r>
          </w:p>
        </w:tc>
      </w:tr>
      <w:tr w:rsidR="00EC3B66" w:rsidRPr="00425A04" w14:paraId="7CE4751F" w14:textId="77777777" w:rsidTr="00425A04">
        <w:trPr>
          <w:trHeight w:val="300"/>
        </w:trPr>
        <w:tc>
          <w:tcPr>
            <w:tcW w:w="0" w:type="auto"/>
            <w:shd w:val="clear" w:color="auto" w:fill="auto"/>
            <w:noWrap/>
            <w:vAlign w:val="bottom"/>
            <w:hideMark/>
          </w:tcPr>
          <w:p w14:paraId="41342B11" w14:textId="77777777" w:rsidR="00EC3B66" w:rsidRPr="00425A04" w:rsidRDefault="00EC3B66" w:rsidP="00425A04">
            <w:pPr>
              <w:jc w:val="center"/>
              <w:rPr>
                <w:rFonts w:asciiTheme="minorHAnsi" w:hAnsiTheme="minorHAnsi" w:cs="Calibri"/>
                <w:color w:val="000000"/>
                <w:sz w:val="22"/>
                <w:szCs w:val="22"/>
              </w:rPr>
            </w:pPr>
            <w:r w:rsidRPr="00425A04">
              <w:rPr>
                <w:rFonts w:asciiTheme="minorHAnsi" w:hAnsiTheme="minorHAnsi" w:cs="Calibri"/>
                <w:color w:val="000000"/>
                <w:sz w:val="22"/>
                <w:szCs w:val="22"/>
              </w:rPr>
              <w:t>Total</w:t>
            </w:r>
          </w:p>
        </w:tc>
        <w:tc>
          <w:tcPr>
            <w:tcW w:w="1176" w:type="dxa"/>
            <w:shd w:val="clear" w:color="auto" w:fill="auto"/>
            <w:noWrap/>
            <w:vAlign w:val="bottom"/>
            <w:hideMark/>
          </w:tcPr>
          <w:p w14:paraId="09650C5D"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41.9</w:t>
            </w:r>
          </w:p>
        </w:tc>
        <w:tc>
          <w:tcPr>
            <w:tcW w:w="1276" w:type="dxa"/>
            <w:shd w:val="clear" w:color="auto" w:fill="auto"/>
            <w:noWrap/>
            <w:vAlign w:val="bottom"/>
            <w:hideMark/>
          </w:tcPr>
          <w:p w14:paraId="0497EF74"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57.7</w:t>
            </w:r>
          </w:p>
        </w:tc>
        <w:tc>
          <w:tcPr>
            <w:tcW w:w="1134" w:type="dxa"/>
            <w:shd w:val="clear" w:color="auto" w:fill="auto"/>
            <w:noWrap/>
            <w:vAlign w:val="bottom"/>
            <w:hideMark/>
          </w:tcPr>
          <w:p w14:paraId="53C9FA4C"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0.4</w:t>
            </w:r>
          </w:p>
        </w:tc>
        <w:tc>
          <w:tcPr>
            <w:tcW w:w="1124" w:type="dxa"/>
            <w:shd w:val="clear" w:color="auto" w:fill="auto"/>
            <w:noWrap/>
            <w:vAlign w:val="bottom"/>
            <w:hideMark/>
          </w:tcPr>
          <w:p w14:paraId="0694288E"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100.0</w:t>
            </w:r>
          </w:p>
        </w:tc>
      </w:tr>
      <w:tr w:rsidR="00EC3B66" w:rsidRPr="00425A04" w14:paraId="72DD3814" w14:textId="77777777" w:rsidTr="00425A04">
        <w:trPr>
          <w:trHeight w:val="300"/>
        </w:trPr>
        <w:tc>
          <w:tcPr>
            <w:tcW w:w="0" w:type="auto"/>
            <w:shd w:val="clear" w:color="auto" w:fill="auto"/>
            <w:noWrap/>
            <w:vAlign w:val="bottom"/>
            <w:hideMark/>
          </w:tcPr>
          <w:p w14:paraId="636E268A" w14:textId="77777777" w:rsidR="00EC3B66" w:rsidRPr="00425A04" w:rsidRDefault="00EC3B66" w:rsidP="00425A04">
            <w:pPr>
              <w:jc w:val="center"/>
              <w:rPr>
                <w:rFonts w:asciiTheme="minorHAnsi" w:hAnsiTheme="minorHAnsi" w:cs="Calibri"/>
                <w:color w:val="000000"/>
                <w:sz w:val="22"/>
                <w:szCs w:val="22"/>
              </w:rPr>
            </w:pPr>
            <w:r w:rsidRPr="00425A04">
              <w:rPr>
                <w:rFonts w:asciiTheme="minorHAnsi" w:hAnsiTheme="minorHAnsi" w:cs="Calibri"/>
                <w:color w:val="000000"/>
                <w:sz w:val="22"/>
                <w:szCs w:val="22"/>
              </w:rPr>
              <w:t>Base</w:t>
            </w:r>
          </w:p>
        </w:tc>
        <w:tc>
          <w:tcPr>
            <w:tcW w:w="1176" w:type="dxa"/>
            <w:shd w:val="clear" w:color="auto" w:fill="auto"/>
            <w:noWrap/>
            <w:vAlign w:val="bottom"/>
            <w:hideMark/>
          </w:tcPr>
          <w:p w14:paraId="13C954C7" w14:textId="02881E00"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49</w:t>
            </w:r>
            <w:r w:rsidR="00296E4C" w:rsidRPr="00425A04">
              <w:rPr>
                <w:rFonts w:asciiTheme="minorHAnsi" w:hAnsiTheme="minorHAnsi" w:cs="Calibri"/>
                <w:color w:val="000000"/>
                <w:sz w:val="22"/>
                <w:szCs w:val="22"/>
              </w:rPr>
              <w:t>,</w:t>
            </w:r>
            <w:r w:rsidRPr="00425A04">
              <w:rPr>
                <w:rFonts w:asciiTheme="minorHAnsi" w:hAnsiTheme="minorHAnsi" w:cs="Calibri"/>
                <w:color w:val="000000"/>
                <w:sz w:val="22"/>
                <w:szCs w:val="22"/>
              </w:rPr>
              <w:t>840</w:t>
            </w:r>
          </w:p>
        </w:tc>
        <w:tc>
          <w:tcPr>
            <w:tcW w:w="1276" w:type="dxa"/>
            <w:shd w:val="clear" w:color="auto" w:fill="auto"/>
            <w:noWrap/>
            <w:vAlign w:val="bottom"/>
            <w:hideMark/>
          </w:tcPr>
          <w:p w14:paraId="2DC60533" w14:textId="3AF392E2"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68</w:t>
            </w:r>
            <w:r w:rsidR="00296E4C" w:rsidRPr="00425A04">
              <w:rPr>
                <w:rFonts w:asciiTheme="minorHAnsi" w:hAnsiTheme="minorHAnsi" w:cs="Calibri"/>
                <w:color w:val="000000"/>
                <w:sz w:val="22"/>
                <w:szCs w:val="22"/>
              </w:rPr>
              <w:t>,</w:t>
            </w:r>
            <w:r w:rsidRPr="00425A04">
              <w:rPr>
                <w:rFonts w:asciiTheme="minorHAnsi" w:hAnsiTheme="minorHAnsi" w:cs="Calibri"/>
                <w:color w:val="000000"/>
                <w:sz w:val="22"/>
                <w:szCs w:val="22"/>
              </w:rPr>
              <w:t>580</w:t>
            </w:r>
          </w:p>
        </w:tc>
        <w:tc>
          <w:tcPr>
            <w:tcW w:w="1134" w:type="dxa"/>
            <w:shd w:val="clear" w:color="auto" w:fill="auto"/>
            <w:noWrap/>
            <w:vAlign w:val="bottom"/>
            <w:hideMark/>
          </w:tcPr>
          <w:p w14:paraId="20C24421" w14:textId="77777777"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450</w:t>
            </w:r>
          </w:p>
        </w:tc>
        <w:tc>
          <w:tcPr>
            <w:tcW w:w="1124" w:type="dxa"/>
            <w:shd w:val="clear" w:color="auto" w:fill="auto"/>
            <w:noWrap/>
            <w:vAlign w:val="bottom"/>
            <w:hideMark/>
          </w:tcPr>
          <w:p w14:paraId="57BC6E38" w14:textId="2D56BA60" w:rsidR="00EC3B66" w:rsidRPr="00425A04" w:rsidRDefault="00EC3B66" w:rsidP="00425A04">
            <w:pPr>
              <w:jc w:val="right"/>
              <w:rPr>
                <w:rFonts w:asciiTheme="minorHAnsi" w:hAnsiTheme="minorHAnsi" w:cs="Calibri"/>
                <w:color w:val="000000"/>
                <w:sz w:val="22"/>
                <w:szCs w:val="22"/>
              </w:rPr>
            </w:pPr>
            <w:r w:rsidRPr="00425A04">
              <w:rPr>
                <w:rFonts w:asciiTheme="minorHAnsi" w:hAnsiTheme="minorHAnsi" w:cs="Calibri"/>
                <w:color w:val="000000"/>
                <w:sz w:val="22"/>
                <w:szCs w:val="22"/>
              </w:rPr>
              <w:t>118</w:t>
            </w:r>
            <w:r w:rsidR="00296E4C" w:rsidRPr="00425A04">
              <w:rPr>
                <w:rFonts w:asciiTheme="minorHAnsi" w:hAnsiTheme="minorHAnsi" w:cs="Calibri"/>
                <w:color w:val="000000"/>
                <w:sz w:val="22"/>
                <w:szCs w:val="22"/>
              </w:rPr>
              <w:t>,</w:t>
            </w:r>
            <w:r w:rsidRPr="00425A04">
              <w:rPr>
                <w:rFonts w:asciiTheme="minorHAnsi" w:hAnsiTheme="minorHAnsi" w:cs="Calibri"/>
                <w:color w:val="000000"/>
                <w:sz w:val="22"/>
                <w:szCs w:val="22"/>
              </w:rPr>
              <w:t>870</w:t>
            </w:r>
          </w:p>
        </w:tc>
      </w:tr>
    </w:tbl>
    <w:p w14:paraId="08C1A9F5" w14:textId="13ACC0D5" w:rsidR="003260C5" w:rsidRPr="0067297E" w:rsidRDefault="003260C5" w:rsidP="00425A04">
      <w:pPr>
        <w:ind w:left="709"/>
        <w:rPr>
          <w:rFonts w:asciiTheme="minorHAnsi" w:hAnsiTheme="minorHAnsi"/>
          <w:sz w:val="20"/>
          <w:szCs w:val="20"/>
        </w:rPr>
      </w:pPr>
      <w:r w:rsidRPr="0067297E">
        <w:rPr>
          <w:rFonts w:asciiTheme="minorHAnsi" w:hAnsiTheme="minorHAnsi"/>
          <w:sz w:val="20"/>
          <w:szCs w:val="20"/>
        </w:rPr>
        <w:t xml:space="preserve">Source: </w:t>
      </w:r>
      <w:r w:rsidR="00C7253E" w:rsidRPr="0067297E">
        <w:rPr>
          <w:rFonts w:asciiTheme="minorHAnsi" w:hAnsiTheme="minorHAnsi"/>
          <w:sz w:val="20"/>
          <w:szCs w:val="20"/>
        </w:rPr>
        <w:t>VOA</w:t>
      </w:r>
    </w:p>
    <w:p w14:paraId="1567BB3E" w14:textId="77777777" w:rsidR="00EC3B66" w:rsidRPr="0067297E" w:rsidRDefault="00EC3B66" w:rsidP="00543A76">
      <w:pPr>
        <w:rPr>
          <w:rFonts w:asciiTheme="minorHAnsi" w:hAnsiTheme="minorHAnsi"/>
        </w:rPr>
      </w:pPr>
    </w:p>
    <w:p w14:paraId="478702CE" w14:textId="5B3D34FF" w:rsidR="00D631C4" w:rsidRPr="0067297E" w:rsidRDefault="002624F9" w:rsidP="00543A76">
      <w:pPr>
        <w:pStyle w:val="Heading2"/>
        <w:rPr>
          <w:rFonts w:asciiTheme="minorHAnsi" w:hAnsiTheme="minorHAnsi"/>
          <w:lang w:val="en-GB"/>
        </w:rPr>
      </w:pPr>
      <w:bookmarkStart w:id="437" w:name="_Toc1385785"/>
      <w:bookmarkStart w:id="438" w:name="_Toc23151102"/>
      <w:r w:rsidRPr="0067297E">
        <w:rPr>
          <w:rFonts w:asciiTheme="minorHAnsi" w:hAnsiTheme="minorHAnsi"/>
        </w:rPr>
        <w:t>Conclu</w:t>
      </w:r>
      <w:r w:rsidRPr="0067297E">
        <w:rPr>
          <w:rFonts w:asciiTheme="minorHAnsi" w:hAnsiTheme="minorHAnsi"/>
          <w:lang w:val="en-GB"/>
        </w:rPr>
        <w:t xml:space="preserve">ding </w:t>
      </w:r>
      <w:r w:rsidR="003118DF" w:rsidRPr="0067297E">
        <w:rPr>
          <w:rFonts w:asciiTheme="minorHAnsi" w:hAnsiTheme="minorHAnsi"/>
          <w:lang w:val="en-GB"/>
        </w:rPr>
        <w:t>c</w:t>
      </w:r>
      <w:r w:rsidRPr="0067297E">
        <w:rPr>
          <w:rFonts w:asciiTheme="minorHAnsi" w:hAnsiTheme="minorHAnsi"/>
          <w:lang w:val="en-GB"/>
        </w:rPr>
        <w:t>omments</w:t>
      </w:r>
      <w:bookmarkEnd w:id="437"/>
      <w:bookmarkEnd w:id="438"/>
    </w:p>
    <w:p w14:paraId="2183650A" w14:textId="09FE008C" w:rsidR="00D631C4" w:rsidRPr="0067297E" w:rsidRDefault="00D631C4" w:rsidP="00543A76">
      <w:pPr>
        <w:pStyle w:val="Reporttext"/>
        <w:rPr>
          <w:rFonts w:asciiTheme="minorHAnsi" w:hAnsiTheme="minorHAnsi" w:cs="Calibri"/>
        </w:rPr>
      </w:pPr>
      <w:r w:rsidRPr="0067297E">
        <w:rPr>
          <w:rFonts w:asciiTheme="minorHAnsi" w:hAnsiTheme="minorHAnsi" w:cs="Calibri"/>
        </w:rPr>
        <w:t xml:space="preserve">The purpose of this chapter has been to explore the relationship between households and dwellings occupied to establish an indication of appropriate dwelling mix </w:t>
      </w:r>
      <w:r w:rsidR="00B706E1">
        <w:rPr>
          <w:rFonts w:asciiTheme="minorHAnsi" w:hAnsiTheme="minorHAnsi" w:cs="Calibri"/>
          <w:lang w:val="en-GB"/>
        </w:rPr>
        <w:t xml:space="preserve">(in terms of size and tenure) </w:t>
      </w:r>
      <w:r w:rsidRPr="0067297E">
        <w:rPr>
          <w:rFonts w:asciiTheme="minorHAnsi" w:hAnsiTheme="minorHAnsi" w:cs="Calibri"/>
        </w:rPr>
        <w:t xml:space="preserve">for </w:t>
      </w:r>
      <w:r w:rsidR="00EF5567" w:rsidRPr="0067297E">
        <w:rPr>
          <w:rFonts w:asciiTheme="minorHAnsi" w:hAnsiTheme="minorHAnsi" w:cs="Calibri"/>
          <w:lang w:val="en-GB"/>
        </w:rPr>
        <w:t xml:space="preserve">the </w:t>
      </w:r>
      <w:r w:rsidR="009943CC" w:rsidRPr="0067297E">
        <w:rPr>
          <w:rFonts w:asciiTheme="minorHAnsi" w:hAnsiTheme="minorHAnsi" w:cs="Calibri"/>
          <w:lang w:val="en-GB"/>
        </w:rPr>
        <w:t>borough</w:t>
      </w:r>
      <w:r w:rsidRPr="0067297E">
        <w:rPr>
          <w:rFonts w:asciiTheme="minorHAnsi" w:hAnsiTheme="minorHAnsi" w:cs="Calibri"/>
        </w:rPr>
        <w:t xml:space="preserve"> over the plan period</w:t>
      </w:r>
      <w:r w:rsidR="00EF5567" w:rsidRPr="0067297E">
        <w:rPr>
          <w:rFonts w:asciiTheme="minorHAnsi" w:hAnsiTheme="minorHAnsi" w:cs="Calibri"/>
          <w:lang w:val="en-GB"/>
        </w:rPr>
        <w:t xml:space="preserve"> 20</w:t>
      </w:r>
      <w:r w:rsidR="00894104">
        <w:rPr>
          <w:rFonts w:asciiTheme="minorHAnsi" w:hAnsiTheme="minorHAnsi" w:cs="Calibri"/>
          <w:lang w:val="en-GB"/>
        </w:rPr>
        <w:t>20</w:t>
      </w:r>
      <w:r w:rsidR="00EF5567" w:rsidRPr="0067297E">
        <w:rPr>
          <w:rFonts w:asciiTheme="minorHAnsi" w:hAnsiTheme="minorHAnsi" w:cs="Calibri"/>
          <w:lang w:val="en-GB"/>
        </w:rPr>
        <w:t>-20</w:t>
      </w:r>
      <w:r w:rsidR="00894104">
        <w:rPr>
          <w:rFonts w:asciiTheme="minorHAnsi" w:hAnsiTheme="minorHAnsi" w:cs="Calibri"/>
          <w:lang w:val="en-GB"/>
        </w:rPr>
        <w:t>40 (although MHCLG household projection data only runs to 2039)</w:t>
      </w:r>
      <w:r w:rsidRPr="0067297E">
        <w:rPr>
          <w:rFonts w:asciiTheme="minorHAnsi" w:hAnsiTheme="minorHAnsi" w:cs="Calibri"/>
        </w:rPr>
        <w:t xml:space="preserve">. </w:t>
      </w:r>
    </w:p>
    <w:p w14:paraId="48C8000E" w14:textId="0E8D56AD" w:rsidR="00D631C4" w:rsidRPr="00A27826" w:rsidRDefault="00D631C4" w:rsidP="00A27826">
      <w:pPr>
        <w:pStyle w:val="Reporttext"/>
        <w:rPr>
          <w:rFonts w:asciiTheme="minorHAnsi" w:hAnsiTheme="minorHAnsi" w:cs="Calibri"/>
        </w:rPr>
      </w:pPr>
      <w:r w:rsidRPr="00A27826">
        <w:rPr>
          <w:rFonts w:asciiTheme="minorHAnsi" w:hAnsiTheme="minorHAnsi" w:cs="Calibri"/>
        </w:rPr>
        <w:t>Having established future household change and the implicat</w:t>
      </w:r>
      <w:r w:rsidR="00664786" w:rsidRPr="00A27826">
        <w:rPr>
          <w:rFonts w:asciiTheme="minorHAnsi" w:hAnsiTheme="minorHAnsi" w:cs="Calibri"/>
        </w:rPr>
        <w:t>ions this has for dwelling size</w:t>
      </w:r>
      <w:r w:rsidRPr="00A27826">
        <w:rPr>
          <w:rFonts w:asciiTheme="minorHAnsi" w:hAnsiTheme="minorHAnsi" w:cs="Calibri"/>
        </w:rPr>
        <w:t xml:space="preserve"> and tenure mix, the Council can make informed strategic decision in the range of dwellings to be built over the plan period. </w:t>
      </w:r>
      <w:r w:rsidR="00A27826" w:rsidRPr="00A27826">
        <w:rPr>
          <w:rFonts w:asciiTheme="minorHAnsi" w:hAnsiTheme="minorHAnsi" w:cs="Calibri"/>
          <w:lang w:val="en-GB"/>
        </w:rPr>
        <w:t xml:space="preserve">This reiterates the recommendation made in </w:t>
      </w:r>
      <w:r w:rsidR="00BB07CB">
        <w:rPr>
          <w:rFonts w:asciiTheme="minorHAnsi" w:hAnsiTheme="minorHAnsi" w:cs="Calibri"/>
          <w:lang w:val="en-GB"/>
        </w:rPr>
        <w:t>paragraph 6.29</w:t>
      </w:r>
      <w:r w:rsidR="00A27826" w:rsidRPr="00A27826">
        <w:rPr>
          <w:rFonts w:asciiTheme="minorHAnsi" w:hAnsiTheme="minorHAnsi" w:cs="Calibri"/>
          <w:lang w:val="en-GB"/>
        </w:rPr>
        <w:t xml:space="preserve"> that</w:t>
      </w:r>
      <w:r w:rsidR="00A27826" w:rsidRPr="00A27826">
        <w:t xml:space="preserve"> </w:t>
      </w:r>
      <w:r w:rsidR="00A27826">
        <w:rPr>
          <w:rFonts w:asciiTheme="minorHAnsi" w:hAnsiTheme="minorHAnsi" w:cs="Calibri"/>
          <w:lang w:val="en-GB"/>
        </w:rPr>
        <w:t>t</w:t>
      </w:r>
      <w:r w:rsidR="00A27826" w:rsidRPr="00A27826">
        <w:rPr>
          <w:rFonts w:asciiTheme="minorHAnsi" w:hAnsiTheme="minorHAnsi" w:cs="Calibri"/>
          <w:lang w:val="en-GB"/>
        </w:rPr>
        <w:t>here is a need to provide a mix of sizes of housing units, including family sized accommodation to be provided as part of affordable provision, within new build schemes.</w:t>
      </w:r>
    </w:p>
    <w:p w14:paraId="3BB7079B" w14:textId="77777777" w:rsidR="00D631C4" w:rsidRPr="0067297E" w:rsidRDefault="00D631C4" w:rsidP="000256AC">
      <w:pPr>
        <w:rPr>
          <w:rFonts w:asciiTheme="minorHAnsi" w:hAnsiTheme="minorHAnsi"/>
        </w:rPr>
      </w:pPr>
    </w:p>
    <w:p w14:paraId="45A70D8D" w14:textId="77777777" w:rsidR="00A96554" w:rsidRPr="0067297E" w:rsidRDefault="00A96554">
      <w:pPr>
        <w:rPr>
          <w:rFonts w:asciiTheme="minorHAnsi" w:hAnsiTheme="minorHAnsi" w:cs="Calibri"/>
          <w:bCs/>
          <w:color w:val="009999"/>
          <w:kern w:val="32"/>
          <w:sz w:val="40"/>
          <w:szCs w:val="28"/>
          <w:lang w:val="x-none"/>
        </w:rPr>
      </w:pPr>
      <w:r w:rsidRPr="0067297E">
        <w:rPr>
          <w:rFonts w:asciiTheme="minorHAnsi" w:hAnsiTheme="minorHAnsi" w:cs="Calibri"/>
        </w:rPr>
        <w:br w:type="page"/>
      </w:r>
    </w:p>
    <w:p w14:paraId="0D8F6BC8" w14:textId="7DC9E6C5" w:rsidR="001511A9" w:rsidRPr="0067297E" w:rsidRDefault="00CC5CC3" w:rsidP="006C722F">
      <w:pPr>
        <w:pStyle w:val="Heading1"/>
        <w:rPr>
          <w:rFonts w:asciiTheme="minorHAnsi" w:hAnsiTheme="minorHAnsi" w:cs="Calibri"/>
          <w:shd w:val="clear" w:color="auto" w:fill="FFFFFF"/>
          <w:lang w:eastAsia="en-GB"/>
        </w:rPr>
      </w:pPr>
      <w:bookmarkStart w:id="439" w:name="_Toc1385786"/>
      <w:bookmarkStart w:id="440" w:name="_Toc23151103"/>
      <w:r w:rsidRPr="0067297E">
        <w:rPr>
          <w:rFonts w:asciiTheme="minorHAnsi" w:hAnsiTheme="minorHAnsi" w:cs="Calibri"/>
        </w:rPr>
        <w:t>Conclusion: policy and strategic issues</w:t>
      </w:r>
      <w:bookmarkStart w:id="441" w:name="_Toc156642342"/>
      <w:bookmarkStart w:id="442" w:name="_Toc156642810"/>
      <w:bookmarkStart w:id="443" w:name="_Toc166484923"/>
      <w:bookmarkStart w:id="444" w:name="_Toc184123851"/>
      <w:bookmarkStart w:id="445" w:name="_Toc184198270"/>
      <w:bookmarkStart w:id="446" w:name="_Toc214433431"/>
      <w:bookmarkEnd w:id="334"/>
      <w:bookmarkEnd w:id="335"/>
      <w:bookmarkEnd w:id="412"/>
      <w:bookmarkEnd w:id="413"/>
      <w:bookmarkEnd w:id="414"/>
      <w:bookmarkEnd w:id="415"/>
      <w:bookmarkEnd w:id="439"/>
      <w:bookmarkEnd w:id="440"/>
    </w:p>
    <w:p w14:paraId="2F5809BD" w14:textId="77777777" w:rsidR="005965E1" w:rsidRPr="0067297E" w:rsidRDefault="005965E1" w:rsidP="00FA273F">
      <w:pPr>
        <w:pStyle w:val="Reporttext"/>
        <w:rPr>
          <w:rFonts w:asciiTheme="minorHAnsi" w:hAnsiTheme="minorHAnsi"/>
        </w:rPr>
      </w:pPr>
      <w:r w:rsidRPr="0067297E">
        <w:rPr>
          <w:rFonts w:asciiTheme="minorHAnsi" w:hAnsiTheme="minorHAnsi"/>
        </w:rPr>
        <w:t xml:space="preserve">This document has been prepared to equip the Council and their partners with robust, defensible and transparent information to help inform strategic decision-making and the formulation of appropriate housing and planning policies. The work also takes account of </w:t>
      </w:r>
      <w:r w:rsidRPr="0067297E">
        <w:rPr>
          <w:rFonts w:asciiTheme="minorHAnsi" w:hAnsiTheme="minorHAnsi"/>
          <w:lang w:val="en-GB"/>
        </w:rPr>
        <w:t>existing and emerging Government policy and guidance.</w:t>
      </w:r>
    </w:p>
    <w:p w14:paraId="5F7A5BD8" w14:textId="5566E19A" w:rsidR="005965E1" w:rsidRPr="0067297E" w:rsidRDefault="005965E1" w:rsidP="00FA273F">
      <w:pPr>
        <w:pStyle w:val="Reporttext"/>
        <w:rPr>
          <w:rFonts w:asciiTheme="minorHAnsi" w:hAnsiTheme="minorHAnsi"/>
        </w:rPr>
      </w:pPr>
      <w:r w:rsidRPr="0067297E">
        <w:rPr>
          <w:rFonts w:asciiTheme="minorHAnsi" w:hAnsiTheme="minorHAnsi"/>
        </w:rPr>
        <w:t xml:space="preserve">The </w:t>
      </w:r>
      <w:r w:rsidRPr="0067297E">
        <w:rPr>
          <w:rFonts w:asciiTheme="minorHAnsi" w:hAnsiTheme="minorHAnsi"/>
          <w:lang w:val="en-GB"/>
        </w:rPr>
        <w:t>Borough of Lewisham SHMA</w:t>
      </w:r>
      <w:r w:rsidRPr="0067297E">
        <w:rPr>
          <w:rFonts w:asciiTheme="minorHAnsi" w:hAnsiTheme="minorHAnsi"/>
        </w:rPr>
        <w:t xml:space="preserve"> </w:t>
      </w:r>
      <w:r w:rsidRPr="0067297E">
        <w:rPr>
          <w:rFonts w:asciiTheme="minorHAnsi" w:hAnsiTheme="minorHAnsi"/>
          <w:lang w:val="en-GB"/>
        </w:rPr>
        <w:t>201</w:t>
      </w:r>
      <w:r w:rsidR="00894104">
        <w:rPr>
          <w:rFonts w:asciiTheme="minorHAnsi" w:hAnsiTheme="minorHAnsi"/>
          <w:lang w:val="en-GB"/>
        </w:rPr>
        <w:t>9</w:t>
      </w:r>
      <w:r w:rsidRPr="0067297E">
        <w:rPr>
          <w:rFonts w:asciiTheme="minorHAnsi" w:hAnsiTheme="minorHAnsi"/>
          <w:lang w:val="en-GB"/>
        </w:rPr>
        <w:t xml:space="preserve"> </w:t>
      </w:r>
      <w:r w:rsidRPr="0067297E">
        <w:rPr>
          <w:rFonts w:asciiTheme="minorHAnsi" w:hAnsiTheme="minorHAnsi"/>
        </w:rPr>
        <w:t xml:space="preserve">will help the Council plan for a mix of housing based on current and future demographic trends, market trends and the needs of different groups in the community. Specifically, the </w:t>
      </w:r>
      <w:r w:rsidRPr="0067297E">
        <w:rPr>
          <w:rFonts w:asciiTheme="minorHAnsi" w:hAnsiTheme="minorHAnsi"/>
          <w:lang w:val="en-GB"/>
        </w:rPr>
        <w:t xml:space="preserve">SHMA </w:t>
      </w:r>
      <w:r w:rsidRPr="0067297E">
        <w:rPr>
          <w:rFonts w:asciiTheme="minorHAnsi" w:hAnsiTheme="minorHAnsi"/>
        </w:rPr>
        <w:t xml:space="preserve"> identifies the size, and tenure of housing required by considering future market demand relative to supply; and also identifies a continued affordable housing imbalance across the </w:t>
      </w:r>
      <w:r w:rsidRPr="0067297E">
        <w:rPr>
          <w:rFonts w:asciiTheme="minorHAnsi" w:hAnsiTheme="minorHAnsi"/>
          <w:lang w:val="en-GB"/>
        </w:rPr>
        <w:t>Borough</w:t>
      </w:r>
      <w:r w:rsidRPr="0067297E">
        <w:rPr>
          <w:rFonts w:asciiTheme="minorHAnsi" w:hAnsiTheme="minorHAnsi"/>
        </w:rPr>
        <w:t>.</w:t>
      </w:r>
    </w:p>
    <w:p w14:paraId="7422528B" w14:textId="1DA1A66B" w:rsidR="005965E1" w:rsidRPr="0067297E" w:rsidRDefault="005965E1" w:rsidP="005965E1">
      <w:pPr>
        <w:pStyle w:val="Reporttext"/>
        <w:rPr>
          <w:rFonts w:asciiTheme="minorHAnsi" w:hAnsiTheme="minorHAnsi"/>
        </w:rPr>
      </w:pPr>
      <w:r w:rsidRPr="0067297E">
        <w:rPr>
          <w:rFonts w:asciiTheme="minorHAnsi" w:hAnsiTheme="minorHAnsi"/>
          <w:lang w:val="en-US"/>
        </w:rPr>
        <w:t xml:space="preserve">A wealth of material has been presented in the SHMA. </w:t>
      </w:r>
      <w:r w:rsidRPr="0067297E">
        <w:rPr>
          <w:rFonts w:asciiTheme="minorHAnsi" w:hAnsiTheme="minorHAnsi"/>
        </w:rPr>
        <w:t xml:space="preserve">This concluding chapter summarises key messages </w:t>
      </w:r>
      <w:r w:rsidR="00827838">
        <w:rPr>
          <w:rFonts w:asciiTheme="minorHAnsi" w:hAnsiTheme="minorHAnsi"/>
          <w:lang w:val="en-US"/>
        </w:rPr>
        <w:t xml:space="preserve">and policy recommendations </w:t>
      </w:r>
      <w:r w:rsidRPr="0067297E">
        <w:rPr>
          <w:rFonts w:asciiTheme="minorHAnsi" w:hAnsiTheme="minorHAnsi"/>
        </w:rPr>
        <w:t xml:space="preserve">from the research findings, structured around a commentary on the current and future </w:t>
      </w:r>
      <w:r w:rsidRPr="0067297E">
        <w:rPr>
          <w:rFonts w:asciiTheme="minorHAnsi" w:hAnsiTheme="minorHAnsi"/>
          <w:lang w:val="en-US"/>
        </w:rPr>
        <w:t xml:space="preserve">housing need and drivers, future dwelling type and mix and meeting the housing needs of people with additional needs. </w:t>
      </w:r>
    </w:p>
    <w:p w14:paraId="63C59FF8" w14:textId="77777777" w:rsidR="005965E1" w:rsidRPr="0067297E" w:rsidRDefault="005965E1" w:rsidP="005965E1">
      <w:pPr>
        <w:rPr>
          <w:rFonts w:asciiTheme="minorHAnsi" w:hAnsiTheme="minorHAnsi"/>
        </w:rPr>
      </w:pPr>
    </w:p>
    <w:p w14:paraId="2F96E881" w14:textId="77777777" w:rsidR="005965E1" w:rsidRPr="0067297E" w:rsidRDefault="005965E1" w:rsidP="005965E1">
      <w:pPr>
        <w:pStyle w:val="Heading2"/>
        <w:rPr>
          <w:rFonts w:asciiTheme="minorHAnsi" w:hAnsiTheme="minorHAnsi"/>
        </w:rPr>
      </w:pPr>
      <w:bookmarkStart w:id="447" w:name="_Toc529863461"/>
      <w:bookmarkStart w:id="448" w:name="_Toc1385787"/>
      <w:bookmarkStart w:id="449" w:name="_Toc23151104"/>
      <w:r w:rsidRPr="0067297E">
        <w:rPr>
          <w:rFonts w:asciiTheme="minorHAnsi" w:hAnsiTheme="minorHAnsi"/>
        </w:rPr>
        <w:t>The borough context</w:t>
      </w:r>
      <w:bookmarkEnd w:id="447"/>
      <w:bookmarkEnd w:id="448"/>
      <w:bookmarkEnd w:id="449"/>
    </w:p>
    <w:p w14:paraId="4B62568F" w14:textId="5BA7A342" w:rsidR="005965E1" w:rsidRDefault="005965E1" w:rsidP="005965E1">
      <w:pPr>
        <w:pStyle w:val="Reporttext"/>
        <w:rPr>
          <w:rFonts w:asciiTheme="minorHAnsi" w:hAnsiTheme="minorHAnsi"/>
        </w:rPr>
      </w:pPr>
      <w:r w:rsidRPr="0067297E">
        <w:rPr>
          <w:rFonts w:asciiTheme="minorHAnsi" w:hAnsiTheme="minorHAnsi"/>
        </w:rPr>
        <w:t>The  Borough of Lewisham exhibits distinctive characteristics. House prices in the borough have risen dramatically since 2000,</w:t>
      </w:r>
      <w:r w:rsidR="00367646" w:rsidRPr="0067297E">
        <w:rPr>
          <w:rFonts w:asciiTheme="minorHAnsi" w:hAnsiTheme="minorHAnsi"/>
          <w:lang w:val="en-GB"/>
        </w:rPr>
        <w:t xml:space="preserve"> </w:t>
      </w:r>
      <w:r w:rsidRPr="0067297E">
        <w:rPr>
          <w:rFonts w:asciiTheme="minorHAnsi" w:hAnsiTheme="minorHAnsi"/>
        </w:rPr>
        <w:t>with median prices increasing 312% from £99,995 in 2000 to £412,</w:t>
      </w:r>
      <w:r w:rsidR="00B706E1">
        <w:rPr>
          <w:rFonts w:asciiTheme="minorHAnsi" w:hAnsiTheme="minorHAnsi"/>
          <w:lang w:val="en-GB"/>
        </w:rPr>
        <w:t>250</w:t>
      </w:r>
      <w:r w:rsidR="00B706E1" w:rsidRPr="0067297E">
        <w:rPr>
          <w:rFonts w:asciiTheme="minorHAnsi" w:hAnsiTheme="minorHAnsi"/>
        </w:rPr>
        <w:t xml:space="preserve"> </w:t>
      </w:r>
      <w:r w:rsidRPr="0067297E">
        <w:rPr>
          <w:rFonts w:asciiTheme="minorHAnsi" w:hAnsiTheme="minorHAnsi"/>
        </w:rPr>
        <w:t xml:space="preserve">in </w:t>
      </w:r>
      <w:r w:rsidR="00B706E1" w:rsidRPr="0067297E">
        <w:rPr>
          <w:rFonts w:asciiTheme="minorHAnsi" w:hAnsiTheme="minorHAnsi"/>
        </w:rPr>
        <w:t>201</w:t>
      </w:r>
      <w:r w:rsidR="00B706E1">
        <w:rPr>
          <w:rFonts w:asciiTheme="minorHAnsi" w:hAnsiTheme="minorHAnsi"/>
          <w:lang w:val="en-GB"/>
        </w:rPr>
        <w:t>8</w:t>
      </w:r>
      <w:r w:rsidRPr="0067297E">
        <w:rPr>
          <w:rFonts w:asciiTheme="minorHAnsi" w:hAnsiTheme="minorHAnsi"/>
        </w:rPr>
        <w:t xml:space="preserve">. This has been the largest proportionate increase compared with neighbouring boroughs, the South East and England. Affordability is a major issue, and median prices are </w:t>
      </w:r>
      <w:r w:rsidR="00B706E1">
        <w:rPr>
          <w:rFonts w:asciiTheme="minorHAnsi" w:hAnsiTheme="minorHAnsi"/>
          <w:lang w:val="en-GB"/>
        </w:rPr>
        <w:t xml:space="preserve">13.94x </w:t>
      </w:r>
      <w:r w:rsidRPr="0067297E">
        <w:rPr>
          <w:rFonts w:asciiTheme="minorHAnsi" w:hAnsiTheme="minorHAnsi"/>
        </w:rPr>
        <w:t xml:space="preserve">median income. It is therefore </w:t>
      </w:r>
      <w:r w:rsidR="005B2517" w:rsidRPr="0067297E">
        <w:rPr>
          <w:rFonts w:asciiTheme="minorHAnsi" w:hAnsiTheme="minorHAnsi"/>
        </w:rPr>
        <w:t>unsurprising</w:t>
      </w:r>
      <w:r w:rsidRPr="0067297E">
        <w:rPr>
          <w:rFonts w:asciiTheme="minorHAnsi" w:hAnsiTheme="minorHAnsi"/>
        </w:rPr>
        <w:t xml:space="preserve"> that a considerable imbalance in the need for affordable housing has been evidenced and there is a dramatic mismatch between the number of households (estimated to be around 134,150) and number of dwellings (125,990). After taking into account vacant dwellings (2,182) there are an estimated 10,000 concealed households living in the borough. The </w:t>
      </w:r>
      <w:r w:rsidR="005B2517" w:rsidRPr="0067297E">
        <w:rPr>
          <w:rFonts w:asciiTheme="minorHAnsi" w:hAnsiTheme="minorHAnsi"/>
        </w:rPr>
        <w:t>majority</w:t>
      </w:r>
      <w:r w:rsidRPr="0067297E">
        <w:rPr>
          <w:rFonts w:asciiTheme="minorHAnsi" w:hAnsiTheme="minorHAnsi"/>
        </w:rPr>
        <w:t xml:space="preserve"> of dwellings in the borough are flats/maisonettes (57.7%) or three bedroom terraced/town house dwellings (32.8%). </w:t>
      </w:r>
    </w:p>
    <w:p w14:paraId="41AAE00A" w14:textId="1D91B815" w:rsidR="006410DE" w:rsidRPr="0015368C" w:rsidRDefault="006410DE" w:rsidP="005965E1">
      <w:pPr>
        <w:pStyle w:val="Reporttext"/>
        <w:rPr>
          <w:rFonts w:asciiTheme="minorHAnsi" w:hAnsiTheme="minorHAnsi"/>
        </w:rPr>
      </w:pPr>
      <w:r>
        <w:rPr>
          <w:rFonts w:asciiTheme="minorHAnsi" w:hAnsiTheme="minorHAnsi" w:cs="Calibri"/>
          <w:lang w:val="en-GB"/>
        </w:rPr>
        <w:t>Whilst the stock profile of Lewisham is similar to that of London as a whole, the proportion of detached and semi-detached properties is slightly lower and terraced housing is slightly higher in Lewisham.  There are also proportionately more households in affordable housing in Lewisham than London as a whole.</w:t>
      </w:r>
    </w:p>
    <w:p w14:paraId="7A4FBE24" w14:textId="4B9527A6" w:rsidR="006410DE" w:rsidRPr="0067297E" w:rsidRDefault="006410DE" w:rsidP="005965E1">
      <w:pPr>
        <w:pStyle w:val="Reporttext"/>
        <w:rPr>
          <w:rFonts w:asciiTheme="minorHAnsi" w:hAnsiTheme="minorHAnsi"/>
        </w:rPr>
      </w:pPr>
      <w:r>
        <w:rPr>
          <w:rFonts w:asciiTheme="minorHAnsi" w:hAnsiTheme="minorHAnsi" w:cs="Calibri"/>
          <w:lang w:val="en-GB"/>
        </w:rPr>
        <w:t>Market</w:t>
      </w:r>
      <w:r w:rsidRPr="00860B80">
        <w:rPr>
          <w:rFonts w:asciiTheme="minorHAnsi" w:hAnsiTheme="minorHAnsi" w:cs="Calibri"/>
          <w:lang w:val="en-GB"/>
        </w:rPr>
        <w:t xml:space="preserve"> prices</w:t>
      </w:r>
      <w:r>
        <w:rPr>
          <w:rFonts w:asciiTheme="minorHAnsi" w:hAnsiTheme="minorHAnsi" w:cs="Calibri"/>
          <w:lang w:val="en-GB"/>
        </w:rPr>
        <w:t xml:space="preserve">, </w:t>
      </w:r>
      <w:r w:rsidRPr="00860B80">
        <w:rPr>
          <w:rFonts w:asciiTheme="minorHAnsi" w:hAnsiTheme="minorHAnsi" w:cs="Calibri"/>
          <w:lang w:val="en-GB"/>
        </w:rPr>
        <w:t>rents and incomes change significantly across Lewisham’s wards.</w:t>
      </w:r>
      <w:r>
        <w:rPr>
          <w:rFonts w:asciiTheme="minorHAnsi" w:hAnsiTheme="minorHAnsi" w:cs="Calibri"/>
          <w:lang w:val="en-GB"/>
        </w:rPr>
        <w:t xml:space="preserve"> However</w:t>
      </w:r>
      <w:r w:rsidRPr="0067297E">
        <w:rPr>
          <w:rFonts w:asciiTheme="minorHAnsi" w:hAnsiTheme="minorHAnsi" w:cs="Calibri"/>
          <w:lang w:val="en-GB"/>
        </w:rPr>
        <w:t>, even household</w:t>
      </w:r>
      <w:r>
        <w:rPr>
          <w:rFonts w:asciiTheme="minorHAnsi" w:hAnsiTheme="minorHAnsi" w:cs="Calibri"/>
          <w:lang w:val="en-GB"/>
        </w:rPr>
        <w:t>s</w:t>
      </w:r>
      <w:r w:rsidRPr="0067297E">
        <w:rPr>
          <w:rFonts w:asciiTheme="minorHAnsi" w:hAnsiTheme="minorHAnsi" w:cs="Calibri"/>
          <w:lang w:val="en-GB"/>
        </w:rPr>
        <w:t xml:space="preserve"> on median incomes will find it difficult to afford lower quartile open market prices. They will be unable to become home owners unless they can provide a substantial deposit. </w:t>
      </w:r>
      <w:r>
        <w:rPr>
          <w:rFonts w:asciiTheme="minorHAnsi" w:hAnsiTheme="minorHAnsi" w:cs="Calibri"/>
          <w:lang w:val="en-GB"/>
        </w:rPr>
        <w:t xml:space="preserve"> Households on lower quartile and median incomes will also find intermediate products unaffordable.  </w:t>
      </w:r>
      <w:r w:rsidRPr="0067297E">
        <w:rPr>
          <w:rFonts w:asciiTheme="minorHAnsi" w:hAnsiTheme="minorHAnsi" w:cs="Calibri"/>
          <w:lang w:val="en-US"/>
        </w:rPr>
        <w:t>This analysis clearly demonstrates that social and affordable renting remains the most affordable tenure option</w:t>
      </w:r>
      <w:r>
        <w:rPr>
          <w:rFonts w:asciiTheme="minorHAnsi" w:hAnsiTheme="minorHAnsi" w:cs="Calibri"/>
          <w:lang w:val="en-US"/>
        </w:rPr>
        <w:t>s</w:t>
      </w:r>
      <w:r w:rsidRPr="0067297E">
        <w:rPr>
          <w:rFonts w:asciiTheme="minorHAnsi" w:hAnsiTheme="minorHAnsi" w:cs="Calibri"/>
          <w:lang w:val="en-US"/>
        </w:rPr>
        <w:t xml:space="preserve"> available to households. </w:t>
      </w:r>
      <w:r>
        <w:rPr>
          <w:rFonts w:asciiTheme="minorHAnsi" w:hAnsiTheme="minorHAnsi" w:cs="Calibri"/>
          <w:lang w:val="en-US"/>
        </w:rPr>
        <w:t>It</w:t>
      </w:r>
      <w:r w:rsidRPr="00057E49">
        <w:rPr>
          <w:rFonts w:asciiTheme="minorHAnsi" w:hAnsiTheme="minorHAnsi" w:cs="Calibri"/>
          <w:lang w:val="en-US"/>
        </w:rPr>
        <w:t xml:space="preserve"> raises serious concerns over relative affordability of accommodation within the Borough, and particularly for the key workers and wage earners considered</w:t>
      </w:r>
    </w:p>
    <w:p w14:paraId="169F808C" w14:textId="77777777" w:rsidR="005965E1" w:rsidRPr="0067297E" w:rsidRDefault="005965E1" w:rsidP="005965E1">
      <w:pPr>
        <w:rPr>
          <w:rFonts w:asciiTheme="minorHAnsi" w:hAnsiTheme="minorHAnsi"/>
        </w:rPr>
      </w:pPr>
    </w:p>
    <w:p w14:paraId="0013311D" w14:textId="77777777" w:rsidR="005965E1" w:rsidRPr="0067297E" w:rsidRDefault="005965E1" w:rsidP="005965E1">
      <w:pPr>
        <w:pStyle w:val="Heading2"/>
        <w:rPr>
          <w:rFonts w:asciiTheme="minorHAnsi" w:hAnsiTheme="minorHAnsi"/>
        </w:rPr>
      </w:pPr>
      <w:bookmarkStart w:id="450" w:name="_Toc1385788"/>
      <w:bookmarkStart w:id="451" w:name="_Toc23151105"/>
      <w:bookmarkStart w:id="452" w:name="_Toc529863463"/>
      <w:r w:rsidRPr="0067297E">
        <w:rPr>
          <w:rFonts w:asciiTheme="minorHAnsi" w:hAnsiTheme="minorHAnsi"/>
        </w:rPr>
        <w:t>Future housing need</w:t>
      </w:r>
      <w:bookmarkEnd w:id="450"/>
      <w:bookmarkEnd w:id="451"/>
      <w:r w:rsidRPr="0067297E">
        <w:rPr>
          <w:rFonts w:asciiTheme="minorHAnsi" w:hAnsiTheme="minorHAnsi"/>
        </w:rPr>
        <w:t xml:space="preserve"> </w:t>
      </w:r>
      <w:bookmarkEnd w:id="452"/>
    </w:p>
    <w:p w14:paraId="7B4FC620" w14:textId="70881A43" w:rsidR="005965E1" w:rsidRPr="0067297E" w:rsidRDefault="005965E1" w:rsidP="005965E1">
      <w:pPr>
        <w:pStyle w:val="Reporttext"/>
        <w:rPr>
          <w:rFonts w:asciiTheme="minorHAnsi" w:hAnsiTheme="minorHAnsi"/>
        </w:rPr>
      </w:pPr>
      <w:r w:rsidRPr="0067297E">
        <w:rPr>
          <w:rFonts w:asciiTheme="minorHAnsi" w:hAnsiTheme="minorHAnsi"/>
        </w:rPr>
        <w:t>The SHMA has considered future housing need over the plan period 20</w:t>
      </w:r>
      <w:r w:rsidR="00894104">
        <w:rPr>
          <w:rFonts w:asciiTheme="minorHAnsi" w:hAnsiTheme="minorHAnsi"/>
          <w:lang w:val="en-US"/>
        </w:rPr>
        <w:t>20</w:t>
      </w:r>
      <w:r w:rsidRPr="0067297E">
        <w:rPr>
          <w:rFonts w:asciiTheme="minorHAnsi" w:hAnsiTheme="minorHAnsi"/>
        </w:rPr>
        <w:t>-20</w:t>
      </w:r>
      <w:r w:rsidR="00894104">
        <w:rPr>
          <w:rFonts w:asciiTheme="minorHAnsi" w:hAnsiTheme="minorHAnsi"/>
          <w:lang w:val="en-US"/>
        </w:rPr>
        <w:t>40</w:t>
      </w:r>
      <w:r w:rsidRPr="0067297E">
        <w:rPr>
          <w:rFonts w:asciiTheme="minorHAnsi" w:hAnsiTheme="minorHAnsi"/>
        </w:rPr>
        <w:t>.  It has revi</w:t>
      </w:r>
      <w:r w:rsidRPr="0067297E">
        <w:rPr>
          <w:rFonts w:asciiTheme="minorHAnsi" w:hAnsiTheme="minorHAnsi"/>
          <w:lang w:val="en-US"/>
        </w:rPr>
        <w:t>e</w:t>
      </w:r>
      <w:r w:rsidRPr="0067297E">
        <w:rPr>
          <w:rFonts w:asciiTheme="minorHAnsi" w:hAnsiTheme="minorHAnsi"/>
        </w:rPr>
        <w:t xml:space="preserve">wed the annual housing need expressed in the London Plan (Option A) and considered the Government’s standard approach to identifying housing need, drawing upon the </w:t>
      </w:r>
      <w:r w:rsidR="00B706E1">
        <w:rPr>
          <w:rFonts w:asciiTheme="minorHAnsi" w:hAnsiTheme="minorHAnsi"/>
          <w:lang w:val="en-GB"/>
        </w:rPr>
        <w:t>2014</w:t>
      </w:r>
      <w:r w:rsidR="00827838">
        <w:rPr>
          <w:rFonts w:asciiTheme="minorHAnsi" w:hAnsiTheme="minorHAnsi"/>
          <w:lang w:val="en-GB"/>
        </w:rPr>
        <w:t>-</w:t>
      </w:r>
      <w:r w:rsidR="00B706E1">
        <w:rPr>
          <w:rFonts w:asciiTheme="minorHAnsi" w:hAnsiTheme="minorHAnsi"/>
          <w:lang w:val="en-GB"/>
        </w:rPr>
        <w:t>based</w:t>
      </w:r>
      <w:r w:rsidRPr="0067297E">
        <w:rPr>
          <w:rFonts w:asciiTheme="minorHAnsi" w:hAnsiTheme="minorHAnsi"/>
        </w:rPr>
        <w:t xml:space="preserve"> household projection data from the MHCLG (Option B).</w:t>
      </w:r>
    </w:p>
    <w:p w14:paraId="3E70BA5B" w14:textId="77777777" w:rsidR="005965E1" w:rsidRPr="0067297E" w:rsidRDefault="005965E1" w:rsidP="005965E1">
      <w:pPr>
        <w:pStyle w:val="Reporttext"/>
        <w:rPr>
          <w:rFonts w:asciiTheme="minorHAnsi" w:hAnsiTheme="minorHAnsi"/>
        </w:rPr>
      </w:pPr>
      <w:r w:rsidRPr="0067297E">
        <w:rPr>
          <w:rFonts w:asciiTheme="minorHAnsi" w:hAnsiTheme="minorHAnsi"/>
        </w:rPr>
        <w:t>Under Option A, the adopted 2016 London Plan established a target for 1,385 net dwellings each year across the borough and the draft 2017 London Plan increases this to 2,117 each year.</w:t>
      </w:r>
    </w:p>
    <w:p w14:paraId="05A9F893" w14:textId="306460BF" w:rsidR="005965E1" w:rsidRPr="0067297E" w:rsidRDefault="005965E1" w:rsidP="005965E1">
      <w:pPr>
        <w:pStyle w:val="Reporttext"/>
        <w:rPr>
          <w:rFonts w:asciiTheme="minorHAnsi" w:hAnsiTheme="minorHAnsi"/>
        </w:rPr>
      </w:pPr>
      <w:r w:rsidRPr="0067297E">
        <w:rPr>
          <w:rFonts w:asciiTheme="minorHAnsi" w:hAnsiTheme="minorHAnsi"/>
        </w:rPr>
        <w:t xml:space="preserve">Under Option B, the impact of household growth and affordability pressures results in a very substantial need for housing: </w:t>
      </w:r>
      <w:r w:rsidR="00B31226">
        <w:rPr>
          <w:rFonts w:asciiTheme="minorHAnsi" w:hAnsiTheme="minorHAnsi"/>
          <w:lang w:val="en-US"/>
        </w:rPr>
        <w:t xml:space="preserve">under the </w:t>
      </w:r>
      <w:r w:rsidR="00827838">
        <w:rPr>
          <w:rFonts w:asciiTheme="minorHAnsi" w:hAnsiTheme="minorHAnsi"/>
          <w:lang w:val="en-US"/>
        </w:rPr>
        <w:t>MH</w:t>
      </w:r>
      <w:r w:rsidR="00B31226">
        <w:rPr>
          <w:rFonts w:asciiTheme="minorHAnsi" w:hAnsiTheme="minorHAnsi"/>
          <w:lang w:val="en-US"/>
        </w:rPr>
        <w:t>CLG 2014-based household projections 3,589</w:t>
      </w:r>
      <w:r w:rsidRPr="0067297E">
        <w:rPr>
          <w:rFonts w:asciiTheme="minorHAnsi" w:hAnsiTheme="minorHAnsi"/>
        </w:rPr>
        <w:t xml:space="preserve"> dwellings each year </w:t>
      </w:r>
      <w:r w:rsidR="00B31226">
        <w:rPr>
          <w:rFonts w:asciiTheme="minorHAnsi" w:hAnsiTheme="minorHAnsi"/>
          <w:lang w:val="en-US"/>
        </w:rPr>
        <w:t xml:space="preserve">are needed. </w:t>
      </w:r>
      <w:r w:rsidRPr="0067297E">
        <w:rPr>
          <w:rFonts w:asciiTheme="minorHAnsi" w:hAnsiTheme="minorHAnsi"/>
        </w:rPr>
        <w:t xml:space="preserve">However, this need is capped under the formula set out in the standard method. Based on London Plan targets, the cap results in a minimum housing need of </w:t>
      </w:r>
      <w:r w:rsidRPr="0067297E">
        <w:rPr>
          <w:rFonts w:asciiTheme="minorHAnsi" w:hAnsiTheme="minorHAnsi"/>
          <w:b/>
        </w:rPr>
        <w:t>1,939</w:t>
      </w:r>
      <w:r w:rsidRPr="0067297E">
        <w:rPr>
          <w:rFonts w:asciiTheme="minorHAnsi" w:hAnsiTheme="minorHAnsi"/>
        </w:rPr>
        <w:t xml:space="preserve"> based on the 2016 London Plan target or </w:t>
      </w:r>
      <w:r w:rsidRPr="0067297E">
        <w:rPr>
          <w:rFonts w:asciiTheme="minorHAnsi" w:hAnsiTheme="minorHAnsi"/>
          <w:b/>
        </w:rPr>
        <w:t>2,964</w:t>
      </w:r>
      <w:r w:rsidRPr="0067297E">
        <w:rPr>
          <w:rFonts w:asciiTheme="minorHAnsi" w:hAnsiTheme="minorHAnsi"/>
        </w:rPr>
        <w:t xml:space="preserve"> based on the draft 2017 London Plan target.</w:t>
      </w:r>
    </w:p>
    <w:p w14:paraId="12FCCA0C" w14:textId="77777777" w:rsidR="005965E1" w:rsidRPr="0067297E" w:rsidRDefault="005965E1" w:rsidP="005965E1">
      <w:pPr>
        <w:rPr>
          <w:rFonts w:asciiTheme="minorHAnsi" w:hAnsiTheme="minorHAnsi"/>
        </w:rPr>
      </w:pPr>
    </w:p>
    <w:p w14:paraId="06DFD9AC" w14:textId="77777777" w:rsidR="005965E1" w:rsidRPr="0067297E" w:rsidRDefault="005965E1" w:rsidP="005965E1">
      <w:pPr>
        <w:pStyle w:val="Heading2"/>
        <w:rPr>
          <w:rFonts w:asciiTheme="minorHAnsi" w:hAnsiTheme="minorHAnsi"/>
        </w:rPr>
      </w:pPr>
      <w:bookmarkStart w:id="453" w:name="_Toc529863464"/>
      <w:bookmarkStart w:id="454" w:name="_Toc1385789"/>
      <w:bookmarkStart w:id="455" w:name="_Toc23151106"/>
      <w:r w:rsidRPr="0067297E">
        <w:rPr>
          <w:rFonts w:asciiTheme="minorHAnsi" w:hAnsiTheme="minorHAnsi"/>
          <w:lang w:val="en-US"/>
        </w:rPr>
        <w:t>Type and mix of housing needed in the future</w:t>
      </w:r>
      <w:bookmarkEnd w:id="453"/>
      <w:bookmarkEnd w:id="454"/>
      <w:bookmarkEnd w:id="455"/>
    </w:p>
    <w:p w14:paraId="54AE4E82" w14:textId="2C690717" w:rsidR="005965E1" w:rsidRPr="0067297E" w:rsidRDefault="005965E1" w:rsidP="005965E1">
      <w:pPr>
        <w:pStyle w:val="Reporttext"/>
        <w:rPr>
          <w:rFonts w:asciiTheme="minorHAnsi" w:hAnsiTheme="minorHAnsi"/>
        </w:rPr>
      </w:pPr>
      <w:r w:rsidRPr="0067297E">
        <w:rPr>
          <w:rFonts w:asciiTheme="minorHAnsi" w:hAnsiTheme="minorHAnsi"/>
        </w:rPr>
        <w:t>The relationship between households, dwelling size and future household projections ha</w:t>
      </w:r>
      <w:r w:rsidR="00BC1145" w:rsidRPr="0067297E">
        <w:rPr>
          <w:rFonts w:asciiTheme="minorHAnsi" w:hAnsiTheme="minorHAnsi"/>
          <w:lang w:val="en-GB"/>
        </w:rPr>
        <w:t>ve</w:t>
      </w:r>
      <w:r w:rsidRPr="0067297E">
        <w:rPr>
          <w:rFonts w:asciiTheme="minorHAnsi" w:hAnsiTheme="minorHAnsi"/>
        </w:rPr>
        <w:t xml:space="preserve"> been explored to establish an appropriate profile of future dwellings across the </w:t>
      </w:r>
      <w:r w:rsidR="00793E74" w:rsidRPr="0067297E">
        <w:rPr>
          <w:rFonts w:asciiTheme="minorHAnsi" w:hAnsiTheme="minorHAnsi"/>
          <w:lang w:val="en-GB"/>
        </w:rPr>
        <w:t>b</w:t>
      </w:r>
      <w:r w:rsidRPr="0067297E">
        <w:rPr>
          <w:rFonts w:asciiTheme="minorHAnsi" w:hAnsiTheme="minorHAnsi"/>
        </w:rPr>
        <w:t xml:space="preserve">orough.  Affordable housing need has also been modelled and integral to this was an analysis of existing (backlog) need and newly-forming need and the key drivers of need – which were overcrowding and homelessness. </w:t>
      </w:r>
      <w:r w:rsidRPr="0067297E">
        <w:rPr>
          <w:rFonts w:asciiTheme="minorHAnsi" w:hAnsiTheme="minorHAnsi"/>
          <w:lang w:val="en-US"/>
        </w:rPr>
        <w:t>An annual imbalance of</w:t>
      </w:r>
      <w:r w:rsidR="002A26AE">
        <w:rPr>
          <w:rFonts w:asciiTheme="minorHAnsi" w:hAnsiTheme="minorHAnsi"/>
          <w:lang w:val="en-US"/>
        </w:rPr>
        <w:t xml:space="preserve"> 1,564</w:t>
      </w:r>
      <w:r w:rsidRPr="0067297E">
        <w:rPr>
          <w:rFonts w:asciiTheme="minorHAnsi" w:hAnsiTheme="minorHAnsi"/>
          <w:lang w:val="en-US"/>
        </w:rPr>
        <w:t xml:space="preserve"> </w:t>
      </w:r>
      <w:r w:rsidR="00B706E1" w:rsidRPr="0067297E">
        <w:rPr>
          <w:rFonts w:asciiTheme="minorHAnsi" w:hAnsiTheme="minorHAnsi"/>
          <w:lang w:val="en-US"/>
        </w:rPr>
        <w:t xml:space="preserve"> </w:t>
      </w:r>
      <w:r w:rsidRPr="0067297E">
        <w:rPr>
          <w:rFonts w:asciiTheme="minorHAnsi" w:hAnsiTheme="minorHAnsi"/>
          <w:lang w:val="en-US"/>
        </w:rPr>
        <w:t>affordable dwellings was identified based on housing register evidence</w:t>
      </w:r>
      <w:r w:rsidR="00B706E1">
        <w:rPr>
          <w:rFonts w:asciiTheme="minorHAnsi" w:hAnsiTheme="minorHAnsi"/>
          <w:lang w:val="en-US"/>
        </w:rPr>
        <w:t xml:space="preserve">, equivalent to </w:t>
      </w:r>
      <w:r w:rsidR="002A26AE">
        <w:rPr>
          <w:rFonts w:asciiTheme="minorHAnsi" w:hAnsiTheme="minorHAnsi"/>
          <w:lang w:val="en-US"/>
        </w:rPr>
        <w:t>52.8</w:t>
      </w:r>
      <w:r w:rsidR="00B706E1">
        <w:rPr>
          <w:rFonts w:asciiTheme="minorHAnsi" w:hAnsiTheme="minorHAnsi"/>
          <w:lang w:val="en-US"/>
        </w:rPr>
        <w:t xml:space="preserve">% of the </w:t>
      </w:r>
      <w:r w:rsidR="006A24C7">
        <w:rPr>
          <w:rFonts w:asciiTheme="minorHAnsi" w:hAnsiTheme="minorHAnsi"/>
          <w:lang w:val="en-US"/>
        </w:rPr>
        <w:t xml:space="preserve">2017 Draft London Plan capped </w:t>
      </w:r>
      <w:r w:rsidR="00B706E1">
        <w:rPr>
          <w:rFonts w:asciiTheme="minorHAnsi" w:hAnsiTheme="minorHAnsi"/>
          <w:lang w:val="en-US"/>
        </w:rPr>
        <w:t>minimum housing requirement</w:t>
      </w:r>
      <w:r w:rsidR="006A24C7">
        <w:rPr>
          <w:rFonts w:asciiTheme="minorHAnsi" w:hAnsiTheme="minorHAnsi"/>
          <w:lang w:val="en-US"/>
        </w:rPr>
        <w:t xml:space="preserve"> figure</w:t>
      </w:r>
      <w:r w:rsidRPr="0067297E">
        <w:rPr>
          <w:rFonts w:asciiTheme="minorHAnsi" w:hAnsiTheme="minorHAnsi"/>
          <w:lang w:val="en-US"/>
        </w:rPr>
        <w:t>.</w:t>
      </w:r>
    </w:p>
    <w:p w14:paraId="3E06C5D1" w14:textId="135E2BF4" w:rsidR="005965E1" w:rsidRPr="0015368C" w:rsidRDefault="005965E1" w:rsidP="005965E1">
      <w:pPr>
        <w:pStyle w:val="Reporttext"/>
        <w:rPr>
          <w:rFonts w:asciiTheme="minorHAnsi" w:hAnsiTheme="minorHAnsi"/>
        </w:rPr>
      </w:pPr>
      <w:r w:rsidRPr="0067297E">
        <w:rPr>
          <w:rFonts w:asciiTheme="minorHAnsi" w:hAnsiTheme="minorHAnsi"/>
          <w:lang w:val="en-US"/>
        </w:rPr>
        <w:t xml:space="preserve">Across the housing market, the following breakdown would be appropriate: </w:t>
      </w:r>
      <w:r w:rsidR="001C1E55">
        <w:rPr>
          <w:rFonts w:asciiTheme="minorHAnsi" w:hAnsiTheme="minorHAnsi"/>
          <w:lang w:val="en-US"/>
        </w:rPr>
        <w:t>12.1</w:t>
      </w:r>
      <w:r w:rsidRPr="0067297E">
        <w:rPr>
          <w:rFonts w:asciiTheme="minorHAnsi" w:hAnsiTheme="minorHAnsi"/>
        </w:rPr>
        <w:t>% one bedroom, 2</w:t>
      </w:r>
      <w:r w:rsidR="001C1E55">
        <w:rPr>
          <w:rFonts w:asciiTheme="minorHAnsi" w:hAnsiTheme="minorHAnsi"/>
          <w:lang w:val="en-US"/>
        </w:rPr>
        <w:t>6.2</w:t>
      </w:r>
      <w:r w:rsidRPr="0067297E">
        <w:rPr>
          <w:rFonts w:asciiTheme="minorHAnsi" w:hAnsiTheme="minorHAnsi"/>
        </w:rPr>
        <w:t>% two bedroom, 4</w:t>
      </w:r>
      <w:r w:rsidR="001C1E55">
        <w:rPr>
          <w:rFonts w:asciiTheme="minorHAnsi" w:hAnsiTheme="minorHAnsi"/>
          <w:lang w:val="en-US"/>
        </w:rPr>
        <w:t>3.3</w:t>
      </w:r>
      <w:r w:rsidRPr="0067297E">
        <w:rPr>
          <w:rFonts w:asciiTheme="minorHAnsi" w:hAnsiTheme="minorHAnsi"/>
        </w:rPr>
        <w:t xml:space="preserve">% three bedroom and </w:t>
      </w:r>
      <w:r w:rsidR="001C1E55">
        <w:rPr>
          <w:rFonts w:asciiTheme="minorHAnsi" w:hAnsiTheme="minorHAnsi"/>
          <w:lang w:val="en-US"/>
        </w:rPr>
        <w:t>19.4</w:t>
      </w:r>
      <w:r w:rsidRPr="0067297E">
        <w:rPr>
          <w:rFonts w:asciiTheme="minorHAnsi" w:hAnsiTheme="minorHAnsi"/>
        </w:rPr>
        <w:t xml:space="preserve">% four or more bedroom. Across the </w:t>
      </w:r>
      <w:r w:rsidRPr="0067297E">
        <w:rPr>
          <w:rFonts w:asciiTheme="minorHAnsi" w:hAnsiTheme="minorHAnsi"/>
          <w:lang w:val="en-US"/>
        </w:rPr>
        <w:t xml:space="preserve">open </w:t>
      </w:r>
      <w:r w:rsidRPr="0067297E">
        <w:rPr>
          <w:rFonts w:asciiTheme="minorHAnsi" w:hAnsiTheme="minorHAnsi"/>
        </w:rPr>
        <w:t>market, the majority of need is for three and four or more bedroom dwellings; and across the affordable sector there is a broad spread of need, in particular one</w:t>
      </w:r>
      <w:r w:rsidR="00031FBA">
        <w:rPr>
          <w:rFonts w:asciiTheme="minorHAnsi" w:hAnsiTheme="minorHAnsi"/>
          <w:lang w:val="en-GB"/>
        </w:rPr>
        <w:t xml:space="preserve"> and</w:t>
      </w:r>
      <w:r w:rsidR="00BC1145" w:rsidRPr="0067297E">
        <w:rPr>
          <w:rFonts w:asciiTheme="minorHAnsi" w:hAnsiTheme="minorHAnsi"/>
          <w:lang w:val="en-GB"/>
        </w:rPr>
        <w:t xml:space="preserve"> </w:t>
      </w:r>
      <w:r w:rsidRPr="0067297E">
        <w:rPr>
          <w:rFonts w:asciiTheme="minorHAnsi" w:hAnsiTheme="minorHAnsi"/>
        </w:rPr>
        <w:t>two</w:t>
      </w:r>
      <w:r w:rsidR="00031FBA">
        <w:rPr>
          <w:rFonts w:asciiTheme="minorHAnsi" w:hAnsiTheme="minorHAnsi"/>
          <w:lang w:val="en-GB"/>
        </w:rPr>
        <w:t xml:space="preserve"> (59.9%)</w:t>
      </w:r>
      <w:r w:rsidRPr="0067297E">
        <w:rPr>
          <w:rFonts w:asciiTheme="minorHAnsi" w:hAnsiTheme="minorHAnsi"/>
        </w:rPr>
        <w:t xml:space="preserve"> </w:t>
      </w:r>
      <w:r w:rsidR="001C1E55">
        <w:rPr>
          <w:rFonts w:asciiTheme="minorHAnsi" w:hAnsiTheme="minorHAnsi"/>
          <w:lang w:val="en-US"/>
        </w:rPr>
        <w:t>along with</w:t>
      </w:r>
      <w:r w:rsidRPr="0067297E">
        <w:rPr>
          <w:rFonts w:asciiTheme="minorHAnsi" w:hAnsiTheme="minorHAnsi"/>
        </w:rPr>
        <w:t xml:space="preserve"> three bedroom</w:t>
      </w:r>
      <w:r w:rsidR="00031FBA">
        <w:rPr>
          <w:rFonts w:asciiTheme="minorHAnsi" w:hAnsiTheme="minorHAnsi"/>
          <w:lang w:val="en-GB"/>
        </w:rPr>
        <w:t xml:space="preserve"> (27.4%)</w:t>
      </w:r>
      <w:r w:rsidRPr="0067297E">
        <w:rPr>
          <w:rFonts w:asciiTheme="minorHAnsi" w:hAnsiTheme="minorHAnsi"/>
        </w:rPr>
        <w:t xml:space="preserve"> </w:t>
      </w:r>
      <w:r w:rsidR="001C1E55">
        <w:rPr>
          <w:rFonts w:asciiTheme="minorHAnsi" w:hAnsiTheme="minorHAnsi"/>
          <w:lang w:val="en-US"/>
        </w:rPr>
        <w:t xml:space="preserve"> and four or more bedroom (12.7%) </w:t>
      </w:r>
      <w:r w:rsidRPr="0067297E">
        <w:rPr>
          <w:rFonts w:asciiTheme="minorHAnsi" w:hAnsiTheme="minorHAnsi"/>
        </w:rPr>
        <w:t xml:space="preserve">dwellings. </w:t>
      </w:r>
      <w:r w:rsidRPr="0067297E">
        <w:rPr>
          <w:rFonts w:asciiTheme="minorHAnsi" w:hAnsiTheme="minorHAnsi" w:cs="Calibri"/>
        </w:rPr>
        <w:t>Evidence from new</w:t>
      </w:r>
      <w:r w:rsidR="00793E74" w:rsidRPr="0067297E">
        <w:rPr>
          <w:rFonts w:asciiTheme="minorHAnsi" w:hAnsiTheme="minorHAnsi" w:cs="Calibri"/>
          <w:lang w:val="en-GB"/>
        </w:rPr>
        <w:t xml:space="preserve"> </w:t>
      </w:r>
      <w:r w:rsidRPr="0067297E">
        <w:rPr>
          <w:rFonts w:asciiTheme="minorHAnsi" w:hAnsiTheme="minorHAnsi" w:cs="Calibri"/>
        </w:rPr>
        <w:t xml:space="preserve">build activity demonstrates that the vast </w:t>
      </w:r>
      <w:r w:rsidR="005B2517" w:rsidRPr="0067297E">
        <w:rPr>
          <w:rFonts w:asciiTheme="minorHAnsi" w:hAnsiTheme="minorHAnsi" w:cs="Calibri"/>
        </w:rPr>
        <w:t>majority</w:t>
      </w:r>
      <w:r w:rsidRPr="0067297E">
        <w:rPr>
          <w:rFonts w:asciiTheme="minorHAnsi" w:hAnsiTheme="minorHAnsi" w:cs="Calibri"/>
        </w:rPr>
        <w:t xml:space="preserve"> of new build comprises flats/apartments and therefore it is anticipated that these will continue to dominate development across the borough. However</w:t>
      </w:r>
      <w:r w:rsidR="00793E74" w:rsidRPr="0067297E">
        <w:rPr>
          <w:rFonts w:asciiTheme="minorHAnsi" w:hAnsiTheme="minorHAnsi" w:cs="Calibri"/>
          <w:lang w:val="en-GB"/>
        </w:rPr>
        <w:t>,</w:t>
      </w:r>
      <w:r w:rsidRPr="0067297E">
        <w:rPr>
          <w:rFonts w:asciiTheme="minorHAnsi" w:hAnsiTheme="minorHAnsi" w:cs="Calibri"/>
        </w:rPr>
        <w:t xml:space="preserve"> where possible a broader mix of 2, 3 and 4 bedroom market houses would be recommended</w:t>
      </w:r>
      <w:r w:rsidR="00240A9A">
        <w:rPr>
          <w:rFonts w:asciiTheme="minorHAnsi" w:hAnsiTheme="minorHAnsi" w:cs="Calibri"/>
          <w:lang w:val="en-GB"/>
        </w:rPr>
        <w:t xml:space="preserve"> on new development sites</w:t>
      </w:r>
      <w:r w:rsidRPr="0067297E">
        <w:rPr>
          <w:rFonts w:asciiTheme="minorHAnsi" w:hAnsiTheme="minorHAnsi" w:cs="Calibri"/>
        </w:rPr>
        <w:t xml:space="preserve">. </w:t>
      </w:r>
      <w:r w:rsidRPr="0067297E">
        <w:rPr>
          <w:rFonts w:asciiTheme="minorHAnsi" w:hAnsiTheme="minorHAnsi" w:cs="Calibri"/>
          <w:lang w:val="en-US"/>
        </w:rPr>
        <w:t>This broad mix of housing development will support a range of household types including families with children, key workers, young people and older people</w:t>
      </w:r>
      <w:r w:rsidR="00031FBA">
        <w:rPr>
          <w:rFonts w:asciiTheme="minorHAnsi" w:hAnsiTheme="minorHAnsi" w:cs="Calibri"/>
          <w:lang w:val="en-US"/>
        </w:rPr>
        <w:t>, will help alleviate overcrowding and enable movement within the housing market</w:t>
      </w:r>
      <w:r w:rsidRPr="0067297E">
        <w:rPr>
          <w:rFonts w:asciiTheme="minorHAnsi" w:hAnsiTheme="minorHAnsi" w:cs="Calibri"/>
          <w:lang w:val="en-US"/>
        </w:rPr>
        <w:t xml:space="preserve">. </w:t>
      </w:r>
    </w:p>
    <w:p w14:paraId="2A5CB2FF" w14:textId="77777777" w:rsidR="00DA5DBD" w:rsidRDefault="00DA5DBD" w:rsidP="00425A04"/>
    <w:p w14:paraId="267B5937" w14:textId="7C92E4B3" w:rsidR="00DA5DBD" w:rsidRPr="0015368C" w:rsidRDefault="00DA5DBD" w:rsidP="0015368C">
      <w:pPr>
        <w:pStyle w:val="Heading4"/>
      </w:pPr>
      <w:r>
        <w:t>Specific policy recommendations</w:t>
      </w:r>
    </w:p>
    <w:p w14:paraId="5DB6DBAE" w14:textId="292C6069" w:rsidR="00DA5DBD" w:rsidRPr="0015368C" w:rsidRDefault="00DA5DBD" w:rsidP="00DA5DBD">
      <w:pPr>
        <w:pStyle w:val="Reporttext"/>
        <w:rPr>
          <w:rFonts w:asciiTheme="minorHAnsi" w:hAnsiTheme="minorHAnsi"/>
        </w:rPr>
      </w:pPr>
      <w:r w:rsidRPr="00C604AC">
        <w:t xml:space="preserve">It will be important for family sized accommodation to be provided as part of the overall mix of housing, and in particular to be provided as part of </w:t>
      </w:r>
      <w:r w:rsidRPr="00C604AC">
        <w:rPr>
          <w:lang w:val="en-GB"/>
        </w:rPr>
        <w:t>affordable provision, on new build schemes.</w:t>
      </w:r>
    </w:p>
    <w:p w14:paraId="08FBE94A" w14:textId="433170B5" w:rsidR="00DA5DBD" w:rsidRPr="0015368C" w:rsidRDefault="00DA5DBD" w:rsidP="00DA5DBD">
      <w:pPr>
        <w:pStyle w:val="Reporttext"/>
        <w:rPr>
          <w:rFonts w:asciiTheme="minorHAnsi" w:hAnsiTheme="minorHAnsi"/>
        </w:rPr>
      </w:pPr>
      <w:r w:rsidRPr="0015368C">
        <w:rPr>
          <w:rFonts w:asciiTheme="minorHAnsi" w:hAnsiTheme="minorHAnsi"/>
          <w:lang w:val="en-GB"/>
        </w:rPr>
        <w:t>A mix of tenures with a focus on social rented family sized properties will help to address the needs of BAME groups</w:t>
      </w:r>
      <w:r>
        <w:rPr>
          <w:rFonts w:asciiTheme="minorHAnsi" w:hAnsiTheme="minorHAnsi"/>
          <w:lang w:val="en-GB"/>
        </w:rPr>
        <w:t>.</w:t>
      </w:r>
    </w:p>
    <w:p w14:paraId="2C4FC1AA" w14:textId="779B95A4" w:rsidR="00DA5DBD" w:rsidRPr="0015368C" w:rsidRDefault="00DA5DBD" w:rsidP="0015368C">
      <w:pPr>
        <w:pStyle w:val="Reporttext"/>
        <w:rPr>
          <w:rFonts w:asciiTheme="minorHAnsi" w:hAnsiTheme="minorHAnsi"/>
        </w:rPr>
      </w:pPr>
      <w:r w:rsidRPr="0015368C">
        <w:t>To help overcome overcrowding,</w:t>
      </w:r>
      <w:r w:rsidRPr="0015368C">
        <w:rPr>
          <w:lang w:val="en-GB"/>
        </w:rPr>
        <w:t xml:space="preserve"> free up suitable sized housing and allow movement in the housing market, </w:t>
      </w:r>
      <w:r w:rsidRPr="0015368C">
        <w:t>there is a need to provide a mix in the size of housing to be built on new development sites.</w:t>
      </w:r>
    </w:p>
    <w:p w14:paraId="1789B5C0" w14:textId="10888642" w:rsidR="00DA5DBD" w:rsidRPr="0015368C" w:rsidRDefault="00DA5DBD" w:rsidP="005965E1">
      <w:pPr>
        <w:pStyle w:val="Reporttext"/>
        <w:rPr>
          <w:rFonts w:asciiTheme="minorHAnsi" w:hAnsiTheme="minorHAnsi"/>
        </w:rPr>
      </w:pPr>
      <w:r>
        <w:rPr>
          <w:rFonts w:asciiTheme="minorHAnsi" w:hAnsiTheme="minorHAnsi"/>
          <w:lang w:val="en-GB"/>
        </w:rPr>
        <w:t>The Council should ensure that the needs of self- and custom-house builders are accommodated.</w:t>
      </w:r>
    </w:p>
    <w:p w14:paraId="119C0304" w14:textId="77777777" w:rsidR="00DA5DBD" w:rsidRPr="0015368C" w:rsidRDefault="00DA5DBD" w:rsidP="00DA5DBD">
      <w:pPr>
        <w:pStyle w:val="Reporttext"/>
        <w:rPr>
          <w:rFonts w:asciiTheme="minorHAnsi" w:hAnsiTheme="minorHAnsi"/>
        </w:rPr>
      </w:pPr>
      <w:r w:rsidRPr="00C604AC">
        <w:rPr>
          <w:lang w:val="en-GB"/>
        </w:rPr>
        <w:t xml:space="preserve">Whilst recognising the need for HMOs, careful consideration will need to be given to ensure that new HMOs </w:t>
      </w:r>
      <w:r w:rsidRPr="00C604AC">
        <w:rPr>
          <w:rFonts w:cs="Arial"/>
        </w:rPr>
        <w:t>contribute to a beneficial mix and balance of uses within an area, do not result in the loss of family occupation, an overconcentration of HMOs or adverse impacts on amenity, are located in areas of good transport accessibility and are well-designed and well managed</w:t>
      </w:r>
      <w:r>
        <w:rPr>
          <w:rFonts w:cs="Arial"/>
          <w:lang w:val="en-US"/>
        </w:rPr>
        <w:t>.</w:t>
      </w:r>
    </w:p>
    <w:p w14:paraId="3A0EDFF9" w14:textId="77554FFE" w:rsidR="00DA5DBD" w:rsidRPr="0015368C" w:rsidRDefault="00DA5DBD" w:rsidP="0015368C">
      <w:pPr>
        <w:pStyle w:val="Reporttext"/>
        <w:rPr>
          <w:rFonts w:asciiTheme="minorHAnsi" w:hAnsiTheme="minorHAnsi"/>
        </w:rPr>
      </w:pPr>
      <w:r w:rsidRPr="0015368C">
        <w:t>35% of student housing should be provided as affordable units, to help meet students’ needs.</w:t>
      </w:r>
    </w:p>
    <w:p w14:paraId="61807ED7" w14:textId="4FD0F90D" w:rsidR="00DC3A7C" w:rsidRPr="0015368C" w:rsidRDefault="00DC3A7C" w:rsidP="005965E1">
      <w:pPr>
        <w:pStyle w:val="Reporttext"/>
        <w:rPr>
          <w:rFonts w:asciiTheme="minorHAnsi" w:hAnsiTheme="minorHAnsi"/>
        </w:rPr>
      </w:pPr>
      <w:r>
        <w:rPr>
          <w:rFonts w:asciiTheme="minorHAnsi" w:hAnsiTheme="minorHAnsi"/>
          <w:lang w:val="en-US"/>
        </w:rPr>
        <w:t xml:space="preserve">There is a need to provide 50% affordable housing on qualifying new schemes. </w:t>
      </w:r>
    </w:p>
    <w:p w14:paraId="53379DB0" w14:textId="01DEF598" w:rsidR="00DC3A7C" w:rsidRPr="0015368C" w:rsidRDefault="00DC3A7C" w:rsidP="005965E1">
      <w:pPr>
        <w:pStyle w:val="Reporttext"/>
        <w:rPr>
          <w:rFonts w:asciiTheme="minorHAnsi" w:hAnsiTheme="minorHAnsi"/>
        </w:rPr>
      </w:pPr>
      <w:r>
        <w:rPr>
          <w:rFonts w:asciiTheme="minorHAnsi" w:hAnsiTheme="minorHAnsi"/>
          <w:lang w:val="en-US"/>
        </w:rPr>
        <w:t>Detailed analysis of the affordability of housing in the borough results in a borough-level tenure split of 85% social/affordable rent and 15% intermediate tenure. This is based on the evidence of relative affordability of housing tenure options which are set out in paragraphs 4.72 to 4.90 and the recommendations made in paragraph 4.98.</w:t>
      </w:r>
    </w:p>
    <w:p w14:paraId="649ABE60" w14:textId="11A60E7C" w:rsidR="00DC3A7C" w:rsidRPr="00550FDD" w:rsidRDefault="00DC3A7C" w:rsidP="00DC3A7C">
      <w:pPr>
        <w:pStyle w:val="Reporttext"/>
        <w:rPr>
          <w:lang w:val="en-GB"/>
        </w:rPr>
      </w:pPr>
      <w:r w:rsidRPr="00C604AC">
        <w:rPr>
          <w:rFonts w:asciiTheme="minorHAnsi" w:hAnsiTheme="minorHAnsi"/>
        </w:rPr>
        <w:t>If</w:t>
      </w:r>
      <w:r w:rsidRPr="00550FDD">
        <w:rPr>
          <w:lang w:val="en-GB"/>
        </w:rPr>
        <w:t xml:space="preserve"> the Council is minded to adopt the approach taken in Policy H7 of the Draft London Plan, then all of the remaining 40% to be determined at the borough level should be social rent/affordable rent, creating a 70:30 tenure split.</w:t>
      </w:r>
      <w:r>
        <w:rPr>
          <w:lang w:val="en-GB"/>
        </w:rPr>
        <w:t xml:space="preserve"> This result is also consistent with the tenure split policies of the 2011 Core Strategy.</w:t>
      </w:r>
    </w:p>
    <w:p w14:paraId="343D1530" w14:textId="77777777" w:rsidR="005965E1" w:rsidRPr="0067297E" w:rsidRDefault="005965E1" w:rsidP="005965E1">
      <w:pPr>
        <w:pStyle w:val="Reporttext"/>
        <w:numPr>
          <w:ilvl w:val="0"/>
          <w:numId w:val="0"/>
        </w:numPr>
        <w:ind w:left="709"/>
        <w:rPr>
          <w:rFonts w:asciiTheme="minorHAnsi" w:hAnsiTheme="minorHAnsi"/>
        </w:rPr>
      </w:pPr>
    </w:p>
    <w:p w14:paraId="2662B352" w14:textId="77777777" w:rsidR="005965E1" w:rsidRPr="0067297E" w:rsidRDefault="005965E1" w:rsidP="005965E1">
      <w:pPr>
        <w:pStyle w:val="Heading2"/>
        <w:ind w:left="709" w:firstLine="0"/>
        <w:rPr>
          <w:rFonts w:asciiTheme="minorHAnsi" w:hAnsiTheme="minorHAnsi"/>
        </w:rPr>
      </w:pPr>
      <w:bookmarkStart w:id="456" w:name="_Toc529863465"/>
      <w:bookmarkStart w:id="457" w:name="_Toc1385790"/>
      <w:bookmarkStart w:id="458" w:name="_Toc23151107"/>
      <w:r w:rsidRPr="0067297E">
        <w:rPr>
          <w:rFonts w:asciiTheme="minorHAnsi" w:hAnsiTheme="minorHAnsi"/>
        </w:rPr>
        <w:t>Meeting the needs of different groups including older people and those with disabilities</w:t>
      </w:r>
      <w:bookmarkEnd w:id="456"/>
      <w:bookmarkEnd w:id="457"/>
      <w:bookmarkEnd w:id="458"/>
    </w:p>
    <w:p w14:paraId="04C18D88" w14:textId="4ACB50A2" w:rsidR="00DA5DBD" w:rsidRPr="0067297E" w:rsidRDefault="005965E1" w:rsidP="005965E1">
      <w:pPr>
        <w:pStyle w:val="Reporttext"/>
        <w:rPr>
          <w:rFonts w:asciiTheme="minorHAnsi" w:hAnsiTheme="minorHAnsi"/>
        </w:rPr>
      </w:pPr>
      <w:r w:rsidRPr="0067297E">
        <w:rPr>
          <w:rFonts w:asciiTheme="minorHAnsi" w:hAnsiTheme="minorHAnsi"/>
        </w:rPr>
        <w:t xml:space="preserve">There is evidence to support a programme of accommodation delivery to help meet the needs of older people and those with disabilities given changing demographic and prevalence of disability. </w:t>
      </w:r>
      <w:r w:rsidRPr="0067297E">
        <w:rPr>
          <w:rFonts w:asciiTheme="minorHAnsi" w:hAnsiTheme="minorHAnsi"/>
          <w:lang w:val="en-GB"/>
        </w:rPr>
        <w:t>T</w:t>
      </w:r>
      <w:r w:rsidRPr="0067297E">
        <w:rPr>
          <w:rFonts w:asciiTheme="minorHAnsi" w:hAnsiTheme="minorHAnsi"/>
        </w:rPr>
        <w:t xml:space="preserve">here is a need to diversify options available to older people wanting to move to more appropriate </w:t>
      </w:r>
      <w:r w:rsidRPr="0067297E">
        <w:rPr>
          <w:rFonts w:asciiTheme="minorHAnsi" w:hAnsiTheme="minorHAnsi"/>
          <w:lang w:val="en-US"/>
        </w:rPr>
        <w:t>accommodation and ensure that homes are appropriately adapted.</w:t>
      </w:r>
    </w:p>
    <w:p w14:paraId="7872A7C4" w14:textId="37624769" w:rsidR="00DA5DBD" w:rsidRPr="0015368C" w:rsidRDefault="00DA5DBD" w:rsidP="0015368C">
      <w:pPr>
        <w:pStyle w:val="Reporttext"/>
        <w:rPr>
          <w:rFonts w:asciiTheme="minorHAnsi" w:hAnsiTheme="minorHAnsi"/>
        </w:rPr>
      </w:pPr>
      <w:r w:rsidRPr="0015368C">
        <w:rPr>
          <w:lang w:val="en-GB"/>
        </w:rPr>
        <w:t>Given the demographic changes taking place and the ageing population, d</w:t>
      </w:r>
      <w:r w:rsidRPr="0015368C">
        <w:t>elivering an appropriate range of new dwellings for older people needs to be a strategic priority for the Council</w:t>
      </w:r>
      <w:r>
        <w:rPr>
          <w:rFonts w:asciiTheme="minorHAnsi" w:hAnsiTheme="minorHAnsi"/>
          <w:lang w:val="en-US"/>
        </w:rPr>
        <w:t>.</w:t>
      </w:r>
    </w:p>
    <w:p w14:paraId="3C521D58" w14:textId="108C7BB6" w:rsidR="005965E1" w:rsidRPr="0067297E" w:rsidRDefault="005965E1" w:rsidP="005965E1">
      <w:pPr>
        <w:pStyle w:val="Reporttext"/>
        <w:rPr>
          <w:rFonts w:asciiTheme="minorHAnsi" w:hAnsiTheme="minorHAnsi"/>
        </w:rPr>
      </w:pPr>
      <w:r w:rsidRPr="0067297E">
        <w:rPr>
          <w:rFonts w:asciiTheme="minorHAnsi" w:hAnsiTheme="minorHAnsi"/>
          <w:lang w:val="en-US"/>
        </w:rPr>
        <w:t xml:space="preserve">Specific needs </w:t>
      </w:r>
      <w:r w:rsidR="005A4408" w:rsidRPr="0067297E">
        <w:rPr>
          <w:rFonts w:asciiTheme="minorHAnsi" w:hAnsiTheme="minorHAnsi"/>
          <w:lang w:val="en-US"/>
        </w:rPr>
        <w:t xml:space="preserve">over the Plan period </w:t>
      </w:r>
      <w:r w:rsidRPr="0067297E">
        <w:rPr>
          <w:rFonts w:asciiTheme="minorHAnsi" w:hAnsiTheme="minorHAnsi"/>
          <w:lang w:val="en-US"/>
        </w:rPr>
        <w:t xml:space="preserve">identified </w:t>
      </w:r>
      <w:r w:rsidRPr="0067297E">
        <w:rPr>
          <w:rFonts w:asciiTheme="minorHAnsi" w:hAnsiTheme="minorHAnsi"/>
        </w:rPr>
        <w:t>across</w:t>
      </w:r>
      <w:r w:rsidRPr="0067297E">
        <w:rPr>
          <w:rFonts w:asciiTheme="minorHAnsi" w:hAnsiTheme="minorHAnsi"/>
          <w:lang w:val="en-US"/>
        </w:rPr>
        <w:t xml:space="preserve"> the borough are:</w:t>
      </w:r>
    </w:p>
    <w:p w14:paraId="353C840C" w14:textId="7F57B97C" w:rsidR="005965E1" w:rsidRPr="0067297E" w:rsidRDefault="00827838" w:rsidP="005965E1">
      <w:pPr>
        <w:pStyle w:val="bullet"/>
        <w:rPr>
          <w:rFonts w:asciiTheme="minorHAnsi" w:hAnsiTheme="minorHAnsi"/>
        </w:rPr>
      </w:pPr>
      <w:r>
        <w:rPr>
          <w:rFonts w:asciiTheme="minorHAnsi" w:hAnsiTheme="minorHAnsi"/>
          <w:lang w:val="en-US"/>
        </w:rPr>
        <w:t>2,196</w:t>
      </w:r>
      <w:r w:rsidR="005965E1" w:rsidRPr="0067297E">
        <w:rPr>
          <w:rFonts w:asciiTheme="minorHAnsi" w:hAnsiTheme="minorHAnsi"/>
        </w:rPr>
        <w:t xml:space="preserve"> additional specialist older person dwellings (C3)</w:t>
      </w:r>
      <w:r w:rsidR="00DA5DBD">
        <w:rPr>
          <w:rFonts w:asciiTheme="minorHAnsi" w:hAnsiTheme="minorHAnsi"/>
          <w:lang w:val="en-US"/>
        </w:rPr>
        <w:t xml:space="preserve"> (equivalent to 101 units each year)</w:t>
      </w:r>
      <w:r w:rsidR="005965E1" w:rsidRPr="0067297E">
        <w:rPr>
          <w:rFonts w:asciiTheme="minorHAnsi" w:hAnsiTheme="minorHAnsi"/>
        </w:rPr>
        <w:t>;</w:t>
      </w:r>
    </w:p>
    <w:p w14:paraId="6DA29A59" w14:textId="6373C8C0" w:rsidR="005965E1" w:rsidRPr="0067297E" w:rsidRDefault="00827838" w:rsidP="005965E1">
      <w:pPr>
        <w:pStyle w:val="bullet"/>
        <w:rPr>
          <w:rFonts w:asciiTheme="minorHAnsi" w:hAnsiTheme="minorHAnsi"/>
        </w:rPr>
      </w:pPr>
      <w:r>
        <w:rPr>
          <w:rFonts w:asciiTheme="minorHAnsi" w:hAnsiTheme="minorHAnsi"/>
          <w:lang w:val="en-US"/>
        </w:rPr>
        <w:t>539</w:t>
      </w:r>
      <w:r w:rsidR="005965E1" w:rsidRPr="0067297E">
        <w:rPr>
          <w:rFonts w:asciiTheme="minorHAnsi" w:hAnsiTheme="minorHAnsi"/>
        </w:rPr>
        <w:t xml:space="preserve"> additional units of residential care dwellings (C2);</w:t>
      </w:r>
    </w:p>
    <w:p w14:paraId="120827F2" w14:textId="38092D12" w:rsidR="005965E1" w:rsidRPr="0067297E" w:rsidRDefault="005965E1" w:rsidP="005965E1">
      <w:pPr>
        <w:pStyle w:val="bullet"/>
        <w:rPr>
          <w:rFonts w:asciiTheme="minorHAnsi" w:hAnsiTheme="minorHAnsi"/>
        </w:rPr>
      </w:pPr>
      <w:r w:rsidRPr="0067297E">
        <w:rPr>
          <w:rFonts w:asciiTheme="minorHAnsi" w:hAnsiTheme="minorHAnsi"/>
        </w:rPr>
        <w:t>A minimum of 1</w:t>
      </w:r>
      <w:r w:rsidR="005A4408" w:rsidRPr="0067297E">
        <w:rPr>
          <w:rFonts w:asciiTheme="minorHAnsi" w:hAnsiTheme="minorHAnsi"/>
          <w:lang w:val="en-GB"/>
        </w:rPr>
        <w:t>0</w:t>
      </w:r>
      <w:r w:rsidRPr="0067297E">
        <w:rPr>
          <w:rFonts w:asciiTheme="minorHAnsi" w:hAnsiTheme="minorHAnsi"/>
        </w:rPr>
        <w:t>% of new dwellings should be</w:t>
      </w:r>
      <w:r w:rsidRPr="0067297E">
        <w:rPr>
          <w:rFonts w:asciiTheme="minorHAnsi" w:hAnsiTheme="minorHAnsi"/>
          <w:shd w:val="clear" w:color="auto" w:fill="FFFFFF"/>
        </w:rPr>
        <w:t xml:space="preserve"> built to M4(3) (wheelchair accessible) dwelling standard;</w:t>
      </w:r>
    </w:p>
    <w:p w14:paraId="0573B701" w14:textId="77777777" w:rsidR="005965E1" w:rsidRPr="0067297E" w:rsidRDefault="005965E1" w:rsidP="005965E1">
      <w:pPr>
        <w:pStyle w:val="bullet"/>
        <w:rPr>
          <w:rFonts w:asciiTheme="minorHAnsi" w:hAnsiTheme="minorHAnsi"/>
        </w:rPr>
      </w:pPr>
      <w:r w:rsidRPr="0067297E">
        <w:rPr>
          <w:rFonts w:asciiTheme="minorHAnsi" w:hAnsiTheme="minorHAnsi"/>
          <w:shd w:val="clear" w:color="auto" w:fill="FFFFFF"/>
        </w:rPr>
        <w:t xml:space="preserve">Ongoing adaptation of existing dwellings </w:t>
      </w:r>
    </w:p>
    <w:p w14:paraId="43406613" w14:textId="77777777" w:rsidR="005965E1" w:rsidRPr="0067297E" w:rsidRDefault="005965E1" w:rsidP="005965E1">
      <w:pPr>
        <w:pStyle w:val="Reporttext"/>
        <w:rPr>
          <w:rFonts w:asciiTheme="minorHAnsi" w:hAnsiTheme="minorHAnsi"/>
        </w:rPr>
      </w:pPr>
      <w:r w:rsidRPr="0067297E">
        <w:rPr>
          <w:rFonts w:asciiTheme="minorHAnsi" w:hAnsiTheme="minorHAnsi"/>
          <w:lang w:val="en-US"/>
        </w:rPr>
        <w:t>A</w:t>
      </w:r>
      <w:r w:rsidRPr="0067297E">
        <w:rPr>
          <w:rFonts w:asciiTheme="minorHAnsi" w:hAnsiTheme="minorHAnsi"/>
        </w:rPr>
        <w:t xml:space="preserve">ccommodation needs for those with disabilities and support needs have been suggested by stakeholders and further work is recommended by the Council to ensure they have a more complete picture of need. </w:t>
      </w:r>
    </w:p>
    <w:p w14:paraId="1898B009" w14:textId="2994B0BE" w:rsidR="005965E1" w:rsidRPr="0067297E" w:rsidRDefault="005965E1" w:rsidP="005965E1">
      <w:pPr>
        <w:pStyle w:val="Reporttext"/>
        <w:rPr>
          <w:rFonts w:asciiTheme="minorHAnsi" w:hAnsiTheme="minorHAnsi"/>
        </w:rPr>
      </w:pPr>
      <w:r w:rsidRPr="0067297E">
        <w:rPr>
          <w:rFonts w:asciiTheme="minorHAnsi" w:hAnsiTheme="minorHAnsi"/>
          <w:lang w:val="en-US"/>
        </w:rPr>
        <w:t xml:space="preserve">The SHMA has also reflected on the </w:t>
      </w:r>
      <w:r w:rsidRPr="0067297E">
        <w:rPr>
          <w:rFonts w:asciiTheme="minorHAnsi" w:hAnsiTheme="minorHAnsi"/>
        </w:rPr>
        <w:t>housing</w:t>
      </w:r>
      <w:r w:rsidRPr="0067297E">
        <w:rPr>
          <w:rFonts w:asciiTheme="minorHAnsi" w:hAnsiTheme="minorHAnsi"/>
          <w:lang w:val="en-US"/>
        </w:rPr>
        <w:t xml:space="preserve"> circumstances of BAME groups and former military personnel. Given the scale of homelessness and pressures on the social rented sector, accessibility to temporary accommodation remains a priority</w:t>
      </w:r>
      <w:r w:rsidR="00BC1145" w:rsidRPr="0067297E">
        <w:rPr>
          <w:rFonts w:asciiTheme="minorHAnsi" w:hAnsiTheme="minorHAnsi"/>
          <w:lang w:val="en-US"/>
        </w:rPr>
        <w:t>.</w:t>
      </w:r>
    </w:p>
    <w:p w14:paraId="34A60789" w14:textId="77777777" w:rsidR="005965E1" w:rsidRPr="0067297E" w:rsidRDefault="005965E1" w:rsidP="005965E1">
      <w:pPr>
        <w:rPr>
          <w:rFonts w:asciiTheme="minorHAnsi" w:hAnsiTheme="minorHAnsi"/>
        </w:rPr>
      </w:pPr>
    </w:p>
    <w:p w14:paraId="607BEA6F" w14:textId="77777777" w:rsidR="005965E1" w:rsidRPr="0067297E" w:rsidRDefault="005965E1" w:rsidP="005965E1">
      <w:pPr>
        <w:pStyle w:val="Heading2"/>
        <w:rPr>
          <w:rFonts w:asciiTheme="minorHAnsi" w:hAnsiTheme="minorHAnsi"/>
        </w:rPr>
      </w:pPr>
      <w:bookmarkStart w:id="459" w:name="_Toc529863466"/>
      <w:bookmarkStart w:id="460" w:name="_Toc1385791"/>
      <w:bookmarkStart w:id="461" w:name="_Toc23151108"/>
      <w:r w:rsidRPr="0067297E">
        <w:rPr>
          <w:rFonts w:asciiTheme="minorHAnsi" w:hAnsiTheme="minorHAnsi"/>
        </w:rPr>
        <w:t>Final comments</w:t>
      </w:r>
      <w:bookmarkEnd w:id="459"/>
      <w:bookmarkEnd w:id="460"/>
      <w:bookmarkEnd w:id="461"/>
    </w:p>
    <w:p w14:paraId="0CDD9219" w14:textId="2075B9C2" w:rsidR="005965E1" w:rsidRPr="0067297E" w:rsidRDefault="005965E1" w:rsidP="005965E1">
      <w:pPr>
        <w:pStyle w:val="Reporttext"/>
        <w:rPr>
          <w:rFonts w:asciiTheme="minorHAnsi" w:hAnsiTheme="minorHAnsi"/>
        </w:rPr>
      </w:pPr>
      <w:r w:rsidRPr="0067297E">
        <w:rPr>
          <w:rFonts w:asciiTheme="minorHAnsi" w:hAnsiTheme="minorHAnsi"/>
        </w:rPr>
        <w:t>The evidence presented in this SHMA suggests that there are three main policy areas that require particular attention from both a planning policy and social policy perspective:</w:t>
      </w:r>
    </w:p>
    <w:p w14:paraId="2B3A8088" w14:textId="77777777" w:rsidR="005965E1" w:rsidRPr="0067297E" w:rsidRDefault="005965E1" w:rsidP="005965E1">
      <w:pPr>
        <w:pStyle w:val="bullet"/>
        <w:rPr>
          <w:rFonts w:asciiTheme="minorHAnsi" w:hAnsiTheme="minorHAnsi"/>
        </w:rPr>
      </w:pPr>
      <w:r w:rsidRPr="0067297E">
        <w:rPr>
          <w:rFonts w:asciiTheme="minorHAnsi" w:hAnsiTheme="minorHAnsi"/>
        </w:rPr>
        <w:t>the challenge of enabling the quantity and mix of housing that needs to be delivered;</w:t>
      </w:r>
    </w:p>
    <w:p w14:paraId="7E61A4C3" w14:textId="77777777" w:rsidR="005965E1" w:rsidRPr="0067297E" w:rsidRDefault="005965E1" w:rsidP="005965E1">
      <w:pPr>
        <w:pStyle w:val="bullet"/>
        <w:rPr>
          <w:rFonts w:asciiTheme="minorHAnsi" w:hAnsiTheme="minorHAnsi"/>
        </w:rPr>
      </w:pPr>
      <w:r w:rsidRPr="0067297E">
        <w:rPr>
          <w:rFonts w:asciiTheme="minorHAnsi" w:hAnsiTheme="minorHAnsi"/>
        </w:rPr>
        <w:t>the challenge of ensuring that the housing and support needs of older people are met going forward; and</w:t>
      </w:r>
    </w:p>
    <w:p w14:paraId="02FAD85C" w14:textId="558C9B28" w:rsidR="005965E1" w:rsidRPr="0067297E" w:rsidRDefault="005965E1" w:rsidP="005965E1">
      <w:pPr>
        <w:pStyle w:val="bullet"/>
        <w:rPr>
          <w:rFonts w:asciiTheme="minorHAnsi" w:hAnsiTheme="minorHAnsi"/>
        </w:rPr>
      </w:pPr>
      <w:r w:rsidRPr="0067297E">
        <w:rPr>
          <w:rFonts w:asciiTheme="minorHAnsi" w:hAnsiTheme="minorHAnsi"/>
        </w:rPr>
        <w:t xml:space="preserve">ensuring that new development takes account of the particular needs across </w:t>
      </w:r>
      <w:r w:rsidR="00BC1145" w:rsidRPr="0067297E">
        <w:rPr>
          <w:rFonts w:asciiTheme="minorHAnsi" w:hAnsiTheme="minorHAnsi"/>
          <w:lang w:val="en-GB"/>
        </w:rPr>
        <w:t xml:space="preserve">the </w:t>
      </w:r>
      <w:r w:rsidRPr="0067297E">
        <w:rPr>
          <w:rFonts w:asciiTheme="minorHAnsi" w:hAnsiTheme="minorHAnsi"/>
        </w:rPr>
        <w:t>housing market.</w:t>
      </w:r>
    </w:p>
    <w:p w14:paraId="45F6FD16" w14:textId="77777777" w:rsidR="005965E1" w:rsidRPr="0067297E" w:rsidRDefault="005965E1" w:rsidP="00FA273F">
      <w:pPr>
        <w:pStyle w:val="Reporttext"/>
        <w:numPr>
          <w:ilvl w:val="0"/>
          <w:numId w:val="0"/>
        </w:numPr>
        <w:ind w:left="709"/>
        <w:rPr>
          <w:rFonts w:asciiTheme="minorHAnsi" w:hAnsiTheme="minorHAnsi" w:cs="Calibri"/>
          <w:lang w:val="en-GB"/>
        </w:rPr>
      </w:pPr>
    </w:p>
    <w:p w14:paraId="73CA3F90" w14:textId="77777777" w:rsidR="00D631C4" w:rsidRPr="0067297E" w:rsidRDefault="00D631C4" w:rsidP="00543A76">
      <w:pPr>
        <w:rPr>
          <w:rFonts w:asciiTheme="minorHAnsi" w:hAnsiTheme="minorHAnsi"/>
        </w:rPr>
      </w:pPr>
      <w:bookmarkStart w:id="462" w:name="_Toc428528509"/>
      <w:bookmarkStart w:id="463" w:name="_Toc430084603"/>
      <w:bookmarkStart w:id="464" w:name="_Toc430782042"/>
      <w:bookmarkStart w:id="465" w:name="_Toc476317237"/>
    </w:p>
    <w:bookmarkEnd w:id="441"/>
    <w:bookmarkEnd w:id="442"/>
    <w:bookmarkEnd w:id="443"/>
    <w:bookmarkEnd w:id="444"/>
    <w:bookmarkEnd w:id="445"/>
    <w:bookmarkEnd w:id="446"/>
    <w:bookmarkEnd w:id="462"/>
    <w:bookmarkEnd w:id="463"/>
    <w:bookmarkEnd w:id="464"/>
    <w:bookmarkEnd w:id="465"/>
    <w:p w14:paraId="30F57B90" w14:textId="77777777" w:rsidR="00CC5CC3" w:rsidRPr="0067297E" w:rsidRDefault="00CC5CC3">
      <w:pPr>
        <w:pStyle w:val="Reporttext"/>
        <w:rPr>
          <w:rFonts w:asciiTheme="minorHAnsi" w:hAnsiTheme="minorHAnsi" w:cs="Calibri"/>
        </w:rPr>
      </w:pPr>
      <w:r w:rsidRPr="0067297E">
        <w:rPr>
          <w:rFonts w:asciiTheme="minorHAnsi" w:hAnsiTheme="minorHAnsi" w:cs="Calibri"/>
        </w:rPr>
        <w:br w:type="page"/>
      </w:r>
    </w:p>
    <w:p w14:paraId="54920DB7" w14:textId="3EE0AE31" w:rsidR="00CC5CC3" w:rsidRPr="0067297E" w:rsidRDefault="00CC5CC3">
      <w:pPr>
        <w:pStyle w:val="Heading1"/>
        <w:numPr>
          <w:ilvl w:val="0"/>
          <w:numId w:val="0"/>
        </w:numPr>
        <w:rPr>
          <w:rFonts w:asciiTheme="minorHAnsi" w:hAnsiTheme="minorHAnsi" w:cs="Calibri"/>
        </w:rPr>
      </w:pPr>
      <w:bookmarkStart w:id="466" w:name="_Toc333507778"/>
      <w:bookmarkStart w:id="467" w:name="_Toc399864426"/>
      <w:bookmarkStart w:id="468" w:name="_Toc428528515"/>
      <w:bookmarkStart w:id="469" w:name="_Toc430084609"/>
      <w:bookmarkStart w:id="470" w:name="_Toc430782048"/>
      <w:bookmarkStart w:id="471" w:name="_Toc1385792"/>
      <w:bookmarkStart w:id="472" w:name="_Toc23151109"/>
      <w:r w:rsidRPr="0067297E">
        <w:rPr>
          <w:rFonts w:asciiTheme="minorHAnsi" w:hAnsiTheme="minorHAnsi" w:cs="Calibri"/>
        </w:rPr>
        <w:t>Introduction to Technical Appendices</w:t>
      </w:r>
      <w:bookmarkEnd w:id="466"/>
      <w:bookmarkEnd w:id="467"/>
      <w:bookmarkEnd w:id="468"/>
      <w:bookmarkEnd w:id="469"/>
      <w:bookmarkEnd w:id="470"/>
      <w:bookmarkEnd w:id="471"/>
      <w:bookmarkEnd w:id="472"/>
    </w:p>
    <w:p w14:paraId="02250D7C" w14:textId="77777777" w:rsidR="00CC5CC3" w:rsidRPr="0067297E" w:rsidRDefault="00CC5CC3">
      <w:pPr>
        <w:rPr>
          <w:rFonts w:asciiTheme="minorHAnsi" w:hAnsiTheme="minorHAnsi" w:cs="Calibri"/>
        </w:rPr>
      </w:pPr>
    </w:p>
    <w:p w14:paraId="578ABB98" w14:textId="7E0D050C" w:rsidR="00866F59" w:rsidRPr="0067297E" w:rsidRDefault="00866F59">
      <w:pPr>
        <w:pStyle w:val="bullet"/>
        <w:ind w:left="360"/>
        <w:rPr>
          <w:rFonts w:asciiTheme="minorHAnsi" w:hAnsiTheme="minorHAnsi" w:cs="Calibri"/>
        </w:rPr>
      </w:pPr>
      <w:r w:rsidRPr="0067297E">
        <w:rPr>
          <w:rFonts w:asciiTheme="minorHAnsi" w:hAnsiTheme="minorHAnsi" w:cs="Calibri"/>
        </w:rPr>
        <w:t xml:space="preserve">Technical Appendix </w:t>
      </w:r>
      <w:r w:rsidR="00DF121C" w:rsidRPr="0067297E">
        <w:rPr>
          <w:rFonts w:asciiTheme="minorHAnsi" w:hAnsiTheme="minorHAnsi" w:cs="Calibri"/>
          <w:lang w:val="en-US"/>
        </w:rPr>
        <w:t>A</w:t>
      </w:r>
      <w:r w:rsidRPr="0067297E">
        <w:rPr>
          <w:rFonts w:asciiTheme="minorHAnsi" w:hAnsiTheme="minorHAnsi" w:cs="Calibri"/>
        </w:rPr>
        <w:t>:</w:t>
      </w:r>
      <w:r w:rsidRPr="0067297E">
        <w:rPr>
          <w:rFonts w:asciiTheme="minorHAnsi" w:hAnsiTheme="minorHAnsi" w:cs="Calibri"/>
        </w:rPr>
        <w:tab/>
        <w:t>Policy review</w:t>
      </w:r>
    </w:p>
    <w:p w14:paraId="62187FBA" w14:textId="71B46F0E" w:rsidR="00DF121C" w:rsidRPr="0067297E" w:rsidRDefault="00866F59">
      <w:pPr>
        <w:pStyle w:val="bullet"/>
        <w:ind w:left="360"/>
        <w:rPr>
          <w:rFonts w:asciiTheme="minorHAnsi" w:hAnsiTheme="minorHAnsi" w:cs="Calibri"/>
        </w:rPr>
      </w:pPr>
      <w:r w:rsidRPr="0067297E">
        <w:rPr>
          <w:rFonts w:asciiTheme="minorHAnsi" w:hAnsiTheme="minorHAnsi" w:cs="Calibri"/>
        </w:rPr>
        <w:t xml:space="preserve">Technical Appendix </w:t>
      </w:r>
      <w:r w:rsidR="00DF121C" w:rsidRPr="0067297E">
        <w:rPr>
          <w:rFonts w:asciiTheme="minorHAnsi" w:hAnsiTheme="minorHAnsi" w:cs="Calibri"/>
          <w:lang w:val="en-US"/>
        </w:rPr>
        <w:t>B</w:t>
      </w:r>
      <w:r w:rsidR="004A11AC" w:rsidRPr="0067297E">
        <w:rPr>
          <w:rFonts w:asciiTheme="minorHAnsi" w:hAnsiTheme="minorHAnsi" w:cs="Calibri"/>
        </w:rPr>
        <w:t>:</w:t>
      </w:r>
      <w:r w:rsidR="00CC5CC3" w:rsidRPr="0067297E">
        <w:rPr>
          <w:rFonts w:asciiTheme="minorHAnsi" w:hAnsiTheme="minorHAnsi" w:cs="Calibri"/>
        </w:rPr>
        <w:tab/>
      </w:r>
      <w:r w:rsidR="007A4E4C" w:rsidRPr="0067297E">
        <w:rPr>
          <w:rFonts w:asciiTheme="minorHAnsi" w:hAnsiTheme="minorHAnsi" w:cs="Calibri"/>
        </w:rPr>
        <w:t>Housing need</w:t>
      </w:r>
      <w:r w:rsidR="00601148" w:rsidRPr="0067297E">
        <w:rPr>
          <w:rFonts w:asciiTheme="minorHAnsi" w:hAnsiTheme="minorHAnsi" w:cs="Calibri"/>
          <w:lang w:val="en-GB"/>
        </w:rPr>
        <w:t xml:space="preserve"> calculations</w:t>
      </w:r>
    </w:p>
    <w:p w14:paraId="4152B115" w14:textId="1F712586" w:rsidR="00E04BDF" w:rsidRPr="0067297E" w:rsidRDefault="00386B67">
      <w:pPr>
        <w:pStyle w:val="bullet"/>
        <w:ind w:left="360"/>
        <w:rPr>
          <w:rFonts w:asciiTheme="minorHAnsi" w:hAnsiTheme="minorHAnsi" w:cs="Calibri"/>
        </w:rPr>
      </w:pPr>
      <w:r w:rsidRPr="0067297E">
        <w:rPr>
          <w:rFonts w:asciiTheme="minorHAnsi" w:hAnsiTheme="minorHAnsi" w:cs="Calibri"/>
          <w:lang w:val="en-GB"/>
        </w:rPr>
        <w:t xml:space="preserve">Technical Appendix </w:t>
      </w:r>
      <w:r w:rsidR="00DF121C" w:rsidRPr="0067297E">
        <w:rPr>
          <w:rFonts w:asciiTheme="minorHAnsi" w:hAnsiTheme="minorHAnsi" w:cs="Calibri"/>
          <w:lang w:val="en-GB"/>
        </w:rPr>
        <w:t>C</w:t>
      </w:r>
      <w:r w:rsidRPr="0067297E">
        <w:rPr>
          <w:rFonts w:asciiTheme="minorHAnsi" w:hAnsiTheme="minorHAnsi" w:cs="Calibri"/>
          <w:lang w:val="en-GB"/>
        </w:rPr>
        <w:t xml:space="preserve">: </w:t>
      </w:r>
      <w:r w:rsidR="00843067" w:rsidRPr="0067297E">
        <w:rPr>
          <w:rFonts w:asciiTheme="minorHAnsi" w:hAnsiTheme="minorHAnsi" w:cs="Calibri"/>
          <w:lang w:val="en-GB"/>
        </w:rPr>
        <w:tab/>
      </w:r>
      <w:r w:rsidRPr="0067297E">
        <w:rPr>
          <w:rFonts w:asciiTheme="minorHAnsi" w:hAnsiTheme="minorHAnsi" w:cs="Calibri"/>
          <w:lang w:val="en-GB"/>
        </w:rPr>
        <w:t>Stakeholder Survey</w:t>
      </w:r>
    </w:p>
    <w:p w14:paraId="1463B92D" w14:textId="4BE2281A" w:rsidR="00601148" w:rsidRPr="0067297E" w:rsidRDefault="00601148">
      <w:pPr>
        <w:pStyle w:val="bullet"/>
        <w:ind w:left="360"/>
        <w:rPr>
          <w:rFonts w:asciiTheme="minorHAnsi" w:hAnsiTheme="minorHAnsi" w:cs="Calibri"/>
        </w:rPr>
      </w:pPr>
      <w:r w:rsidRPr="0067297E">
        <w:rPr>
          <w:rFonts w:asciiTheme="minorHAnsi" w:hAnsiTheme="minorHAnsi" w:cs="Calibri"/>
          <w:lang w:val="en-GB"/>
        </w:rPr>
        <w:t>Technical Appendi</w:t>
      </w:r>
      <w:r w:rsidR="00DF121C" w:rsidRPr="0067297E">
        <w:rPr>
          <w:rFonts w:asciiTheme="minorHAnsi" w:hAnsiTheme="minorHAnsi" w:cs="Calibri"/>
          <w:lang w:val="en-GB"/>
        </w:rPr>
        <w:t>x D</w:t>
      </w:r>
      <w:r w:rsidRPr="0067297E">
        <w:rPr>
          <w:rFonts w:asciiTheme="minorHAnsi" w:hAnsiTheme="minorHAnsi" w:cs="Calibri"/>
          <w:lang w:val="en-GB"/>
        </w:rPr>
        <w:t xml:space="preserve">: </w:t>
      </w:r>
      <w:r w:rsidRPr="0067297E">
        <w:rPr>
          <w:rFonts w:asciiTheme="minorHAnsi" w:hAnsiTheme="minorHAnsi" w:cs="Calibri"/>
          <w:lang w:val="en-GB"/>
        </w:rPr>
        <w:tab/>
      </w:r>
      <w:r w:rsidR="005B2517" w:rsidRPr="0067297E">
        <w:rPr>
          <w:rFonts w:asciiTheme="minorHAnsi" w:hAnsiTheme="minorHAnsi" w:cs="Calibri"/>
          <w:lang w:val="en-GB"/>
        </w:rPr>
        <w:t>Private</w:t>
      </w:r>
      <w:r w:rsidRPr="0067297E">
        <w:rPr>
          <w:rFonts w:asciiTheme="minorHAnsi" w:hAnsiTheme="minorHAnsi" w:cs="Calibri"/>
          <w:lang w:val="en-GB"/>
        </w:rPr>
        <w:t xml:space="preserve"> Rented Sector</w:t>
      </w:r>
    </w:p>
    <w:p w14:paraId="4D240BB8" w14:textId="7AE2806F" w:rsidR="00A03B58" w:rsidRPr="0067297E" w:rsidRDefault="00A03B58">
      <w:pPr>
        <w:pStyle w:val="bullet"/>
        <w:ind w:left="360"/>
        <w:rPr>
          <w:rFonts w:asciiTheme="minorHAnsi" w:hAnsiTheme="minorHAnsi" w:cs="Calibri"/>
        </w:rPr>
      </w:pPr>
      <w:r w:rsidRPr="0067297E">
        <w:rPr>
          <w:rFonts w:asciiTheme="minorHAnsi" w:hAnsiTheme="minorHAnsi" w:cs="Calibri"/>
          <w:lang w:val="en-GB"/>
        </w:rPr>
        <w:t xml:space="preserve">Technical Appendix E: </w:t>
      </w:r>
      <w:r w:rsidRPr="0067297E">
        <w:rPr>
          <w:rFonts w:asciiTheme="minorHAnsi" w:hAnsiTheme="minorHAnsi" w:cs="Calibri"/>
          <w:lang w:val="en-GB"/>
        </w:rPr>
        <w:tab/>
        <w:t>Glossary of Terms</w:t>
      </w:r>
    </w:p>
    <w:p w14:paraId="1C60450D" w14:textId="77777777" w:rsidR="00CC5CC3" w:rsidRPr="0067297E" w:rsidRDefault="00CC5CC3">
      <w:pPr>
        <w:pStyle w:val="Maintext"/>
        <w:numPr>
          <w:ilvl w:val="0"/>
          <w:numId w:val="0"/>
        </w:numPr>
        <w:rPr>
          <w:rFonts w:asciiTheme="minorHAnsi" w:hAnsiTheme="minorHAnsi" w:cs="Calibri"/>
        </w:rPr>
      </w:pPr>
    </w:p>
    <w:p w14:paraId="5CFC6A88" w14:textId="5849222E" w:rsidR="00CC5CC3" w:rsidRPr="0067297E" w:rsidRDefault="00CC5CC3" w:rsidP="00FA273F">
      <w:pPr>
        <w:pStyle w:val="Heading1"/>
        <w:numPr>
          <w:ilvl w:val="0"/>
          <w:numId w:val="0"/>
        </w:numPr>
        <w:ind w:left="709" w:hanging="709"/>
        <w:rPr>
          <w:rFonts w:asciiTheme="minorHAnsi" w:hAnsiTheme="minorHAnsi" w:cs="Calibri"/>
          <w:b/>
          <w:bCs w:val="0"/>
          <w:color w:val="008080"/>
          <w:sz w:val="32"/>
        </w:rPr>
      </w:pPr>
      <w:r w:rsidRPr="0067297E">
        <w:rPr>
          <w:rFonts w:asciiTheme="minorHAnsi" w:hAnsiTheme="minorHAnsi" w:cs="Calibri"/>
          <w:sz w:val="20"/>
          <w:szCs w:val="20"/>
        </w:rPr>
        <w:br w:type="page"/>
      </w:r>
      <w:bookmarkStart w:id="473" w:name="_Toc236645919"/>
      <w:bookmarkStart w:id="474" w:name="_Toc273708384"/>
      <w:bookmarkStart w:id="475" w:name="_Toc280272454"/>
      <w:bookmarkStart w:id="476" w:name="_Toc318323455"/>
      <w:bookmarkStart w:id="477" w:name="_Toc333507790"/>
      <w:bookmarkStart w:id="478" w:name="_Toc225941609"/>
    </w:p>
    <w:p w14:paraId="5A8FD705" w14:textId="08B13075" w:rsidR="00EC2794" w:rsidRPr="0067297E" w:rsidRDefault="00866F59" w:rsidP="00FA273F">
      <w:pPr>
        <w:pStyle w:val="Heading1"/>
        <w:numPr>
          <w:ilvl w:val="0"/>
          <w:numId w:val="0"/>
        </w:numPr>
        <w:ind w:left="709" w:hanging="709"/>
        <w:rPr>
          <w:rFonts w:asciiTheme="minorHAnsi" w:hAnsiTheme="minorHAnsi" w:cs="Calibri"/>
        </w:rPr>
      </w:pPr>
      <w:bookmarkStart w:id="479" w:name="_Toc1385793"/>
      <w:bookmarkStart w:id="480" w:name="_Toc23151110"/>
      <w:bookmarkStart w:id="481" w:name="_Toc273708385"/>
      <w:bookmarkStart w:id="482" w:name="_Toc280272455"/>
      <w:bookmarkStart w:id="483" w:name="_Toc318323461"/>
      <w:bookmarkStart w:id="484" w:name="_Toc333507791"/>
      <w:bookmarkStart w:id="485" w:name="_Toc399864453"/>
      <w:bookmarkStart w:id="486" w:name="_Toc428528520"/>
      <w:bookmarkStart w:id="487" w:name="_Toc430084613"/>
      <w:bookmarkStart w:id="488" w:name="_Toc430782053"/>
      <w:bookmarkEnd w:id="473"/>
      <w:bookmarkEnd w:id="474"/>
      <w:bookmarkEnd w:id="475"/>
      <w:bookmarkEnd w:id="476"/>
      <w:bookmarkEnd w:id="477"/>
      <w:bookmarkEnd w:id="478"/>
      <w:r w:rsidRPr="0067297E">
        <w:rPr>
          <w:rFonts w:asciiTheme="minorHAnsi" w:hAnsiTheme="minorHAnsi" w:cs="Calibri"/>
        </w:rPr>
        <w:t xml:space="preserve">Technical Appendix </w:t>
      </w:r>
      <w:r w:rsidR="00DF121C" w:rsidRPr="0067297E">
        <w:rPr>
          <w:rFonts w:asciiTheme="minorHAnsi" w:hAnsiTheme="minorHAnsi" w:cs="Calibri"/>
          <w:lang w:val="en-US"/>
        </w:rPr>
        <w:t>A</w:t>
      </w:r>
      <w:r w:rsidRPr="0067297E">
        <w:rPr>
          <w:rFonts w:asciiTheme="minorHAnsi" w:hAnsiTheme="minorHAnsi" w:cs="Calibri"/>
        </w:rPr>
        <w:t xml:space="preserve">: Policy </w:t>
      </w:r>
      <w:r w:rsidR="00781BC0" w:rsidRPr="0067297E">
        <w:rPr>
          <w:rFonts w:asciiTheme="minorHAnsi" w:hAnsiTheme="minorHAnsi" w:cs="Calibri"/>
          <w:lang w:val="en-GB"/>
        </w:rPr>
        <w:t>r</w:t>
      </w:r>
      <w:r w:rsidRPr="0067297E">
        <w:rPr>
          <w:rFonts w:asciiTheme="minorHAnsi" w:hAnsiTheme="minorHAnsi" w:cs="Calibri"/>
        </w:rPr>
        <w:t>eview</w:t>
      </w:r>
      <w:bookmarkEnd w:id="479"/>
      <w:bookmarkEnd w:id="480"/>
    </w:p>
    <w:p w14:paraId="092AEA1A" w14:textId="77777777" w:rsidR="004C12D2" w:rsidRPr="0067297E" w:rsidRDefault="004C12D2" w:rsidP="004C12D2">
      <w:pPr>
        <w:pStyle w:val="Reporttext"/>
        <w:numPr>
          <w:ilvl w:val="0"/>
          <w:numId w:val="0"/>
        </w:numPr>
        <w:tabs>
          <w:tab w:val="clear" w:pos="709"/>
        </w:tabs>
        <w:ind w:left="709"/>
        <w:rPr>
          <w:rFonts w:asciiTheme="minorHAnsi" w:hAnsiTheme="minorHAnsi" w:cs="Calibri"/>
        </w:rPr>
      </w:pPr>
    </w:p>
    <w:p w14:paraId="5B38BF12" w14:textId="23B74428" w:rsidR="00924276" w:rsidRPr="0067297E" w:rsidRDefault="00924276" w:rsidP="002C70BC">
      <w:pPr>
        <w:pStyle w:val="Reporttext"/>
        <w:numPr>
          <w:ilvl w:val="1"/>
          <w:numId w:val="36"/>
        </w:numPr>
        <w:rPr>
          <w:rFonts w:asciiTheme="minorHAnsi" w:hAnsiTheme="minorHAnsi" w:cs="Calibri"/>
        </w:rPr>
      </w:pPr>
      <w:r w:rsidRPr="0067297E">
        <w:rPr>
          <w:rFonts w:asciiTheme="minorHAnsi" w:hAnsiTheme="minorHAnsi" w:cs="Calibri"/>
        </w:rPr>
        <w:t xml:space="preserve">The purpose of this </w:t>
      </w:r>
      <w:r w:rsidR="00793E74" w:rsidRPr="0067297E">
        <w:rPr>
          <w:rFonts w:asciiTheme="minorHAnsi" w:hAnsiTheme="minorHAnsi" w:cs="Calibri"/>
          <w:lang w:val="en-GB"/>
        </w:rPr>
        <w:t>a</w:t>
      </w:r>
      <w:r w:rsidRPr="0067297E">
        <w:rPr>
          <w:rFonts w:asciiTheme="minorHAnsi" w:hAnsiTheme="minorHAnsi" w:cs="Calibri"/>
        </w:rPr>
        <w:t xml:space="preserve">ppendix is to set out the national policy agenda of relevance to this </w:t>
      </w:r>
      <w:r w:rsidR="00601148" w:rsidRPr="0067297E">
        <w:rPr>
          <w:rFonts w:asciiTheme="minorHAnsi" w:hAnsiTheme="minorHAnsi" w:cs="Calibri"/>
          <w:lang w:val="en-GB"/>
        </w:rPr>
        <w:t>SHMA</w:t>
      </w:r>
      <w:r w:rsidRPr="0067297E">
        <w:rPr>
          <w:rFonts w:asciiTheme="minorHAnsi" w:hAnsiTheme="minorHAnsi" w:cs="Calibri"/>
        </w:rPr>
        <w:t xml:space="preserve">. </w:t>
      </w:r>
    </w:p>
    <w:p w14:paraId="2B06F0BA" w14:textId="77777777" w:rsidR="00924276" w:rsidRPr="0067297E" w:rsidRDefault="00924276" w:rsidP="00543A76">
      <w:pPr>
        <w:ind w:left="709"/>
        <w:rPr>
          <w:rFonts w:asciiTheme="minorHAnsi" w:hAnsiTheme="minorHAnsi" w:cs="Calibri"/>
        </w:rPr>
      </w:pPr>
    </w:p>
    <w:p w14:paraId="444DEB95" w14:textId="77777777" w:rsidR="00924276" w:rsidRPr="0067297E" w:rsidRDefault="00924276" w:rsidP="003177A0">
      <w:pPr>
        <w:pStyle w:val="Heading2"/>
        <w:rPr>
          <w:rFonts w:asciiTheme="minorHAnsi" w:hAnsiTheme="minorHAnsi"/>
        </w:rPr>
      </w:pPr>
      <w:bookmarkStart w:id="489" w:name="_Toc319240067"/>
      <w:bookmarkStart w:id="490" w:name="_Toc320530775"/>
      <w:bookmarkStart w:id="491" w:name="_Toc337473005"/>
      <w:bookmarkStart w:id="492" w:name="_Toc465332471"/>
      <w:bookmarkStart w:id="493" w:name="_Toc474935061"/>
      <w:bookmarkStart w:id="494" w:name="_Toc1385794"/>
      <w:bookmarkStart w:id="495" w:name="_Toc23151111"/>
      <w:r w:rsidRPr="0067297E">
        <w:rPr>
          <w:rFonts w:asciiTheme="minorHAnsi" w:hAnsiTheme="minorHAnsi"/>
        </w:rPr>
        <w:t>Introduction</w:t>
      </w:r>
      <w:bookmarkEnd w:id="489"/>
      <w:bookmarkEnd w:id="490"/>
      <w:bookmarkEnd w:id="491"/>
      <w:bookmarkEnd w:id="492"/>
      <w:bookmarkEnd w:id="493"/>
      <w:bookmarkEnd w:id="494"/>
      <w:bookmarkEnd w:id="495"/>
    </w:p>
    <w:p w14:paraId="7C538F10"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Under the Conservative and Liberal Democrat Coalition Government, the period 2010-2015 saw a radical and sustained programme of reform of welfare, housing and planning policy. This was set within the context of national austerity and an economic policy of deficit reduction and public spending cuts following a period of recession and financial turbulence. The reforms championed localism, decentralisation and economic growth.</w:t>
      </w:r>
    </w:p>
    <w:p w14:paraId="2CA45425"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 xml:space="preserve">This agenda continued to be pursued under the leadership of David Cameron following the election of a majority Conservative Government in May 2015. Further welfare reforms were accompanied by policies seeking to increase the rate of housebuilding and promoting home ownership as the tenure of choice. The Housing and Planning Act 2016 was intended to provide the legislative basis for a number of Conservative Manifesto commitments, including the flagship Starter Homes scheme. The Act also made provisions for other aspects of housing policy such as Pay to Stay, Right to Buy, high value sales and ending lifetime tenancies. </w:t>
      </w:r>
    </w:p>
    <w:p w14:paraId="373CE8AF"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The European Union Referendum of June 2016 resulted in significant changes in the political climate at a number of levels. Changes in Government leadership – with the appointment of Theresa May as Prime Minister – quickly led to discussions regarding the direction of housing and planning policy. Alongside significant delays (and in some cases abandonment) in the implementation of secondary legislation relating to aspects of the Housing and Planning Act 2016</w:t>
      </w:r>
      <w:r w:rsidR="009B6031" w:rsidRPr="0067297E">
        <w:rPr>
          <w:rFonts w:asciiTheme="minorHAnsi" w:hAnsiTheme="minorHAnsi" w:cs="Calibri"/>
          <w:lang w:val="en-GB"/>
        </w:rPr>
        <w:t>;</w:t>
      </w:r>
      <w:r w:rsidRPr="0067297E">
        <w:rPr>
          <w:rFonts w:asciiTheme="minorHAnsi" w:hAnsiTheme="minorHAnsi" w:cs="Calibri"/>
        </w:rPr>
        <w:t xml:space="preserve"> conference speeches, ministerial statements and the Housing White Paper (February 2017) indicated a change in attitude towards housing policy. The 2016-17 Administration signalled a broader ‘multi-tenure’ housing strategy, including support for a range of tenures in addition to home ownership. The Neighbourhood Planning Act 2017 was passed with the intention of strengthening neighbourhood planning by ensuring </w:t>
      </w:r>
      <w:r w:rsidR="009B6031" w:rsidRPr="0067297E">
        <w:rPr>
          <w:rFonts w:asciiTheme="minorHAnsi" w:hAnsiTheme="minorHAnsi" w:cs="Calibri"/>
          <w:lang w:val="en-GB"/>
        </w:rPr>
        <w:t xml:space="preserve">that </w:t>
      </w:r>
      <w:r w:rsidRPr="0067297E">
        <w:rPr>
          <w:rFonts w:asciiTheme="minorHAnsi" w:hAnsiTheme="minorHAnsi" w:cs="Calibri"/>
        </w:rPr>
        <w:t>decision-makers take account of well-advanced neighbourhood development plans and giving these plans full legal weight at an earlier stage.</w:t>
      </w:r>
    </w:p>
    <w:p w14:paraId="36B741DD" w14:textId="48BE7B49" w:rsidR="00793C8E" w:rsidRPr="0067297E" w:rsidRDefault="00FD0AB2" w:rsidP="002C70BC">
      <w:pPr>
        <w:pStyle w:val="Reporttext"/>
        <w:numPr>
          <w:ilvl w:val="1"/>
          <w:numId w:val="36"/>
        </w:numPr>
        <w:rPr>
          <w:rFonts w:asciiTheme="minorHAnsi" w:hAnsiTheme="minorHAnsi" w:cs="Calibri"/>
        </w:rPr>
      </w:pPr>
      <w:r w:rsidRPr="0067297E">
        <w:rPr>
          <w:rFonts w:asciiTheme="minorHAnsi" w:hAnsiTheme="minorHAnsi" w:cs="Calibri"/>
        </w:rPr>
        <w:t>The snap General Election of June 2017 created a new wave of political change and uncertainty, although the overall Government leadership remains under Conservative control and ministers are keen to keep housing as a key domestic policy priority. The 2017-18 Administration witnessed continued efforts to boost home ownership amongst first-time buyers, with the Autumn Budget 2017 scrapping the first £300,000 of Stamp Duty. Significant planning policy developments also occurred during this Parliament, including the emergence and establishment of the new ‘standard method’ for the calculation of housing need figures at local authority level and the consultation and final publication of the Revised National Planning Policy Framework (NPPF 2018).</w:t>
      </w:r>
    </w:p>
    <w:p w14:paraId="2F668F48" w14:textId="77777777" w:rsidR="00793C8E" w:rsidRPr="0067297E" w:rsidRDefault="00793C8E" w:rsidP="006C722F">
      <w:pPr>
        <w:pStyle w:val="Reporttext"/>
        <w:numPr>
          <w:ilvl w:val="0"/>
          <w:numId w:val="0"/>
        </w:numPr>
        <w:rPr>
          <w:rFonts w:asciiTheme="minorHAnsi" w:hAnsiTheme="minorHAnsi" w:cs="Calibri"/>
        </w:rPr>
      </w:pPr>
    </w:p>
    <w:p w14:paraId="0C938863" w14:textId="77777777" w:rsidR="00793C8E" w:rsidRPr="0067297E" w:rsidRDefault="00793C8E" w:rsidP="003177A0">
      <w:pPr>
        <w:pStyle w:val="Heading2"/>
        <w:rPr>
          <w:rFonts w:asciiTheme="minorHAnsi" w:hAnsiTheme="minorHAnsi"/>
        </w:rPr>
      </w:pPr>
      <w:bookmarkStart w:id="496" w:name="_Toc1385795"/>
      <w:bookmarkStart w:id="497" w:name="_Toc23151112"/>
      <w:r w:rsidRPr="0067297E">
        <w:rPr>
          <w:rFonts w:asciiTheme="minorHAnsi" w:hAnsiTheme="minorHAnsi"/>
        </w:rPr>
        <w:t>2010-2015 (Coalition Government)</w:t>
      </w:r>
      <w:bookmarkEnd w:id="496"/>
      <w:bookmarkEnd w:id="497"/>
    </w:p>
    <w:p w14:paraId="12E3FF88"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Following the Coalition Agreement of May 2010, the Localism Act 2011 was passed with the express intention of devolving power from central government towards local people. The Localism Act set out a series of measures to seek a substantial and lasting shift of powers including:</w:t>
      </w:r>
    </w:p>
    <w:p w14:paraId="4FCEB569" w14:textId="77777777" w:rsidR="00793C8E" w:rsidRPr="0067297E" w:rsidRDefault="00793C8E" w:rsidP="00B21336">
      <w:pPr>
        <w:pStyle w:val="bullet"/>
        <w:rPr>
          <w:rFonts w:asciiTheme="minorHAnsi" w:hAnsiTheme="minorHAnsi"/>
        </w:rPr>
      </w:pPr>
      <w:r w:rsidRPr="0067297E">
        <w:rPr>
          <w:rFonts w:asciiTheme="minorHAnsi" w:hAnsiTheme="minorHAnsi"/>
        </w:rPr>
        <w:t xml:space="preserve">new freedoms and flexibilities for local government, including directly elected mayors and empowering cities and other local areas; </w:t>
      </w:r>
    </w:p>
    <w:p w14:paraId="48124F0A" w14:textId="77777777" w:rsidR="00793C8E" w:rsidRPr="0067297E" w:rsidRDefault="00793C8E" w:rsidP="00B21336">
      <w:pPr>
        <w:pStyle w:val="bullet"/>
        <w:rPr>
          <w:rFonts w:asciiTheme="minorHAnsi" w:hAnsiTheme="minorHAnsi"/>
        </w:rPr>
      </w:pPr>
      <w:r w:rsidRPr="0067297E">
        <w:rPr>
          <w:rFonts w:asciiTheme="minorHAnsi" w:hAnsiTheme="minorHAnsi"/>
        </w:rPr>
        <w:t xml:space="preserve">new rights and powers for communities and individuals; </w:t>
      </w:r>
    </w:p>
    <w:p w14:paraId="016F20EE" w14:textId="77777777" w:rsidR="00793C8E" w:rsidRPr="0067297E" w:rsidRDefault="00793C8E" w:rsidP="00B21336">
      <w:pPr>
        <w:pStyle w:val="bullet"/>
        <w:rPr>
          <w:rFonts w:asciiTheme="minorHAnsi" w:hAnsiTheme="minorHAnsi"/>
        </w:rPr>
      </w:pPr>
      <w:r w:rsidRPr="0067297E">
        <w:rPr>
          <w:rFonts w:asciiTheme="minorHAnsi" w:hAnsiTheme="minorHAnsi"/>
        </w:rPr>
        <w:t>reform to make the planning system more democratic and more effective, including the abolition of regional spatial strategies (RSS), the introduction of the ‘Duty to Cooperate’, neighbourhood planning, Community ‘Right to Build’, reforming the community infrastructure levy and reforming the Local Plan process; and</w:t>
      </w:r>
    </w:p>
    <w:p w14:paraId="1F4F0C53" w14:textId="77777777" w:rsidR="00793C8E" w:rsidRPr="0067297E" w:rsidRDefault="00793C8E" w:rsidP="00B21336">
      <w:pPr>
        <w:pStyle w:val="bullet"/>
        <w:rPr>
          <w:rFonts w:asciiTheme="minorHAnsi" w:hAnsiTheme="minorHAnsi"/>
        </w:rPr>
      </w:pPr>
      <w:r w:rsidRPr="0067297E">
        <w:rPr>
          <w:rFonts w:asciiTheme="minorHAnsi" w:hAnsiTheme="minorHAnsi"/>
        </w:rPr>
        <w:t>reform to ensure that decisions about housing are taken locally.</w:t>
      </w:r>
    </w:p>
    <w:p w14:paraId="36989908"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 xml:space="preserve">In terms of housing reform, the Localism Act enabled more decisions about housing to be made at the local level. Local authorities were granted greater freedom to set their own policies about who can qualify to go on the waiting list in their area. In addition, the Act allowed for more flexible tenure arrangements for people entering social housing, with social landlords able to grant tenancies for a fixed length of term rather than lifetime tenancies for all. In respect to homelessness, the Act allowed local authorities to meet their homelessness duty by providing private rented accommodation, rather than in temporary accommodation until long-term social housing becomes available. The Act also reformed social housing funding, allowing local councils to keep the rent they collect and use it locally to maintain their housing stock. </w:t>
      </w:r>
    </w:p>
    <w:p w14:paraId="173394D3"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 xml:space="preserve">The </w:t>
      </w:r>
      <w:r w:rsidRPr="0067297E">
        <w:rPr>
          <w:rFonts w:asciiTheme="minorHAnsi" w:hAnsiTheme="minorHAnsi" w:cs="Calibri"/>
          <w:b/>
        </w:rPr>
        <w:t xml:space="preserve">National Housing Strategy for England, </w:t>
      </w:r>
      <w:r w:rsidRPr="0067297E">
        <w:rPr>
          <w:rFonts w:asciiTheme="minorHAnsi" w:hAnsiTheme="minorHAnsi" w:cs="Calibri"/>
          <w:b/>
          <w:i/>
        </w:rPr>
        <w:t>Laying the Foundations: A Housing Strategy for England</w:t>
      </w:r>
      <w:r w:rsidRPr="0067297E">
        <w:rPr>
          <w:rFonts w:asciiTheme="minorHAnsi" w:hAnsiTheme="minorHAnsi" w:cs="Calibri"/>
        </w:rPr>
        <w:t xml:space="preserve">, was published in November 2011 under the Coalition Administration and it currently remains in place. The Strategy acknowledged some of the problems within the housing market and set out the policy response. The measures set out promote home ownership, including a new-build mortgage indemnity scheme (providing up to 95% loan-to-value mortgages guaranteed by Government) and a ‘FirstBuy’ 20% equity loan scheme for first-time buyers. </w:t>
      </w:r>
    </w:p>
    <w:p w14:paraId="30E11468"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 xml:space="preserve">The National Housing Strategy acknowledges the importance of social housing and the need for more affordable housing. However, the document reaffirms the programme of reforming this sector, including </w:t>
      </w:r>
      <w:r w:rsidRPr="0067297E">
        <w:rPr>
          <w:rFonts w:asciiTheme="minorHAnsi" w:hAnsiTheme="minorHAnsi" w:cs="Calibri"/>
          <w:i/>
        </w:rPr>
        <w:t>‘changes to the way people access social housing, the types of tenancies that are provided and the way the homelessness duty is discharged’</w:t>
      </w:r>
      <w:r w:rsidRPr="0067297E">
        <w:rPr>
          <w:rFonts w:asciiTheme="minorHAnsi" w:hAnsiTheme="minorHAnsi" w:cs="Calibri"/>
        </w:rPr>
        <w:t xml:space="preserve"> . The private rented sector is considered to play </w:t>
      </w:r>
      <w:r w:rsidRPr="0067297E">
        <w:rPr>
          <w:rFonts w:asciiTheme="minorHAnsi" w:hAnsiTheme="minorHAnsi" w:cs="Calibri"/>
          <w:i/>
        </w:rPr>
        <w:t>‘an essential role in the housing market, offering flexibility and choice to people and supporting economic growth and access to jobs’</w:t>
      </w:r>
      <w:r w:rsidRPr="0067297E">
        <w:rPr>
          <w:rFonts w:asciiTheme="minorHAnsi" w:hAnsiTheme="minorHAnsi" w:cs="Calibri"/>
        </w:rPr>
        <w:t xml:space="preserve"> . The document sets out an intention to support the growth of the private rented sector through innovation and investment, to meet continuing demand for rental properties.</w:t>
      </w:r>
    </w:p>
    <w:p w14:paraId="45D8A4A2"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 xml:space="preserve">The National Housing Strategy set out the objectives of preventing homelessness, protecting the most vulnerable and providing for older people’s housing needs. However, it also confirmed a radical package of welfare reforms, including a reduction in Housing Benefit, changes to the Local Housing Allowance (Housing Benefit in the private sector) and the introduction of ‘Universal Credit’ to replace other means-tested working age benefits and tax credits. </w:t>
      </w:r>
    </w:p>
    <w:p w14:paraId="2330C64D" w14:textId="003D9766"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The</w:t>
      </w:r>
      <w:r w:rsidR="00FD0AB2" w:rsidRPr="0067297E">
        <w:rPr>
          <w:rFonts w:asciiTheme="minorHAnsi" w:hAnsiTheme="minorHAnsi" w:cs="Calibri"/>
          <w:lang w:val="en-GB"/>
        </w:rPr>
        <w:t xml:space="preserve"> first version of the </w:t>
      </w:r>
      <w:r w:rsidRPr="0067297E">
        <w:rPr>
          <w:rFonts w:asciiTheme="minorHAnsi" w:hAnsiTheme="minorHAnsi" w:cs="Calibri"/>
        </w:rPr>
        <w:t xml:space="preserve"> </w:t>
      </w:r>
      <w:r w:rsidRPr="0067297E">
        <w:rPr>
          <w:rFonts w:asciiTheme="minorHAnsi" w:hAnsiTheme="minorHAnsi" w:cs="Calibri"/>
          <w:b/>
        </w:rPr>
        <w:t>National Planning Policy Framework (NPPF)</w:t>
      </w:r>
      <w:r w:rsidRPr="0067297E">
        <w:rPr>
          <w:rFonts w:asciiTheme="minorHAnsi" w:hAnsiTheme="minorHAnsi" w:cs="Calibri"/>
        </w:rPr>
        <w:t xml:space="preserve"> was </w:t>
      </w:r>
      <w:r w:rsidR="00FD0AB2" w:rsidRPr="0067297E">
        <w:rPr>
          <w:rFonts w:asciiTheme="minorHAnsi" w:hAnsiTheme="minorHAnsi" w:cs="Calibri"/>
        </w:rPr>
        <w:t>published in March 2012. It set</w:t>
      </w:r>
      <w:r w:rsidRPr="0067297E">
        <w:rPr>
          <w:rFonts w:asciiTheme="minorHAnsi" w:hAnsiTheme="minorHAnsi" w:cs="Calibri"/>
        </w:rPr>
        <w:t xml:space="preserve"> out the Government’s planning policies for England </w:t>
      </w:r>
      <w:r w:rsidR="00601148" w:rsidRPr="0067297E">
        <w:rPr>
          <w:rFonts w:asciiTheme="minorHAnsi" w:hAnsiTheme="minorHAnsi" w:cs="Calibri"/>
          <w:lang w:val="en-GB"/>
        </w:rPr>
        <w:t xml:space="preserve">and </w:t>
      </w:r>
      <w:r w:rsidRPr="0067297E">
        <w:rPr>
          <w:rFonts w:asciiTheme="minorHAnsi" w:hAnsiTheme="minorHAnsi" w:cs="Calibri"/>
        </w:rPr>
        <w:t xml:space="preserve">formed a key part of the Coalition Government’s planning system reforms, simplifying national guidance (previously contained in multiple Planning Policy Statements and Planning Policy Guidance) and reducing the quantity of policy pages. </w:t>
      </w:r>
      <w:r w:rsidR="00FD0AB2" w:rsidRPr="0067297E">
        <w:rPr>
          <w:rFonts w:asciiTheme="minorHAnsi" w:hAnsiTheme="minorHAnsi" w:cs="Calibri"/>
          <w:lang w:val="en-GB"/>
        </w:rPr>
        <w:t xml:space="preserve">The NPPF 2012 has now been </w:t>
      </w:r>
      <w:r w:rsidR="00793E74" w:rsidRPr="0067297E">
        <w:rPr>
          <w:rFonts w:asciiTheme="minorHAnsi" w:hAnsiTheme="minorHAnsi" w:cs="Calibri"/>
          <w:lang w:val="en-GB"/>
        </w:rPr>
        <w:t>superseded</w:t>
      </w:r>
      <w:r w:rsidR="00FD0AB2" w:rsidRPr="0067297E">
        <w:rPr>
          <w:rFonts w:asciiTheme="minorHAnsi" w:hAnsiTheme="minorHAnsi" w:cs="Calibri"/>
          <w:lang w:val="en-GB"/>
        </w:rPr>
        <w:t xml:space="preserve"> by the NPPF 2018 (July 2018), as set out below. </w:t>
      </w:r>
      <w:r w:rsidRPr="0067297E">
        <w:rPr>
          <w:rFonts w:asciiTheme="minorHAnsi" w:hAnsiTheme="minorHAnsi" w:cs="Calibri"/>
        </w:rPr>
        <w:t xml:space="preserve">National </w:t>
      </w:r>
      <w:r w:rsidRPr="0067297E">
        <w:rPr>
          <w:rFonts w:asciiTheme="minorHAnsi" w:hAnsiTheme="minorHAnsi" w:cs="Calibri"/>
          <w:b/>
        </w:rPr>
        <w:t>Planning Practice Guidance</w:t>
      </w:r>
      <w:r w:rsidRPr="0067297E">
        <w:rPr>
          <w:rFonts w:asciiTheme="minorHAnsi" w:hAnsiTheme="minorHAnsi" w:cs="Calibri"/>
        </w:rPr>
        <w:t xml:space="preserve"> (NPPG) on a range of specific topics has been made available through an on</w:t>
      </w:r>
      <w:r w:rsidR="00535980" w:rsidRPr="0067297E">
        <w:rPr>
          <w:rFonts w:asciiTheme="minorHAnsi" w:hAnsiTheme="minorHAnsi" w:cs="Calibri"/>
        </w:rPr>
        <w:t xml:space="preserve">line system since March 2014 . </w:t>
      </w:r>
      <w:r w:rsidRPr="0067297E">
        <w:rPr>
          <w:rFonts w:asciiTheme="minorHAnsi" w:hAnsiTheme="minorHAnsi" w:cs="Calibri"/>
        </w:rPr>
        <w:t>PPG topics include Duty to Cooperate, Housing and Economic Development Needs Assessments, Housing and Economic Land Availability Assessment, Housing - Optional Technical Standards, Local Pla</w:t>
      </w:r>
      <w:r w:rsidRPr="0067297E">
        <w:rPr>
          <w:rFonts w:asciiTheme="minorHAnsi" w:hAnsiTheme="minorHAnsi" w:cs="Calibri"/>
          <w:lang w:val="en-GB"/>
        </w:rPr>
        <w:t>n</w:t>
      </w:r>
      <w:r w:rsidRPr="0067297E">
        <w:rPr>
          <w:rFonts w:asciiTheme="minorHAnsi" w:hAnsiTheme="minorHAnsi" w:cs="Calibri"/>
        </w:rPr>
        <w:t>s, Neighbourhood Planning, Rural Housing and Starter Homes.</w:t>
      </w:r>
    </w:p>
    <w:p w14:paraId="21343D95" w14:textId="77777777" w:rsidR="00793C8E" w:rsidRPr="0067297E" w:rsidRDefault="00793C8E" w:rsidP="00C12BC3">
      <w:pPr>
        <w:pStyle w:val="Reporttext"/>
        <w:numPr>
          <w:ilvl w:val="0"/>
          <w:numId w:val="0"/>
        </w:numPr>
        <w:rPr>
          <w:rFonts w:asciiTheme="minorHAnsi" w:hAnsiTheme="minorHAnsi" w:cs="Calibri"/>
        </w:rPr>
      </w:pPr>
    </w:p>
    <w:p w14:paraId="6C2B4D26" w14:textId="77777777" w:rsidR="00793C8E" w:rsidRPr="0067297E" w:rsidRDefault="00793C8E" w:rsidP="00425A04">
      <w:pPr>
        <w:pStyle w:val="Heading2"/>
      </w:pPr>
      <w:bookmarkStart w:id="498" w:name="_Toc1385796"/>
      <w:bookmarkStart w:id="499" w:name="_Toc23151113"/>
      <w:r w:rsidRPr="0067297E">
        <w:t>2015-</w:t>
      </w:r>
      <w:r w:rsidRPr="00425A04">
        <w:t>2016</w:t>
      </w:r>
      <w:r w:rsidRPr="0067297E">
        <w:t xml:space="preserve"> (Conservative Government under David Cameron)</w:t>
      </w:r>
      <w:bookmarkEnd w:id="498"/>
      <w:bookmarkEnd w:id="499"/>
    </w:p>
    <w:p w14:paraId="543BAAB5"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 xml:space="preserve">Following the election of a majority Conservative Government in May 2015 under David Cameron, the Government’s </w:t>
      </w:r>
      <w:r w:rsidRPr="0067297E">
        <w:rPr>
          <w:rFonts w:asciiTheme="minorHAnsi" w:hAnsiTheme="minorHAnsi" w:cs="Calibri"/>
          <w:b/>
        </w:rPr>
        <w:t>Summer Budget 2015</w:t>
      </w:r>
      <w:r w:rsidRPr="0067297E">
        <w:rPr>
          <w:rFonts w:asciiTheme="minorHAnsi" w:hAnsiTheme="minorHAnsi" w:cs="Calibri"/>
        </w:rPr>
        <w:t xml:space="preserve"> was presented to Parliament by the then-Chancellor George Osborne. The Budget set out widespread reforms to the welfare system, including a four-year freeze on working-age benefits; a reduction in the household benefit cap; restrictions on Child Tax Credit; training requirements for those on Universal Credit aged 18 to 21; the removal of automatic entitlement to Housing Benefit for those on Universal Credit aged 18 to 21; and the removal of the Family Premium element of Housing Benefit for new claims from April 2016. Alongside these welfare cuts, it was announced that rents for social housing will be reduced by 1% per year for four years, while tenants on incomes of over £30,000, or £40,000 in London, will be required to pay market rate (or near market rate) rents. A review of ‘lifetime tenancies’ was confirmed, with a view to limiting their use to ensure the best use of social housing stock. Support for home ownership measures was reiterated with measures such as the extension of the Right to Buy to housing association tenants and the introduction of Help to Buy ISAs.</w:t>
      </w:r>
    </w:p>
    <w:p w14:paraId="1010BDFE" w14:textId="511FCF09"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 xml:space="preserve">Alongside the Summer Budget </w:t>
      </w:r>
      <w:r w:rsidRPr="0067297E">
        <w:rPr>
          <w:rFonts w:asciiTheme="minorHAnsi" w:hAnsiTheme="minorHAnsi" w:cs="Calibri"/>
          <w:lang w:val="en-GB"/>
        </w:rPr>
        <w:t xml:space="preserve">2015 </w:t>
      </w:r>
      <w:r w:rsidRPr="0067297E">
        <w:rPr>
          <w:rFonts w:asciiTheme="minorHAnsi" w:hAnsiTheme="minorHAnsi" w:cs="Calibri"/>
        </w:rPr>
        <w:t>the Government published a ‘</w:t>
      </w:r>
      <w:r w:rsidRPr="0067297E">
        <w:rPr>
          <w:rFonts w:asciiTheme="minorHAnsi" w:hAnsiTheme="minorHAnsi" w:cs="Calibri"/>
          <w:b/>
        </w:rPr>
        <w:t>Productivity Plan’</w:t>
      </w:r>
      <w:r w:rsidRPr="0067297E">
        <w:rPr>
          <w:rFonts w:asciiTheme="minorHAnsi" w:hAnsiTheme="minorHAnsi" w:cs="Calibri"/>
        </w:rPr>
        <w:t xml:space="preserve">, </w:t>
      </w:r>
      <w:r w:rsidRPr="0067297E">
        <w:rPr>
          <w:rFonts w:asciiTheme="minorHAnsi" w:hAnsiTheme="minorHAnsi" w:cs="Calibri"/>
          <w:b/>
          <w:i/>
        </w:rPr>
        <w:t>Fixing the foundations: Creating a more prosperous nation</w:t>
      </w:r>
      <w:r w:rsidRPr="0067297E">
        <w:rPr>
          <w:rFonts w:asciiTheme="minorHAnsi" w:hAnsiTheme="minorHAnsi" w:cs="Calibri"/>
        </w:rPr>
        <w:t xml:space="preserve"> (July 2015). This sets out a 15-point plan that the Government will put into action to boost the UK’s productivity growth, centred around two key pillars: encouraging long-term investment and promoting a dynamic economy. Of particular relevance to housing </w:t>
      </w:r>
      <w:r w:rsidR="00535980" w:rsidRPr="0067297E">
        <w:rPr>
          <w:rFonts w:asciiTheme="minorHAnsi" w:hAnsiTheme="minorHAnsi" w:cs="Calibri"/>
          <w:lang w:val="en-GB"/>
        </w:rPr>
        <w:t xml:space="preserve">was the topic regarding ‘planning </w:t>
      </w:r>
      <w:r w:rsidRPr="0067297E">
        <w:rPr>
          <w:rFonts w:asciiTheme="minorHAnsi" w:hAnsiTheme="minorHAnsi" w:cs="Calibri"/>
        </w:rPr>
        <w:t>freedoms and more houses to buy</w:t>
      </w:r>
      <w:r w:rsidR="00535980" w:rsidRPr="0067297E">
        <w:rPr>
          <w:rFonts w:asciiTheme="minorHAnsi" w:hAnsiTheme="minorHAnsi" w:cs="Calibri"/>
          <w:lang w:val="en-GB"/>
        </w:rPr>
        <w:t xml:space="preserve">’. This set out a number of proposals in order </w:t>
      </w:r>
      <w:r w:rsidRPr="0067297E">
        <w:rPr>
          <w:rFonts w:asciiTheme="minorHAnsi" w:hAnsiTheme="minorHAnsi" w:cs="Calibri"/>
        </w:rPr>
        <w:t>to increase the rate of housebuilding and enable more people to own their own home</w:t>
      </w:r>
      <w:r w:rsidR="00535980" w:rsidRPr="0067297E">
        <w:rPr>
          <w:rFonts w:asciiTheme="minorHAnsi" w:hAnsiTheme="minorHAnsi" w:cs="Calibri"/>
          <w:lang w:val="en-GB"/>
        </w:rPr>
        <w:t>,</w:t>
      </w:r>
      <w:r w:rsidRPr="0067297E">
        <w:rPr>
          <w:rFonts w:asciiTheme="minorHAnsi" w:hAnsiTheme="minorHAnsi" w:cs="Calibri"/>
        </w:rPr>
        <w:t xml:space="preserve"> including a zonal system to give planning permission on suitable brownfield sites; speeding up local plans and land release, stronger compulsory purchase powers and devolution of planning powers to the Mayors of London and Manchester, extending the Right to Buy to housing association tenants, delivering 200,000 Starter Homes and restricting tax relief to landlords.</w:t>
      </w:r>
    </w:p>
    <w:p w14:paraId="6D5583C0"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The Spending Review and Autumn Statement 2015 (November 2015) continued the policy themes of the Summer Budget. This included:</w:t>
      </w:r>
    </w:p>
    <w:p w14:paraId="04AC4BB9" w14:textId="77777777" w:rsidR="00793C8E" w:rsidRPr="0067297E" w:rsidRDefault="00793C8E" w:rsidP="00A04CC5">
      <w:pPr>
        <w:pStyle w:val="bullet"/>
        <w:rPr>
          <w:rFonts w:asciiTheme="minorHAnsi" w:hAnsiTheme="minorHAnsi"/>
        </w:rPr>
      </w:pPr>
      <w:r w:rsidRPr="0067297E">
        <w:rPr>
          <w:rFonts w:asciiTheme="minorHAnsi" w:hAnsiTheme="minorHAnsi"/>
        </w:rPr>
        <w:t>Plans to extend the ‘Local Housing Allowance’ to social landlords so that the Housing Benefit payed to tenants living in housing association properties will be capped at the LHA rate;</w:t>
      </w:r>
    </w:p>
    <w:p w14:paraId="60E1AC21" w14:textId="77777777" w:rsidR="00793C8E" w:rsidRPr="0067297E" w:rsidRDefault="00793C8E" w:rsidP="007E2C96">
      <w:pPr>
        <w:pStyle w:val="bullet"/>
        <w:rPr>
          <w:rFonts w:asciiTheme="minorHAnsi" w:hAnsiTheme="minorHAnsi"/>
        </w:rPr>
      </w:pPr>
      <w:r w:rsidRPr="0067297E">
        <w:rPr>
          <w:rFonts w:asciiTheme="minorHAnsi" w:hAnsiTheme="minorHAnsi"/>
        </w:rPr>
        <w:t>A new ‘Help to Buy Shared Ownership’ scheme, removing restrictions on who can buy shared ownership properties to anyone with a household income of less than £80,000 outside London and £90,000 in London;</w:t>
      </w:r>
    </w:p>
    <w:p w14:paraId="4C956978" w14:textId="77777777" w:rsidR="00793C8E" w:rsidRPr="0067297E" w:rsidRDefault="00793C8E" w:rsidP="00516B53">
      <w:pPr>
        <w:pStyle w:val="bullet"/>
        <w:rPr>
          <w:rFonts w:asciiTheme="minorHAnsi" w:hAnsiTheme="minorHAnsi"/>
        </w:rPr>
      </w:pPr>
      <w:r w:rsidRPr="0067297E">
        <w:rPr>
          <w:rFonts w:asciiTheme="minorHAnsi" w:hAnsiTheme="minorHAnsi"/>
        </w:rPr>
        <w:t>‘London Help to Buy’ – an equity loan scheme giving buyers 40% of the new home value (as opposed to 20% under the Help to Buy scheme);</w:t>
      </w:r>
    </w:p>
    <w:p w14:paraId="1AFC079F" w14:textId="77777777" w:rsidR="00793C8E" w:rsidRPr="0067297E" w:rsidRDefault="00793C8E" w:rsidP="00516B53">
      <w:pPr>
        <w:pStyle w:val="bullet"/>
        <w:rPr>
          <w:rFonts w:asciiTheme="minorHAnsi" w:hAnsiTheme="minorHAnsi"/>
        </w:rPr>
      </w:pPr>
      <w:r w:rsidRPr="0067297E">
        <w:rPr>
          <w:rFonts w:asciiTheme="minorHAnsi" w:hAnsiTheme="minorHAnsi"/>
        </w:rPr>
        <w:t>200,000 ‘Starter Homes’ to be built over the following five years;</w:t>
      </w:r>
    </w:p>
    <w:p w14:paraId="51BD2F3C" w14:textId="77777777" w:rsidR="00793C8E" w:rsidRPr="0067297E" w:rsidRDefault="00793C8E" w:rsidP="00516B53">
      <w:pPr>
        <w:pStyle w:val="bullet"/>
        <w:rPr>
          <w:rFonts w:asciiTheme="minorHAnsi" w:hAnsiTheme="minorHAnsi"/>
        </w:rPr>
      </w:pPr>
      <w:r w:rsidRPr="0067297E">
        <w:rPr>
          <w:rFonts w:asciiTheme="minorHAnsi" w:hAnsiTheme="minorHAnsi"/>
        </w:rPr>
        <w:t xml:space="preserve">From 1st April 2016 an extra 3% in stamp duty to be levied on people purchasing additional properties such as buy-to-let properties or second homes; </w:t>
      </w:r>
    </w:p>
    <w:p w14:paraId="61C9EDC8" w14:textId="77777777" w:rsidR="00793C8E" w:rsidRPr="0067297E" w:rsidRDefault="00793C8E" w:rsidP="00516B53">
      <w:pPr>
        <w:pStyle w:val="bullet"/>
        <w:rPr>
          <w:rFonts w:asciiTheme="minorHAnsi" w:hAnsiTheme="minorHAnsi"/>
        </w:rPr>
      </w:pPr>
      <w:r w:rsidRPr="0067297E">
        <w:rPr>
          <w:rFonts w:asciiTheme="minorHAnsi" w:hAnsiTheme="minorHAnsi"/>
        </w:rPr>
        <w:t>Right to Buy extension to housing association tenants;</w:t>
      </w:r>
    </w:p>
    <w:p w14:paraId="1AB3FB75" w14:textId="77777777" w:rsidR="00793C8E" w:rsidRPr="0067297E" w:rsidRDefault="00793C8E" w:rsidP="003F4875">
      <w:pPr>
        <w:pStyle w:val="bullet"/>
        <w:rPr>
          <w:rFonts w:asciiTheme="minorHAnsi" w:hAnsiTheme="minorHAnsi"/>
        </w:rPr>
      </w:pPr>
      <w:r w:rsidRPr="0067297E">
        <w:rPr>
          <w:rFonts w:asciiTheme="minorHAnsi" w:hAnsiTheme="minorHAnsi"/>
        </w:rPr>
        <w:t>£400 million for housing associations and the private sector to build more than 8,000 new ‘specialist’ homes for older people and people with disabilities;</w:t>
      </w:r>
    </w:p>
    <w:p w14:paraId="05C27D44" w14:textId="77777777" w:rsidR="00793C8E" w:rsidRPr="0067297E" w:rsidRDefault="00793C8E" w:rsidP="003F4875">
      <w:pPr>
        <w:pStyle w:val="bullet"/>
        <w:rPr>
          <w:rFonts w:asciiTheme="minorHAnsi" w:hAnsiTheme="minorHAnsi"/>
        </w:rPr>
      </w:pPr>
      <w:r w:rsidRPr="0067297E">
        <w:rPr>
          <w:rFonts w:asciiTheme="minorHAnsi" w:hAnsiTheme="minorHAnsi"/>
        </w:rPr>
        <w:t>Consulting on reforms to the New Homes Bonus, with a preferred option for savings of at least £800 million which can be used for social care; and</w:t>
      </w:r>
    </w:p>
    <w:p w14:paraId="114C514E" w14:textId="77777777" w:rsidR="00793C8E" w:rsidRPr="0067297E" w:rsidRDefault="00793C8E" w:rsidP="003F4875">
      <w:pPr>
        <w:pStyle w:val="bullet"/>
        <w:rPr>
          <w:rFonts w:asciiTheme="minorHAnsi" w:hAnsiTheme="minorHAnsi"/>
        </w:rPr>
      </w:pPr>
      <w:r w:rsidRPr="0067297E">
        <w:rPr>
          <w:rFonts w:asciiTheme="minorHAnsi" w:hAnsiTheme="minorHAnsi"/>
        </w:rPr>
        <w:t>A commitment to extra funding for targeted homelessness intervention.</w:t>
      </w:r>
    </w:p>
    <w:p w14:paraId="37D7C845"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The 2015-16 Parliament saw several Acts passed with special relevance to housing and planning, implementing some of the policies set out in the preceding Budgets:</w:t>
      </w:r>
    </w:p>
    <w:p w14:paraId="6C2ADBFA" w14:textId="77777777" w:rsidR="00793C8E" w:rsidRPr="0067297E" w:rsidRDefault="00793C8E" w:rsidP="00A04CC5">
      <w:pPr>
        <w:pStyle w:val="bullet"/>
        <w:rPr>
          <w:rFonts w:asciiTheme="minorHAnsi" w:hAnsiTheme="minorHAnsi" w:cs="Calibri"/>
        </w:rPr>
      </w:pPr>
      <w:r w:rsidRPr="0067297E">
        <w:rPr>
          <w:rFonts w:asciiTheme="minorHAnsi" w:hAnsiTheme="minorHAnsi" w:cs="Calibri"/>
        </w:rPr>
        <w:t xml:space="preserve">The Cities and Local Government Devolution Act 2016 makes provision for the election of mayors for the areas of combined authorities established under Part 6 of the Local Democracy, Economic Development and Construction Act 2009. It makes provision about local authority governance and functions; to confer power to establish, and to make provision about, sub-national transport bodies; and for connected purposes. This Act is central to the Government’s devolution plans for England, facilitating its vision of a ‘Northern Powerhouse’. </w:t>
      </w:r>
    </w:p>
    <w:p w14:paraId="4345E8A7" w14:textId="77777777" w:rsidR="00793C8E" w:rsidRPr="0067297E" w:rsidRDefault="00793C8E" w:rsidP="007E2C96">
      <w:pPr>
        <w:pStyle w:val="bullet"/>
        <w:rPr>
          <w:rFonts w:asciiTheme="minorHAnsi" w:hAnsiTheme="minorHAnsi" w:cs="Calibri"/>
        </w:rPr>
      </w:pPr>
      <w:r w:rsidRPr="0067297E">
        <w:rPr>
          <w:rFonts w:asciiTheme="minorHAnsi" w:hAnsiTheme="minorHAnsi" w:cs="Calibri"/>
        </w:rPr>
        <w:t xml:space="preserve">The Welfare Reform and Work Act 2016 makes provisions relating to a range of welfare benefits and employment schemes, including the benefit cap, social security and Tax Credits, loans for mortgage interest, social housing rents and apprenticeships. Secondary legislation (Social Housing Rents Regulations, March 2016) sets out that the 1% cut to social housing rents will not apply to households with an income of £60,000 or more. </w:t>
      </w:r>
    </w:p>
    <w:p w14:paraId="6BFB189F" w14:textId="77777777" w:rsidR="00793C8E" w:rsidRPr="0067297E" w:rsidRDefault="00793C8E" w:rsidP="00516B53">
      <w:pPr>
        <w:pStyle w:val="bullet"/>
        <w:rPr>
          <w:rFonts w:asciiTheme="minorHAnsi" w:hAnsiTheme="minorHAnsi" w:cs="Calibri"/>
        </w:rPr>
      </w:pPr>
      <w:r w:rsidRPr="0067297E">
        <w:rPr>
          <w:rFonts w:asciiTheme="minorHAnsi" w:hAnsiTheme="minorHAnsi" w:cs="Calibri"/>
        </w:rPr>
        <w:t xml:space="preserve">The Housing and Planning Act 2016 sets out the legislative framework for the Starter Homes scheme and includes provisions relating to other important aspects of housing policy such as Pay to Stay, Right to Buy, high value sales and ending lifetime tenancies. </w:t>
      </w:r>
    </w:p>
    <w:p w14:paraId="1AEC7051"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 xml:space="preserve">The </w:t>
      </w:r>
      <w:r w:rsidRPr="0067297E">
        <w:rPr>
          <w:rFonts w:asciiTheme="minorHAnsi" w:hAnsiTheme="minorHAnsi" w:cs="Calibri"/>
          <w:b/>
        </w:rPr>
        <w:t>Budget 2016 (March 2016)</w:t>
      </w:r>
      <w:r w:rsidRPr="0067297E">
        <w:rPr>
          <w:rFonts w:asciiTheme="minorHAnsi" w:hAnsiTheme="minorHAnsi" w:cs="Calibri"/>
        </w:rPr>
        <w:t xml:space="preserve"> continued the policy emphasis of promoting home ownership and facilitating first-time buyers to enter the market. A new ‘Lifetime ISA’ was announced, extending the principle of the Help to Buy ISA by incentivising saving for under-40s. Of relevance to the private rented sector were stamp duty increases for institutional investors and the withholding of capital gains reductions from companies investing in residential property. In seeking to deliver more homes for ownership, announcements were made of further planning reforms; releasing public land for development; and a £1.2 billion Starter Homes Fund for brownfield remediation. The anticipated ‘duty to prevent’ homelessness was not announced, but instead the Chancellor committed £115 million to preventing and reducing rough sleeping.</w:t>
      </w:r>
    </w:p>
    <w:p w14:paraId="7B9DA445"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 xml:space="preserve">A </w:t>
      </w:r>
      <w:r w:rsidRPr="0067297E">
        <w:rPr>
          <w:rFonts w:asciiTheme="minorHAnsi" w:hAnsiTheme="minorHAnsi" w:cs="Calibri"/>
          <w:b/>
        </w:rPr>
        <w:t>Technical consultation on Starter Homes regulations</w:t>
      </w:r>
      <w:r w:rsidRPr="0067297E">
        <w:rPr>
          <w:rFonts w:asciiTheme="minorHAnsi" w:hAnsiTheme="minorHAnsi" w:cs="Calibri"/>
        </w:rPr>
        <w:t xml:space="preserve"> (March 2016) sought views on the framework to be established in the forthcoming regulations, including the restrictions that should be placed on Starter Homes, how age eligibility criteria should work, what threshold (size of site/development) should apply, what the percentage requirement should be, whether exemptions should apply and whether off-site payments should be acceptable. The consultation document set out that, in terms of the period within which Starter Homes should not be sold at full market value, the DCLG does not support a period of longer than 8 years. The paper proposed that the requirement to provide 20% of dwellings as Starter Homes should apply to sites of 10 dwellings or more (or 0.5 hectares). However, secondary legislation relating to Starter Homes has still not been published.</w:t>
      </w:r>
    </w:p>
    <w:p w14:paraId="69B3EAE4" w14:textId="77777777" w:rsidR="00793C8E" w:rsidRPr="0067297E" w:rsidRDefault="00793C8E" w:rsidP="00A04CC5">
      <w:pPr>
        <w:pStyle w:val="Reporttext"/>
        <w:numPr>
          <w:ilvl w:val="0"/>
          <w:numId w:val="0"/>
        </w:numPr>
        <w:rPr>
          <w:rFonts w:asciiTheme="minorHAnsi" w:hAnsiTheme="minorHAnsi" w:cs="Calibri"/>
        </w:rPr>
      </w:pPr>
    </w:p>
    <w:p w14:paraId="36472889" w14:textId="77777777" w:rsidR="00793C8E" w:rsidRPr="0067297E" w:rsidRDefault="00793C8E" w:rsidP="003177A0">
      <w:pPr>
        <w:pStyle w:val="Heading2"/>
        <w:rPr>
          <w:rFonts w:asciiTheme="minorHAnsi" w:hAnsiTheme="minorHAnsi"/>
        </w:rPr>
      </w:pPr>
      <w:bookmarkStart w:id="500" w:name="_Toc1385797"/>
      <w:bookmarkStart w:id="501" w:name="_Toc23151114"/>
      <w:r w:rsidRPr="0067297E">
        <w:rPr>
          <w:rFonts w:asciiTheme="minorHAnsi" w:hAnsiTheme="minorHAnsi"/>
        </w:rPr>
        <w:t>Post EU-Referendum (Theresa May Administration)</w:t>
      </w:r>
      <w:bookmarkEnd w:id="500"/>
      <w:bookmarkEnd w:id="501"/>
    </w:p>
    <w:p w14:paraId="62EAE556"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 xml:space="preserve">The resignation of David Cameron following the European Union Referendum of June 2016 and subsequent appointment of Theresa May as Prime Minister led to a Cabinet reshuffle and a change in the policy climate within Government. The </w:t>
      </w:r>
      <w:r w:rsidRPr="0067297E">
        <w:rPr>
          <w:rFonts w:asciiTheme="minorHAnsi" w:hAnsiTheme="minorHAnsi" w:cs="Calibri"/>
          <w:b/>
        </w:rPr>
        <w:t xml:space="preserve">Autumn Statement (2016) </w:t>
      </w:r>
      <w:r w:rsidR="00535980" w:rsidRPr="0067297E">
        <w:rPr>
          <w:rFonts w:asciiTheme="minorHAnsi" w:hAnsiTheme="minorHAnsi" w:cs="Calibri"/>
          <w:lang w:val="en-GB"/>
        </w:rPr>
        <w:t>brought</w:t>
      </w:r>
      <w:r w:rsidRPr="0067297E">
        <w:rPr>
          <w:rFonts w:asciiTheme="minorHAnsi" w:hAnsiTheme="minorHAnsi" w:cs="Calibri"/>
        </w:rPr>
        <w:t xml:space="preserve"> an important</w:t>
      </w:r>
      <w:r w:rsidR="00535980" w:rsidRPr="0067297E">
        <w:rPr>
          <w:rFonts w:asciiTheme="minorHAnsi" w:hAnsiTheme="minorHAnsi" w:cs="Calibri"/>
        </w:rPr>
        <w:t xml:space="preserve"> focus onto housing</w:t>
      </w:r>
      <w:r w:rsidR="00535980" w:rsidRPr="0067297E">
        <w:rPr>
          <w:rFonts w:asciiTheme="minorHAnsi" w:hAnsiTheme="minorHAnsi" w:cs="Calibri"/>
          <w:lang w:val="en-GB"/>
        </w:rPr>
        <w:t xml:space="preserve">; </w:t>
      </w:r>
      <w:r w:rsidRPr="0067297E">
        <w:rPr>
          <w:rFonts w:asciiTheme="minorHAnsi" w:hAnsiTheme="minorHAnsi" w:cs="Calibri"/>
        </w:rPr>
        <w:t>provisions included:</w:t>
      </w:r>
    </w:p>
    <w:p w14:paraId="686CFEB7" w14:textId="77777777" w:rsidR="00793C8E" w:rsidRPr="0067297E" w:rsidRDefault="00793C8E" w:rsidP="00A04CC5">
      <w:pPr>
        <w:pStyle w:val="bullet"/>
        <w:rPr>
          <w:rFonts w:asciiTheme="minorHAnsi" w:hAnsiTheme="minorHAnsi" w:cs="Calibri"/>
        </w:rPr>
      </w:pPr>
      <w:r w:rsidRPr="0067297E">
        <w:rPr>
          <w:rFonts w:asciiTheme="minorHAnsi" w:hAnsiTheme="minorHAnsi" w:cs="Calibri"/>
        </w:rPr>
        <w:t>£1.4 billion of extra cash to build 40,000 affordable homes, with a relaxation of restrictions on grant funding;</w:t>
      </w:r>
    </w:p>
    <w:p w14:paraId="38749097" w14:textId="77777777" w:rsidR="00793C8E" w:rsidRPr="0067297E" w:rsidRDefault="00793C8E" w:rsidP="007E2C96">
      <w:pPr>
        <w:pStyle w:val="bullet"/>
        <w:rPr>
          <w:rFonts w:asciiTheme="minorHAnsi" w:hAnsiTheme="minorHAnsi" w:cs="Calibri"/>
        </w:rPr>
      </w:pPr>
      <w:r w:rsidRPr="0067297E">
        <w:rPr>
          <w:rFonts w:asciiTheme="minorHAnsi" w:hAnsiTheme="minorHAnsi" w:cs="Calibri"/>
        </w:rPr>
        <w:t>£2.3 billion Housing Infrastructure Fund to pave the way for up to 100,000 new homes to be built in areas of high demand;</w:t>
      </w:r>
    </w:p>
    <w:p w14:paraId="6ADBD016" w14:textId="77777777" w:rsidR="00793C8E" w:rsidRPr="0067297E" w:rsidRDefault="00793C8E" w:rsidP="00516B53">
      <w:pPr>
        <w:pStyle w:val="bullet"/>
        <w:rPr>
          <w:rFonts w:asciiTheme="minorHAnsi" w:hAnsiTheme="minorHAnsi" w:cs="Calibri"/>
        </w:rPr>
      </w:pPr>
      <w:r w:rsidRPr="0067297E">
        <w:rPr>
          <w:rFonts w:asciiTheme="minorHAnsi" w:hAnsiTheme="minorHAnsi" w:cs="Calibri"/>
        </w:rPr>
        <w:t>£3.15 billion of the Affordable Homes Programme will be given to London to deliver 90,000 homes;</w:t>
      </w:r>
    </w:p>
    <w:p w14:paraId="0DCAD707" w14:textId="77777777" w:rsidR="00793C8E" w:rsidRPr="0067297E" w:rsidRDefault="00793C8E" w:rsidP="00516B53">
      <w:pPr>
        <w:pStyle w:val="bullet"/>
        <w:rPr>
          <w:rFonts w:asciiTheme="minorHAnsi" w:hAnsiTheme="minorHAnsi" w:cs="Calibri"/>
        </w:rPr>
      </w:pPr>
      <w:r w:rsidRPr="0067297E">
        <w:rPr>
          <w:rFonts w:asciiTheme="minorHAnsi" w:hAnsiTheme="minorHAnsi" w:cs="Calibri"/>
        </w:rPr>
        <w:t>New regional pilots of the Right to Buy extension, allowing more than 3,000 tenants to buy their properties;</w:t>
      </w:r>
    </w:p>
    <w:p w14:paraId="39A7E4E9" w14:textId="77777777" w:rsidR="00793C8E" w:rsidRPr="0067297E" w:rsidRDefault="00793C8E" w:rsidP="00516B53">
      <w:pPr>
        <w:pStyle w:val="bullet"/>
        <w:rPr>
          <w:rFonts w:asciiTheme="minorHAnsi" w:hAnsiTheme="minorHAnsi" w:cs="Calibri"/>
        </w:rPr>
      </w:pPr>
      <w:r w:rsidRPr="0067297E">
        <w:rPr>
          <w:rFonts w:asciiTheme="minorHAnsi" w:hAnsiTheme="minorHAnsi" w:cs="Calibri"/>
        </w:rPr>
        <w:t>£1.7 billion to pilot ‘accelerated construction’ on public sector land;</w:t>
      </w:r>
    </w:p>
    <w:p w14:paraId="79058F6A" w14:textId="77777777" w:rsidR="00793C8E" w:rsidRPr="0067297E" w:rsidRDefault="00793C8E" w:rsidP="00516B53">
      <w:pPr>
        <w:pStyle w:val="bullet"/>
        <w:rPr>
          <w:rFonts w:asciiTheme="minorHAnsi" w:hAnsiTheme="minorHAnsi" w:cs="Calibri"/>
        </w:rPr>
      </w:pPr>
      <w:r w:rsidRPr="0067297E">
        <w:rPr>
          <w:rFonts w:asciiTheme="minorHAnsi" w:hAnsiTheme="minorHAnsi" w:cs="Calibri"/>
        </w:rPr>
        <w:t>Letting agents in the private rented sector to be banned from charging fees; and</w:t>
      </w:r>
    </w:p>
    <w:p w14:paraId="655BCE5D" w14:textId="77777777" w:rsidR="00793C8E" w:rsidRPr="0067297E" w:rsidRDefault="00793C8E" w:rsidP="003F4875">
      <w:pPr>
        <w:pStyle w:val="bullet"/>
        <w:rPr>
          <w:rFonts w:asciiTheme="minorHAnsi" w:hAnsiTheme="minorHAnsi" w:cs="Calibri"/>
        </w:rPr>
      </w:pPr>
      <w:r w:rsidRPr="0067297E">
        <w:rPr>
          <w:rFonts w:asciiTheme="minorHAnsi" w:hAnsiTheme="minorHAnsi" w:cs="Calibri"/>
        </w:rPr>
        <w:t>Confirmation that compulsory Pay to Stay will not be implemented for councils.</w:t>
      </w:r>
    </w:p>
    <w:p w14:paraId="0E08C58B"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The Autumn Statement indicated a clear shift in housing policy, away from an exclusive focus on homeownership and towards boosting overall housing supply. A removal of grant-funding restrictions will allow housing associations to increase the delivery of sub-market rented housing, including affordable rented, shared ownership and rent-to-buy homes.</w:t>
      </w:r>
    </w:p>
    <w:p w14:paraId="018F0D5D"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 xml:space="preserve">Many of the ‘flagship’ housing policies of the Cameron Administration have their legislative basis in the provisions of the Housing and Planning Act 2016, but require further secondary legislation. Their implementation has been subject to ongoing delay and seem increasingly unlikely to be carried forward in practice as originally envisaged. These schemes include the Voluntary Right to Buy, the higher asset levy (intended to fund the building of new homes) and Pay to Stay (no longer compulsory for councils). </w:t>
      </w:r>
    </w:p>
    <w:p w14:paraId="68004E2C"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 xml:space="preserve">The </w:t>
      </w:r>
      <w:r w:rsidRPr="0067297E">
        <w:rPr>
          <w:rFonts w:asciiTheme="minorHAnsi" w:hAnsiTheme="minorHAnsi" w:cs="Calibri"/>
          <w:b/>
        </w:rPr>
        <w:t>Housing White Paper,</w:t>
      </w:r>
      <w:r w:rsidRPr="0067297E">
        <w:rPr>
          <w:rFonts w:asciiTheme="minorHAnsi" w:hAnsiTheme="minorHAnsi" w:cs="Calibri"/>
        </w:rPr>
        <w:t xml:space="preserve"> </w:t>
      </w:r>
      <w:r w:rsidRPr="0067297E">
        <w:rPr>
          <w:rFonts w:asciiTheme="minorHAnsi" w:hAnsiTheme="minorHAnsi" w:cs="Calibri"/>
          <w:b/>
          <w:i/>
        </w:rPr>
        <w:t>Fixing our broken housing market</w:t>
      </w:r>
      <w:r w:rsidRPr="0067297E">
        <w:rPr>
          <w:rFonts w:asciiTheme="minorHAnsi" w:hAnsiTheme="minorHAnsi" w:cs="Calibri"/>
        </w:rPr>
        <w:t>, was published in February 2017. The White Paper proposed a number of changes to reshape the approach to housebuilding and increase housing supply. These changes centred around the following four areas:</w:t>
      </w:r>
    </w:p>
    <w:p w14:paraId="6EC3E053" w14:textId="77777777" w:rsidR="00793C8E" w:rsidRPr="0067297E" w:rsidRDefault="00793C8E" w:rsidP="00A04CC5">
      <w:pPr>
        <w:pStyle w:val="bullet"/>
        <w:rPr>
          <w:rFonts w:asciiTheme="minorHAnsi" w:hAnsiTheme="minorHAnsi" w:cs="Calibri"/>
        </w:rPr>
      </w:pPr>
      <w:r w:rsidRPr="0067297E">
        <w:rPr>
          <w:rFonts w:asciiTheme="minorHAnsi" w:hAnsiTheme="minorHAnsi" w:cs="Calibri"/>
        </w:rPr>
        <w:t>Planning for the right homes in the right places, by making it simpler for local authorities to put Local Plans in place and keep them up-to-date, ensuring sufficient land is allocated to meet housing needs and building upon neighbourhood planning to ensure communities have control over development in their area. The White Paper aims to make more land available for homes by maximising the contribution from brownfield and surplus public land, regenerating estates, releasing more small and medium sized sites, allowing rural communities to grow and making it easier to build new settlements. It reaffirms that the existing protections for the Green Belt remain unchanged and emphasises that authorities should only make exceptional amendments to Green Belt boundaries.</w:t>
      </w:r>
    </w:p>
    <w:p w14:paraId="6B81BC7F" w14:textId="77777777" w:rsidR="00793C8E" w:rsidRPr="0067297E" w:rsidRDefault="00793C8E" w:rsidP="007E2C96">
      <w:pPr>
        <w:pStyle w:val="bullet"/>
        <w:rPr>
          <w:rFonts w:asciiTheme="minorHAnsi" w:hAnsiTheme="minorHAnsi" w:cs="Calibri"/>
        </w:rPr>
      </w:pPr>
      <w:r w:rsidRPr="0067297E">
        <w:rPr>
          <w:rFonts w:asciiTheme="minorHAnsi" w:hAnsiTheme="minorHAnsi" w:cs="Calibri"/>
        </w:rPr>
        <w:t>Building homes faster, by increasing certainty around housing numbers, aligning new infrastructure with housing, supporting developers to build more quickly and improving transparency. White Paper proposals include amending the NPPF to give local authorities the opportunity to have their housing land supply agreed on an annual basis and fixed for a one-year period, in order to create more certainty about when an adequate land supply exists. Authorities taking advantage of this would have to provide a 10% larger buffer on their five-year land supply. In addition, the White Paper suggests changing the NPPF to introduce a housing delivery test for local authorities. If delivery falls below specified thresholds extra land would be added onto the five-year land supply as well as further thresholds which would allow the presumption in favour of sustainable development to apply automatically.</w:t>
      </w:r>
    </w:p>
    <w:p w14:paraId="6B294726" w14:textId="77777777" w:rsidR="00793C8E" w:rsidRPr="0067297E" w:rsidRDefault="00793C8E" w:rsidP="00516B53">
      <w:pPr>
        <w:pStyle w:val="bullet"/>
        <w:rPr>
          <w:rFonts w:asciiTheme="minorHAnsi" w:hAnsiTheme="minorHAnsi" w:cs="Calibri"/>
        </w:rPr>
      </w:pPr>
      <w:r w:rsidRPr="0067297E">
        <w:rPr>
          <w:rFonts w:asciiTheme="minorHAnsi" w:hAnsiTheme="minorHAnsi" w:cs="Calibri"/>
        </w:rPr>
        <w:t>Diversifying the market, by establishing a new Accelerated Construction Programme, supporting more Build to Rent developments, supporting housing associations to build more housing and boosting innovation. The White Paper proposes ensuring that the public sector plays its part by encouraging more building by councils and reforming the Homes and Communities Agency.</w:t>
      </w:r>
    </w:p>
    <w:p w14:paraId="299B761E" w14:textId="77777777" w:rsidR="00793C8E" w:rsidRPr="0067297E" w:rsidRDefault="00793C8E" w:rsidP="00516B53">
      <w:pPr>
        <w:pStyle w:val="bullet"/>
        <w:rPr>
          <w:rFonts w:asciiTheme="minorHAnsi" w:hAnsiTheme="minorHAnsi" w:cs="Calibri"/>
        </w:rPr>
      </w:pPr>
      <w:r w:rsidRPr="0067297E">
        <w:rPr>
          <w:rFonts w:asciiTheme="minorHAnsi" w:hAnsiTheme="minorHAnsi" w:cs="Calibri"/>
        </w:rPr>
        <w:t>Helping people through Help to Buy, Right to Buy, the Shared Ownership and Affordable Homes Programme (SOAHP), the new Lifetime ISA, amendments to Starter Homes requirements and the announcement of a new statutory duty on planning to meet the needs of older and disabled people.</w:t>
      </w:r>
    </w:p>
    <w:p w14:paraId="4C0F135F"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In April 2017 some of the welfare reform provisions came into effect. This included Universal Credit claimants aged 18-21 no longer being able to claim benefits to support their housing costs unless they fit into at least one of 11 exemption categories. However, the Government also announced that they were cancelling controversial plans to cap benefit for Supported Housing tenants at the LHA rates.</w:t>
      </w:r>
    </w:p>
    <w:p w14:paraId="7966FF5F"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During the 2016-17 Parliament there were two Acts that gained Royal Assent that have particular relevance to emerging housing policy:</w:t>
      </w:r>
    </w:p>
    <w:p w14:paraId="7F5FD3DF" w14:textId="77777777" w:rsidR="00793C8E" w:rsidRPr="0067297E" w:rsidRDefault="00793C8E" w:rsidP="00A04CC5">
      <w:pPr>
        <w:pStyle w:val="bullet"/>
        <w:rPr>
          <w:rFonts w:asciiTheme="minorHAnsi" w:hAnsiTheme="minorHAnsi" w:cs="Calibri"/>
        </w:rPr>
      </w:pPr>
      <w:r w:rsidRPr="0067297E">
        <w:rPr>
          <w:rFonts w:asciiTheme="minorHAnsi" w:hAnsiTheme="minorHAnsi" w:cs="Calibri"/>
        </w:rPr>
        <w:t>The Neighbourhood Planning Act 2017 aims to speed up the delivery of new homes by strengthening neighbourhood planning, limiting the use of pre-commencement planning conditions, use of the planning register and the reform of compulsory purchase. During its passage through Parliament, the Bill was subject to various amendments, including changes to the Local Plan process to allow the Secretary of State to intervene and invite county councils to prepare or revise Local Plans where districts have not delivered and to allow the preparation of joint Local Plans where there are cross-boundary issues between two or more local authorities. This followed the recommendations of the Local Plans Expert Group (LPEG) report of March 2016 . Some of the provisions of the Act require secondary legislation. A commencement order introduced in July 2017 under the Act requires post-examination neighbourhood plans to be treated as ‘material considerations’ in the determination of planning applications.</w:t>
      </w:r>
    </w:p>
    <w:p w14:paraId="1A5015AA" w14:textId="77777777" w:rsidR="00793C8E" w:rsidRPr="0067297E" w:rsidRDefault="00793C8E" w:rsidP="007E2C96">
      <w:pPr>
        <w:pStyle w:val="bullet"/>
        <w:rPr>
          <w:rFonts w:asciiTheme="minorHAnsi" w:hAnsiTheme="minorHAnsi" w:cs="Calibri"/>
        </w:rPr>
      </w:pPr>
      <w:r w:rsidRPr="0067297E">
        <w:rPr>
          <w:rFonts w:asciiTheme="minorHAnsi" w:hAnsiTheme="minorHAnsi" w:cs="Calibri"/>
        </w:rPr>
        <w:t xml:space="preserve">The Homelessness Reduction Act 2017 requires councils to seek to prevent homelessness by starting work with households threatened with homelessness 56 days in advance of the date on which they are expected to become homeless (28 days earlier than under the previous legislation). It also requires the provision of advisory services to specified groups including (but not limited to) people leaving prison, young people leaving care, people leaving armed forces, people leaving hospital, people with a learning disability and people receiving mental health services in the community. The Act sets out that councils must assess and develop a personalised plan during the initial presentation to the service. In addition, they must help prevent an applicant from becoming homeless and take reasonable steps to help those who are eligible for assistance to secure </w:t>
      </w:r>
      <w:r w:rsidR="00C07D6B" w:rsidRPr="0067297E">
        <w:rPr>
          <w:rFonts w:asciiTheme="minorHAnsi" w:hAnsiTheme="minorHAnsi" w:cs="Calibri"/>
        </w:rPr>
        <w:t>accommodation</w:t>
      </w:r>
      <w:r w:rsidRPr="0067297E">
        <w:rPr>
          <w:rFonts w:asciiTheme="minorHAnsi" w:hAnsiTheme="minorHAnsi" w:cs="Calibri"/>
        </w:rPr>
        <w:t xml:space="preserve"> for at least six months (during a 56 day period before a homeless decision can be made). The Act dissolves the local connections rules apart from a duty to provide care leavers with accommodation (under the Children Act 1989) to the age of 21.</w:t>
      </w:r>
    </w:p>
    <w:p w14:paraId="0D5BD3C8"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 xml:space="preserve">Following the snap General Election in June 2017, Theresa May’s Conservative Government formed an alliance with the DUP and the Cabinet was subject to another reshuffle. </w:t>
      </w:r>
    </w:p>
    <w:p w14:paraId="16D85BE7" w14:textId="77777777"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b/>
          <w:i/>
        </w:rPr>
        <w:t>Planning for homes in the right places</w:t>
      </w:r>
      <w:r w:rsidRPr="0067297E">
        <w:rPr>
          <w:rFonts w:asciiTheme="minorHAnsi" w:hAnsiTheme="minorHAnsi" w:cs="Calibri"/>
        </w:rPr>
        <w:t xml:space="preserve"> was published for consultation in September 2017, setting out the Government’s proposals for a standardised approach to assessing housing need. The overall rationale is that local authorities across England currently use inconsistent methods to assess housing requirements, leading to long debates over whether local plans include the correct housing targets. The proposed new standardised approach to assessing housing need therefore aims to have all local authorities use the same formula to calculate their housing requirement. The standardised approach would set a minimum figure but local authorities would be able to increase their target from this baseline, for example if they plan for employment growth and want to provide an uplift in housing provision to account for this. The consultation document proposes that the new housing need calculation method would be applied for assessing five-year housing land supply from 31st March 2018 onwards. </w:t>
      </w:r>
    </w:p>
    <w:p w14:paraId="054A61E5" w14:textId="55E5C339" w:rsidR="00793C8E" w:rsidRPr="0067297E" w:rsidRDefault="00793C8E" w:rsidP="002C70BC">
      <w:pPr>
        <w:pStyle w:val="Reporttext"/>
        <w:numPr>
          <w:ilvl w:val="1"/>
          <w:numId w:val="36"/>
        </w:numPr>
        <w:rPr>
          <w:rFonts w:asciiTheme="minorHAnsi" w:hAnsiTheme="minorHAnsi" w:cs="Calibri"/>
        </w:rPr>
      </w:pPr>
      <w:r w:rsidRPr="0067297E">
        <w:rPr>
          <w:rFonts w:asciiTheme="minorHAnsi" w:hAnsiTheme="minorHAnsi" w:cs="Calibri"/>
        </w:rPr>
        <w:t xml:space="preserve">The </w:t>
      </w:r>
      <w:r w:rsidRPr="0067297E">
        <w:rPr>
          <w:rFonts w:asciiTheme="minorHAnsi" w:hAnsiTheme="minorHAnsi" w:cs="Calibri"/>
          <w:b/>
        </w:rPr>
        <w:t>Autumn Budget 2017</w:t>
      </w:r>
      <w:r w:rsidRPr="0067297E">
        <w:rPr>
          <w:rFonts w:asciiTheme="minorHAnsi" w:hAnsiTheme="minorHAnsi" w:cs="Calibri"/>
        </w:rPr>
        <w:t xml:space="preserve"> </w:t>
      </w:r>
      <w:r w:rsidR="00535980" w:rsidRPr="0067297E">
        <w:rPr>
          <w:rFonts w:asciiTheme="minorHAnsi" w:hAnsiTheme="minorHAnsi" w:cs="Calibri"/>
          <w:lang w:val="en-GB"/>
        </w:rPr>
        <w:t xml:space="preserve">(November 2017) </w:t>
      </w:r>
      <w:r w:rsidRPr="0067297E">
        <w:rPr>
          <w:rFonts w:asciiTheme="minorHAnsi" w:hAnsiTheme="minorHAnsi" w:cs="Calibri"/>
        </w:rPr>
        <w:t>included a range of provisions focused on housing, although these were welcomed cautiously by some who would have preferred a greater emphasis on affordability. Provisions included:</w:t>
      </w:r>
    </w:p>
    <w:p w14:paraId="119A51C8" w14:textId="77777777" w:rsidR="00A24131" w:rsidRPr="0067297E" w:rsidRDefault="00A24131" w:rsidP="00A04CC5">
      <w:pPr>
        <w:pStyle w:val="bullet"/>
        <w:rPr>
          <w:rFonts w:asciiTheme="minorHAnsi" w:hAnsiTheme="minorHAnsi" w:cs="Calibri"/>
        </w:rPr>
      </w:pPr>
      <w:r w:rsidRPr="0067297E">
        <w:rPr>
          <w:rFonts w:asciiTheme="minorHAnsi" w:hAnsiTheme="minorHAnsi" w:cs="Calibri"/>
        </w:rPr>
        <w:t>A commitment to be providing 300,000 new homes per year by the mid-2020s;</w:t>
      </w:r>
    </w:p>
    <w:p w14:paraId="684012FC" w14:textId="77777777" w:rsidR="00A24131" w:rsidRPr="0067297E" w:rsidRDefault="00A24131" w:rsidP="007E2C96">
      <w:pPr>
        <w:pStyle w:val="bullet"/>
        <w:rPr>
          <w:rFonts w:asciiTheme="minorHAnsi" w:hAnsiTheme="minorHAnsi" w:cs="Calibri"/>
        </w:rPr>
      </w:pPr>
      <w:r w:rsidRPr="0067297E">
        <w:rPr>
          <w:rFonts w:asciiTheme="minorHAnsi" w:hAnsiTheme="minorHAnsi" w:cs="Calibri"/>
        </w:rPr>
        <w:t>A total of £15.3 billion of new capital funding, guarantee and loan-based funding;</w:t>
      </w:r>
    </w:p>
    <w:p w14:paraId="7D2549A0" w14:textId="77777777" w:rsidR="00A24131" w:rsidRPr="0067297E" w:rsidRDefault="00A24131" w:rsidP="00516B53">
      <w:pPr>
        <w:pStyle w:val="bullet"/>
        <w:rPr>
          <w:rFonts w:asciiTheme="minorHAnsi" w:hAnsiTheme="minorHAnsi" w:cs="Calibri"/>
        </w:rPr>
      </w:pPr>
      <w:r w:rsidRPr="0067297E">
        <w:rPr>
          <w:rFonts w:asciiTheme="minorHAnsi" w:hAnsiTheme="minorHAnsi" w:cs="Calibri"/>
        </w:rPr>
        <w:t>£1 billion of extra borrowing capacity for councils in high demand areas to build new affordable homes;</w:t>
      </w:r>
    </w:p>
    <w:p w14:paraId="1A86778A" w14:textId="77777777" w:rsidR="00A24131" w:rsidRPr="0067297E" w:rsidRDefault="00A24131" w:rsidP="00516B53">
      <w:pPr>
        <w:pStyle w:val="bullet"/>
        <w:rPr>
          <w:rFonts w:asciiTheme="minorHAnsi" w:hAnsiTheme="minorHAnsi" w:cs="Calibri"/>
        </w:rPr>
      </w:pPr>
      <w:r w:rsidRPr="0067297E">
        <w:rPr>
          <w:rFonts w:asciiTheme="minorHAnsi" w:hAnsiTheme="minorHAnsi" w:cs="Calibri"/>
        </w:rPr>
        <w:t>£1.5 billion of changes to Universal Credit, including scrapping the seven-day waiting period at the beginning of a claim, making a full month’s advance available within five days of making a claim and allowing claimants on housing benefit to continue claiming for two weeks;</w:t>
      </w:r>
    </w:p>
    <w:p w14:paraId="33A498B7" w14:textId="77777777" w:rsidR="00A24131" w:rsidRPr="0067297E" w:rsidRDefault="00A24131" w:rsidP="00516B53">
      <w:pPr>
        <w:pStyle w:val="bullet"/>
        <w:rPr>
          <w:rFonts w:asciiTheme="minorHAnsi" w:hAnsiTheme="minorHAnsi" w:cs="Calibri"/>
        </w:rPr>
      </w:pPr>
      <w:r w:rsidRPr="0067297E">
        <w:rPr>
          <w:rFonts w:asciiTheme="minorHAnsi" w:hAnsiTheme="minorHAnsi" w:cs="Calibri"/>
        </w:rPr>
        <w:t>£125 million increase over two years in Targeted Affordability Funding for LHA claimants in the private sector who are struggling to pay their rents;</w:t>
      </w:r>
    </w:p>
    <w:p w14:paraId="4C836511" w14:textId="77777777" w:rsidR="00A24131" w:rsidRPr="0067297E" w:rsidRDefault="00A24131" w:rsidP="00516B53">
      <w:pPr>
        <w:pStyle w:val="bullet"/>
        <w:rPr>
          <w:rFonts w:asciiTheme="minorHAnsi" w:hAnsiTheme="minorHAnsi" w:cs="Calibri"/>
        </w:rPr>
      </w:pPr>
      <w:r w:rsidRPr="0067297E">
        <w:rPr>
          <w:rFonts w:asciiTheme="minorHAnsi" w:hAnsiTheme="minorHAnsi" w:cs="Calibri"/>
        </w:rPr>
        <w:t>Stamp duty scrapped on the first £300,000 for first-time buyers (on properties worth up to £500,000);</w:t>
      </w:r>
    </w:p>
    <w:p w14:paraId="67C92D0B" w14:textId="77777777" w:rsidR="00A24131" w:rsidRPr="0067297E" w:rsidRDefault="00A24131" w:rsidP="003F4875">
      <w:pPr>
        <w:pStyle w:val="bullet"/>
        <w:rPr>
          <w:rFonts w:asciiTheme="minorHAnsi" w:hAnsiTheme="minorHAnsi" w:cs="Calibri"/>
        </w:rPr>
      </w:pPr>
      <w:r w:rsidRPr="0067297E">
        <w:rPr>
          <w:rFonts w:asciiTheme="minorHAnsi" w:hAnsiTheme="minorHAnsi" w:cs="Calibri"/>
        </w:rPr>
        <w:t>New Housing First pilots announced for West Midlands, Manchester and Liverpool;</w:t>
      </w:r>
    </w:p>
    <w:p w14:paraId="2BD1E01B" w14:textId="77777777" w:rsidR="00A24131" w:rsidRPr="0067297E" w:rsidRDefault="00A24131" w:rsidP="003F4875">
      <w:pPr>
        <w:pStyle w:val="bullet"/>
        <w:rPr>
          <w:rFonts w:asciiTheme="minorHAnsi" w:hAnsiTheme="minorHAnsi" w:cs="Calibri"/>
        </w:rPr>
      </w:pPr>
      <w:r w:rsidRPr="0067297E">
        <w:rPr>
          <w:rFonts w:asciiTheme="minorHAnsi" w:hAnsiTheme="minorHAnsi" w:cs="Calibri"/>
        </w:rPr>
        <w:t>Power to councils to charge 100% Council Tax premium on empty properties;</w:t>
      </w:r>
    </w:p>
    <w:p w14:paraId="2D8F2EDF" w14:textId="77777777" w:rsidR="00A24131" w:rsidRPr="0067297E" w:rsidRDefault="00A24131" w:rsidP="003F4875">
      <w:pPr>
        <w:pStyle w:val="bullet"/>
        <w:rPr>
          <w:rFonts w:asciiTheme="minorHAnsi" w:hAnsiTheme="minorHAnsi" w:cs="Calibri"/>
        </w:rPr>
      </w:pPr>
      <w:r w:rsidRPr="0067297E">
        <w:rPr>
          <w:rFonts w:asciiTheme="minorHAnsi" w:hAnsiTheme="minorHAnsi" w:cs="Calibri"/>
        </w:rPr>
        <w:t>Five new garden towns; and</w:t>
      </w:r>
    </w:p>
    <w:p w14:paraId="6905EA4A" w14:textId="77777777" w:rsidR="00A24131" w:rsidRPr="0067297E" w:rsidRDefault="00A24131" w:rsidP="003F4875">
      <w:pPr>
        <w:pStyle w:val="bullet"/>
        <w:rPr>
          <w:rFonts w:asciiTheme="minorHAnsi" w:hAnsiTheme="minorHAnsi" w:cs="Calibri"/>
        </w:rPr>
      </w:pPr>
      <w:r w:rsidRPr="0067297E">
        <w:rPr>
          <w:rFonts w:asciiTheme="minorHAnsi" w:hAnsiTheme="minorHAnsi" w:cs="Calibri"/>
        </w:rPr>
        <w:t>A review to look at land banking, including considering compulsory purchase powers.</w:t>
      </w:r>
    </w:p>
    <w:p w14:paraId="22FA0B73" w14:textId="77777777" w:rsidR="00A24131" w:rsidRPr="0067297E" w:rsidRDefault="00A24131" w:rsidP="002C70BC">
      <w:pPr>
        <w:pStyle w:val="Reporttext"/>
        <w:numPr>
          <w:ilvl w:val="1"/>
          <w:numId w:val="36"/>
        </w:numPr>
        <w:rPr>
          <w:rFonts w:asciiTheme="minorHAnsi" w:hAnsiTheme="minorHAnsi" w:cs="Calibri"/>
        </w:rPr>
      </w:pPr>
      <w:r w:rsidRPr="0067297E">
        <w:rPr>
          <w:rFonts w:asciiTheme="minorHAnsi" w:hAnsiTheme="minorHAnsi" w:cstheme="minorHAnsi"/>
          <w:lang w:val="en-GB"/>
        </w:rPr>
        <w:t>In December 2017 the Government announced new measures to crack down on bad practices, reduce overcrowding and improve standards in the private rented sector. The measures have been introduced under the provisions of the Housing and Planning Act 2016.</w:t>
      </w:r>
    </w:p>
    <w:p w14:paraId="6D960A33" w14:textId="1D85DFA6" w:rsidR="005D0885" w:rsidRPr="0067297E" w:rsidRDefault="005D0885" w:rsidP="002C70BC">
      <w:pPr>
        <w:pStyle w:val="Reporttext"/>
        <w:numPr>
          <w:ilvl w:val="1"/>
          <w:numId w:val="36"/>
        </w:numPr>
        <w:rPr>
          <w:rFonts w:asciiTheme="minorHAnsi" w:hAnsiTheme="minorHAnsi" w:cs="Calibri"/>
        </w:rPr>
      </w:pPr>
      <w:r w:rsidRPr="0067297E">
        <w:rPr>
          <w:rFonts w:asciiTheme="minorHAnsi" w:hAnsiTheme="minorHAnsi" w:cstheme="minorHAnsi"/>
          <w:lang w:val="en-GB"/>
        </w:rPr>
        <w:t xml:space="preserve">The £5 billion Housing Infrastructure Fund is a Government capital grant programme to help unlock new homes in areas with the greatest housing demand, assisting in reaching the target of building 300,000 homes a year by the mid-2020s. Funding is awarded to local authorities on a highly competitive basis. The fund is divided into 2 streams, a Marginal Viability Fund (available to all single and lower tier local authorities in England to provide a piece of infrastructure funding to get additional sites allocated or existing sites unblocked quickly with </w:t>
      </w:r>
      <w:r w:rsidR="00AC4B34" w:rsidRPr="0067297E">
        <w:rPr>
          <w:rFonts w:asciiTheme="minorHAnsi" w:hAnsiTheme="minorHAnsi" w:cstheme="minorHAnsi"/>
          <w:lang w:val="en-GB"/>
        </w:rPr>
        <w:t xml:space="preserve">bids </w:t>
      </w:r>
      <w:r w:rsidRPr="0067297E">
        <w:rPr>
          <w:rFonts w:asciiTheme="minorHAnsi" w:hAnsiTheme="minorHAnsi" w:cstheme="minorHAnsi"/>
          <w:lang w:val="en-GB"/>
        </w:rPr>
        <w:t>of up to £10 million) and a Forward Fund (available to the uppermost tier of local authorities in England for a small number of strategic and high-impact infrastructure projects with bids of up to £250 million).</w:t>
      </w:r>
      <w:r w:rsidRPr="0067297E">
        <w:rPr>
          <w:rFonts w:asciiTheme="minorHAnsi" w:hAnsiTheme="minorHAnsi" w:cs="Calibri"/>
          <w:lang w:val="en-GB"/>
        </w:rPr>
        <w:t xml:space="preserve"> </w:t>
      </w:r>
      <w:r w:rsidRPr="0067297E">
        <w:rPr>
          <w:rFonts w:asciiTheme="minorHAnsi" w:hAnsiTheme="minorHAnsi" w:cstheme="minorHAnsi"/>
          <w:lang w:val="en-GB"/>
        </w:rPr>
        <w:t>On 1</w:t>
      </w:r>
      <w:r w:rsidRPr="0067297E">
        <w:rPr>
          <w:rFonts w:asciiTheme="minorHAnsi" w:hAnsiTheme="minorHAnsi" w:cstheme="minorHAnsi"/>
          <w:vertAlign w:val="superscript"/>
          <w:lang w:val="en-GB"/>
        </w:rPr>
        <w:t>st</w:t>
      </w:r>
      <w:r w:rsidRPr="0067297E">
        <w:rPr>
          <w:rFonts w:asciiTheme="minorHAnsi" w:hAnsiTheme="minorHAnsi" w:cstheme="minorHAnsi"/>
          <w:lang w:val="en-GB"/>
        </w:rPr>
        <w:t xml:space="preserve"> February 2018, the Minister for Housing, Communities and Local Government Sajid Javid and Chancellor Philip Hammond announced that 133 council-led projects across the country will receive £866 million investment in local housing projects, the first wave of funding from the £5 billion Housing Infrastructure Fund. The finances will support vital infrastructure such as roads, schools and bridges. On 18</w:t>
      </w:r>
      <w:r w:rsidRPr="0067297E">
        <w:rPr>
          <w:rFonts w:asciiTheme="minorHAnsi" w:hAnsiTheme="minorHAnsi" w:cstheme="minorHAnsi"/>
          <w:vertAlign w:val="superscript"/>
          <w:lang w:val="en-GB"/>
        </w:rPr>
        <w:t>th</w:t>
      </w:r>
      <w:r w:rsidRPr="0067297E">
        <w:rPr>
          <w:rFonts w:asciiTheme="minorHAnsi" w:hAnsiTheme="minorHAnsi" w:cstheme="minorHAnsi"/>
          <w:lang w:val="en-GB"/>
        </w:rPr>
        <w:t xml:space="preserve"> February 2018, Housing Minister Dominic Raab announced a £45 million cash injection into 79 key community projects across 41 local authorities to councils to combat barriers that would otherwise make land unusable for development. This will support building up to 7,280 homes on council-owned land.</w:t>
      </w:r>
    </w:p>
    <w:p w14:paraId="3012350C" w14:textId="77777777" w:rsidR="005D0885" w:rsidRPr="0067297E" w:rsidRDefault="005D0885" w:rsidP="002C70BC">
      <w:pPr>
        <w:pStyle w:val="Reporttext"/>
        <w:numPr>
          <w:ilvl w:val="1"/>
          <w:numId w:val="36"/>
        </w:numPr>
        <w:rPr>
          <w:rFonts w:asciiTheme="minorHAnsi" w:hAnsiTheme="minorHAnsi" w:cs="Calibri"/>
        </w:rPr>
      </w:pPr>
      <w:r w:rsidRPr="0067297E">
        <w:rPr>
          <w:rFonts w:asciiTheme="minorHAnsi" w:hAnsiTheme="minorHAnsi" w:cs="Calibri"/>
          <w:lang w:val="en-GB"/>
        </w:rPr>
        <w:t>In</w:t>
      </w:r>
      <w:r w:rsidRPr="0067297E">
        <w:rPr>
          <w:rFonts w:asciiTheme="minorHAnsi" w:hAnsiTheme="minorHAnsi" w:cs="Calibri"/>
        </w:rPr>
        <w:t xml:space="preserve"> March 2018 the Ministry of Housing, Communities and Local Government (MHCLG) published a </w:t>
      </w:r>
      <w:r w:rsidRPr="0067297E">
        <w:rPr>
          <w:rFonts w:asciiTheme="minorHAnsi" w:hAnsiTheme="minorHAnsi" w:cs="Calibri"/>
          <w:b/>
        </w:rPr>
        <w:t>Draft Revised National Planning Policy Framework</w:t>
      </w:r>
      <w:r w:rsidRPr="0067297E">
        <w:rPr>
          <w:rFonts w:asciiTheme="minorHAnsi" w:hAnsiTheme="minorHAnsi" w:cs="Calibri"/>
        </w:rPr>
        <w:t xml:space="preserve"> (Draft Revised NPPF) for consultation. Alongside </w:t>
      </w:r>
      <w:r w:rsidRPr="0067297E">
        <w:rPr>
          <w:rFonts w:asciiTheme="minorHAnsi" w:hAnsiTheme="minorHAnsi" w:cs="Calibri"/>
          <w:lang w:val="en-GB"/>
        </w:rPr>
        <w:t xml:space="preserve">this </w:t>
      </w:r>
      <w:r w:rsidRPr="0067297E">
        <w:rPr>
          <w:rFonts w:asciiTheme="minorHAnsi" w:hAnsiTheme="minorHAnsi" w:cs="Calibri"/>
        </w:rPr>
        <w:t xml:space="preserve">the Government also published </w:t>
      </w:r>
      <w:r w:rsidRPr="0067297E">
        <w:rPr>
          <w:rFonts w:asciiTheme="minorHAnsi" w:hAnsiTheme="minorHAnsi" w:cs="Calibri"/>
          <w:b/>
        </w:rPr>
        <w:t>Draft Planning Practice Guidance</w:t>
      </w:r>
      <w:r w:rsidRPr="0067297E">
        <w:rPr>
          <w:rFonts w:asciiTheme="minorHAnsi" w:hAnsiTheme="minorHAnsi" w:cs="Calibri"/>
        </w:rPr>
        <w:t xml:space="preserve"> (Draft PPG) on the following topics: Viability, Housing Delivery, Local Housing Need Assessment, Neighbourhood Plans, Plan-making and Build to rent.</w:t>
      </w:r>
    </w:p>
    <w:p w14:paraId="4589E434" w14:textId="77777777" w:rsidR="005D0885" w:rsidRPr="0067297E" w:rsidRDefault="005D0885" w:rsidP="002C70BC">
      <w:pPr>
        <w:pStyle w:val="Reporttext"/>
        <w:numPr>
          <w:ilvl w:val="1"/>
          <w:numId w:val="36"/>
        </w:numPr>
        <w:rPr>
          <w:rFonts w:asciiTheme="minorHAnsi" w:hAnsiTheme="minorHAnsi" w:cs="Calibri"/>
        </w:rPr>
      </w:pPr>
      <w:r w:rsidRPr="0067297E">
        <w:rPr>
          <w:rFonts w:asciiTheme="minorHAnsi" w:hAnsiTheme="minorHAnsi" w:cs="Calibri"/>
          <w:b/>
        </w:rPr>
        <w:t>Draft PPG: Housing Delivery</w:t>
      </w:r>
      <w:r w:rsidRPr="0067297E">
        <w:rPr>
          <w:rFonts w:asciiTheme="minorHAnsi" w:hAnsiTheme="minorHAnsi" w:cs="Calibri"/>
        </w:rPr>
        <w:t xml:space="preserve"> requires that authorities demonstrate a five-year land supply of specific deliverable sites to meet their housing requirements. The five-year land supply should be reviewed each year in an annual position statement. Areas which have or are producing joint plans will have the option to monitor land supply and the Housing Delivery Test over the joint planning area or on a single-authority basis. Draft PPG sets out that where delivery is under 85% of the identified housing requirement, the buffer will be increased to 20% with immediate effect from the publication of Housing Delivery Test results. </w:t>
      </w:r>
    </w:p>
    <w:p w14:paraId="5604665F" w14:textId="0E2931F0" w:rsidR="005D0885" w:rsidRPr="0067297E" w:rsidRDefault="005D0885" w:rsidP="002C70BC">
      <w:pPr>
        <w:pStyle w:val="Reporttext"/>
        <w:numPr>
          <w:ilvl w:val="1"/>
          <w:numId w:val="36"/>
        </w:numPr>
        <w:rPr>
          <w:rFonts w:asciiTheme="minorHAnsi" w:hAnsiTheme="minorHAnsi" w:cs="Calibri"/>
        </w:rPr>
      </w:pPr>
      <w:r w:rsidRPr="0067297E">
        <w:rPr>
          <w:rFonts w:asciiTheme="minorHAnsi" w:hAnsiTheme="minorHAnsi" w:cs="Calibri"/>
          <w:b/>
        </w:rPr>
        <w:t>Draft PPG: Local Housing Need Assessment</w:t>
      </w:r>
      <w:r w:rsidRPr="0067297E">
        <w:rPr>
          <w:rFonts w:asciiTheme="minorHAnsi" w:hAnsiTheme="minorHAnsi" w:cs="Calibri"/>
        </w:rPr>
        <w:t xml:space="preserve"> set</w:t>
      </w:r>
      <w:r w:rsidRPr="0067297E">
        <w:rPr>
          <w:rFonts w:asciiTheme="minorHAnsi" w:hAnsiTheme="minorHAnsi" w:cs="Calibri"/>
          <w:lang w:val="en-GB"/>
        </w:rPr>
        <w:t>s</w:t>
      </w:r>
      <w:r w:rsidRPr="0067297E">
        <w:rPr>
          <w:rFonts w:asciiTheme="minorHAnsi" w:hAnsiTheme="minorHAnsi" w:cs="Calibri"/>
        </w:rPr>
        <w:t xml:space="preserve"> out the expectation that strategic plan-making authorities will follow the standard approach for assessing local housing need, unless there are exceptional circumstances that justify an alternative. This approach is set out in three steps: Setting the baseline using household projections; an adjustment to take account of market signals (particularly affordability); and the application of a cap on the level of increase required. The draft guidance states that the need figure generated by the standard method should be considered as the ‘minimum starting point’ in establishing a need figure for the purposes of plan production.</w:t>
      </w:r>
      <w:r w:rsidR="00BC1145" w:rsidRPr="0067297E">
        <w:rPr>
          <w:rFonts w:asciiTheme="minorHAnsi" w:hAnsiTheme="minorHAnsi" w:cs="Calibri"/>
          <w:lang w:val="en-GB"/>
        </w:rPr>
        <w:t xml:space="preserve">  The final version was published in September 2018.</w:t>
      </w:r>
    </w:p>
    <w:p w14:paraId="01D82F4B" w14:textId="39B7B61C" w:rsidR="005D0885" w:rsidRPr="0067297E" w:rsidRDefault="005D0885" w:rsidP="002C70BC">
      <w:pPr>
        <w:pStyle w:val="Reporttext"/>
        <w:numPr>
          <w:ilvl w:val="1"/>
          <w:numId w:val="36"/>
        </w:numPr>
        <w:rPr>
          <w:rFonts w:asciiTheme="minorHAnsi" w:hAnsiTheme="minorHAnsi" w:cs="Calibri"/>
        </w:rPr>
      </w:pPr>
      <w:r w:rsidRPr="0067297E">
        <w:rPr>
          <w:rFonts w:asciiTheme="minorHAnsi" w:hAnsiTheme="minorHAnsi" w:cs="Calibri"/>
          <w:lang w:val="en-GB"/>
        </w:rPr>
        <w:t xml:space="preserve">The </w:t>
      </w:r>
      <w:r w:rsidRPr="0067297E">
        <w:rPr>
          <w:rFonts w:asciiTheme="minorHAnsi" w:hAnsiTheme="minorHAnsi" w:cs="Calibri"/>
          <w:b/>
          <w:lang w:val="en-GB"/>
        </w:rPr>
        <w:t xml:space="preserve">Revised National Planning Policy Framework (NPPF) </w:t>
      </w:r>
      <w:r w:rsidRPr="0067297E">
        <w:rPr>
          <w:rFonts w:asciiTheme="minorHAnsi" w:hAnsiTheme="minorHAnsi" w:cs="Calibri"/>
          <w:lang w:val="en-GB"/>
        </w:rPr>
        <w:t>was published in July 2018</w:t>
      </w:r>
      <w:r w:rsidR="00E3486D">
        <w:rPr>
          <w:rFonts w:asciiTheme="minorHAnsi" w:hAnsiTheme="minorHAnsi" w:cs="Calibri"/>
          <w:lang w:val="en-GB"/>
        </w:rPr>
        <w:t xml:space="preserve"> and updated in February 2019</w:t>
      </w:r>
      <w:r w:rsidRPr="0067297E">
        <w:rPr>
          <w:rFonts w:asciiTheme="minorHAnsi" w:hAnsiTheme="minorHAnsi" w:cs="Calibri"/>
          <w:lang w:val="en-GB"/>
        </w:rPr>
        <w:t>. It introduces a housing delivery test for local authorities, which will measure the number of homes created against local housing need. The Revised NPPF 2018</w:t>
      </w:r>
      <w:r w:rsidR="00E3486D">
        <w:rPr>
          <w:rFonts w:asciiTheme="minorHAnsi" w:hAnsiTheme="minorHAnsi" w:cs="Calibri"/>
          <w:lang w:val="en-GB"/>
        </w:rPr>
        <w:t>/</w:t>
      </w:r>
      <w:r w:rsidR="00952846">
        <w:rPr>
          <w:rFonts w:asciiTheme="minorHAnsi" w:hAnsiTheme="minorHAnsi" w:cs="Calibri"/>
          <w:lang w:val="en-GB"/>
        </w:rPr>
        <w:t>1</w:t>
      </w:r>
      <w:r w:rsidR="00E3486D">
        <w:rPr>
          <w:rFonts w:asciiTheme="minorHAnsi" w:hAnsiTheme="minorHAnsi" w:cs="Calibri"/>
          <w:lang w:val="en-GB"/>
        </w:rPr>
        <w:t>9</w:t>
      </w:r>
      <w:r w:rsidRPr="0067297E">
        <w:rPr>
          <w:rFonts w:asciiTheme="minorHAnsi" w:hAnsiTheme="minorHAnsi" w:cs="Calibri"/>
          <w:lang w:val="en-GB"/>
        </w:rPr>
        <w:t xml:space="preserve"> also introduces a new standardised method of calculating housing need; this approach uses the Government’s household growth projections and applies an affordability ratio to the figures, comparing local house prices with workplace earnings to produce a need figure. The Government has said that it will consider adjusting the methodology in order to ensure it meets the target of delivering 300,000 new homes per year by the mid-2020s. The presumption in favour of sustainable development includes a requirement that strategic policies should, as a minimum, provide for objectively assessed needs for housing.</w:t>
      </w:r>
    </w:p>
    <w:p w14:paraId="5D9B0F7C" w14:textId="77777777" w:rsidR="00535980" w:rsidRPr="0067297E" w:rsidRDefault="005D0885" w:rsidP="002C70BC">
      <w:pPr>
        <w:pStyle w:val="Reporttext"/>
        <w:numPr>
          <w:ilvl w:val="1"/>
          <w:numId w:val="36"/>
        </w:numPr>
        <w:rPr>
          <w:rFonts w:asciiTheme="minorHAnsi" w:hAnsiTheme="minorHAnsi" w:cs="Calibri"/>
        </w:rPr>
      </w:pPr>
      <w:r w:rsidRPr="0067297E">
        <w:rPr>
          <w:rFonts w:asciiTheme="minorHAnsi" w:hAnsiTheme="minorHAnsi" w:cs="Calibri"/>
          <w:b/>
        </w:rPr>
        <w:t>The Housing Delivery Test Measurement Rule Book</w:t>
      </w:r>
      <w:r w:rsidRPr="0067297E">
        <w:rPr>
          <w:rFonts w:asciiTheme="minorHAnsi" w:hAnsiTheme="minorHAnsi" w:cs="Calibri"/>
        </w:rPr>
        <w:t xml:space="preserve"> was also published in in </w:t>
      </w:r>
      <w:r w:rsidRPr="0067297E">
        <w:rPr>
          <w:rFonts w:asciiTheme="minorHAnsi" w:hAnsiTheme="minorHAnsi" w:cs="Calibri"/>
          <w:lang w:val="en-GB"/>
        </w:rPr>
        <w:t>July</w:t>
      </w:r>
      <w:r w:rsidRPr="0067297E">
        <w:rPr>
          <w:rFonts w:asciiTheme="minorHAnsi" w:hAnsiTheme="minorHAnsi" w:cs="Calibri"/>
        </w:rPr>
        <w:t xml:space="preserve"> 2018. This sets out the methodology for calculating the Housing Delivery Test (HDL) measurement. The HDL is the annual measurement of housing delivery performanc</w:t>
      </w:r>
      <w:r w:rsidRPr="0067297E">
        <w:rPr>
          <w:rFonts w:asciiTheme="minorHAnsi" w:hAnsiTheme="minorHAnsi" w:cs="Calibri"/>
          <w:lang w:val="en-GB"/>
        </w:rPr>
        <w:t>e, to commence in November 2018</w:t>
      </w:r>
      <w:r w:rsidR="00535980" w:rsidRPr="0067297E">
        <w:rPr>
          <w:rFonts w:asciiTheme="minorHAnsi" w:hAnsiTheme="minorHAnsi" w:cs="Calibri"/>
        </w:rPr>
        <w:t xml:space="preserve">. </w:t>
      </w:r>
    </w:p>
    <w:p w14:paraId="20ADED94" w14:textId="6CAF9713" w:rsidR="00F857F2" w:rsidRPr="0067297E" w:rsidRDefault="00F857F2" w:rsidP="002C70BC">
      <w:pPr>
        <w:pStyle w:val="Reporttext"/>
        <w:numPr>
          <w:ilvl w:val="1"/>
          <w:numId w:val="36"/>
        </w:numPr>
        <w:rPr>
          <w:rFonts w:asciiTheme="minorHAnsi" w:hAnsiTheme="minorHAnsi" w:cs="Calibri"/>
        </w:rPr>
      </w:pPr>
      <w:r w:rsidRPr="0067297E">
        <w:rPr>
          <w:rFonts w:asciiTheme="minorHAnsi" w:hAnsiTheme="minorHAnsi" w:cs="Calibri"/>
          <w:lang w:val="en-GB"/>
        </w:rPr>
        <w:t xml:space="preserve">In August 2018, the Government published their </w:t>
      </w:r>
      <w:r w:rsidRPr="0067297E">
        <w:rPr>
          <w:rFonts w:asciiTheme="minorHAnsi" w:hAnsiTheme="minorHAnsi" w:cs="Calibri"/>
          <w:b/>
          <w:lang w:val="en-GB"/>
        </w:rPr>
        <w:t>Green Paper,</w:t>
      </w:r>
      <w:r w:rsidRPr="0067297E">
        <w:rPr>
          <w:rFonts w:asciiTheme="minorHAnsi" w:hAnsiTheme="minorHAnsi" w:cs="Calibri"/>
          <w:b/>
          <w:i/>
          <w:lang w:val="en-GB"/>
        </w:rPr>
        <w:t xml:space="preserve"> A new deal for social housing</w:t>
      </w:r>
      <w:r w:rsidRPr="0067297E">
        <w:rPr>
          <w:rFonts w:asciiTheme="minorHAnsi" w:hAnsiTheme="minorHAnsi" w:cs="Calibri"/>
          <w:lang w:val="en-GB"/>
        </w:rPr>
        <w:t xml:space="preserve"> for public consultation. </w:t>
      </w:r>
      <w:r w:rsidR="00441A92" w:rsidRPr="0067297E">
        <w:rPr>
          <w:rFonts w:asciiTheme="minorHAnsi" w:hAnsiTheme="minorHAnsi" w:cs="Calibri"/>
          <w:lang w:val="en-GB"/>
        </w:rPr>
        <w:t>This sets out a positive view of social housing and propos</w:t>
      </w:r>
      <w:r w:rsidR="00D67941" w:rsidRPr="0067297E">
        <w:rPr>
          <w:rFonts w:asciiTheme="minorHAnsi" w:hAnsiTheme="minorHAnsi" w:cs="Calibri"/>
          <w:lang w:val="en-GB"/>
        </w:rPr>
        <w:t>e</w:t>
      </w:r>
      <w:r w:rsidR="00441A92" w:rsidRPr="0067297E">
        <w:rPr>
          <w:rFonts w:asciiTheme="minorHAnsi" w:hAnsiTheme="minorHAnsi" w:cs="Calibri"/>
          <w:lang w:val="en-GB"/>
        </w:rPr>
        <w:t xml:space="preserve">s a </w:t>
      </w:r>
      <w:r w:rsidR="00441A92" w:rsidRPr="0067297E">
        <w:rPr>
          <w:rFonts w:asciiTheme="minorHAnsi" w:hAnsiTheme="minorHAnsi" w:cs="Calibri"/>
          <w:i/>
          <w:lang w:val="en-GB"/>
        </w:rPr>
        <w:t>‘fundamental shift in the state’s approach to social housing and the people who call it home’</w:t>
      </w:r>
      <w:r w:rsidR="00441A92" w:rsidRPr="0067297E">
        <w:rPr>
          <w:rFonts w:asciiTheme="minorHAnsi" w:hAnsiTheme="minorHAnsi" w:cs="Calibri"/>
          <w:lang w:val="en-GB"/>
        </w:rPr>
        <w:t>. The paper sets out five principles, as follows:</w:t>
      </w:r>
    </w:p>
    <w:p w14:paraId="4B8015F7" w14:textId="77777777" w:rsidR="00441A92" w:rsidRPr="0067297E" w:rsidRDefault="00441A92" w:rsidP="00A04CC5">
      <w:pPr>
        <w:pStyle w:val="bullet"/>
        <w:rPr>
          <w:rFonts w:asciiTheme="minorHAnsi" w:hAnsiTheme="minorHAnsi"/>
        </w:rPr>
      </w:pPr>
      <w:r w:rsidRPr="0067297E">
        <w:rPr>
          <w:rFonts w:asciiTheme="minorHAnsi" w:hAnsiTheme="minorHAnsi"/>
        </w:rPr>
        <w:t>a safe and decent home which is fundamental to a</w:t>
      </w:r>
      <w:r w:rsidR="00053A00" w:rsidRPr="0067297E">
        <w:rPr>
          <w:rFonts w:asciiTheme="minorHAnsi" w:hAnsiTheme="minorHAnsi"/>
          <w:lang w:val="en-GB"/>
        </w:rPr>
        <w:t xml:space="preserve"> </w:t>
      </w:r>
      <w:r w:rsidRPr="0067297E">
        <w:rPr>
          <w:rFonts w:asciiTheme="minorHAnsi" w:hAnsiTheme="minorHAnsi"/>
        </w:rPr>
        <w:t>sense of security and our ability to get on in life;</w:t>
      </w:r>
    </w:p>
    <w:p w14:paraId="0BD77E59" w14:textId="77777777" w:rsidR="00441A92" w:rsidRPr="0067297E" w:rsidRDefault="00441A92" w:rsidP="007E2C96">
      <w:pPr>
        <w:pStyle w:val="bullet"/>
        <w:rPr>
          <w:rFonts w:asciiTheme="minorHAnsi" w:hAnsiTheme="minorHAnsi"/>
        </w:rPr>
      </w:pPr>
      <w:r w:rsidRPr="0067297E">
        <w:rPr>
          <w:rFonts w:asciiTheme="minorHAnsi" w:hAnsiTheme="minorHAnsi"/>
        </w:rPr>
        <w:t>improving and speeding up how complaints are</w:t>
      </w:r>
      <w:r w:rsidR="00053A00" w:rsidRPr="0067297E">
        <w:rPr>
          <w:rFonts w:asciiTheme="minorHAnsi" w:hAnsiTheme="minorHAnsi"/>
          <w:lang w:val="en-GB"/>
        </w:rPr>
        <w:t xml:space="preserve"> </w:t>
      </w:r>
      <w:r w:rsidRPr="0067297E">
        <w:rPr>
          <w:rFonts w:asciiTheme="minorHAnsi" w:hAnsiTheme="minorHAnsi"/>
        </w:rPr>
        <w:t>resolved;</w:t>
      </w:r>
    </w:p>
    <w:p w14:paraId="6516D919" w14:textId="77777777" w:rsidR="00441A92" w:rsidRPr="0067297E" w:rsidRDefault="00441A92" w:rsidP="00516B53">
      <w:pPr>
        <w:pStyle w:val="bullet"/>
        <w:rPr>
          <w:rFonts w:asciiTheme="minorHAnsi" w:hAnsiTheme="minorHAnsi"/>
        </w:rPr>
      </w:pPr>
      <w:r w:rsidRPr="0067297E">
        <w:rPr>
          <w:rFonts w:asciiTheme="minorHAnsi" w:hAnsiTheme="minorHAnsi"/>
        </w:rPr>
        <w:t>empowering residents and ensuring their voices are</w:t>
      </w:r>
      <w:r w:rsidR="00053A00" w:rsidRPr="0067297E">
        <w:rPr>
          <w:rFonts w:asciiTheme="minorHAnsi" w:hAnsiTheme="minorHAnsi"/>
          <w:lang w:val="en-GB"/>
        </w:rPr>
        <w:t xml:space="preserve"> </w:t>
      </w:r>
      <w:r w:rsidRPr="0067297E">
        <w:rPr>
          <w:rFonts w:asciiTheme="minorHAnsi" w:hAnsiTheme="minorHAnsi"/>
        </w:rPr>
        <w:t>heard so that landlords are held to account;</w:t>
      </w:r>
    </w:p>
    <w:p w14:paraId="389379D6" w14:textId="77777777" w:rsidR="00441A92" w:rsidRPr="0067297E" w:rsidRDefault="00053A00" w:rsidP="00516B53">
      <w:pPr>
        <w:pStyle w:val="bullet"/>
        <w:rPr>
          <w:rFonts w:asciiTheme="minorHAnsi" w:hAnsiTheme="minorHAnsi"/>
        </w:rPr>
      </w:pPr>
      <w:r w:rsidRPr="0067297E">
        <w:rPr>
          <w:rFonts w:asciiTheme="minorHAnsi" w:hAnsiTheme="minorHAnsi"/>
          <w:lang w:val="en-GB"/>
        </w:rPr>
        <w:t>t</w:t>
      </w:r>
      <w:r w:rsidR="00441A92" w:rsidRPr="0067297E">
        <w:rPr>
          <w:rFonts w:asciiTheme="minorHAnsi" w:hAnsiTheme="minorHAnsi"/>
        </w:rPr>
        <w:t>ackling stigma and celebrating thriving</w:t>
      </w:r>
      <w:r w:rsidRPr="0067297E">
        <w:rPr>
          <w:rFonts w:asciiTheme="minorHAnsi" w:hAnsiTheme="minorHAnsi"/>
          <w:lang w:val="en-GB"/>
        </w:rPr>
        <w:t xml:space="preserve"> </w:t>
      </w:r>
      <w:r w:rsidR="00441A92" w:rsidRPr="0067297E">
        <w:rPr>
          <w:rFonts w:asciiTheme="minorHAnsi" w:hAnsiTheme="minorHAnsi"/>
        </w:rPr>
        <w:t>communities, challenging the stereotypes that exist</w:t>
      </w:r>
      <w:r w:rsidRPr="0067297E">
        <w:rPr>
          <w:rFonts w:asciiTheme="minorHAnsi" w:hAnsiTheme="minorHAnsi"/>
          <w:lang w:val="en-GB"/>
        </w:rPr>
        <w:t xml:space="preserve"> </w:t>
      </w:r>
      <w:r w:rsidR="00441A92" w:rsidRPr="0067297E">
        <w:rPr>
          <w:rFonts w:asciiTheme="minorHAnsi" w:hAnsiTheme="minorHAnsi"/>
        </w:rPr>
        <w:t>about residents and their communities; and,</w:t>
      </w:r>
    </w:p>
    <w:p w14:paraId="0CB5D3D9" w14:textId="77777777" w:rsidR="00441A92" w:rsidRPr="0067297E" w:rsidRDefault="00441A92" w:rsidP="00516B53">
      <w:pPr>
        <w:pStyle w:val="bullet"/>
        <w:rPr>
          <w:rFonts w:asciiTheme="minorHAnsi" w:hAnsiTheme="minorHAnsi"/>
        </w:rPr>
      </w:pPr>
      <w:r w:rsidRPr="0067297E">
        <w:rPr>
          <w:rFonts w:asciiTheme="minorHAnsi" w:hAnsiTheme="minorHAnsi"/>
        </w:rPr>
        <w:t>building the social homes that we need and</w:t>
      </w:r>
      <w:r w:rsidR="00053A00" w:rsidRPr="0067297E">
        <w:rPr>
          <w:rFonts w:asciiTheme="minorHAnsi" w:hAnsiTheme="minorHAnsi"/>
          <w:lang w:val="en-GB"/>
        </w:rPr>
        <w:t xml:space="preserve"> </w:t>
      </w:r>
      <w:r w:rsidRPr="0067297E">
        <w:rPr>
          <w:rFonts w:asciiTheme="minorHAnsi" w:hAnsiTheme="minorHAnsi"/>
        </w:rPr>
        <w:t>ensuring that those homes can act as a springboard</w:t>
      </w:r>
      <w:r w:rsidR="00053A00" w:rsidRPr="0067297E">
        <w:rPr>
          <w:rFonts w:asciiTheme="minorHAnsi" w:hAnsiTheme="minorHAnsi"/>
          <w:lang w:val="en-GB"/>
        </w:rPr>
        <w:t xml:space="preserve"> </w:t>
      </w:r>
      <w:r w:rsidRPr="0067297E">
        <w:rPr>
          <w:rFonts w:asciiTheme="minorHAnsi" w:hAnsiTheme="minorHAnsi"/>
        </w:rPr>
        <w:t>to home ownership.</w:t>
      </w:r>
    </w:p>
    <w:p w14:paraId="368CDBC9" w14:textId="7F6C850B" w:rsidR="00535980" w:rsidRPr="0067297E" w:rsidRDefault="00DF121C" w:rsidP="002C70BC">
      <w:pPr>
        <w:pStyle w:val="Reporttext"/>
        <w:numPr>
          <w:ilvl w:val="1"/>
          <w:numId w:val="36"/>
        </w:numPr>
        <w:rPr>
          <w:rFonts w:asciiTheme="minorHAnsi" w:hAnsiTheme="minorHAnsi" w:cs="Calibri"/>
        </w:rPr>
      </w:pPr>
      <w:r w:rsidRPr="0067297E">
        <w:rPr>
          <w:rFonts w:asciiTheme="minorHAnsi" w:hAnsiTheme="minorHAnsi" w:cs="Calibri"/>
          <w:lang w:val="en-GB"/>
        </w:rPr>
        <w:t>The</w:t>
      </w:r>
      <w:r w:rsidRPr="0067297E">
        <w:rPr>
          <w:rFonts w:asciiTheme="minorHAnsi" w:hAnsiTheme="minorHAnsi"/>
          <w:lang w:val="en-GB"/>
        </w:rPr>
        <w:t xml:space="preserve"> Green Paper also recommends changes to the Housing and Planning Act 2016 – noting that the government will seek to repeal legislation relating to the forced sale of high value assets, that it recognises the significance of lifetime homes and will not compel LAs to remove this. A consultation on the use of RTB receipts and rent policy was also launched. </w:t>
      </w:r>
    </w:p>
    <w:p w14:paraId="54D89173" w14:textId="77777777" w:rsidR="00A24131" w:rsidRPr="0067297E" w:rsidRDefault="00A24131" w:rsidP="00A04CC5">
      <w:pPr>
        <w:pStyle w:val="bullet"/>
        <w:numPr>
          <w:ilvl w:val="0"/>
          <w:numId w:val="0"/>
        </w:numPr>
        <w:rPr>
          <w:rFonts w:asciiTheme="minorHAnsi" w:hAnsiTheme="minorHAnsi" w:cs="Calibri"/>
        </w:rPr>
      </w:pPr>
    </w:p>
    <w:p w14:paraId="1350C40B" w14:textId="77777777" w:rsidR="001C4FEB" w:rsidRPr="0067297E" w:rsidRDefault="001C4FEB">
      <w:pPr>
        <w:rPr>
          <w:rFonts w:asciiTheme="minorHAnsi" w:hAnsiTheme="minorHAnsi" w:cs="Calibri"/>
          <w:bCs/>
          <w:color w:val="009999"/>
          <w:kern w:val="32"/>
          <w:sz w:val="40"/>
          <w:szCs w:val="28"/>
          <w:lang w:val="x-none"/>
        </w:rPr>
      </w:pPr>
      <w:r w:rsidRPr="0067297E">
        <w:rPr>
          <w:rFonts w:asciiTheme="minorHAnsi" w:hAnsiTheme="minorHAnsi" w:cs="Calibri"/>
        </w:rPr>
        <w:br w:type="page"/>
      </w:r>
    </w:p>
    <w:p w14:paraId="1C7D969E" w14:textId="30EEAAB7" w:rsidR="00CC5CC3" w:rsidRPr="0067297E" w:rsidRDefault="00866F59" w:rsidP="00FA273F">
      <w:pPr>
        <w:pStyle w:val="Heading1"/>
        <w:numPr>
          <w:ilvl w:val="0"/>
          <w:numId w:val="0"/>
        </w:numPr>
        <w:ind w:left="709" w:hanging="709"/>
        <w:rPr>
          <w:rFonts w:asciiTheme="minorHAnsi" w:hAnsiTheme="minorHAnsi" w:cs="Calibri"/>
        </w:rPr>
      </w:pPr>
      <w:bookmarkStart w:id="502" w:name="_Toc1385798"/>
      <w:bookmarkStart w:id="503" w:name="_Toc23151115"/>
      <w:r w:rsidRPr="0067297E">
        <w:rPr>
          <w:rFonts w:asciiTheme="minorHAnsi" w:hAnsiTheme="minorHAnsi" w:cs="Calibri"/>
        </w:rPr>
        <w:t xml:space="preserve">Technical Appendix </w:t>
      </w:r>
      <w:r w:rsidR="00DF121C" w:rsidRPr="0067297E">
        <w:rPr>
          <w:rFonts w:asciiTheme="minorHAnsi" w:hAnsiTheme="minorHAnsi" w:cs="Calibri"/>
          <w:lang w:val="en-US"/>
        </w:rPr>
        <w:t>B</w:t>
      </w:r>
      <w:r w:rsidR="00CC5CC3" w:rsidRPr="0067297E">
        <w:rPr>
          <w:rFonts w:asciiTheme="minorHAnsi" w:hAnsiTheme="minorHAnsi" w:cs="Calibri"/>
        </w:rPr>
        <w:t>: Housing need calculations</w:t>
      </w:r>
      <w:bookmarkEnd w:id="481"/>
      <w:bookmarkEnd w:id="482"/>
      <w:bookmarkEnd w:id="483"/>
      <w:bookmarkEnd w:id="484"/>
      <w:bookmarkEnd w:id="485"/>
      <w:bookmarkEnd w:id="486"/>
      <w:bookmarkEnd w:id="487"/>
      <w:bookmarkEnd w:id="488"/>
      <w:bookmarkEnd w:id="502"/>
      <w:bookmarkEnd w:id="503"/>
    </w:p>
    <w:p w14:paraId="1907DCDB" w14:textId="77777777" w:rsidR="005A70B6" w:rsidRPr="0067297E" w:rsidRDefault="005A70B6" w:rsidP="00B21336">
      <w:pPr>
        <w:rPr>
          <w:rFonts w:asciiTheme="minorHAnsi" w:hAnsiTheme="minorHAnsi"/>
        </w:rPr>
      </w:pPr>
      <w:bookmarkStart w:id="504" w:name="_Toc391019040"/>
      <w:bookmarkStart w:id="505" w:name="_Toc305854607"/>
      <w:bookmarkStart w:id="506" w:name="_Toc305860962"/>
      <w:bookmarkStart w:id="507" w:name="_Toc259024899"/>
      <w:bookmarkStart w:id="508" w:name="_Toc259025711"/>
      <w:bookmarkStart w:id="509" w:name="_Toc273098596"/>
      <w:bookmarkStart w:id="510" w:name="_Toc273698066"/>
      <w:bookmarkStart w:id="511" w:name="_Toc273708398"/>
      <w:bookmarkStart w:id="512" w:name="_Toc273708399"/>
      <w:bookmarkStart w:id="513" w:name="_Toc276144657"/>
      <w:bookmarkStart w:id="514" w:name="_Toc279671524"/>
      <w:bookmarkStart w:id="515" w:name="_Toc280272468"/>
      <w:bookmarkStart w:id="516" w:name="_Toc280272469"/>
      <w:bookmarkStart w:id="517" w:name="_Toc318323498"/>
      <w:bookmarkStart w:id="518" w:name="_Toc333507798"/>
      <w:bookmarkStart w:id="519" w:name="_Toc399864480"/>
      <w:bookmarkStart w:id="520" w:name="_Toc428528528"/>
      <w:bookmarkStart w:id="521" w:name="_Toc430084621"/>
      <w:bookmarkStart w:id="522" w:name="_Toc430782061"/>
      <w:bookmarkStart w:id="523" w:name="_Toc199848568"/>
      <w:bookmarkStart w:id="524" w:name="_Toc209254591"/>
      <w:bookmarkStart w:id="525" w:name="_Toc210728255"/>
    </w:p>
    <w:p w14:paraId="5DB06C8A" w14:textId="77777777" w:rsidR="008043C3" w:rsidRPr="0067297E" w:rsidRDefault="008043C3" w:rsidP="00543A76">
      <w:pPr>
        <w:pStyle w:val="Heading2"/>
        <w:rPr>
          <w:rFonts w:asciiTheme="minorHAnsi" w:hAnsiTheme="minorHAnsi" w:cs="Arial"/>
        </w:rPr>
      </w:pPr>
      <w:bookmarkStart w:id="526" w:name="_Toc398751106"/>
      <w:bookmarkStart w:id="527" w:name="_Toc529887281"/>
      <w:bookmarkStart w:id="528" w:name="_Toc1385799"/>
      <w:bookmarkStart w:id="529" w:name="_Toc23151116"/>
      <w:r w:rsidRPr="0067297E">
        <w:rPr>
          <w:rFonts w:asciiTheme="minorHAnsi" w:hAnsiTheme="minorHAnsi" w:cs="Arial"/>
        </w:rPr>
        <w:t>Introduction</w:t>
      </w:r>
      <w:bookmarkEnd w:id="504"/>
      <w:bookmarkEnd w:id="526"/>
      <w:bookmarkEnd w:id="527"/>
      <w:bookmarkEnd w:id="528"/>
      <w:bookmarkEnd w:id="529"/>
    </w:p>
    <w:p w14:paraId="5440BFB3" w14:textId="58D4ECFF"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 xml:space="preserve">The purpose of this section is to set out the affordable housing need calculations for </w:t>
      </w:r>
      <w:r w:rsidR="00A916E6" w:rsidRPr="0067297E">
        <w:rPr>
          <w:rFonts w:asciiTheme="minorHAnsi" w:hAnsiTheme="minorHAnsi" w:cs="Arial"/>
        </w:rPr>
        <w:t xml:space="preserve">the Borough of </w:t>
      </w:r>
      <w:r w:rsidR="0004128B" w:rsidRPr="0067297E">
        <w:rPr>
          <w:rFonts w:asciiTheme="minorHAnsi" w:hAnsiTheme="minorHAnsi" w:cs="Arial"/>
          <w:lang w:val="en-GB"/>
        </w:rPr>
        <w:t>Lewisham</w:t>
      </w:r>
      <w:r w:rsidR="00A916E6" w:rsidRPr="0067297E">
        <w:rPr>
          <w:rFonts w:asciiTheme="minorHAnsi" w:hAnsiTheme="minorHAnsi" w:cs="Arial"/>
          <w:lang w:val="en-GB"/>
        </w:rPr>
        <w:t xml:space="preserve"> using the framework for analysis established in the 201</w:t>
      </w:r>
      <w:r w:rsidR="00E3486D">
        <w:rPr>
          <w:rFonts w:asciiTheme="minorHAnsi" w:hAnsiTheme="minorHAnsi" w:cs="Arial"/>
          <w:lang w:val="en-GB"/>
        </w:rPr>
        <w:t>9</w:t>
      </w:r>
      <w:r w:rsidR="00A916E6" w:rsidRPr="0067297E">
        <w:rPr>
          <w:rFonts w:asciiTheme="minorHAnsi" w:hAnsiTheme="minorHAnsi" w:cs="Arial"/>
          <w:lang w:val="en-GB"/>
        </w:rPr>
        <w:t xml:space="preserve"> PPG</w:t>
      </w:r>
      <w:r w:rsidR="00A916E6" w:rsidRPr="0067297E">
        <w:rPr>
          <w:rFonts w:asciiTheme="minorHAnsi" w:hAnsiTheme="minorHAnsi" w:cs="Arial"/>
        </w:rPr>
        <w:t>.</w:t>
      </w:r>
    </w:p>
    <w:p w14:paraId="53072080" w14:textId="0F26BC7B" w:rsidR="00A916E6" w:rsidRPr="0067297E" w:rsidRDefault="00A916E6" w:rsidP="002C70BC">
      <w:pPr>
        <w:pStyle w:val="Maintext"/>
        <w:numPr>
          <w:ilvl w:val="1"/>
          <w:numId w:val="37"/>
        </w:numPr>
        <w:rPr>
          <w:rFonts w:asciiTheme="minorHAnsi" w:hAnsiTheme="minorHAnsi" w:cs="Arial"/>
        </w:rPr>
      </w:pPr>
      <w:r w:rsidRPr="0067297E">
        <w:rPr>
          <w:rFonts w:asciiTheme="minorHAnsi" w:hAnsiTheme="minorHAnsi" w:cs="Arial"/>
        </w:rPr>
        <w:t>All households whose needs are not met by the market can be considered (to be) in affordable housing need</w:t>
      </w:r>
      <w:r w:rsidRPr="0067297E">
        <w:rPr>
          <w:rStyle w:val="FootnoteReference"/>
          <w:rFonts w:asciiTheme="minorHAnsi" w:hAnsiTheme="minorHAnsi" w:cs="Arial"/>
        </w:rPr>
        <w:footnoteReference w:id="60"/>
      </w:r>
      <w:r w:rsidRPr="0067297E">
        <w:rPr>
          <w:rFonts w:asciiTheme="minorHAnsi" w:hAnsiTheme="minorHAnsi" w:cs="Arial"/>
        </w:rPr>
        <w:t>. PPG 201</w:t>
      </w:r>
      <w:r w:rsidR="00731F33">
        <w:rPr>
          <w:rFonts w:asciiTheme="minorHAnsi" w:hAnsiTheme="minorHAnsi" w:cs="Arial"/>
          <w:lang w:val="en-US"/>
        </w:rPr>
        <w:t>9</w:t>
      </w:r>
      <w:r w:rsidRPr="0067297E">
        <w:rPr>
          <w:rFonts w:asciiTheme="minorHAnsi" w:hAnsiTheme="minorHAnsi" w:cs="Arial"/>
        </w:rPr>
        <w:t xml:space="preserve"> then considers how affordable housing need should be calculated:</w:t>
      </w:r>
    </w:p>
    <w:p w14:paraId="5376AC9C" w14:textId="514D056E" w:rsidR="008043C3" w:rsidRPr="0067297E" w:rsidRDefault="00A916E6" w:rsidP="00543A76">
      <w:pPr>
        <w:pStyle w:val="Maintext"/>
        <w:numPr>
          <w:ilvl w:val="0"/>
          <w:numId w:val="0"/>
        </w:numPr>
        <w:ind w:left="709"/>
        <w:rPr>
          <w:rFonts w:asciiTheme="minorHAnsi" w:hAnsiTheme="minorHAnsi" w:cs="Arial"/>
          <w:i/>
        </w:rPr>
      </w:pPr>
      <w:r w:rsidRPr="0067297E">
        <w:rPr>
          <w:rFonts w:asciiTheme="minorHAnsi" w:hAnsiTheme="minorHAnsi" w:cs="Arial"/>
          <w:i/>
        </w:rPr>
        <w:t>‘Strategic policy-makers</w:t>
      </w:r>
      <w:r w:rsidR="008043C3" w:rsidRPr="0067297E">
        <w:rPr>
          <w:rFonts w:asciiTheme="minorHAnsi" w:hAnsiTheme="minorHAnsi" w:cs="Arial"/>
          <w:i/>
        </w:rPr>
        <w:t xml:space="preserve"> will need to estimate the </w:t>
      </w:r>
      <w:r w:rsidR="005B2517" w:rsidRPr="0067297E">
        <w:rPr>
          <w:rFonts w:asciiTheme="minorHAnsi" w:hAnsiTheme="minorHAnsi" w:cs="Arial"/>
          <w:i/>
        </w:rPr>
        <w:t>current</w:t>
      </w:r>
      <w:r w:rsidRPr="0067297E">
        <w:rPr>
          <w:rFonts w:asciiTheme="minorHAnsi" w:hAnsiTheme="minorHAnsi" w:cs="Arial"/>
          <w:i/>
        </w:rPr>
        <w:t xml:space="preserve"> </w:t>
      </w:r>
      <w:r w:rsidR="008043C3" w:rsidRPr="0067297E">
        <w:rPr>
          <w:rFonts w:asciiTheme="minorHAnsi" w:hAnsiTheme="minorHAnsi" w:cs="Arial"/>
          <w:i/>
        </w:rPr>
        <w:t>number of household</w:t>
      </w:r>
      <w:r w:rsidRPr="0067297E">
        <w:rPr>
          <w:rFonts w:asciiTheme="minorHAnsi" w:hAnsiTheme="minorHAnsi" w:cs="Arial"/>
          <w:i/>
        </w:rPr>
        <w:t>s</w:t>
      </w:r>
      <w:r w:rsidR="008043C3" w:rsidRPr="0067297E">
        <w:rPr>
          <w:rFonts w:asciiTheme="minorHAnsi" w:hAnsiTheme="minorHAnsi" w:cs="Arial"/>
          <w:i/>
        </w:rPr>
        <w:t xml:space="preserve"> and projected </w:t>
      </w:r>
      <w:r w:rsidRPr="0067297E">
        <w:rPr>
          <w:rFonts w:asciiTheme="minorHAnsi" w:hAnsiTheme="minorHAnsi" w:cs="Arial"/>
          <w:i/>
        </w:rPr>
        <w:t xml:space="preserve">number of </w:t>
      </w:r>
      <w:r w:rsidR="008043C3" w:rsidRPr="0067297E">
        <w:rPr>
          <w:rFonts w:asciiTheme="minorHAnsi" w:hAnsiTheme="minorHAnsi" w:cs="Arial"/>
          <w:i/>
        </w:rPr>
        <w:t>households who lack their own housing or who cannot afford to meet their housing needs in the market. This should involve working with colleagues in their relevant authority (e.g. housing, health and social care departments).</w:t>
      </w:r>
      <w:r w:rsidRPr="0067297E">
        <w:rPr>
          <w:rFonts w:asciiTheme="minorHAnsi" w:hAnsiTheme="minorHAnsi" w:cs="Arial"/>
          <w:i/>
        </w:rPr>
        <w:t>’</w:t>
      </w:r>
      <w:r w:rsidRPr="0067297E">
        <w:rPr>
          <w:rStyle w:val="FootnoteReference"/>
          <w:rFonts w:asciiTheme="minorHAnsi" w:hAnsiTheme="minorHAnsi" w:cs="Arial"/>
          <w:i/>
        </w:rPr>
        <w:footnoteReference w:id="61"/>
      </w:r>
    </w:p>
    <w:p w14:paraId="0AC8BBE9" w14:textId="315824AC"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 xml:space="preserve">Housing </w:t>
      </w:r>
      <w:r w:rsidR="00793E74" w:rsidRPr="0067297E">
        <w:rPr>
          <w:rFonts w:asciiTheme="minorHAnsi" w:hAnsiTheme="minorHAnsi" w:cs="Arial"/>
          <w:lang w:val="en-GB"/>
        </w:rPr>
        <w:t>r</w:t>
      </w:r>
      <w:r w:rsidRPr="0067297E">
        <w:rPr>
          <w:rFonts w:asciiTheme="minorHAnsi" w:hAnsiTheme="minorHAnsi" w:cs="Arial"/>
        </w:rPr>
        <w:t xml:space="preserve">egister data and data on affordable housing lettings provides an appropriate source of data from which a robust assessment of need can be calculated. </w:t>
      </w:r>
    </w:p>
    <w:p w14:paraId="51DD87F3" w14:textId="2743A186"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 xml:space="preserve">Housing needs analysis and affordable housing modelling has been prepared in accordance with PPG guidance at the </w:t>
      </w:r>
      <w:r w:rsidR="00A916E6" w:rsidRPr="0067297E">
        <w:rPr>
          <w:rFonts w:asciiTheme="minorHAnsi" w:hAnsiTheme="minorHAnsi" w:cs="Arial"/>
        </w:rPr>
        <w:t>borough</w:t>
      </w:r>
      <w:r w:rsidR="00AC4B34" w:rsidRPr="0067297E">
        <w:rPr>
          <w:rFonts w:asciiTheme="minorHAnsi" w:hAnsiTheme="minorHAnsi" w:cs="Arial"/>
          <w:lang w:val="en-GB"/>
        </w:rPr>
        <w:t xml:space="preserve"> </w:t>
      </w:r>
      <w:r w:rsidR="00A916E6" w:rsidRPr="0067297E">
        <w:rPr>
          <w:rFonts w:asciiTheme="minorHAnsi" w:hAnsiTheme="minorHAnsi" w:cs="Arial"/>
        </w:rPr>
        <w:t>and ward</w:t>
      </w:r>
      <w:r w:rsidRPr="0067297E">
        <w:rPr>
          <w:rFonts w:asciiTheme="minorHAnsi" w:hAnsiTheme="minorHAnsi" w:cs="Arial"/>
        </w:rPr>
        <w:t xml:space="preserve"> level. In summary, the model reviews in a step-wise process:</w:t>
      </w:r>
    </w:p>
    <w:p w14:paraId="3AB558DC" w14:textId="3FC37FD1" w:rsidR="008043C3" w:rsidRPr="0067297E" w:rsidRDefault="008043C3" w:rsidP="006C722F">
      <w:pPr>
        <w:ind w:left="720"/>
        <w:rPr>
          <w:rFonts w:asciiTheme="minorHAnsi" w:hAnsiTheme="minorHAnsi" w:cs="Arial"/>
          <w:iCs/>
        </w:rPr>
      </w:pPr>
      <w:r w:rsidRPr="0067297E">
        <w:rPr>
          <w:rFonts w:asciiTheme="minorHAnsi" w:hAnsiTheme="minorHAnsi" w:cs="Arial"/>
          <w:iCs/>
        </w:rPr>
        <w:t xml:space="preserve">Stage 1: </w:t>
      </w:r>
      <w:r w:rsidRPr="0067297E">
        <w:rPr>
          <w:rFonts w:asciiTheme="minorHAnsi" w:hAnsiTheme="minorHAnsi" w:cs="Arial"/>
          <w:iCs/>
        </w:rPr>
        <w:tab/>
        <w:t xml:space="preserve">Current </w:t>
      </w:r>
      <w:r w:rsidR="00DF121C" w:rsidRPr="0067297E">
        <w:rPr>
          <w:rFonts w:asciiTheme="minorHAnsi" w:hAnsiTheme="minorHAnsi" w:cs="Arial"/>
          <w:iCs/>
        </w:rPr>
        <w:t xml:space="preserve">need </w:t>
      </w:r>
    </w:p>
    <w:p w14:paraId="5A1EB2C2" w14:textId="3FBA7431" w:rsidR="008043C3" w:rsidRPr="0067297E" w:rsidRDefault="008043C3" w:rsidP="006C722F">
      <w:pPr>
        <w:ind w:firstLine="720"/>
        <w:rPr>
          <w:rFonts w:asciiTheme="minorHAnsi" w:hAnsiTheme="minorHAnsi" w:cs="Arial"/>
          <w:iCs/>
        </w:rPr>
      </w:pPr>
      <w:r w:rsidRPr="0067297E">
        <w:rPr>
          <w:rFonts w:asciiTheme="minorHAnsi" w:hAnsiTheme="minorHAnsi" w:cs="Arial"/>
          <w:iCs/>
        </w:rPr>
        <w:t>Stage 2:</w:t>
      </w:r>
      <w:r w:rsidRPr="0067297E">
        <w:rPr>
          <w:rFonts w:asciiTheme="minorHAnsi" w:hAnsiTheme="minorHAnsi" w:cs="Arial"/>
          <w:iCs/>
        </w:rPr>
        <w:tab/>
      </w:r>
      <w:r w:rsidR="005B2517" w:rsidRPr="0067297E">
        <w:rPr>
          <w:rFonts w:asciiTheme="minorHAnsi" w:hAnsiTheme="minorHAnsi" w:cs="Arial"/>
          <w:iCs/>
        </w:rPr>
        <w:t>Future</w:t>
      </w:r>
      <w:r w:rsidR="00DF121C" w:rsidRPr="0067297E">
        <w:rPr>
          <w:rFonts w:asciiTheme="minorHAnsi" w:hAnsiTheme="minorHAnsi" w:cs="Arial"/>
          <w:iCs/>
        </w:rPr>
        <w:t xml:space="preserve"> need</w:t>
      </w:r>
    </w:p>
    <w:p w14:paraId="66BC9736" w14:textId="2CCB7E8B" w:rsidR="008043C3" w:rsidRPr="0067297E" w:rsidRDefault="008043C3" w:rsidP="00944242">
      <w:pPr>
        <w:ind w:left="720"/>
        <w:rPr>
          <w:rFonts w:asciiTheme="minorHAnsi" w:hAnsiTheme="minorHAnsi" w:cs="Arial"/>
          <w:iCs/>
        </w:rPr>
      </w:pPr>
      <w:r w:rsidRPr="0067297E">
        <w:rPr>
          <w:rFonts w:asciiTheme="minorHAnsi" w:hAnsiTheme="minorHAnsi" w:cs="Arial"/>
          <w:iCs/>
        </w:rPr>
        <w:t>Stage 3:</w:t>
      </w:r>
      <w:r w:rsidRPr="0067297E">
        <w:rPr>
          <w:rFonts w:asciiTheme="minorHAnsi" w:hAnsiTheme="minorHAnsi" w:cs="Arial"/>
          <w:iCs/>
        </w:rPr>
        <w:tab/>
      </w:r>
      <w:r w:rsidR="00DF121C" w:rsidRPr="0067297E">
        <w:rPr>
          <w:rFonts w:asciiTheme="minorHAnsi" w:hAnsiTheme="minorHAnsi" w:cs="Arial"/>
          <w:iCs/>
        </w:rPr>
        <w:t>Affordable</w:t>
      </w:r>
      <w:r w:rsidRPr="0067297E">
        <w:rPr>
          <w:rFonts w:asciiTheme="minorHAnsi" w:hAnsiTheme="minorHAnsi" w:cs="Arial"/>
          <w:iCs/>
        </w:rPr>
        <w:t xml:space="preserve"> housing supply</w:t>
      </w:r>
    </w:p>
    <w:p w14:paraId="6C01F18B" w14:textId="15C266C7" w:rsidR="008043C3" w:rsidRPr="0067297E" w:rsidRDefault="008043C3" w:rsidP="00944242">
      <w:pPr>
        <w:ind w:left="720"/>
        <w:rPr>
          <w:rFonts w:asciiTheme="minorHAnsi" w:hAnsiTheme="minorHAnsi" w:cs="Arial"/>
        </w:rPr>
      </w:pPr>
      <w:r w:rsidRPr="0067297E">
        <w:rPr>
          <w:rFonts w:asciiTheme="minorHAnsi" w:hAnsiTheme="minorHAnsi" w:cs="Arial"/>
        </w:rPr>
        <w:t>Stage 4:</w:t>
      </w:r>
      <w:r w:rsidRPr="0067297E">
        <w:rPr>
          <w:rFonts w:asciiTheme="minorHAnsi" w:hAnsiTheme="minorHAnsi" w:cs="Arial"/>
        </w:rPr>
        <w:tab/>
      </w:r>
      <w:r w:rsidR="00DF121C" w:rsidRPr="0067297E">
        <w:rPr>
          <w:rFonts w:asciiTheme="minorHAnsi" w:hAnsiTheme="minorHAnsi" w:cs="Arial"/>
        </w:rPr>
        <w:t>Estimate of annual housing need</w:t>
      </w:r>
    </w:p>
    <w:p w14:paraId="219C5629" w14:textId="144CE65D" w:rsidR="008043C3" w:rsidRPr="0067297E" w:rsidRDefault="00255B16" w:rsidP="002C70BC">
      <w:pPr>
        <w:pStyle w:val="Maintext"/>
        <w:numPr>
          <w:ilvl w:val="1"/>
          <w:numId w:val="37"/>
        </w:numPr>
        <w:rPr>
          <w:rFonts w:asciiTheme="minorHAnsi" w:hAnsiTheme="minorHAnsi" w:cs="Arial"/>
        </w:rPr>
      </w:pPr>
      <w:r w:rsidRPr="0067297E">
        <w:rPr>
          <w:rFonts w:asciiTheme="minorHAnsi" w:hAnsiTheme="minorHAnsi" w:cs="Arial"/>
        </w:rPr>
        <w:t>Table B</w:t>
      </w:r>
      <w:r w:rsidR="008043C3" w:rsidRPr="0067297E">
        <w:rPr>
          <w:rFonts w:asciiTheme="minorHAnsi" w:hAnsiTheme="minorHAnsi" w:cs="Arial"/>
        </w:rPr>
        <w:t>1 provides an overall summary of needs analysis and a description of each stage of the model is then presented.</w:t>
      </w:r>
    </w:p>
    <w:p w14:paraId="5AB9D836" w14:textId="77777777" w:rsidR="008043C3" w:rsidRPr="0067297E" w:rsidRDefault="008043C3" w:rsidP="00C12BC3">
      <w:pPr>
        <w:rPr>
          <w:rFonts w:asciiTheme="minorHAnsi" w:hAnsiTheme="minorHAnsi"/>
        </w:rPr>
      </w:pPr>
    </w:p>
    <w:p w14:paraId="26A87380" w14:textId="77777777" w:rsidR="008043C3" w:rsidRPr="0067297E" w:rsidRDefault="00B53B3A">
      <w:pPr>
        <w:rPr>
          <w:rFonts w:asciiTheme="minorHAnsi" w:hAnsiTheme="minorHAnsi"/>
        </w:rPr>
      </w:pPr>
      <w:r w:rsidRPr="0067297E">
        <w:rPr>
          <w:rFonts w:asciiTheme="minorHAnsi" w:hAnsiTheme="minorHAnsi"/>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76"/>
        <w:gridCol w:w="3954"/>
        <w:gridCol w:w="2736"/>
        <w:gridCol w:w="1816"/>
      </w:tblGrid>
      <w:tr w:rsidR="008043C3" w:rsidRPr="0067297E" w14:paraId="4B3BAE0E" w14:textId="77777777" w:rsidTr="00426BD8">
        <w:trPr>
          <w:tblHeader/>
        </w:trPr>
        <w:tc>
          <w:tcPr>
            <w:tcW w:w="5000" w:type="pct"/>
            <w:gridSpan w:val="4"/>
            <w:shd w:val="clear" w:color="auto" w:fill="009999"/>
            <w:noWrap/>
            <w:vAlign w:val="bottom"/>
          </w:tcPr>
          <w:p w14:paraId="36112816" w14:textId="652E34DB" w:rsidR="008043C3" w:rsidRPr="0067297E" w:rsidRDefault="00255B16" w:rsidP="00FA273F">
            <w:pPr>
              <w:pStyle w:val="tableheading"/>
              <w:rPr>
                <w:rFonts w:asciiTheme="minorHAnsi" w:hAnsiTheme="minorHAnsi"/>
                <w:color w:val="FFFFFF"/>
              </w:rPr>
            </w:pPr>
            <w:bookmarkStart w:id="530" w:name="_Toc517185843"/>
            <w:bookmarkStart w:id="531" w:name="_Toc23151202"/>
            <w:r w:rsidRPr="0067297E">
              <w:rPr>
                <w:rFonts w:asciiTheme="minorHAnsi" w:hAnsiTheme="minorHAnsi"/>
              </w:rPr>
              <w:t>Table B</w:t>
            </w:r>
            <w:r w:rsidR="00B53B3A" w:rsidRPr="0067297E">
              <w:rPr>
                <w:rFonts w:asciiTheme="minorHAnsi" w:hAnsiTheme="minorHAnsi"/>
              </w:rPr>
              <w:t>1</w:t>
            </w:r>
            <w:r w:rsidR="008043C3" w:rsidRPr="0067297E">
              <w:rPr>
                <w:rFonts w:asciiTheme="minorHAnsi" w:hAnsiTheme="minorHAnsi"/>
              </w:rPr>
              <w:tab/>
              <w:t xml:space="preserve">CLG Needs Assessment Summary for </w:t>
            </w:r>
            <w:bookmarkEnd w:id="530"/>
            <w:r w:rsidR="00B53B3A" w:rsidRPr="0067297E">
              <w:rPr>
                <w:rFonts w:asciiTheme="minorHAnsi" w:hAnsiTheme="minorHAnsi"/>
              </w:rPr>
              <w:t>Lewisham</w:t>
            </w:r>
            <w:bookmarkEnd w:id="531"/>
          </w:p>
        </w:tc>
      </w:tr>
      <w:tr w:rsidR="008043C3" w:rsidRPr="0067297E" w14:paraId="6C3D17EA" w14:textId="77777777" w:rsidTr="00FD02D8">
        <w:tc>
          <w:tcPr>
            <w:tcW w:w="368" w:type="pct"/>
            <w:shd w:val="clear" w:color="auto" w:fill="009999"/>
            <w:noWrap/>
            <w:vAlign w:val="bottom"/>
            <w:hideMark/>
          </w:tcPr>
          <w:p w14:paraId="4B9135AA" w14:textId="77777777" w:rsidR="008043C3" w:rsidRPr="0067297E" w:rsidRDefault="008043C3" w:rsidP="00FA273F">
            <w:pPr>
              <w:spacing w:beforeLines="20" w:before="48" w:afterLines="20" w:after="48"/>
              <w:rPr>
                <w:rFonts w:asciiTheme="minorHAnsi" w:hAnsiTheme="minorHAnsi" w:cs="Arial"/>
                <w:b/>
                <w:bCs/>
                <w:color w:val="FFFFFF"/>
                <w:sz w:val="22"/>
                <w:szCs w:val="20"/>
              </w:rPr>
            </w:pPr>
            <w:r w:rsidRPr="0067297E">
              <w:rPr>
                <w:rFonts w:asciiTheme="minorHAnsi" w:hAnsiTheme="minorHAnsi" w:cs="Arial"/>
                <w:b/>
                <w:bCs/>
                <w:color w:val="FFFFFF"/>
                <w:sz w:val="22"/>
                <w:szCs w:val="20"/>
              </w:rPr>
              <w:t>Step</w:t>
            </w:r>
          </w:p>
        </w:tc>
        <w:tc>
          <w:tcPr>
            <w:tcW w:w="2153" w:type="pct"/>
            <w:shd w:val="clear" w:color="auto" w:fill="009999"/>
            <w:noWrap/>
            <w:vAlign w:val="bottom"/>
            <w:hideMark/>
          </w:tcPr>
          <w:p w14:paraId="1CC487C9" w14:textId="77777777" w:rsidR="008043C3" w:rsidRPr="0067297E" w:rsidRDefault="008043C3" w:rsidP="00FA273F">
            <w:pPr>
              <w:spacing w:beforeLines="20" w:before="48" w:afterLines="20" w:after="48"/>
              <w:rPr>
                <w:rFonts w:asciiTheme="minorHAnsi" w:hAnsiTheme="minorHAnsi" w:cs="Arial"/>
                <w:b/>
                <w:bCs/>
                <w:color w:val="FFFFFF"/>
                <w:sz w:val="22"/>
                <w:szCs w:val="20"/>
              </w:rPr>
            </w:pPr>
            <w:r w:rsidRPr="0067297E">
              <w:rPr>
                <w:rFonts w:asciiTheme="minorHAnsi" w:hAnsiTheme="minorHAnsi" w:cs="Arial"/>
                <w:b/>
                <w:bCs/>
                <w:color w:val="FFFFFF"/>
                <w:sz w:val="22"/>
                <w:szCs w:val="20"/>
              </w:rPr>
              <w:t>Stage and Step description</w:t>
            </w:r>
          </w:p>
        </w:tc>
        <w:tc>
          <w:tcPr>
            <w:tcW w:w="1490" w:type="pct"/>
            <w:shd w:val="clear" w:color="auto" w:fill="009999"/>
            <w:noWrap/>
            <w:vAlign w:val="bottom"/>
            <w:hideMark/>
          </w:tcPr>
          <w:p w14:paraId="3A99F95F" w14:textId="77777777" w:rsidR="008043C3" w:rsidRPr="0067297E" w:rsidRDefault="008043C3" w:rsidP="00FA273F">
            <w:pPr>
              <w:spacing w:beforeLines="20" w:before="48" w:afterLines="20" w:after="48"/>
              <w:jc w:val="center"/>
              <w:rPr>
                <w:rFonts w:asciiTheme="minorHAnsi" w:hAnsiTheme="minorHAnsi" w:cs="Arial"/>
                <w:b/>
                <w:bCs/>
                <w:color w:val="FFFFFF"/>
                <w:sz w:val="22"/>
                <w:szCs w:val="20"/>
              </w:rPr>
            </w:pPr>
            <w:r w:rsidRPr="0067297E">
              <w:rPr>
                <w:rFonts w:asciiTheme="minorHAnsi" w:hAnsiTheme="minorHAnsi" w:cs="Arial"/>
                <w:b/>
                <w:bCs/>
                <w:color w:val="FFFFFF"/>
                <w:sz w:val="22"/>
                <w:szCs w:val="20"/>
              </w:rPr>
              <w:t>Calculation</w:t>
            </w:r>
          </w:p>
        </w:tc>
        <w:tc>
          <w:tcPr>
            <w:tcW w:w="989" w:type="pct"/>
            <w:shd w:val="clear" w:color="auto" w:fill="009999"/>
            <w:vAlign w:val="bottom"/>
            <w:hideMark/>
          </w:tcPr>
          <w:p w14:paraId="400072B3" w14:textId="77777777" w:rsidR="008043C3" w:rsidRPr="0067297E" w:rsidRDefault="00B53B3A" w:rsidP="00FA273F">
            <w:pPr>
              <w:spacing w:beforeLines="20" w:before="48" w:afterLines="20" w:after="48"/>
              <w:jc w:val="center"/>
              <w:rPr>
                <w:rFonts w:asciiTheme="minorHAnsi" w:hAnsiTheme="minorHAnsi" w:cs="Arial"/>
                <w:b/>
                <w:bCs/>
                <w:color w:val="FFFFFF"/>
                <w:sz w:val="22"/>
                <w:szCs w:val="20"/>
              </w:rPr>
            </w:pPr>
            <w:r w:rsidRPr="0067297E">
              <w:rPr>
                <w:rFonts w:asciiTheme="minorHAnsi" w:hAnsiTheme="minorHAnsi" w:cs="Arial"/>
                <w:b/>
                <w:bCs/>
                <w:color w:val="FFFFFF"/>
                <w:sz w:val="22"/>
                <w:szCs w:val="20"/>
              </w:rPr>
              <w:t>Lewisham</w:t>
            </w:r>
            <w:r w:rsidR="008043C3" w:rsidRPr="0067297E">
              <w:rPr>
                <w:rFonts w:asciiTheme="minorHAnsi" w:hAnsiTheme="minorHAnsi" w:cs="Arial"/>
                <w:b/>
                <w:bCs/>
                <w:color w:val="FFFFFF"/>
                <w:sz w:val="22"/>
                <w:szCs w:val="20"/>
              </w:rPr>
              <w:t xml:space="preserve"> Total</w:t>
            </w:r>
          </w:p>
        </w:tc>
      </w:tr>
      <w:tr w:rsidR="008043C3" w:rsidRPr="0067297E" w14:paraId="592931A6" w14:textId="77777777" w:rsidTr="008043C3">
        <w:tc>
          <w:tcPr>
            <w:tcW w:w="5000" w:type="pct"/>
            <w:gridSpan w:val="4"/>
            <w:shd w:val="clear" w:color="auto" w:fill="auto"/>
            <w:noWrap/>
            <w:vAlign w:val="bottom"/>
            <w:hideMark/>
          </w:tcPr>
          <w:p w14:paraId="7ECB5282" w14:textId="77777777" w:rsidR="008043C3" w:rsidRPr="0067297E" w:rsidRDefault="008043C3" w:rsidP="00FA273F">
            <w:pPr>
              <w:spacing w:beforeLines="20" w:before="48" w:afterLines="20" w:after="48"/>
              <w:rPr>
                <w:rFonts w:asciiTheme="minorHAnsi" w:hAnsiTheme="minorHAnsi" w:cs="Arial"/>
                <w:b/>
                <w:bCs/>
                <w:sz w:val="22"/>
                <w:szCs w:val="20"/>
              </w:rPr>
            </w:pPr>
            <w:r w:rsidRPr="0067297E">
              <w:rPr>
                <w:rFonts w:asciiTheme="minorHAnsi" w:hAnsiTheme="minorHAnsi" w:cs="Arial"/>
                <w:b/>
                <w:bCs/>
                <w:color w:val="FFFFFF"/>
                <w:sz w:val="22"/>
                <w:szCs w:val="20"/>
              </w:rPr>
              <w:t> </w:t>
            </w:r>
            <w:r w:rsidRPr="0067297E">
              <w:rPr>
                <w:rFonts w:asciiTheme="minorHAnsi" w:hAnsiTheme="minorHAnsi" w:cs="Arial"/>
                <w:b/>
                <w:bCs/>
                <w:sz w:val="22"/>
                <w:szCs w:val="20"/>
              </w:rPr>
              <w:t>Stage1: CURRENT NEED</w:t>
            </w:r>
          </w:p>
        </w:tc>
      </w:tr>
      <w:tr w:rsidR="008043C3" w:rsidRPr="0067297E" w14:paraId="337DDBE9" w14:textId="77777777" w:rsidTr="00FD02D8">
        <w:tc>
          <w:tcPr>
            <w:tcW w:w="368" w:type="pct"/>
            <w:shd w:val="clear" w:color="auto" w:fill="auto"/>
            <w:noWrap/>
            <w:vAlign w:val="center"/>
          </w:tcPr>
          <w:p w14:paraId="1C6280DA" w14:textId="77777777" w:rsidR="008043C3" w:rsidRPr="0067297E" w:rsidRDefault="008043C3" w:rsidP="00FA273F">
            <w:pPr>
              <w:spacing w:beforeLines="20" w:before="48" w:afterLines="20" w:after="48"/>
              <w:jc w:val="center"/>
              <w:rPr>
                <w:rFonts w:asciiTheme="minorHAnsi" w:hAnsiTheme="minorHAnsi" w:cs="Arial"/>
                <w:b/>
                <w:sz w:val="20"/>
                <w:szCs w:val="20"/>
              </w:rPr>
            </w:pPr>
            <w:r w:rsidRPr="0067297E">
              <w:rPr>
                <w:rFonts w:asciiTheme="minorHAnsi" w:hAnsiTheme="minorHAnsi" w:cs="Arial"/>
                <w:b/>
                <w:sz w:val="20"/>
                <w:szCs w:val="20"/>
              </w:rPr>
              <w:t>1.1</w:t>
            </w:r>
          </w:p>
        </w:tc>
        <w:tc>
          <w:tcPr>
            <w:tcW w:w="2153" w:type="pct"/>
            <w:shd w:val="clear" w:color="auto" w:fill="auto"/>
            <w:vAlign w:val="center"/>
          </w:tcPr>
          <w:p w14:paraId="09F5F2FB" w14:textId="77777777" w:rsidR="008043C3" w:rsidRPr="0067297E" w:rsidRDefault="008043C3" w:rsidP="00B21336">
            <w:pPr>
              <w:spacing w:beforeLines="20" w:before="48" w:afterLines="20" w:after="48"/>
              <w:rPr>
                <w:rFonts w:asciiTheme="minorHAnsi" w:hAnsiTheme="minorHAnsi" w:cs="Arial"/>
                <w:b/>
                <w:sz w:val="20"/>
                <w:szCs w:val="20"/>
              </w:rPr>
            </w:pPr>
            <w:r w:rsidRPr="0067297E">
              <w:rPr>
                <w:rFonts w:asciiTheme="minorHAnsi" w:hAnsiTheme="minorHAnsi" w:cs="Arial"/>
                <w:b/>
                <w:sz w:val="20"/>
                <w:szCs w:val="20"/>
              </w:rPr>
              <w:t xml:space="preserve">TOTAL in need and </w:t>
            </w:r>
            <w:r w:rsidR="00B53B3A" w:rsidRPr="0067297E">
              <w:rPr>
                <w:rFonts w:asciiTheme="minorHAnsi" w:hAnsiTheme="minorHAnsi" w:cs="Arial"/>
                <w:b/>
                <w:sz w:val="20"/>
                <w:szCs w:val="20"/>
              </w:rPr>
              <w:t xml:space="preserve">cannot afford open market </w:t>
            </w:r>
            <w:r w:rsidRPr="0067297E">
              <w:rPr>
                <w:rFonts w:asciiTheme="minorHAnsi" w:hAnsiTheme="minorHAnsi" w:cs="Arial"/>
                <w:b/>
                <w:sz w:val="20"/>
                <w:szCs w:val="20"/>
              </w:rPr>
              <w:t xml:space="preserve">(buying or renting) </w:t>
            </w:r>
          </w:p>
        </w:tc>
        <w:tc>
          <w:tcPr>
            <w:tcW w:w="1490" w:type="pct"/>
            <w:shd w:val="clear" w:color="auto" w:fill="auto"/>
            <w:vAlign w:val="center"/>
          </w:tcPr>
          <w:p w14:paraId="3B773B1C" w14:textId="77777777" w:rsidR="008043C3" w:rsidRPr="0067297E" w:rsidRDefault="008043C3" w:rsidP="00FA273F">
            <w:pPr>
              <w:spacing w:beforeLines="20" w:before="48" w:afterLines="20" w:after="48"/>
              <w:rPr>
                <w:rFonts w:asciiTheme="minorHAnsi" w:hAnsiTheme="minorHAnsi" w:cs="Arial"/>
                <w:b/>
                <w:sz w:val="20"/>
                <w:szCs w:val="20"/>
              </w:rPr>
            </w:pPr>
            <w:r w:rsidRPr="0067297E">
              <w:rPr>
                <w:rFonts w:asciiTheme="minorHAnsi" w:hAnsiTheme="minorHAnsi" w:cs="Arial"/>
                <w:b/>
                <w:sz w:val="20"/>
                <w:szCs w:val="20"/>
              </w:rPr>
              <w:t>Total</w:t>
            </w:r>
          </w:p>
        </w:tc>
        <w:tc>
          <w:tcPr>
            <w:tcW w:w="989" w:type="pct"/>
            <w:shd w:val="clear" w:color="auto" w:fill="auto"/>
            <w:noWrap/>
            <w:vAlign w:val="center"/>
          </w:tcPr>
          <w:p w14:paraId="6823764A" w14:textId="33C0C89D" w:rsidR="008043C3" w:rsidRPr="0067297E" w:rsidRDefault="004B7836" w:rsidP="00FA273F">
            <w:pPr>
              <w:spacing w:beforeLines="20" w:before="48" w:afterLines="20" w:after="48"/>
              <w:jc w:val="center"/>
              <w:rPr>
                <w:rFonts w:asciiTheme="minorHAnsi" w:hAnsiTheme="minorHAnsi" w:cs="Arial"/>
                <w:b/>
                <w:bCs/>
                <w:sz w:val="20"/>
                <w:szCs w:val="20"/>
              </w:rPr>
            </w:pPr>
            <w:r w:rsidRPr="0067297E">
              <w:rPr>
                <w:rFonts w:asciiTheme="minorHAnsi" w:hAnsiTheme="minorHAnsi" w:cs="Arial"/>
                <w:b/>
                <w:bCs/>
                <w:sz w:val="20"/>
                <w:szCs w:val="20"/>
              </w:rPr>
              <w:t>9,</w:t>
            </w:r>
            <w:r w:rsidR="00255B16" w:rsidRPr="0067297E">
              <w:rPr>
                <w:rFonts w:asciiTheme="minorHAnsi" w:hAnsiTheme="minorHAnsi" w:cs="Arial"/>
                <w:b/>
                <w:bCs/>
                <w:sz w:val="20"/>
                <w:szCs w:val="20"/>
              </w:rPr>
              <w:t>765</w:t>
            </w:r>
          </w:p>
        </w:tc>
      </w:tr>
      <w:tr w:rsidR="008043C3" w:rsidRPr="0067297E" w14:paraId="4EAA3DE2" w14:textId="77777777" w:rsidTr="008043C3">
        <w:tc>
          <w:tcPr>
            <w:tcW w:w="5000" w:type="pct"/>
            <w:gridSpan w:val="4"/>
            <w:shd w:val="clear" w:color="auto" w:fill="auto"/>
            <w:noWrap/>
            <w:vAlign w:val="bottom"/>
            <w:hideMark/>
          </w:tcPr>
          <w:p w14:paraId="7E6A4A1D" w14:textId="77777777" w:rsidR="008043C3" w:rsidRPr="0067297E" w:rsidRDefault="008043C3" w:rsidP="00FA273F">
            <w:pPr>
              <w:spacing w:beforeLines="20" w:before="48" w:afterLines="20" w:after="48"/>
              <w:rPr>
                <w:rFonts w:asciiTheme="minorHAnsi" w:hAnsiTheme="minorHAnsi" w:cs="Arial"/>
                <w:b/>
                <w:bCs/>
                <w:sz w:val="22"/>
                <w:szCs w:val="20"/>
              </w:rPr>
            </w:pPr>
            <w:r w:rsidRPr="0067297E">
              <w:rPr>
                <w:rFonts w:asciiTheme="minorHAnsi" w:hAnsiTheme="minorHAnsi" w:cs="Arial"/>
                <w:b/>
                <w:bCs/>
                <w:sz w:val="22"/>
                <w:szCs w:val="20"/>
              </w:rPr>
              <w:t>Stage 2: FUTURE NEED</w:t>
            </w:r>
          </w:p>
        </w:tc>
      </w:tr>
      <w:tr w:rsidR="008043C3" w:rsidRPr="0067297E" w14:paraId="04F4F36C" w14:textId="77777777" w:rsidTr="00FD02D8">
        <w:tc>
          <w:tcPr>
            <w:tcW w:w="368" w:type="pct"/>
            <w:shd w:val="clear" w:color="auto" w:fill="auto"/>
            <w:noWrap/>
            <w:vAlign w:val="center"/>
            <w:hideMark/>
          </w:tcPr>
          <w:p w14:paraId="7414F0F9"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2.1</w:t>
            </w:r>
          </w:p>
        </w:tc>
        <w:tc>
          <w:tcPr>
            <w:tcW w:w="2153" w:type="pct"/>
            <w:shd w:val="clear" w:color="auto" w:fill="auto"/>
            <w:vAlign w:val="center"/>
            <w:hideMark/>
          </w:tcPr>
          <w:p w14:paraId="626D738C"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New household formation (Gross per year)</w:t>
            </w:r>
          </w:p>
        </w:tc>
        <w:tc>
          <w:tcPr>
            <w:tcW w:w="1490" w:type="pct"/>
            <w:shd w:val="clear" w:color="auto" w:fill="auto"/>
            <w:vAlign w:val="center"/>
            <w:hideMark/>
          </w:tcPr>
          <w:p w14:paraId="1BF69BB3" w14:textId="5BA2CD46"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Based on 1.</w:t>
            </w:r>
            <w:r w:rsidR="00052027">
              <w:rPr>
                <w:rFonts w:asciiTheme="minorHAnsi" w:hAnsiTheme="minorHAnsi" w:cs="Arial"/>
                <w:sz w:val="20"/>
                <w:szCs w:val="20"/>
              </w:rPr>
              <w:t>49</w:t>
            </w:r>
            <w:r w:rsidRPr="0067297E">
              <w:rPr>
                <w:rFonts w:asciiTheme="minorHAnsi" w:hAnsiTheme="minorHAnsi" w:cs="Arial"/>
                <w:sz w:val="20"/>
                <w:szCs w:val="20"/>
              </w:rPr>
              <w:t>% national household formation rate</w:t>
            </w:r>
          </w:p>
        </w:tc>
        <w:tc>
          <w:tcPr>
            <w:tcW w:w="989" w:type="pct"/>
            <w:shd w:val="clear" w:color="auto" w:fill="auto"/>
            <w:noWrap/>
            <w:vAlign w:val="center"/>
          </w:tcPr>
          <w:p w14:paraId="5EBFF3B3" w14:textId="041D10E9" w:rsidR="008043C3" w:rsidRPr="0067297E" w:rsidRDefault="00052027" w:rsidP="00FA273F">
            <w:pPr>
              <w:spacing w:beforeLines="20" w:before="48" w:afterLines="20" w:after="48"/>
              <w:jc w:val="center"/>
              <w:rPr>
                <w:rFonts w:asciiTheme="minorHAnsi" w:hAnsiTheme="minorHAnsi" w:cs="Arial"/>
                <w:b/>
                <w:bCs/>
                <w:sz w:val="20"/>
                <w:szCs w:val="20"/>
              </w:rPr>
            </w:pPr>
            <w:r>
              <w:rPr>
                <w:rFonts w:asciiTheme="minorHAnsi" w:hAnsiTheme="minorHAnsi" w:cs="Arial"/>
                <w:b/>
                <w:bCs/>
                <w:sz w:val="20"/>
                <w:szCs w:val="20"/>
              </w:rPr>
              <w:t>1,985</w:t>
            </w:r>
          </w:p>
        </w:tc>
      </w:tr>
      <w:tr w:rsidR="008043C3" w:rsidRPr="0067297E" w14:paraId="43B73017" w14:textId="77777777" w:rsidTr="00FD02D8">
        <w:tc>
          <w:tcPr>
            <w:tcW w:w="368" w:type="pct"/>
            <w:shd w:val="clear" w:color="auto" w:fill="auto"/>
            <w:noWrap/>
            <w:vAlign w:val="center"/>
            <w:hideMark/>
          </w:tcPr>
          <w:p w14:paraId="442B1E19"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2.2</w:t>
            </w:r>
          </w:p>
        </w:tc>
        <w:tc>
          <w:tcPr>
            <w:tcW w:w="2153" w:type="pct"/>
            <w:shd w:val="clear" w:color="auto" w:fill="auto"/>
            <w:vAlign w:val="center"/>
            <w:hideMark/>
          </w:tcPr>
          <w:p w14:paraId="452E70D6"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Number of new households requiring affordable housing</w:t>
            </w:r>
          </w:p>
        </w:tc>
        <w:tc>
          <w:tcPr>
            <w:tcW w:w="1490" w:type="pct"/>
            <w:shd w:val="clear" w:color="auto" w:fill="auto"/>
            <w:vAlign w:val="center"/>
            <w:hideMark/>
          </w:tcPr>
          <w:p w14:paraId="21AB8DB9" w14:textId="3B08CE23"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 xml:space="preserve">% based on affordability of </w:t>
            </w:r>
            <w:r w:rsidR="007D70F8">
              <w:rPr>
                <w:rFonts w:asciiTheme="minorHAnsi" w:hAnsiTheme="minorHAnsi" w:cs="Arial"/>
                <w:sz w:val="20"/>
                <w:szCs w:val="20"/>
              </w:rPr>
              <w:t xml:space="preserve">open market prices </w:t>
            </w:r>
          </w:p>
        </w:tc>
        <w:tc>
          <w:tcPr>
            <w:tcW w:w="989" w:type="pct"/>
            <w:shd w:val="clear" w:color="auto" w:fill="auto"/>
            <w:noWrap/>
            <w:vAlign w:val="center"/>
          </w:tcPr>
          <w:p w14:paraId="4D68ACBA" w14:textId="7A99D912" w:rsidR="008043C3" w:rsidRPr="0067297E" w:rsidRDefault="007D70F8" w:rsidP="00FA273F">
            <w:pPr>
              <w:spacing w:beforeLines="20" w:before="48" w:afterLines="20" w:after="48"/>
              <w:jc w:val="center"/>
              <w:rPr>
                <w:rFonts w:asciiTheme="minorHAnsi" w:hAnsiTheme="minorHAnsi" w:cs="Arial"/>
                <w:b/>
                <w:bCs/>
                <w:sz w:val="20"/>
                <w:szCs w:val="20"/>
              </w:rPr>
            </w:pPr>
            <w:r>
              <w:rPr>
                <w:rFonts w:asciiTheme="minorHAnsi" w:hAnsiTheme="minorHAnsi" w:cs="Arial"/>
                <w:b/>
                <w:bCs/>
                <w:sz w:val="20"/>
                <w:szCs w:val="20"/>
              </w:rPr>
              <w:t>81.7</w:t>
            </w:r>
          </w:p>
        </w:tc>
      </w:tr>
      <w:tr w:rsidR="008043C3" w:rsidRPr="0067297E" w14:paraId="7B32F4DA" w14:textId="77777777" w:rsidTr="00FD02D8">
        <w:tc>
          <w:tcPr>
            <w:tcW w:w="368" w:type="pct"/>
            <w:shd w:val="clear" w:color="auto" w:fill="auto"/>
            <w:noWrap/>
            <w:vAlign w:val="center"/>
            <w:hideMark/>
          </w:tcPr>
          <w:p w14:paraId="65BCB7FF"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2.2</w:t>
            </w:r>
          </w:p>
        </w:tc>
        <w:tc>
          <w:tcPr>
            <w:tcW w:w="2153" w:type="pct"/>
            <w:shd w:val="clear" w:color="auto" w:fill="auto"/>
            <w:vAlign w:val="center"/>
            <w:hideMark/>
          </w:tcPr>
          <w:p w14:paraId="13EBA315"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Number of new households requiring affordable housing</w:t>
            </w:r>
          </w:p>
        </w:tc>
        <w:tc>
          <w:tcPr>
            <w:tcW w:w="1490" w:type="pct"/>
            <w:shd w:val="clear" w:color="auto" w:fill="auto"/>
            <w:vAlign w:val="center"/>
            <w:hideMark/>
          </w:tcPr>
          <w:p w14:paraId="715B8887" w14:textId="77777777" w:rsidR="005A4408" w:rsidRPr="0067297E" w:rsidRDefault="005A4408"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2.1 X 2.2</w:t>
            </w:r>
          </w:p>
          <w:p w14:paraId="51DC1041"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Number cannot afford</w:t>
            </w:r>
          </w:p>
        </w:tc>
        <w:tc>
          <w:tcPr>
            <w:tcW w:w="989" w:type="pct"/>
            <w:shd w:val="clear" w:color="auto" w:fill="auto"/>
            <w:noWrap/>
            <w:vAlign w:val="center"/>
          </w:tcPr>
          <w:p w14:paraId="02686D3A" w14:textId="6A1E6A5F" w:rsidR="008043C3" w:rsidRPr="0067297E" w:rsidRDefault="007D70F8" w:rsidP="00FA273F">
            <w:pPr>
              <w:spacing w:beforeLines="20" w:before="48" w:afterLines="20" w:after="48"/>
              <w:jc w:val="center"/>
              <w:rPr>
                <w:rFonts w:asciiTheme="minorHAnsi" w:hAnsiTheme="minorHAnsi" w:cs="Arial"/>
                <w:b/>
                <w:bCs/>
                <w:sz w:val="20"/>
                <w:szCs w:val="20"/>
              </w:rPr>
            </w:pPr>
            <w:r>
              <w:rPr>
                <w:rFonts w:asciiTheme="minorHAnsi" w:hAnsiTheme="minorHAnsi" w:cs="Arial"/>
                <w:b/>
                <w:bCs/>
                <w:sz w:val="20"/>
                <w:szCs w:val="20"/>
              </w:rPr>
              <w:t>1,6</w:t>
            </w:r>
            <w:r w:rsidR="00052027">
              <w:rPr>
                <w:rFonts w:asciiTheme="minorHAnsi" w:hAnsiTheme="minorHAnsi" w:cs="Arial"/>
                <w:b/>
                <w:bCs/>
                <w:sz w:val="20"/>
                <w:szCs w:val="20"/>
              </w:rPr>
              <w:t>22</w:t>
            </w:r>
          </w:p>
        </w:tc>
      </w:tr>
      <w:tr w:rsidR="008043C3" w:rsidRPr="0067297E" w14:paraId="56AC16CF" w14:textId="77777777" w:rsidTr="00FD02D8">
        <w:tc>
          <w:tcPr>
            <w:tcW w:w="368" w:type="pct"/>
            <w:shd w:val="clear" w:color="auto" w:fill="auto"/>
            <w:noWrap/>
            <w:vAlign w:val="center"/>
            <w:hideMark/>
          </w:tcPr>
          <w:p w14:paraId="6CE84488" w14:textId="5F919A6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2.3</w:t>
            </w:r>
          </w:p>
        </w:tc>
        <w:tc>
          <w:tcPr>
            <w:tcW w:w="2153" w:type="pct"/>
            <w:shd w:val="clear" w:color="auto" w:fill="auto"/>
            <w:vAlign w:val="center"/>
            <w:hideMark/>
          </w:tcPr>
          <w:p w14:paraId="259A178F"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Existing households falling into need</w:t>
            </w:r>
          </w:p>
        </w:tc>
        <w:tc>
          <w:tcPr>
            <w:tcW w:w="1490" w:type="pct"/>
            <w:shd w:val="clear" w:color="auto" w:fill="auto"/>
            <w:vAlign w:val="center"/>
            <w:hideMark/>
          </w:tcPr>
          <w:p w14:paraId="2386900F"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Annual requirement</w:t>
            </w:r>
          </w:p>
        </w:tc>
        <w:tc>
          <w:tcPr>
            <w:tcW w:w="989" w:type="pct"/>
            <w:shd w:val="clear" w:color="auto" w:fill="auto"/>
            <w:noWrap/>
            <w:vAlign w:val="center"/>
          </w:tcPr>
          <w:p w14:paraId="7C515162" w14:textId="16D34898" w:rsidR="008043C3" w:rsidRPr="0067297E" w:rsidRDefault="005A4408" w:rsidP="00FA273F">
            <w:pPr>
              <w:spacing w:beforeLines="20" w:before="48" w:afterLines="20" w:after="48"/>
              <w:jc w:val="center"/>
              <w:rPr>
                <w:rFonts w:asciiTheme="minorHAnsi" w:hAnsiTheme="minorHAnsi" w:cs="Arial"/>
                <w:b/>
                <w:bCs/>
                <w:sz w:val="20"/>
                <w:szCs w:val="20"/>
              </w:rPr>
            </w:pPr>
            <w:r w:rsidRPr="0067297E">
              <w:rPr>
                <w:rFonts w:asciiTheme="minorHAnsi" w:hAnsiTheme="minorHAnsi" w:cs="Arial"/>
                <w:b/>
                <w:bCs/>
                <w:sz w:val="20"/>
                <w:szCs w:val="20"/>
              </w:rPr>
              <w:t>0 (</w:t>
            </w:r>
            <w:r w:rsidR="004B7836" w:rsidRPr="0067297E">
              <w:rPr>
                <w:rFonts w:asciiTheme="minorHAnsi" w:hAnsiTheme="minorHAnsi" w:cs="Arial"/>
                <w:b/>
                <w:bCs/>
                <w:sz w:val="20"/>
                <w:szCs w:val="20"/>
              </w:rPr>
              <w:t>Captured in 1.1</w:t>
            </w:r>
            <w:r w:rsidRPr="0067297E">
              <w:rPr>
                <w:rFonts w:asciiTheme="minorHAnsi" w:hAnsiTheme="minorHAnsi" w:cs="Arial"/>
                <w:b/>
                <w:bCs/>
                <w:sz w:val="20"/>
                <w:szCs w:val="20"/>
              </w:rPr>
              <w:t>)</w:t>
            </w:r>
          </w:p>
        </w:tc>
      </w:tr>
      <w:tr w:rsidR="008043C3" w:rsidRPr="0067297E" w14:paraId="4889ED92" w14:textId="77777777" w:rsidTr="00FD02D8">
        <w:tc>
          <w:tcPr>
            <w:tcW w:w="368" w:type="pct"/>
            <w:shd w:val="clear" w:color="auto" w:fill="auto"/>
            <w:noWrap/>
            <w:vAlign w:val="center"/>
            <w:hideMark/>
          </w:tcPr>
          <w:p w14:paraId="22F3E6EE" w14:textId="77777777" w:rsidR="008043C3" w:rsidRPr="0067297E" w:rsidRDefault="008043C3" w:rsidP="00FA273F">
            <w:pPr>
              <w:spacing w:beforeLines="20" w:before="48" w:afterLines="20" w:after="48"/>
              <w:jc w:val="center"/>
              <w:rPr>
                <w:rFonts w:asciiTheme="minorHAnsi" w:hAnsiTheme="minorHAnsi" w:cs="Arial"/>
                <w:b/>
                <w:sz w:val="20"/>
                <w:szCs w:val="20"/>
              </w:rPr>
            </w:pPr>
            <w:r w:rsidRPr="0067297E">
              <w:rPr>
                <w:rFonts w:asciiTheme="minorHAnsi" w:hAnsiTheme="minorHAnsi" w:cs="Arial"/>
                <w:b/>
                <w:sz w:val="20"/>
                <w:szCs w:val="20"/>
              </w:rPr>
              <w:t>2.4</w:t>
            </w:r>
          </w:p>
        </w:tc>
        <w:tc>
          <w:tcPr>
            <w:tcW w:w="2153" w:type="pct"/>
            <w:shd w:val="clear" w:color="auto" w:fill="auto"/>
            <w:vAlign w:val="bottom"/>
            <w:hideMark/>
          </w:tcPr>
          <w:p w14:paraId="01EF093D" w14:textId="77777777" w:rsidR="008043C3" w:rsidRPr="0067297E" w:rsidRDefault="008043C3" w:rsidP="00FA273F">
            <w:pPr>
              <w:spacing w:beforeLines="20" w:before="48" w:afterLines="20" w:after="48"/>
              <w:rPr>
                <w:rFonts w:asciiTheme="minorHAnsi" w:hAnsiTheme="minorHAnsi" w:cs="Arial"/>
                <w:b/>
                <w:sz w:val="20"/>
                <w:szCs w:val="20"/>
              </w:rPr>
            </w:pPr>
            <w:r w:rsidRPr="0067297E">
              <w:rPr>
                <w:rFonts w:asciiTheme="minorHAnsi" w:hAnsiTheme="minorHAnsi" w:cs="Arial"/>
                <w:b/>
                <w:sz w:val="20"/>
                <w:szCs w:val="20"/>
              </w:rPr>
              <w:t>TOTAL newly-arising housing need (gross each year)</w:t>
            </w:r>
          </w:p>
        </w:tc>
        <w:tc>
          <w:tcPr>
            <w:tcW w:w="1490" w:type="pct"/>
            <w:shd w:val="clear" w:color="auto" w:fill="auto"/>
            <w:vAlign w:val="center"/>
            <w:hideMark/>
          </w:tcPr>
          <w:p w14:paraId="4A42154B" w14:textId="77777777" w:rsidR="008043C3" w:rsidRPr="0067297E" w:rsidRDefault="008043C3" w:rsidP="00FA273F">
            <w:pPr>
              <w:spacing w:beforeLines="20" w:before="48" w:afterLines="20" w:after="48"/>
              <w:rPr>
                <w:rFonts w:asciiTheme="minorHAnsi" w:hAnsiTheme="minorHAnsi" w:cs="Arial"/>
                <w:b/>
                <w:sz w:val="20"/>
                <w:szCs w:val="20"/>
              </w:rPr>
            </w:pPr>
            <w:r w:rsidRPr="0067297E">
              <w:rPr>
                <w:rFonts w:asciiTheme="minorHAnsi" w:hAnsiTheme="minorHAnsi" w:cs="Arial"/>
                <w:b/>
                <w:sz w:val="20"/>
                <w:szCs w:val="20"/>
              </w:rPr>
              <w:t>2.2 + 2.3</w:t>
            </w:r>
          </w:p>
        </w:tc>
        <w:tc>
          <w:tcPr>
            <w:tcW w:w="989" w:type="pct"/>
            <w:shd w:val="clear" w:color="auto" w:fill="auto"/>
            <w:noWrap/>
            <w:vAlign w:val="center"/>
          </w:tcPr>
          <w:p w14:paraId="6437B790" w14:textId="2BE3B367" w:rsidR="008043C3" w:rsidRPr="0067297E" w:rsidRDefault="007D70F8" w:rsidP="00FA273F">
            <w:pPr>
              <w:spacing w:beforeLines="20" w:before="48" w:afterLines="20" w:after="48"/>
              <w:jc w:val="center"/>
              <w:rPr>
                <w:rFonts w:asciiTheme="minorHAnsi" w:hAnsiTheme="minorHAnsi" w:cs="Arial"/>
                <w:b/>
                <w:bCs/>
                <w:sz w:val="20"/>
                <w:szCs w:val="20"/>
              </w:rPr>
            </w:pPr>
            <w:r>
              <w:rPr>
                <w:rFonts w:asciiTheme="minorHAnsi" w:hAnsiTheme="minorHAnsi" w:cs="Arial"/>
                <w:b/>
                <w:bCs/>
                <w:sz w:val="20"/>
                <w:szCs w:val="20"/>
              </w:rPr>
              <w:t>1,6</w:t>
            </w:r>
            <w:r w:rsidR="00052027">
              <w:rPr>
                <w:rFonts w:asciiTheme="minorHAnsi" w:hAnsiTheme="minorHAnsi" w:cs="Arial"/>
                <w:b/>
                <w:bCs/>
                <w:sz w:val="20"/>
                <w:szCs w:val="20"/>
              </w:rPr>
              <w:t>22</w:t>
            </w:r>
          </w:p>
        </w:tc>
      </w:tr>
      <w:tr w:rsidR="008043C3" w:rsidRPr="0067297E" w14:paraId="3C91CF0B" w14:textId="77777777" w:rsidTr="008043C3">
        <w:tc>
          <w:tcPr>
            <w:tcW w:w="5000" w:type="pct"/>
            <w:gridSpan w:val="4"/>
            <w:shd w:val="clear" w:color="auto" w:fill="auto"/>
            <w:noWrap/>
            <w:vAlign w:val="bottom"/>
            <w:hideMark/>
          </w:tcPr>
          <w:p w14:paraId="6E6BE735" w14:textId="77777777" w:rsidR="008043C3" w:rsidRPr="0067297E" w:rsidRDefault="008043C3" w:rsidP="00FA273F">
            <w:pPr>
              <w:spacing w:beforeLines="20" w:before="48" w:afterLines="20" w:after="48"/>
              <w:rPr>
                <w:rFonts w:asciiTheme="minorHAnsi" w:hAnsiTheme="minorHAnsi" w:cs="Arial"/>
                <w:b/>
                <w:bCs/>
                <w:sz w:val="22"/>
                <w:szCs w:val="20"/>
              </w:rPr>
            </w:pPr>
            <w:r w:rsidRPr="0067297E">
              <w:rPr>
                <w:rFonts w:asciiTheme="minorHAnsi" w:hAnsiTheme="minorHAnsi" w:cs="Arial"/>
                <w:b/>
                <w:bCs/>
                <w:sz w:val="22"/>
                <w:szCs w:val="20"/>
              </w:rPr>
              <w:t>Stage 3: AFFORDABLE HOUSING SUPPLY </w:t>
            </w:r>
          </w:p>
        </w:tc>
      </w:tr>
      <w:tr w:rsidR="008043C3" w:rsidRPr="0067297E" w14:paraId="7B503111" w14:textId="77777777" w:rsidTr="00FD02D8">
        <w:tc>
          <w:tcPr>
            <w:tcW w:w="368" w:type="pct"/>
            <w:shd w:val="clear" w:color="auto" w:fill="auto"/>
            <w:noWrap/>
            <w:vAlign w:val="center"/>
            <w:hideMark/>
          </w:tcPr>
          <w:p w14:paraId="40C0BD53"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3.1</w:t>
            </w:r>
          </w:p>
        </w:tc>
        <w:tc>
          <w:tcPr>
            <w:tcW w:w="2153" w:type="pct"/>
            <w:shd w:val="clear" w:color="auto" w:fill="auto"/>
            <w:vAlign w:val="center"/>
            <w:hideMark/>
          </w:tcPr>
          <w:p w14:paraId="3D2BFB4F" w14:textId="0B175653" w:rsidR="008043C3" w:rsidRPr="0067297E" w:rsidRDefault="008043C3" w:rsidP="00240A9A">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 xml:space="preserve">Affordable dwellings occupied by households in need </w:t>
            </w:r>
            <w:r w:rsidR="00255B16" w:rsidRPr="0067297E">
              <w:rPr>
                <w:rFonts w:asciiTheme="minorHAnsi" w:hAnsiTheme="minorHAnsi" w:cs="Arial"/>
                <w:sz w:val="20"/>
                <w:szCs w:val="20"/>
              </w:rPr>
              <w:t>and likely to move in next 5 years</w:t>
            </w:r>
          </w:p>
        </w:tc>
        <w:tc>
          <w:tcPr>
            <w:tcW w:w="1490" w:type="pct"/>
            <w:shd w:val="clear" w:color="auto" w:fill="auto"/>
            <w:vAlign w:val="center"/>
            <w:hideMark/>
          </w:tcPr>
          <w:p w14:paraId="5B54DD97" w14:textId="77777777" w:rsidR="008043C3" w:rsidRPr="0067297E" w:rsidRDefault="008043C3" w:rsidP="00FA273F">
            <w:pPr>
              <w:spacing w:beforeLines="20" w:before="48" w:afterLines="20" w:after="48"/>
              <w:rPr>
                <w:rFonts w:asciiTheme="minorHAnsi" w:hAnsiTheme="minorHAnsi" w:cs="Arial"/>
                <w:sz w:val="20"/>
                <w:szCs w:val="20"/>
              </w:rPr>
            </w:pPr>
          </w:p>
        </w:tc>
        <w:tc>
          <w:tcPr>
            <w:tcW w:w="989" w:type="pct"/>
            <w:shd w:val="clear" w:color="auto" w:fill="auto"/>
            <w:noWrap/>
            <w:vAlign w:val="center"/>
          </w:tcPr>
          <w:p w14:paraId="61C5C62A" w14:textId="596637AE" w:rsidR="008043C3" w:rsidRPr="0067297E" w:rsidRDefault="00255B16" w:rsidP="00FA273F">
            <w:pPr>
              <w:spacing w:beforeLines="20" w:before="48" w:afterLines="20" w:after="48"/>
              <w:jc w:val="center"/>
              <w:rPr>
                <w:rFonts w:asciiTheme="minorHAnsi" w:hAnsiTheme="minorHAnsi" w:cs="Arial"/>
                <w:b/>
                <w:bCs/>
                <w:sz w:val="20"/>
                <w:szCs w:val="20"/>
              </w:rPr>
            </w:pPr>
            <w:r w:rsidRPr="0067297E">
              <w:rPr>
                <w:rFonts w:asciiTheme="minorHAnsi" w:hAnsiTheme="minorHAnsi" w:cs="Arial"/>
                <w:b/>
                <w:bCs/>
                <w:sz w:val="20"/>
                <w:szCs w:val="20"/>
              </w:rPr>
              <w:t>1,</w:t>
            </w:r>
            <w:r w:rsidR="00574333">
              <w:rPr>
                <w:rFonts w:asciiTheme="minorHAnsi" w:hAnsiTheme="minorHAnsi" w:cs="Arial"/>
                <w:b/>
                <w:bCs/>
                <w:sz w:val="20"/>
                <w:szCs w:val="20"/>
              </w:rPr>
              <w:t>528</w:t>
            </w:r>
          </w:p>
        </w:tc>
      </w:tr>
      <w:tr w:rsidR="008043C3" w:rsidRPr="0067297E" w14:paraId="4EE32A21" w14:textId="77777777" w:rsidTr="00FD02D8">
        <w:tc>
          <w:tcPr>
            <w:tcW w:w="368" w:type="pct"/>
            <w:shd w:val="clear" w:color="auto" w:fill="auto"/>
            <w:noWrap/>
            <w:vAlign w:val="center"/>
            <w:hideMark/>
          </w:tcPr>
          <w:p w14:paraId="4E774406"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3.2</w:t>
            </w:r>
          </w:p>
        </w:tc>
        <w:tc>
          <w:tcPr>
            <w:tcW w:w="2153" w:type="pct"/>
            <w:shd w:val="clear" w:color="auto" w:fill="auto"/>
            <w:vAlign w:val="center"/>
            <w:hideMark/>
          </w:tcPr>
          <w:p w14:paraId="507974EB"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Surplus stock</w:t>
            </w:r>
          </w:p>
        </w:tc>
        <w:tc>
          <w:tcPr>
            <w:tcW w:w="1490" w:type="pct"/>
            <w:shd w:val="clear" w:color="auto" w:fill="auto"/>
            <w:vAlign w:val="center"/>
            <w:hideMark/>
          </w:tcPr>
          <w:p w14:paraId="5E8733EF"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Vacancy rate &lt;2% so no surplus stock assumed</w:t>
            </w:r>
          </w:p>
        </w:tc>
        <w:tc>
          <w:tcPr>
            <w:tcW w:w="989" w:type="pct"/>
            <w:shd w:val="clear" w:color="auto" w:fill="auto"/>
            <w:noWrap/>
            <w:vAlign w:val="center"/>
          </w:tcPr>
          <w:p w14:paraId="03E04C7E" w14:textId="77777777" w:rsidR="008043C3" w:rsidRPr="0067297E" w:rsidRDefault="008043C3" w:rsidP="00FA273F">
            <w:pPr>
              <w:spacing w:beforeLines="20" w:before="48" w:afterLines="20" w:after="48"/>
              <w:jc w:val="center"/>
              <w:rPr>
                <w:rFonts w:asciiTheme="minorHAnsi" w:hAnsiTheme="minorHAnsi" w:cs="Arial"/>
                <w:b/>
                <w:bCs/>
                <w:sz w:val="20"/>
                <w:szCs w:val="20"/>
              </w:rPr>
            </w:pPr>
            <w:r w:rsidRPr="0067297E">
              <w:rPr>
                <w:rFonts w:asciiTheme="minorHAnsi" w:hAnsiTheme="minorHAnsi" w:cs="Arial"/>
                <w:b/>
                <w:bCs/>
                <w:sz w:val="20"/>
                <w:szCs w:val="20"/>
              </w:rPr>
              <w:t>0</w:t>
            </w:r>
          </w:p>
        </w:tc>
      </w:tr>
      <w:tr w:rsidR="008043C3" w:rsidRPr="0067297E" w14:paraId="75F58CEC" w14:textId="77777777" w:rsidTr="00FD02D8">
        <w:tc>
          <w:tcPr>
            <w:tcW w:w="368" w:type="pct"/>
            <w:shd w:val="clear" w:color="auto" w:fill="auto"/>
            <w:noWrap/>
            <w:vAlign w:val="center"/>
            <w:hideMark/>
          </w:tcPr>
          <w:p w14:paraId="7BD42234"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3.3</w:t>
            </w:r>
          </w:p>
        </w:tc>
        <w:tc>
          <w:tcPr>
            <w:tcW w:w="2153" w:type="pct"/>
            <w:shd w:val="clear" w:color="auto" w:fill="auto"/>
            <w:vAlign w:val="center"/>
            <w:hideMark/>
          </w:tcPr>
          <w:p w14:paraId="14312C84" w14:textId="346CBD72" w:rsidR="008043C3" w:rsidRPr="0067297E" w:rsidRDefault="00967D6C" w:rsidP="00FA273F">
            <w:pPr>
              <w:spacing w:beforeLines="20" w:before="48" w:afterLines="20" w:after="48"/>
              <w:rPr>
                <w:rFonts w:asciiTheme="minorHAnsi" w:hAnsiTheme="minorHAnsi" w:cs="Arial"/>
                <w:sz w:val="20"/>
                <w:szCs w:val="20"/>
              </w:rPr>
            </w:pPr>
            <w:r>
              <w:rPr>
                <w:rFonts w:asciiTheme="minorHAnsi" w:hAnsiTheme="minorHAnsi" w:cs="Arial"/>
                <w:sz w:val="20"/>
                <w:szCs w:val="20"/>
              </w:rPr>
              <w:t>Estimated</w:t>
            </w:r>
            <w:r w:rsidR="008043C3" w:rsidRPr="0067297E">
              <w:rPr>
                <w:rFonts w:asciiTheme="minorHAnsi" w:hAnsiTheme="minorHAnsi" w:cs="Arial"/>
                <w:sz w:val="20"/>
                <w:szCs w:val="20"/>
              </w:rPr>
              <w:t xml:space="preserve"> supply of new affordable units</w:t>
            </w:r>
          </w:p>
        </w:tc>
        <w:tc>
          <w:tcPr>
            <w:tcW w:w="1490" w:type="pct"/>
            <w:shd w:val="clear" w:color="auto" w:fill="auto"/>
            <w:vAlign w:val="center"/>
            <w:hideMark/>
          </w:tcPr>
          <w:p w14:paraId="3D856EBD" w14:textId="05A00CE2" w:rsidR="008043C3" w:rsidRPr="0067297E" w:rsidRDefault="008043C3" w:rsidP="00FA273F">
            <w:pPr>
              <w:spacing w:beforeLines="20" w:before="48" w:afterLines="20" w:after="48"/>
              <w:rPr>
                <w:rFonts w:asciiTheme="minorHAnsi" w:hAnsiTheme="minorHAnsi" w:cs="Arial"/>
                <w:sz w:val="20"/>
                <w:szCs w:val="20"/>
              </w:rPr>
            </w:pPr>
          </w:p>
        </w:tc>
        <w:tc>
          <w:tcPr>
            <w:tcW w:w="989" w:type="pct"/>
            <w:shd w:val="clear" w:color="auto" w:fill="auto"/>
            <w:noWrap/>
            <w:vAlign w:val="bottom"/>
          </w:tcPr>
          <w:p w14:paraId="42F617A2" w14:textId="4172F011" w:rsidR="008043C3" w:rsidRPr="0067297E" w:rsidRDefault="000730C8" w:rsidP="00FA273F">
            <w:pPr>
              <w:spacing w:beforeLines="20" w:before="48" w:afterLines="20" w:after="48"/>
              <w:jc w:val="center"/>
              <w:rPr>
                <w:rFonts w:asciiTheme="minorHAnsi" w:hAnsiTheme="minorHAnsi" w:cs="Arial"/>
                <w:b/>
                <w:bCs/>
                <w:sz w:val="20"/>
                <w:szCs w:val="20"/>
              </w:rPr>
            </w:pPr>
            <w:r>
              <w:rPr>
                <w:rFonts w:asciiTheme="minorHAnsi" w:hAnsiTheme="minorHAnsi" w:cs="Arial"/>
                <w:b/>
                <w:bCs/>
                <w:sz w:val="20"/>
                <w:szCs w:val="20"/>
              </w:rPr>
              <w:t xml:space="preserve">1,251 </w:t>
            </w:r>
          </w:p>
        </w:tc>
      </w:tr>
      <w:tr w:rsidR="008043C3" w:rsidRPr="0067297E" w14:paraId="67A39BD9" w14:textId="77777777" w:rsidTr="00FD02D8">
        <w:tc>
          <w:tcPr>
            <w:tcW w:w="368" w:type="pct"/>
            <w:shd w:val="clear" w:color="auto" w:fill="auto"/>
            <w:noWrap/>
            <w:vAlign w:val="center"/>
            <w:hideMark/>
          </w:tcPr>
          <w:p w14:paraId="682C293A"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3.4</w:t>
            </w:r>
          </w:p>
        </w:tc>
        <w:tc>
          <w:tcPr>
            <w:tcW w:w="2153" w:type="pct"/>
            <w:shd w:val="clear" w:color="auto" w:fill="auto"/>
            <w:vAlign w:val="center"/>
            <w:hideMark/>
          </w:tcPr>
          <w:p w14:paraId="01367AB4"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Units to be taken out of management</w:t>
            </w:r>
          </w:p>
        </w:tc>
        <w:tc>
          <w:tcPr>
            <w:tcW w:w="1490" w:type="pct"/>
            <w:shd w:val="clear" w:color="auto" w:fill="auto"/>
            <w:vAlign w:val="center"/>
            <w:hideMark/>
          </w:tcPr>
          <w:p w14:paraId="220DFCB2"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None assumed</w:t>
            </w:r>
          </w:p>
        </w:tc>
        <w:tc>
          <w:tcPr>
            <w:tcW w:w="989" w:type="pct"/>
            <w:shd w:val="clear" w:color="auto" w:fill="auto"/>
            <w:noWrap/>
            <w:vAlign w:val="center"/>
          </w:tcPr>
          <w:p w14:paraId="0DA40013" w14:textId="77777777" w:rsidR="008043C3" w:rsidRPr="0067297E" w:rsidRDefault="008043C3" w:rsidP="00FA273F">
            <w:pPr>
              <w:spacing w:beforeLines="20" w:before="48" w:afterLines="20" w:after="48"/>
              <w:jc w:val="center"/>
              <w:rPr>
                <w:rFonts w:asciiTheme="minorHAnsi" w:hAnsiTheme="minorHAnsi" w:cs="Arial"/>
                <w:b/>
                <w:bCs/>
                <w:sz w:val="20"/>
                <w:szCs w:val="20"/>
              </w:rPr>
            </w:pPr>
            <w:r w:rsidRPr="0067297E">
              <w:rPr>
                <w:rFonts w:asciiTheme="minorHAnsi" w:hAnsiTheme="minorHAnsi" w:cs="Arial"/>
                <w:b/>
                <w:bCs/>
                <w:sz w:val="20"/>
                <w:szCs w:val="20"/>
              </w:rPr>
              <w:t>0</w:t>
            </w:r>
          </w:p>
        </w:tc>
      </w:tr>
      <w:tr w:rsidR="008043C3" w:rsidRPr="0067297E" w14:paraId="1DED4717" w14:textId="77777777" w:rsidTr="00FD02D8">
        <w:tc>
          <w:tcPr>
            <w:tcW w:w="368" w:type="pct"/>
            <w:shd w:val="clear" w:color="auto" w:fill="auto"/>
            <w:noWrap/>
            <w:vAlign w:val="center"/>
            <w:hideMark/>
          </w:tcPr>
          <w:p w14:paraId="0A9ECC35"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3.5</w:t>
            </w:r>
          </w:p>
        </w:tc>
        <w:tc>
          <w:tcPr>
            <w:tcW w:w="2153" w:type="pct"/>
            <w:shd w:val="clear" w:color="auto" w:fill="auto"/>
            <w:vAlign w:val="center"/>
            <w:hideMark/>
          </w:tcPr>
          <w:p w14:paraId="090CCC7F"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Total affordable housing stock available</w:t>
            </w:r>
          </w:p>
        </w:tc>
        <w:tc>
          <w:tcPr>
            <w:tcW w:w="1490" w:type="pct"/>
            <w:shd w:val="clear" w:color="auto" w:fill="auto"/>
            <w:vAlign w:val="center"/>
            <w:hideMark/>
          </w:tcPr>
          <w:p w14:paraId="4B0DE34D"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 xml:space="preserve">3.1+3.2+3.3-3.4 </w:t>
            </w:r>
          </w:p>
        </w:tc>
        <w:tc>
          <w:tcPr>
            <w:tcW w:w="989" w:type="pct"/>
            <w:shd w:val="clear" w:color="auto" w:fill="auto"/>
            <w:noWrap/>
            <w:vAlign w:val="center"/>
          </w:tcPr>
          <w:p w14:paraId="6ED5DF88" w14:textId="71709E8E" w:rsidR="008043C3" w:rsidRPr="0067297E" w:rsidRDefault="00255B16" w:rsidP="00FA273F">
            <w:pPr>
              <w:spacing w:beforeLines="20" w:before="48" w:afterLines="20" w:after="48"/>
              <w:jc w:val="center"/>
              <w:rPr>
                <w:rFonts w:asciiTheme="minorHAnsi" w:hAnsiTheme="minorHAnsi" w:cs="Arial"/>
                <w:b/>
                <w:bCs/>
                <w:sz w:val="20"/>
                <w:szCs w:val="20"/>
              </w:rPr>
            </w:pPr>
            <w:r w:rsidRPr="0067297E">
              <w:rPr>
                <w:rFonts w:asciiTheme="minorHAnsi" w:hAnsiTheme="minorHAnsi" w:cs="Arial"/>
                <w:b/>
                <w:bCs/>
                <w:sz w:val="20"/>
                <w:szCs w:val="20"/>
              </w:rPr>
              <w:t>2,</w:t>
            </w:r>
            <w:r w:rsidR="00574333">
              <w:rPr>
                <w:rFonts w:asciiTheme="minorHAnsi" w:hAnsiTheme="minorHAnsi" w:cs="Arial"/>
                <w:b/>
                <w:bCs/>
                <w:sz w:val="20"/>
                <w:szCs w:val="20"/>
              </w:rPr>
              <w:t>779</w:t>
            </w:r>
          </w:p>
        </w:tc>
      </w:tr>
      <w:tr w:rsidR="008043C3" w:rsidRPr="0067297E" w14:paraId="7F4D679A" w14:textId="77777777" w:rsidTr="00FD02D8">
        <w:tc>
          <w:tcPr>
            <w:tcW w:w="368" w:type="pct"/>
            <w:shd w:val="clear" w:color="auto" w:fill="auto"/>
            <w:noWrap/>
            <w:vAlign w:val="center"/>
            <w:hideMark/>
          </w:tcPr>
          <w:p w14:paraId="32CCF960"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3.6</w:t>
            </w:r>
          </w:p>
        </w:tc>
        <w:tc>
          <w:tcPr>
            <w:tcW w:w="2153" w:type="pct"/>
            <w:shd w:val="clear" w:color="auto" w:fill="auto"/>
            <w:vAlign w:val="center"/>
            <w:hideMark/>
          </w:tcPr>
          <w:p w14:paraId="7C879E4E"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Annual supply of social re-lets (net)</w:t>
            </w:r>
          </w:p>
        </w:tc>
        <w:tc>
          <w:tcPr>
            <w:tcW w:w="1490" w:type="pct"/>
            <w:shd w:val="clear" w:color="auto" w:fill="auto"/>
            <w:vAlign w:val="center"/>
            <w:hideMark/>
          </w:tcPr>
          <w:p w14:paraId="79D10CA5" w14:textId="087F9A63"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Annual Supply (</w:t>
            </w:r>
            <w:r w:rsidR="00052027">
              <w:rPr>
                <w:rFonts w:asciiTheme="minorHAnsi" w:hAnsiTheme="minorHAnsi" w:cs="Arial"/>
                <w:sz w:val="20"/>
                <w:szCs w:val="20"/>
              </w:rPr>
              <w:t>3</w:t>
            </w:r>
            <w:r w:rsidRPr="0067297E">
              <w:rPr>
                <w:rFonts w:asciiTheme="minorHAnsi" w:hAnsiTheme="minorHAnsi" w:cs="Arial"/>
                <w:sz w:val="20"/>
                <w:szCs w:val="20"/>
              </w:rPr>
              <w:t>yr ave)</w:t>
            </w:r>
          </w:p>
        </w:tc>
        <w:tc>
          <w:tcPr>
            <w:tcW w:w="989" w:type="pct"/>
            <w:shd w:val="clear" w:color="auto" w:fill="auto"/>
            <w:noWrap/>
            <w:vAlign w:val="center"/>
          </w:tcPr>
          <w:p w14:paraId="63DF0EF3" w14:textId="2252718D" w:rsidR="008043C3" w:rsidRPr="0067297E" w:rsidRDefault="00255B16" w:rsidP="00FA273F">
            <w:pPr>
              <w:spacing w:beforeLines="20" w:before="48" w:afterLines="20" w:after="48"/>
              <w:jc w:val="center"/>
              <w:rPr>
                <w:rFonts w:asciiTheme="minorHAnsi" w:hAnsiTheme="minorHAnsi" w:cs="Arial"/>
                <w:b/>
                <w:bCs/>
                <w:sz w:val="20"/>
                <w:szCs w:val="20"/>
              </w:rPr>
            </w:pPr>
            <w:r w:rsidRPr="0067297E">
              <w:rPr>
                <w:rFonts w:asciiTheme="minorHAnsi" w:hAnsiTheme="minorHAnsi" w:cs="Arial"/>
                <w:b/>
                <w:bCs/>
                <w:sz w:val="20"/>
                <w:szCs w:val="20"/>
              </w:rPr>
              <w:t>1,</w:t>
            </w:r>
            <w:r w:rsidR="00052027">
              <w:rPr>
                <w:rFonts w:asciiTheme="minorHAnsi" w:hAnsiTheme="minorHAnsi" w:cs="Arial"/>
                <w:b/>
                <w:bCs/>
                <w:sz w:val="20"/>
                <w:szCs w:val="20"/>
              </w:rPr>
              <w:t>388</w:t>
            </w:r>
          </w:p>
        </w:tc>
      </w:tr>
      <w:tr w:rsidR="008043C3" w:rsidRPr="0067297E" w14:paraId="530A1658" w14:textId="77777777" w:rsidTr="00FD02D8">
        <w:tc>
          <w:tcPr>
            <w:tcW w:w="368" w:type="pct"/>
            <w:shd w:val="clear" w:color="auto" w:fill="auto"/>
            <w:noWrap/>
            <w:vAlign w:val="center"/>
            <w:hideMark/>
          </w:tcPr>
          <w:p w14:paraId="578C6B4A"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3.7</w:t>
            </w:r>
          </w:p>
        </w:tc>
        <w:tc>
          <w:tcPr>
            <w:tcW w:w="2153" w:type="pct"/>
            <w:shd w:val="clear" w:color="auto" w:fill="auto"/>
            <w:vAlign w:val="center"/>
            <w:hideMark/>
          </w:tcPr>
          <w:p w14:paraId="40FCE8E6"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Annual supply of intermediate affordable housing available for re-let or resale at sub-market levels</w:t>
            </w:r>
          </w:p>
        </w:tc>
        <w:tc>
          <w:tcPr>
            <w:tcW w:w="1490" w:type="pct"/>
            <w:shd w:val="clear" w:color="auto" w:fill="auto"/>
            <w:vAlign w:val="center"/>
            <w:hideMark/>
          </w:tcPr>
          <w:p w14:paraId="417F926D"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Annual Supply (3yr ave)</w:t>
            </w:r>
          </w:p>
        </w:tc>
        <w:tc>
          <w:tcPr>
            <w:tcW w:w="989" w:type="pct"/>
            <w:shd w:val="clear" w:color="auto" w:fill="auto"/>
            <w:noWrap/>
            <w:vAlign w:val="center"/>
          </w:tcPr>
          <w:p w14:paraId="56213564" w14:textId="1FBA4C08" w:rsidR="008043C3" w:rsidRPr="0067297E" w:rsidRDefault="000730C8" w:rsidP="00FA273F">
            <w:pPr>
              <w:spacing w:beforeLines="20" w:before="48" w:afterLines="20" w:after="48"/>
              <w:jc w:val="center"/>
              <w:rPr>
                <w:rFonts w:asciiTheme="minorHAnsi" w:hAnsiTheme="minorHAnsi" w:cs="Arial"/>
                <w:b/>
                <w:bCs/>
                <w:sz w:val="20"/>
                <w:szCs w:val="20"/>
              </w:rPr>
            </w:pPr>
            <w:r>
              <w:rPr>
                <w:rFonts w:asciiTheme="minorHAnsi" w:hAnsiTheme="minorHAnsi" w:cs="Arial"/>
                <w:b/>
                <w:bCs/>
                <w:sz w:val="20"/>
                <w:szCs w:val="20"/>
              </w:rPr>
              <w:t>67</w:t>
            </w:r>
          </w:p>
        </w:tc>
      </w:tr>
      <w:tr w:rsidR="008043C3" w:rsidRPr="0067297E" w14:paraId="348C1BD8" w14:textId="77777777" w:rsidTr="00FD02D8">
        <w:tc>
          <w:tcPr>
            <w:tcW w:w="368" w:type="pct"/>
            <w:shd w:val="clear" w:color="auto" w:fill="auto"/>
            <w:noWrap/>
            <w:vAlign w:val="center"/>
            <w:hideMark/>
          </w:tcPr>
          <w:p w14:paraId="4507FFB7"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3.8</w:t>
            </w:r>
          </w:p>
        </w:tc>
        <w:tc>
          <w:tcPr>
            <w:tcW w:w="2153" w:type="pct"/>
            <w:shd w:val="clear" w:color="auto" w:fill="auto"/>
            <w:vAlign w:val="bottom"/>
            <w:hideMark/>
          </w:tcPr>
          <w:p w14:paraId="5EE9EFD6" w14:textId="77777777" w:rsidR="008043C3" w:rsidRPr="0067297E" w:rsidRDefault="008043C3" w:rsidP="00FA273F">
            <w:pPr>
              <w:spacing w:beforeLines="20" w:before="48" w:afterLines="20" w:after="48"/>
              <w:rPr>
                <w:rFonts w:asciiTheme="minorHAnsi" w:hAnsiTheme="minorHAnsi" w:cs="Arial"/>
                <w:b/>
                <w:bCs/>
                <w:sz w:val="20"/>
                <w:szCs w:val="20"/>
              </w:rPr>
            </w:pPr>
            <w:r w:rsidRPr="0067297E">
              <w:rPr>
                <w:rFonts w:asciiTheme="minorHAnsi" w:hAnsiTheme="minorHAnsi" w:cs="Arial"/>
                <w:b/>
                <w:bCs/>
                <w:sz w:val="20"/>
                <w:szCs w:val="20"/>
              </w:rPr>
              <w:t>Annual supply of affordable housing</w:t>
            </w:r>
          </w:p>
        </w:tc>
        <w:tc>
          <w:tcPr>
            <w:tcW w:w="1490" w:type="pct"/>
            <w:shd w:val="clear" w:color="auto" w:fill="auto"/>
            <w:vAlign w:val="center"/>
            <w:hideMark/>
          </w:tcPr>
          <w:p w14:paraId="4FA2D535" w14:textId="77777777" w:rsidR="008043C3" w:rsidRPr="0067297E" w:rsidRDefault="008043C3" w:rsidP="00FA273F">
            <w:pPr>
              <w:spacing w:beforeLines="20" w:before="48" w:afterLines="20" w:after="48"/>
              <w:rPr>
                <w:rFonts w:asciiTheme="minorHAnsi" w:hAnsiTheme="minorHAnsi" w:cs="Arial"/>
                <w:b/>
                <w:bCs/>
                <w:sz w:val="20"/>
                <w:szCs w:val="20"/>
              </w:rPr>
            </w:pPr>
            <w:r w:rsidRPr="0067297E">
              <w:rPr>
                <w:rFonts w:asciiTheme="minorHAnsi" w:hAnsiTheme="minorHAnsi" w:cs="Arial"/>
                <w:b/>
                <w:bCs/>
                <w:sz w:val="20"/>
                <w:szCs w:val="20"/>
              </w:rPr>
              <w:t>3.6+3.7</w:t>
            </w:r>
          </w:p>
        </w:tc>
        <w:tc>
          <w:tcPr>
            <w:tcW w:w="989" w:type="pct"/>
            <w:shd w:val="clear" w:color="auto" w:fill="auto"/>
            <w:noWrap/>
            <w:vAlign w:val="center"/>
          </w:tcPr>
          <w:p w14:paraId="34DA44BF" w14:textId="2906803F" w:rsidR="008043C3" w:rsidRPr="0067297E" w:rsidRDefault="00255B16" w:rsidP="00240A9A">
            <w:pPr>
              <w:spacing w:beforeLines="20" w:before="48" w:afterLines="20" w:after="48"/>
              <w:jc w:val="center"/>
              <w:rPr>
                <w:rFonts w:asciiTheme="minorHAnsi" w:hAnsiTheme="minorHAnsi" w:cs="Arial"/>
                <w:b/>
                <w:bCs/>
                <w:sz w:val="20"/>
                <w:szCs w:val="20"/>
              </w:rPr>
            </w:pPr>
            <w:r w:rsidRPr="0067297E">
              <w:rPr>
                <w:rFonts w:asciiTheme="minorHAnsi" w:hAnsiTheme="minorHAnsi" w:cs="Arial"/>
                <w:b/>
                <w:bCs/>
                <w:sz w:val="20"/>
                <w:szCs w:val="20"/>
              </w:rPr>
              <w:t>1,</w:t>
            </w:r>
            <w:r w:rsidR="00052027">
              <w:rPr>
                <w:rFonts w:asciiTheme="minorHAnsi" w:hAnsiTheme="minorHAnsi" w:cs="Arial"/>
                <w:b/>
                <w:bCs/>
                <w:sz w:val="20"/>
                <w:szCs w:val="20"/>
              </w:rPr>
              <w:t>455</w:t>
            </w:r>
          </w:p>
        </w:tc>
      </w:tr>
      <w:tr w:rsidR="008043C3" w:rsidRPr="0067297E" w14:paraId="05BDEAC8" w14:textId="77777777" w:rsidTr="008043C3">
        <w:tc>
          <w:tcPr>
            <w:tcW w:w="5000" w:type="pct"/>
            <w:gridSpan w:val="4"/>
            <w:shd w:val="clear" w:color="auto" w:fill="auto"/>
            <w:noWrap/>
            <w:vAlign w:val="bottom"/>
            <w:hideMark/>
          </w:tcPr>
          <w:p w14:paraId="7E14F9BE" w14:textId="77777777" w:rsidR="008043C3" w:rsidRPr="0067297E" w:rsidRDefault="008043C3" w:rsidP="00FA273F">
            <w:pPr>
              <w:spacing w:beforeLines="20" w:before="48" w:afterLines="20" w:after="48"/>
              <w:rPr>
                <w:rFonts w:asciiTheme="minorHAnsi" w:hAnsiTheme="minorHAnsi" w:cs="Arial"/>
                <w:b/>
                <w:bCs/>
                <w:sz w:val="22"/>
                <w:szCs w:val="20"/>
              </w:rPr>
            </w:pPr>
            <w:r w:rsidRPr="0067297E">
              <w:rPr>
                <w:rFonts w:asciiTheme="minorHAnsi" w:hAnsiTheme="minorHAnsi" w:cs="Arial"/>
                <w:b/>
                <w:bCs/>
                <w:sz w:val="22"/>
                <w:szCs w:val="20"/>
              </w:rPr>
              <w:t>Stage 4: ESTIMATE OF ANNUAL HOUSING NEED</w:t>
            </w:r>
          </w:p>
        </w:tc>
      </w:tr>
      <w:tr w:rsidR="008043C3" w:rsidRPr="0067297E" w14:paraId="52D0EA5F" w14:textId="77777777" w:rsidTr="00FD02D8">
        <w:tc>
          <w:tcPr>
            <w:tcW w:w="368" w:type="pct"/>
            <w:shd w:val="clear" w:color="auto" w:fill="auto"/>
            <w:noWrap/>
            <w:vAlign w:val="bottom"/>
            <w:hideMark/>
          </w:tcPr>
          <w:p w14:paraId="61E4BEC4"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4.1</w:t>
            </w:r>
          </w:p>
        </w:tc>
        <w:tc>
          <w:tcPr>
            <w:tcW w:w="2153" w:type="pct"/>
            <w:shd w:val="clear" w:color="auto" w:fill="auto"/>
            <w:vAlign w:val="center"/>
            <w:hideMark/>
          </w:tcPr>
          <w:p w14:paraId="1F774351"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 xml:space="preserve">Total backlog need </w:t>
            </w:r>
          </w:p>
        </w:tc>
        <w:tc>
          <w:tcPr>
            <w:tcW w:w="1490" w:type="pct"/>
            <w:shd w:val="clear" w:color="auto" w:fill="auto"/>
            <w:noWrap/>
            <w:vAlign w:val="center"/>
            <w:hideMark/>
          </w:tcPr>
          <w:p w14:paraId="3D5E334C" w14:textId="77777777" w:rsidR="008043C3" w:rsidRPr="0067297E" w:rsidRDefault="00A435C0"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1.1</w:t>
            </w:r>
            <w:r w:rsidR="008043C3" w:rsidRPr="0067297E">
              <w:rPr>
                <w:rFonts w:asciiTheme="minorHAnsi" w:hAnsiTheme="minorHAnsi" w:cs="Arial"/>
                <w:sz w:val="20"/>
                <w:szCs w:val="20"/>
              </w:rPr>
              <w:t>-3.5</w:t>
            </w:r>
          </w:p>
        </w:tc>
        <w:tc>
          <w:tcPr>
            <w:tcW w:w="989" w:type="pct"/>
            <w:shd w:val="clear" w:color="auto" w:fill="auto"/>
            <w:noWrap/>
            <w:vAlign w:val="center"/>
          </w:tcPr>
          <w:p w14:paraId="61E2BF47" w14:textId="412ED1E5" w:rsidR="008043C3" w:rsidRPr="0067297E" w:rsidRDefault="00574333" w:rsidP="00FA273F">
            <w:pPr>
              <w:spacing w:beforeLines="20" w:before="48" w:afterLines="20" w:after="48"/>
              <w:jc w:val="center"/>
              <w:rPr>
                <w:rFonts w:asciiTheme="minorHAnsi" w:hAnsiTheme="minorHAnsi" w:cs="Arial"/>
                <w:b/>
                <w:bCs/>
                <w:sz w:val="20"/>
                <w:szCs w:val="20"/>
              </w:rPr>
            </w:pPr>
            <w:r>
              <w:rPr>
                <w:rFonts w:asciiTheme="minorHAnsi" w:hAnsiTheme="minorHAnsi" w:cs="Arial"/>
                <w:b/>
                <w:bCs/>
                <w:sz w:val="20"/>
                <w:szCs w:val="20"/>
              </w:rPr>
              <w:t>6,986</w:t>
            </w:r>
          </w:p>
        </w:tc>
      </w:tr>
      <w:tr w:rsidR="008043C3" w:rsidRPr="0067297E" w14:paraId="01BCDCD3" w14:textId="77777777" w:rsidTr="00FD02D8">
        <w:tc>
          <w:tcPr>
            <w:tcW w:w="368" w:type="pct"/>
            <w:shd w:val="clear" w:color="auto" w:fill="auto"/>
            <w:noWrap/>
            <w:vAlign w:val="bottom"/>
            <w:hideMark/>
          </w:tcPr>
          <w:p w14:paraId="33BC27B6"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4.2</w:t>
            </w:r>
          </w:p>
        </w:tc>
        <w:tc>
          <w:tcPr>
            <w:tcW w:w="2153" w:type="pct"/>
            <w:shd w:val="clear" w:color="auto" w:fill="auto"/>
            <w:vAlign w:val="center"/>
            <w:hideMark/>
          </w:tcPr>
          <w:p w14:paraId="544C4BDB"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 xml:space="preserve">Quota to reduce over </w:t>
            </w:r>
            <w:r w:rsidR="004B7836" w:rsidRPr="0067297E">
              <w:rPr>
                <w:rFonts w:asciiTheme="minorHAnsi" w:hAnsiTheme="minorHAnsi" w:cs="Arial"/>
                <w:sz w:val="20"/>
                <w:szCs w:val="20"/>
              </w:rPr>
              <w:t>Plan Period (5</w:t>
            </w:r>
            <w:r w:rsidRPr="0067297E">
              <w:rPr>
                <w:rFonts w:asciiTheme="minorHAnsi" w:hAnsiTheme="minorHAnsi" w:cs="Arial"/>
                <w:sz w:val="20"/>
                <w:szCs w:val="20"/>
              </w:rPr>
              <w:t>%)</w:t>
            </w:r>
          </w:p>
        </w:tc>
        <w:tc>
          <w:tcPr>
            <w:tcW w:w="1490" w:type="pct"/>
            <w:shd w:val="clear" w:color="auto" w:fill="auto"/>
            <w:noWrap/>
            <w:vAlign w:val="center"/>
            <w:hideMark/>
          </w:tcPr>
          <w:p w14:paraId="0E06E921"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 </w:t>
            </w:r>
          </w:p>
        </w:tc>
        <w:tc>
          <w:tcPr>
            <w:tcW w:w="989" w:type="pct"/>
            <w:shd w:val="clear" w:color="auto" w:fill="auto"/>
            <w:noWrap/>
            <w:vAlign w:val="center"/>
          </w:tcPr>
          <w:p w14:paraId="3A2A3EED" w14:textId="77777777" w:rsidR="008043C3" w:rsidRPr="0067297E" w:rsidRDefault="00AA3E30" w:rsidP="00FA273F">
            <w:pPr>
              <w:spacing w:beforeLines="20" w:before="48" w:afterLines="20" w:after="48"/>
              <w:jc w:val="center"/>
              <w:rPr>
                <w:rFonts w:asciiTheme="minorHAnsi" w:hAnsiTheme="minorHAnsi" w:cs="Arial"/>
                <w:b/>
                <w:bCs/>
                <w:sz w:val="20"/>
                <w:szCs w:val="20"/>
              </w:rPr>
            </w:pPr>
            <w:r w:rsidRPr="0067297E">
              <w:rPr>
                <w:rFonts w:asciiTheme="minorHAnsi" w:hAnsiTheme="minorHAnsi" w:cs="Arial"/>
                <w:b/>
                <w:bCs/>
                <w:sz w:val="20"/>
                <w:szCs w:val="20"/>
              </w:rPr>
              <w:t>20</w:t>
            </w:r>
            <w:r w:rsidR="008043C3" w:rsidRPr="0067297E">
              <w:rPr>
                <w:rFonts w:asciiTheme="minorHAnsi" w:hAnsiTheme="minorHAnsi" w:cs="Arial"/>
                <w:b/>
                <w:bCs/>
                <w:sz w:val="20"/>
                <w:szCs w:val="20"/>
              </w:rPr>
              <w:t>%</w:t>
            </w:r>
          </w:p>
        </w:tc>
      </w:tr>
      <w:tr w:rsidR="008043C3" w:rsidRPr="0067297E" w14:paraId="6E3D6283" w14:textId="77777777" w:rsidTr="00FD02D8">
        <w:tc>
          <w:tcPr>
            <w:tcW w:w="368" w:type="pct"/>
            <w:shd w:val="clear" w:color="auto" w:fill="auto"/>
            <w:noWrap/>
            <w:vAlign w:val="bottom"/>
            <w:hideMark/>
          </w:tcPr>
          <w:p w14:paraId="45702C25"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4.3</w:t>
            </w:r>
          </w:p>
        </w:tc>
        <w:tc>
          <w:tcPr>
            <w:tcW w:w="2153" w:type="pct"/>
            <w:shd w:val="clear" w:color="auto" w:fill="auto"/>
            <w:vAlign w:val="center"/>
            <w:hideMark/>
          </w:tcPr>
          <w:p w14:paraId="7B5A68B3"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Annual backlog reduction</w:t>
            </w:r>
          </w:p>
        </w:tc>
        <w:tc>
          <w:tcPr>
            <w:tcW w:w="1490" w:type="pct"/>
            <w:shd w:val="clear" w:color="auto" w:fill="auto"/>
            <w:noWrap/>
            <w:vAlign w:val="center"/>
            <w:hideMark/>
          </w:tcPr>
          <w:p w14:paraId="659515CB" w14:textId="77777777" w:rsidR="00DC1742" w:rsidRPr="0067297E" w:rsidRDefault="00DC1742"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4.1 x 4.2</w:t>
            </w:r>
          </w:p>
          <w:p w14:paraId="566F8307"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Annual requirement</w:t>
            </w:r>
          </w:p>
        </w:tc>
        <w:tc>
          <w:tcPr>
            <w:tcW w:w="989" w:type="pct"/>
            <w:shd w:val="clear" w:color="auto" w:fill="auto"/>
            <w:noWrap/>
            <w:vAlign w:val="center"/>
          </w:tcPr>
          <w:p w14:paraId="0F0281E2" w14:textId="3C3702E7" w:rsidR="008043C3" w:rsidRPr="0067297E" w:rsidRDefault="00255B16" w:rsidP="00FA273F">
            <w:pPr>
              <w:spacing w:beforeLines="20" w:before="48" w:afterLines="20" w:after="48"/>
              <w:jc w:val="center"/>
              <w:rPr>
                <w:rFonts w:asciiTheme="minorHAnsi" w:hAnsiTheme="minorHAnsi" w:cs="Arial"/>
                <w:b/>
                <w:bCs/>
                <w:sz w:val="20"/>
                <w:szCs w:val="20"/>
              </w:rPr>
            </w:pPr>
            <w:r w:rsidRPr="0067297E">
              <w:rPr>
                <w:rFonts w:asciiTheme="minorHAnsi" w:hAnsiTheme="minorHAnsi" w:cs="Arial"/>
                <w:b/>
                <w:bCs/>
                <w:sz w:val="20"/>
                <w:szCs w:val="20"/>
              </w:rPr>
              <w:t>1,</w:t>
            </w:r>
            <w:r w:rsidR="00574333">
              <w:rPr>
                <w:rFonts w:asciiTheme="minorHAnsi" w:hAnsiTheme="minorHAnsi" w:cs="Arial"/>
                <w:b/>
                <w:bCs/>
                <w:sz w:val="20"/>
                <w:szCs w:val="20"/>
              </w:rPr>
              <w:t>397</w:t>
            </w:r>
          </w:p>
        </w:tc>
      </w:tr>
      <w:tr w:rsidR="008043C3" w:rsidRPr="0067297E" w14:paraId="4104405C" w14:textId="77777777" w:rsidTr="00FD02D8">
        <w:tc>
          <w:tcPr>
            <w:tcW w:w="368" w:type="pct"/>
            <w:shd w:val="clear" w:color="auto" w:fill="auto"/>
            <w:noWrap/>
            <w:vAlign w:val="bottom"/>
            <w:hideMark/>
          </w:tcPr>
          <w:p w14:paraId="43F92A42" w14:textId="2371F8CB"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4.4</w:t>
            </w:r>
          </w:p>
        </w:tc>
        <w:tc>
          <w:tcPr>
            <w:tcW w:w="2153" w:type="pct"/>
            <w:shd w:val="clear" w:color="auto" w:fill="auto"/>
            <w:vAlign w:val="center"/>
            <w:hideMark/>
          </w:tcPr>
          <w:p w14:paraId="48D70AC1"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 xml:space="preserve">Newly-arising need </w:t>
            </w:r>
          </w:p>
        </w:tc>
        <w:tc>
          <w:tcPr>
            <w:tcW w:w="1490" w:type="pct"/>
            <w:shd w:val="clear" w:color="auto" w:fill="auto"/>
            <w:noWrap/>
            <w:vAlign w:val="center"/>
            <w:hideMark/>
          </w:tcPr>
          <w:p w14:paraId="7CC473B6"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2.4</w:t>
            </w:r>
          </w:p>
        </w:tc>
        <w:tc>
          <w:tcPr>
            <w:tcW w:w="989" w:type="pct"/>
            <w:shd w:val="clear" w:color="auto" w:fill="auto"/>
            <w:noWrap/>
            <w:vAlign w:val="center"/>
          </w:tcPr>
          <w:p w14:paraId="17981903" w14:textId="2577210D" w:rsidR="008043C3" w:rsidRPr="0067297E" w:rsidRDefault="000730C8" w:rsidP="00FA273F">
            <w:pPr>
              <w:spacing w:beforeLines="20" w:before="48" w:afterLines="20" w:after="48"/>
              <w:jc w:val="center"/>
              <w:rPr>
                <w:rFonts w:asciiTheme="minorHAnsi" w:hAnsiTheme="minorHAnsi" w:cs="Arial"/>
                <w:b/>
                <w:bCs/>
                <w:sz w:val="20"/>
                <w:szCs w:val="20"/>
              </w:rPr>
            </w:pPr>
            <w:r>
              <w:rPr>
                <w:rFonts w:asciiTheme="minorHAnsi" w:hAnsiTheme="minorHAnsi" w:cs="Arial"/>
                <w:b/>
                <w:bCs/>
                <w:sz w:val="20"/>
                <w:szCs w:val="20"/>
              </w:rPr>
              <w:t>1,6</w:t>
            </w:r>
            <w:r w:rsidR="00052027">
              <w:rPr>
                <w:rFonts w:asciiTheme="minorHAnsi" w:hAnsiTheme="minorHAnsi" w:cs="Arial"/>
                <w:b/>
                <w:bCs/>
                <w:sz w:val="20"/>
                <w:szCs w:val="20"/>
              </w:rPr>
              <w:t>22</w:t>
            </w:r>
          </w:p>
        </w:tc>
      </w:tr>
      <w:tr w:rsidR="008043C3" w:rsidRPr="0067297E" w14:paraId="11245042" w14:textId="77777777" w:rsidTr="00FD02D8">
        <w:tc>
          <w:tcPr>
            <w:tcW w:w="368" w:type="pct"/>
            <w:shd w:val="clear" w:color="auto" w:fill="auto"/>
            <w:noWrap/>
            <w:vAlign w:val="bottom"/>
            <w:hideMark/>
          </w:tcPr>
          <w:p w14:paraId="5B25F312"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4.5</w:t>
            </w:r>
          </w:p>
        </w:tc>
        <w:tc>
          <w:tcPr>
            <w:tcW w:w="2153" w:type="pct"/>
            <w:shd w:val="clear" w:color="auto" w:fill="auto"/>
            <w:vAlign w:val="center"/>
            <w:hideMark/>
          </w:tcPr>
          <w:p w14:paraId="59EAD7B9"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 xml:space="preserve">Total annual affordable need </w:t>
            </w:r>
          </w:p>
        </w:tc>
        <w:tc>
          <w:tcPr>
            <w:tcW w:w="1490" w:type="pct"/>
            <w:shd w:val="clear" w:color="auto" w:fill="auto"/>
            <w:noWrap/>
            <w:vAlign w:val="center"/>
            <w:hideMark/>
          </w:tcPr>
          <w:p w14:paraId="2162BA69"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4.3+4.4</w:t>
            </w:r>
          </w:p>
        </w:tc>
        <w:tc>
          <w:tcPr>
            <w:tcW w:w="989" w:type="pct"/>
            <w:shd w:val="clear" w:color="auto" w:fill="auto"/>
            <w:noWrap/>
            <w:vAlign w:val="center"/>
          </w:tcPr>
          <w:p w14:paraId="63961EB1" w14:textId="663BADFC" w:rsidR="008043C3" w:rsidRPr="0067297E" w:rsidRDefault="000730C8" w:rsidP="00FA273F">
            <w:pPr>
              <w:spacing w:beforeLines="20" w:before="48" w:afterLines="20" w:after="48"/>
              <w:jc w:val="center"/>
              <w:rPr>
                <w:rFonts w:asciiTheme="minorHAnsi" w:hAnsiTheme="minorHAnsi" w:cs="Arial"/>
                <w:b/>
                <w:bCs/>
                <w:sz w:val="20"/>
                <w:szCs w:val="20"/>
              </w:rPr>
            </w:pPr>
            <w:r>
              <w:rPr>
                <w:rFonts w:asciiTheme="minorHAnsi" w:hAnsiTheme="minorHAnsi" w:cs="Arial"/>
                <w:b/>
                <w:bCs/>
                <w:sz w:val="20"/>
                <w:szCs w:val="20"/>
              </w:rPr>
              <w:t>3,</w:t>
            </w:r>
            <w:r w:rsidR="00052027">
              <w:rPr>
                <w:rFonts w:asciiTheme="minorHAnsi" w:hAnsiTheme="minorHAnsi" w:cs="Arial"/>
                <w:b/>
                <w:bCs/>
                <w:sz w:val="20"/>
                <w:szCs w:val="20"/>
              </w:rPr>
              <w:t>0</w:t>
            </w:r>
            <w:r w:rsidR="00574333">
              <w:rPr>
                <w:rFonts w:asciiTheme="minorHAnsi" w:hAnsiTheme="minorHAnsi" w:cs="Arial"/>
                <w:b/>
                <w:bCs/>
                <w:sz w:val="20"/>
                <w:szCs w:val="20"/>
              </w:rPr>
              <w:t>19</w:t>
            </w:r>
          </w:p>
        </w:tc>
      </w:tr>
      <w:tr w:rsidR="008043C3" w:rsidRPr="0067297E" w14:paraId="5DD89CB3" w14:textId="77777777" w:rsidTr="00FD02D8">
        <w:tc>
          <w:tcPr>
            <w:tcW w:w="368" w:type="pct"/>
            <w:shd w:val="clear" w:color="auto" w:fill="auto"/>
            <w:noWrap/>
            <w:vAlign w:val="bottom"/>
            <w:hideMark/>
          </w:tcPr>
          <w:p w14:paraId="3927B34B"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4.6</w:t>
            </w:r>
          </w:p>
        </w:tc>
        <w:tc>
          <w:tcPr>
            <w:tcW w:w="2153" w:type="pct"/>
            <w:shd w:val="clear" w:color="auto" w:fill="auto"/>
            <w:vAlign w:val="center"/>
            <w:hideMark/>
          </w:tcPr>
          <w:p w14:paraId="43160A61"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 xml:space="preserve">Annual </w:t>
            </w:r>
            <w:r w:rsidR="00A435C0" w:rsidRPr="0067297E">
              <w:rPr>
                <w:rFonts w:asciiTheme="minorHAnsi" w:hAnsiTheme="minorHAnsi" w:cs="Arial"/>
                <w:sz w:val="20"/>
                <w:szCs w:val="20"/>
              </w:rPr>
              <w:t>affordable</w:t>
            </w:r>
            <w:r w:rsidRPr="0067297E">
              <w:rPr>
                <w:rFonts w:asciiTheme="minorHAnsi" w:hAnsiTheme="minorHAnsi" w:cs="Arial"/>
                <w:sz w:val="20"/>
                <w:szCs w:val="20"/>
              </w:rPr>
              <w:t xml:space="preserve"> capacity </w:t>
            </w:r>
          </w:p>
        </w:tc>
        <w:tc>
          <w:tcPr>
            <w:tcW w:w="1490" w:type="pct"/>
            <w:shd w:val="clear" w:color="auto" w:fill="auto"/>
            <w:noWrap/>
            <w:vAlign w:val="center"/>
            <w:hideMark/>
          </w:tcPr>
          <w:p w14:paraId="3F9905AD" w14:textId="77777777" w:rsidR="008043C3" w:rsidRPr="0067297E" w:rsidRDefault="008043C3" w:rsidP="00FA273F">
            <w:pPr>
              <w:spacing w:beforeLines="20" w:before="48" w:afterLines="20" w:after="48"/>
              <w:rPr>
                <w:rFonts w:asciiTheme="minorHAnsi" w:hAnsiTheme="minorHAnsi" w:cs="Arial"/>
                <w:sz w:val="20"/>
                <w:szCs w:val="20"/>
              </w:rPr>
            </w:pPr>
            <w:r w:rsidRPr="0067297E">
              <w:rPr>
                <w:rFonts w:asciiTheme="minorHAnsi" w:hAnsiTheme="minorHAnsi" w:cs="Arial"/>
                <w:sz w:val="20"/>
                <w:szCs w:val="20"/>
              </w:rPr>
              <w:t>3.8</w:t>
            </w:r>
          </w:p>
        </w:tc>
        <w:tc>
          <w:tcPr>
            <w:tcW w:w="989" w:type="pct"/>
            <w:shd w:val="clear" w:color="auto" w:fill="auto"/>
            <w:noWrap/>
            <w:vAlign w:val="center"/>
          </w:tcPr>
          <w:p w14:paraId="6C7BA0E7" w14:textId="6BCCE72C" w:rsidR="008043C3" w:rsidRPr="0067297E" w:rsidRDefault="00255B16" w:rsidP="00FA273F">
            <w:pPr>
              <w:spacing w:beforeLines="20" w:before="48" w:afterLines="20" w:after="48"/>
              <w:jc w:val="center"/>
              <w:rPr>
                <w:rFonts w:asciiTheme="minorHAnsi" w:hAnsiTheme="minorHAnsi" w:cs="Arial"/>
                <w:b/>
                <w:bCs/>
                <w:sz w:val="20"/>
                <w:szCs w:val="20"/>
              </w:rPr>
            </w:pPr>
            <w:r w:rsidRPr="0067297E">
              <w:rPr>
                <w:rFonts w:asciiTheme="minorHAnsi" w:hAnsiTheme="minorHAnsi" w:cs="Arial"/>
                <w:b/>
                <w:bCs/>
                <w:sz w:val="20"/>
                <w:szCs w:val="20"/>
              </w:rPr>
              <w:t>1,</w:t>
            </w:r>
            <w:r w:rsidR="00052027">
              <w:rPr>
                <w:rFonts w:asciiTheme="minorHAnsi" w:hAnsiTheme="minorHAnsi" w:cs="Arial"/>
                <w:b/>
                <w:bCs/>
                <w:sz w:val="20"/>
                <w:szCs w:val="20"/>
              </w:rPr>
              <w:t>455</w:t>
            </w:r>
          </w:p>
        </w:tc>
      </w:tr>
      <w:tr w:rsidR="008043C3" w:rsidRPr="0067297E" w14:paraId="672D02CC" w14:textId="77777777" w:rsidTr="00FD02D8">
        <w:tc>
          <w:tcPr>
            <w:tcW w:w="368" w:type="pct"/>
            <w:shd w:val="clear" w:color="auto" w:fill="auto"/>
            <w:noWrap/>
            <w:vAlign w:val="bottom"/>
            <w:hideMark/>
          </w:tcPr>
          <w:p w14:paraId="5A0076B0" w14:textId="77777777" w:rsidR="008043C3" w:rsidRPr="0067297E" w:rsidRDefault="008043C3" w:rsidP="00FA273F">
            <w:pPr>
              <w:spacing w:beforeLines="20" w:before="48" w:afterLines="20" w:after="48"/>
              <w:jc w:val="center"/>
              <w:rPr>
                <w:rFonts w:asciiTheme="minorHAnsi" w:hAnsiTheme="minorHAnsi" w:cs="Arial"/>
                <w:sz w:val="20"/>
                <w:szCs w:val="20"/>
              </w:rPr>
            </w:pPr>
            <w:r w:rsidRPr="0067297E">
              <w:rPr>
                <w:rFonts w:asciiTheme="minorHAnsi" w:hAnsiTheme="minorHAnsi" w:cs="Arial"/>
                <w:sz w:val="20"/>
                <w:szCs w:val="20"/>
              </w:rPr>
              <w:t>4.7</w:t>
            </w:r>
          </w:p>
        </w:tc>
        <w:tc>
          <w:tcPr>
            <w:tcW w:w="2153" w:type="pct"/>
            <w:shd w:val="clear" w:color="auto" w:fill="auto"/>
            <w:vAlign w:val="bottom"/>
            <w:hideMark/>
          </w:tcPr>
          <w:p w14:paraId="5ED61AD9" w14:textId="4382C3DF" w:rsidR="008043C3" w:rsidRPr="0067297E" w:rsidRDefault="008043C3" w:rsidP="00FA273F">
            <w:pPr>
              <w:spacing w:beforeLines="20" w:before="48" w:afterLines="20" w:after="48"/>
              <w:rPr>
                <w:rFonts w:asciiTheme="minorHAnsi" w:hAnsiTheme="minorHAnsi" w:cs="Arial"/>
                <w:b/>
                <w:bCs/>
                <w:sz w:val="20"/>
                <w:szCs w:val="20"/>
              </w:rPr>
            </w:pPr>
            <w:r w:rsidRPr="0067297E">
              <w:rPr>
                <w:rFonts w:asciiTheme="minorHAnsi" w:hAnsiTheme="minorHAnsi" w:cs="Arial"/>
                <w:b/>
                <w:bCs/>
                <w:sz w:val="20"/>
                <w:szCs w:val="20"/>
              </w:rPr>
              <w:t xml:space="preserve">NET ANNUAL SHORTFALL </w:t>
            </w:r>
          </w:p>
        </w:tc>
        <w:tc>
          <w:tcPr>
            <w:tcW w:w="1490" w:type="pct"/>
            <w:shd w:val="clear" w:color="auto" w:fill="auto"/>
            <w:noWrap/>
            <w:vAlign w:val="center"/>
            <w:hideMark/>
          </w:tcPr>
          <w:p w14:paraId="56D0D9A9" w14:textId="61FD2C8F" w:rsidR="008043C3" w:rsidRPr="0067297E" w:rsidRDefault="008043C3" w:rsidP="00FA273F">
            <w:pPr>
              <w:spacing w:beforeLines="20" w:before="48" w:afterLines="20" w:after="48"/>
              <w:rPr>
                <w:rFonts w:asciiTheme="minorHAnsi" w:hAnsiTheme="minorHAnsi" w:cs="Arial"/>
                <w:b/>
                <w:bCs/>
                <w:sz w:val="20"/>
                <w:szCs w:val="20"/>
              </w:rPr>
            </w:pPr>
            <w:r w:rsidRPr="0067297E">
              <w:rPr>
                <w:rFonts w:asciiTheme="minorHAnsi" w:hAnsiTheme="minorHAnsi" w:cs="Arial"/>
                <w:b/>
                <w:bCs/>
                <w:sz w:val="20"/>
                <w:szCs w:val="20"/>
              </w:rPr>
              <w:t>NET</w:t>
            </w:r>
            <w:r w:rsidR="00AC4B34" w:rsidRPr="0067297E">
              <w:rPr>
                <w:rFonts w:asciiTheme="minorHAnsi" w:hAnsiTheme="minorHAnsi" w:cs="Arial"/>
                <w:b/>
                <w:bCs/>
                <w:sz w:val="20"/>
                <w:szCs w:val="20"/>
              </w:rPr>
              <w:t xml:space="preserve"> (4.5-4.6)</w:t>
            </w:r>
          </w:p>
        </w:tc>
        <w:tc>
          <w:tcPr>
            <w:tcW w:w="989" w:type="pct"/>
            <w:shd w:val="clear" w:color="auto" w:fill="auto"/>
            <w:noWrap/>
            <w:vAlign w:val="center"/>
          </w:tcPr>
          <w:p w14:paraId="253B18A4" w14:textId="18073579" w:rsidR="008043C3" w:rsidRPr="0067297E" w:rsidRDefault="000730C8" w:rsidP="00FA273F">
            <w:pPr>
              <w:spacing w:beforeLines="20" w:before="48" w:afterLines="20" w:after="48"/>
              <w:jc w:val="center"/>
              <w:rPr>
                <w:rFonts w:asciiTheme="minorHAnsi" w:hAnsiTheme="minorHAnsi" w:cs="Arial"/>
                <w:b/>
                <w:bCs/>
                <w:sz w:val="20"/>
                <w:szCs w:val="20"/>
              </w:rPr>
            </w:pPr>
            <w:r>
              <w:rPr>
                <w:rFonts w:asciiTheme="minorHAnsi" w:hAnsiTheme="minorHAnsi" w:cs="Arial"/>
                <w:b/>
                <w:bCs/>
                <w:sz w:val="20"/>
                <w:szCs w:val="20"/>
              </w:rPr>
              <w:t>1,</w:t>
            </w:r>
            <w:r w:rsidR="00574333">
              <w:rPr>
                <w:rFonts w:asciiTheme="minorHAnsi" w:hAnsiTheme="minorHAnsi" w:cs="Arial"/>
                <w:b/>
                <w:bCs/>
                <w:sz w:val="20"/>
                <w:szCs w:val="20"/>
              </w:rPr>
              <w:t>564</w:t>
            </w:r>
          </w:p>
        </w:tc>
      </w:tr>
    </w:tbl>
    <w:p w14:paraId="44D1474B" w14:textId="77777777" w:rsidR="008043C3" w:rsidRPr="0067297E" w:rsidRDefault="008043C3" w:rsidP="00543A76">
      <w:pPr>
        <w:rPr>
          <w:rFonts w:asciiTheme="minorHAnsi" w:hAnsiTheme="minorHAnsi" w:cs="Arial"/>
          <w:sz w:val="18"/>
          <w:szCs w:val="18"/>
        </w:rPr>
      </w:pPr>
      <w:r w:rsidRPr="0067297E">
        <w:rPr>
          <w:rFonts w:asciiTheme="minorHAnsi" w:hAnsiTheme="minorHAnsi" w:cs="Arial"/>
          <w:sz w:val="18"/>
          <w:szCs w:val="18"/>
        </w:rPr>
        <w:t>Source</w:t>
      </w:r>
      <w:r w:rsidR="007A1D8D" w:rsidRPr="0067297E">
        <w:rPr>
          <w:rFonts w:asciiTheme="minorHAnsi" w:hAnsiTheme="minorHAnsi" w:cs="Arial"/>
          <w:sz w:val="18"/>
          <w:szCs w:val="18"/>
        </w:rPr>
        <w:t>:</w:t>
      </w:r>
      <w:r w:rsidRPr="0067297E">
        <w:rPr>
          <w:rFonts w:asciiTheme="minorHAnsi" w:hAnsiTheme="minorHAnsi" w:cs="Arial"/>
          <w:sz w:val="18"/>
          <w:szCs w:val="18"/>
        </w:rPr>
        <w:t xml:space="preserve"> </w:t>
      </w:r>
      <w:r w:rsidR="007E3866" w:rsidRPr="0067297E">
        <w:rPr>
          <w:rFonts w:asciiTheme="minorHAnsi" w:hAnsiTheme="minorHAnsi" w:cs="Arial"/>
          <w:sz w:val="18"/>
          <w:szCs w:val="18"/>
        </w:rPr>
        <w:t xml:space="preserve">LB Lewisham Council Data, </w:t>
      </w:r>
      <w:r w:rsidRPr="0067297E">
        <w:rPr>
          <w:rFonts w:asciiTheme="minorHAnsi" w:hAnsiTheme="minorHAnsi" w:cs="Arial"/>
          <w:sz w:val="18"/>
          <w:szCs w:val="18"/>
        </w:rPr>
        <w:t>RP Core Lettings and Sales data.</w:t>
      </w:r>
    </w:p>
    <w:p w14:paraId="2AD6805D" w14:textId="77777777" w:rsidR="00C96A70" w:rsidRPr="0067297E" w:rsidRDefault="00C96A70" w:rsidP="00543A76">
      <w:pPr>
        <w:rPr>
          <w:rFonts w:asciiTheme="minorHAnsi" w:hAnsiTheme="minorHAnsi" w:cs="Arial"/>
          <w:sz w:val="18"/>
          <w:szCs w:val="18"/>
        </w:rPr>
      </w:pPr>
      <w:r w:rsidRPr="0067297E">
        <w:rPr>
          <w:rFonts w:asciiTheme="minorHAnsi" w:hAnsiTheme="minorHAnsi" w:cs="Arial"/>
          <w:sz w:val="18"/>
          <w:szCs w:val="18"/>
        </w:rPr>
        <w:t>Source: Housing Register Data, RP Core Lettings and Sales data</w:t>
      </w:r>
    </w:p>
    <w:p w14:paraId="02072C42" w14:textId="77777777" w:rsidR="00C96A70" w:rsidRPr="0067297E" w:rsidRDefault="00C96A70">
      <w:pPr>
        <w:rPr>
          <w:rFonts w:asciiTheme="minorHAnsi" w:hAnsiTheme="minorHAnsi"/>
          <w:sz w:val="18"/>
          <w:szCs w:val="18"/>
        </w:rPr>
        <w:sectPr w:rsidR="00C96A70" w:rsidRPr="0067297E" w:rsidSect="00DF121C">
          <w:headerReference w:type="default" r:id="rId97"/>
          <w:footerReference w:type="default" r:id="rId98"/>
          <w:pgSz w:w="11907" w:h="16840" w:code="9"/>
          <w:pgMar w:top="1440" w:right="1275" w:bottom="1134" w:left="1440" w:header="720" w:footer="567" w:gutter="0"/>
          <w:cols w:space="708"/>
          <w:noEndnote/>
          <w:docGrid w:linePitch="326"/>
        </w:sectPr>
      </w:pPr>
    </w:p>
    <w:p w14:paraId="0176565E" w14:textId="77777777" w:rsidR="008043C3" w:rsidRPr="0067297E" w:rsidRDefault="008043C3">
      <w:pPr>
        <w:pStyle w:val="Heading2"/>
        <w:rPr>
          <w:rFonts w:asciiTheme="minorHAnsi" w:hAnsiTheme="minorHAnsi" w:cs="Arial"/>
        </w:rPr>
      </w:pPr>
      <w:bookmarkStart w:id="532" w:name="_Toc391019041"/>
      <w:bookmarkStart w:id="533" w:name="_Toc398751107"/>
      <w:bookmarkStart w:id="534" w:name="_Toc529887282"/>
      <w:bookmarkStart w:id="535" w:name="_Toc1385800"/>
      <w:bookmarkStart w:id="536" w:name="_Toc23151117"/>
      <w:r w:rsidRPr="0067297E">
        <w:rPr>
          <w:rFonts w:asciiTheme="minorHAnsi" w:hAnsiTheme="minorHAnsi" w:cs="Arial"/>
        </w:rPr>
        <w:t xml:space="preserve">Stage 1:  </w:t>
      </w:r>
      <w:bookmarkEnd w:id="505"/>
      <w:bookmarkEnd w:id="506"/>
      <w:r w:rsidRPr="0067297E">
        <w:rPr>
          <w:rFonts w:asciiTheme="minorHAnsi" w:hAnsiTheme="minorHAnsi" w:cs="Arial"/>
        </w:rPr>
        <w:t>Current households in affordable housing need</w:t>
      </w:r>
      <w:bookmarkEnd w:id="532"/>
      <w:bookmarkEnd w:id="533"/>
      <w:bookmarkEnd w:id="534"/>
      <w:bookmarkEnd w:id="535"/>
      <w:bookmarkEnd w:id="536"/>
    </w:p>
    <w:p w14:paraId="33DBF33F" w14:textId="68BD7629" w:rsidR="008043C3" w:rsidRPr="0067297E" w:rsidRDefault="00A916E6" w:rsidP="002C70BC">
      <w:pPr>
        <w:pStyle w:val="Maintext"/>
        <w:numPr>
          <w:ilvl w:val="1"/>
          <w:numId w:val="37"/>
        </w:numPr>
        <w:rPr>
          <w:rFonts w:asciiTheme="minorHAnsi" w:hAnsiTheme="minorHAnsi" w:cs="Arial"/>
          <w:iCs/>
        </w:rPr>
      </w:pPr>
      <w:r w:rsidRPr="0067297E">
        <w:rPr>
          <w:rFonts w:asciiTheme="minorHAnsi" w:hAnsiTheme="minorHAnsi" w:cs="Arial"/>
          <w:color w:val="0B0B0B"/>
          <w:lang w:val="en-US"/>
        </w:rPr>
        <w:t>PPG 201</w:t>
      </w:r>
      <w:r w:rsidR="00E3486D">
        <w:rPr>
          <w:rFonts w:asciiTheme="minorHAnsi" w:hAnsiTheme="minorHAnsi" w:cs="Arial"/>
          <w:color w:val="0B0B0B"/>
          <w:lang w:val="en-US"/>
        </w:rPr>
        <w:t>9</w:t>
      </w:r>
      <w:r w:rsidRPr="0067297E">
        <w:rPr>
          <w:rFonts w:asciiTheme="minorHAnsi" w:hAnsiTheme="minorHAnsi" w:cs="Arial"/>
          <w:color w:val="0B0B0B"/>
          <w:lang w:val="en-US"/>
        </w:rPr>
        <w:t xml:space="preserve"> suggests</w:t>
      </w:r>
      <w:r w:rsidR="00D12B0D" w:rsidRPr="0067297E">
        <w:rPr>
          <w:rStyle w:val="FootnoteReference"/>
          <w:rFonts w:asciiTheme="minorHAnsi" w:hAnsiTheme="minorHAnsi" w:cs="Arial"/>
          <w:color w:val="0B0B0B"/>
          <w:lang w:val="en-US"/>
        </w:rPr>
        <w:footnoteReference w:id="62"/>
      </w:r>
      <w:r w:rsidRPr="0067297E">
        <w:rPr>
          <w:rFonts w:asciiTheme="minorHAnsi" w:hAnsiTheme="minorHAnsi" w:cs="Arial"/>
          <w:color w:val="0B0B0B"/>
          <w:lang w:val="en-US"/>
        </w:rPr>
        <w:t xml:space="preserve"> how current unmet gross need for affordable housing should be </w:t>
      </w:r>
      <w:r w:rsidR="008043C3" w:rsidRPr="0067297E">
        <w:rPr>
          <w:rFonts w:asciiTheme="minorHAnsi" w:hAnsiTheme="minorHAnsi" w:cs="Arial"/>
          <w:iCs/>
        </w:rPr>
        <w:t xml:space="preserve">calculated with reference to past trends and recording current estimates of: </w:t>
      </w:r>
    </w:p>
    <w:p w14:paraId="180F79FA" w14:textId="152575B4" w:rsidR="008043C3" w:rsidRPr="0067297E" w:rsidRDefault="008043C3" w:rsidP="00FA273F">
      <w:pPr>
        <w:pStyle w:val="bullet"/>
        <w:rPr>
          <w:rFonts w:asciiTheme="minorHAnsi" w:hAnsiTheme="minorHAnsi"/>
          <w:iCs/>
        </w:rPr>
      </w:pPr>
      <w:r w:rsidRPr="0067297E">
        <w:rPr>
          <w:rFonts w:asciiTheme="minorHAnsi" w:hAnsiTheme="minorHAnsi"/>
        </w:rPr>
        <w:t>the number of homeless households;</w:t>
      </w:r>
    </w:p>
    <w:p w14:paraId="24C732BE" w14:textId="20C359BF" w:rsidR="008043C3" w:rsidRPr="0067297E" w:rsidRDefault="008043C3" w:rsidP="00FA273F">
      <w:pPr>
        <w:pStyle w:val="bullet"/>
        <w:rPr>
          <w:rFonts w:asciiTheme="minorHAnsi" w:hAnsiTheme="minorHAnsi"/>
          <w:iCs/>
        </w:rPr>
      </w:pPr>
      <w:r w:rsidRPr="0067297E">
        <w:rPr>
          <w:rFonts w:asciiTheme="minorHAnsi" w:hAnsiTheme="minorHAnsi"/>
        </w:rPr>
        <w:t>the number of those in priority need who are currently housed in temporary accommodation;</w:t>
      </w:r>
    </w:p>
    <w:p w14:paraId="08F266BA" w14:textId="54050604" w:rsidR="008043C3" w:rsidRPr="0067297E" w:rsidRDefault="008043C3" w:rsidP="00FA273F">
      <w:pPr>
        <w:pStyle w:val="bullet"/>
        <w:rPr>
          <w:rFonts w:asciiTheme="minorHAnsi" w:hAnsiTheme="minorHAnsi"/>
          <w:iCs/>
        </w:rPr>
      </w:pPr>
      <w:r w:rsidRPr="0067297E">
        <w:rPr>
          <w:rFonts w:asciiTheme="minorHAnsi" w:hAnsiTheme="minorHAnsi"/>
        </w:rPr>
        <w:t>the number of households in over-crowded housing</w:t>
      </w:r>
      <w:r w:rsidR="00D12B0D" w:rsidRPr="0067297E">
        <w:rPr>
          <w:rFonts w:asciiTheme="minorHAnsi" w:hAnsiTheme="minorHAnsi"/>
        </w:rPr>
        <w:t xml:space="preserve"> </w:t>
      </w:r>
      <w:r w:rsidRPr="0067297E">
        <w:rPr>
          <w:rFonts w:asciiTheme="minorHAnsi" w:hAnsiTheme="minorHAnsi"/>
        </w:rPr>
        <w:t>;</w:t>
      </w:r>
    </w:p>
    <w:p w14:paraId="565B922C" w14:textId="262C31BD" w:rsidR="008043C3" w:rsidRPr="0067297E" w:rsidRDefault="008043C3" w:rsidP="00FA273F">
      <w:pPr>
        <w:pStyle w:val="bullet"/>
        <w:rPr>
          <w:rFonts w:asciiTheme="minorHAnsi" w:hAnsiTheme="minorHAnsi"/>
          <w:iCs/>
        </w:rPr>
      </w:pPr>
      <w:r w:rsidRPr="0067297E">
        <w:rPr>
          <w:rFonts w:asciiTheme="minorHAnsi" w:hAnsiTheme="minorHAnsi"/>
        </w:rPr>
        <w:t>the number of concealed households;</w:t>
      </w:r>
    </w:p>
    <w:p w14:paraId="120384B5" w14:textId="73AE0C8E" w:rsidR="008043C3" w:rsidRPr="0067297E" w:rsidRDefault="008043C3" w:rsidP="00FA273F">
      <w:pPr>
        <w:pStyle w:val="bullet"/>
        <w:rPr>
          <w:rFonts w:asciiTheme="minorHAnsi" w:hAnsiTheme="minorHAnsi"/>
          <w:iCs/>
        </w:rPr>
      </w:pPr>
      <w:r w:rsidRPr="0067297E">
        <w:rPr>
          <w:rFonts w:asciiTheme="minorHAnsi" w:hAnsiTheme="minorHAnsi"/>
        </w:rPr>
        <w:t>the number of existing affordable housing tenants in need (i</w:t>
      </w:r>
      <w:r w:rsidR="00793E74" w:rsidRPr="0067297E">
        <w:rPr>
          <w:rFonts w:asciiTheme="minorHAnsi" w:hAnsiTheme="minorHAnsi"/>
          <w:lang w:val="en-GB"/>
        </w:rPr>
        <w:t>.</w:t>
      </w:r>
      <w:r w:rsidRPr="0067297E">
        <w:rPr>
          <w:rFonts w:asciiTheme="minorHAnsi" w:hAnsiTheme="minorHAnsi"/>
        </w:rPr>
        <w:t>e</w:t>
      </w:r>
      <w:r w:rsidR="00793E74" w:rsidRPr="0067297E">
        <w:rPr>
          <w:rFonts w:asciiTheme="minorHAnsi" w:hAnsiTheme="minorHAnsi"/>
          <w:lang w:val="en-GB"/>
        </w:rPr>
        <w:t>.</w:t>
      </w:r>
      <w:r w:rsidRPr="0067297E">
        <w:rPr>
          <w:rFonts w:asciiTheme="minorHAnsi" w:hAnsiTheme="minorHAnsi"/>
        </w:rPr>
        <w:t xml:space="preserve"> householders currently housed in unsuitable dwellings);</w:t>
      </w:r>
    </w:p>
    <w:p w14:paraId="2C06BFF7" w14:textId="27F7002E" w:rsidR="008043C3" w:rsidRPr="0067297E" w:rsidRDefault="008043C3" w:rsidP="00FA273F">
      <w:pPr>
        <w:pStyle w:val="bullet"/>
        <w:rPr>
          <w:rFonts w:asciiTheme="minorHAnsi" w:hAnsiTheme="minorHAnsi"/>
          <w:iCs/>
        </w:rPr>
      </w:pPr>
      <w:r w:rsidRPr="0067297E">
        <w:rPr>
          <w:rFonts w:asciiTheme="minorHAnsi" w:hAnsiTheme="minorHAnsi"/>
        </w:rPr>
        <w:t>the number of households from other tenures in need and those that cannot afford their own homes</w:t>
      </w:r>
      <w:r w:rsidR="00D12B0D" w:rsidRPr="0067297E">
        <w:rPr>
          <w:rFonts w:asciiTheme="minorHAnsi" w:hAnsiTheme="minorHAnsi"/>
        </w:rPr>
        <w:t>, either to rent or to own if that is their aspiration.</w:t>
      </w:r>
    </w:p>
    <w:p w14:paraId="19FF20A7" w14:textId="16EA8D04" w:rsidR="00D12B0D" w:rsidRPr="0067297E" w:rsidRDefault="00D12B0D" w:rsidP="002C70BC">
      <w:pPr>
        <w:pStyle w:val="Maintext"/>
        <w:numPr>
          <w:ilvl w:val="1"/>
          <w:numId w:val="37"/>
        </w:numPr>
        <w:rPr>
          <w:rFonts w:asciiTheme="minorHAnsi" w:hAnsiTheme="minorHAnsi" w:cs="Arial"/>
          <w:iCs/>
        </w:rPr>
      </w:pPr>
      <w:r w:rsidRPr="0067297E">
        <w:rPr>
          <w:rFonts w:asciiTheme="minorHAnsi" w:hAnsiTheme="minorHAnsi" w:cs="Arial"/>
          <w:iCs/>
        </w:rPr>
        <w:t>PPG 201</w:t>
      </w:r>
      <w:r w:rsidR="00E3486D">
        <w:rPr>
          <w:rFonts w:asciiTheme="minorHAnsi" w:hAnsiTheme="minorHAnsi" w:cs="Arial"/>
          <w:iCs/>
          <w:lang w:val="en-US"/>
        </w:rPr>
        <w:t>9</w:t>
      </w:r>
      <w:r w:rsidRPr="0067297E">
        <w:rPr>
          <w:rFonts w:asciiTheme="minorHAnsi" w:hAnsiTheme="minorHAnsi" w:cs="Arial"/>
          <w:iCs/>
        </w:rPr>
        <w:t xml:space="preserve"> notes that care should be taken to avoid double-counting and to only include those households who cannot afford to access suitable housing in the market.</w:t>
      </w:r>
    </w:p>
    <w:p w14:paraId="6B9469CD" w14:textId="2B361D66" w:rsidR="008043C3" w:rsidRPr="0067297E" w:rsidRDefault="008043C3" w:rsidP="002C70BC">
      <w:pPr>
        <w:pStyle w:val="Maintext"/>
        <w:numPr>
          <w:ilvl w:val="1"/>
          <w:numId w:val="37"/>
        </w:numPr>
        <w:rPr>
          <w:rFonts w:asciiTheme="minorHAnsi" w:hAnsiTheme="minorHAnsi" w:cs="Arial"/>
          <w:iCs/>
        </w:rPr>
      </w:pPr>
      <w:r w:rsidRPr="0067297E">
        <w:rPr>
          <w:rFonts w:asciiTheme="minorHAnsi" w:hAnsiTheme="minorHAnsi" w:cs="Arial"/>
          <w:iCs/>
        </w:rPr>
        <w:t xml:space="preserve">Using the latest (April 2018) </w:t>
      </w:r>
      <w:r w:rsidR="00320F75" w:rsidRPr="0067297E">
        <w:rPr>
          <w:rFonts w:asciiTheme="minorHAnsi" w:hAnsiTheme="minorHAnsi" w:cs="Arial"/>
          <w:iCs/>
          <w:lang w:val="en-GB"/>
        </w:rPr>
        <w:t xml:space="preserve">Council </w:t>
      </w:r>
      <w:r w:rsidRPr="0067297E">
        <w:rPr>
          <w:rFonts w:asciiTheme="minorHAnsi" w:hAnsiTheme="minorHAnsi" w:cs="Arial"/>
          <w:iCs/>
        </w:rPr>
        <w:t>housing register data, an up to date position on the number of households in each of the above categories of need can be established (</w:t>
      </w:r>
      <w:r w:rsidR="00255B16" w:rsidRPr="0067297E">
        <w:rPr>
          <w:rFonts w:asciiTheme="minorHAnsi" w:hAnsiTheme="minorHAnsi" w:cs="Arial"/>
          <w:iCs/>
        </w:rPr>
        <w:t>Table B</w:t>
      </w:r>
      <w:r w:rsidR="00B32E87" w:rsidRPr="0067297E">
        <w:rPr>
          <w:rFonts w:asciiTheme="minorHAnsi" w:hAnsiTheme="minorHAnsi" w:cs="Arial"/>
          <w:iCs/>
          <w:lang w:val="en-GB"/>
        </w:rPr>
        <w:t>2</w:t>
      </w:r>
      <w:r w:rsidRPr="0067297E">
        <w:rPr>
          <w:rFonts w:asciiTheme="minorHAnsi" w:hAnsiTheme="minorHAnsi" w:cs="Arial"/>
          <w:iCs/>
        </w:rPr>
        <w:t>).</w:t>
      </w:r>
    </w:p>
    <w:p w14:paraId="37ABD416" w14:textId="77777777" w:rsidR="008043C3" w:rsidRPr="0067297E" w:rsidRDefault="008043C3" w:rsidP="00A04CC5">
      <w:pPr>
        <w:rPr>
          <w:rFonts w:asciiTheme="minorHAnsi" w:hAnsiTheme="minorHAnsi" w:cs="Arial"/>
          <w:b/>
          <w:iCs/>
          <w:sz w:val="20"/>
          <w:szCs w:val="20"/>
        </w:rPr>
      </w:pPr>
    </w:p>
    <w:tbl>
      <w:tblPr>
        <w:tblW w:w="4692" w:type="pct"/>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775"/>
        <w:gridCol w:w="1985"/>
        <w:gridCol w:w="1701"/>
      </w:tblGrid>
      <w:tr w:rsidR="005A70B6" w:rsidRPr="0067297E" w14:paraId="104F4093" w14:textId="77777777" w:rsidTr="00426BD8">
        <w:trPr>
          <w:trHeight w:val="285"/>
          <w:tblHeader/>
        </w:trPr>
        <w:tc>
          <w:tcPr>
            <w:tcW w:w="5000" w:type="pct"/>
            <w:gridSpan w:val="3"/>
            <w:shd w:val="clear" w:color="auto" w:fill="009999"/>
            <w:vAlign w:val="bottom"/>
          </w:tcPr>
          <w:p w14:paraId="55F41826" w14:textId="2325DB37" w:rsidR="005A70B6" w:rsidRPr="0067297E" w:rsidRDefault="00255B16" w:rsidP="001B5150">
            <w:pPr>
              <w:pStyle w:val="tableheading"/>
              <w:rPr>
                <w:rFonts w:asciiTheme="minorHAnsi" w:hAnsiTheme="minorHAnsi"/>
              </w:rPr>
            </w:pPr>
            <w:bookmarkStart w:id="537" w:name="_Toc517185845"/>
            <w:bookmarkStart w:id="538" w:name="_Toc23151203"/>
            <w:bookmarkStart w:id="539" w:name="_Toc318323465"/>
            <w:r w:rsidRPr="0067297E">
              <w:rPr>
                <w:rFonts w:asciiTheme="minorHAnsi" w:hAnsiTheme="minorHAnsi"/>
              </w:rPr>
              <w:t>Table B</w:t>
            </w:r>
            <w:r w:rsidR="00B32E87" w:rsidRPr="0067297E">
              <w:rPr>
                <w:rFonts w:asciiTheme="minorHAnsi" w:hAnsiTheme="minorHAnsi"/>
                <w:lang w:val="en-GB"/>
              </w:rPr>
              <w:t>2</w:t>
            </w:r>
            <w:r w:rsidR="00B21336" w:rsidRPr="0067297E">
              <w:rPr>
                <w:rFonts w:asciiTheme="minorHAnsi" w:hAnsiTheme="minorHAnsi"/>
              </w:rPr>
              <w:tab/>
            </w:r>
            <w:r w:rsidR="005A70B6" w:rsidRPr="0067297E">
              <w:rPr>
                <w:rFonts w:asciiTheme="minorHAnsi" w:hAnsiTheme="minorHAnsi"/>
              </w:rPr>
              <w:t>Breakdown of needs factors</w:t>
            </w:r>
            <w:bookmarkEnd w:id="537"/>
            <w:bookmarkEnd w:id="538"/>
          </w:p>
        </w:tc>
      </w:tr>
      <w:tr w:rsidR="005A70B6" w:rsidRPr="0067297E" w14:paraId="049F6D48" w14:textId="77777777" w:rsidTr="00B21336">
        <w:trPr>
          <w:trHeight w:val="285"/>
        </w:trPr>
        <w:tc>
          <w:tcPr>
            <w:tcW w:w="2822" w:type="pct"/>
            <w:shd w:val="clear" w:color="auto" w:fill="009999"/>
            <w:vAlign w:val="bottom"/>
            <w:hideMark/>
          </w:tcPr>
          <w:p w14:paraId="4B6D07EA" w14:textId="77777777" w:rsidR="005A70B6" w:rsidRPr="0067297E" w:rsidRDefault="005A70B6" w:rsidP="00B21336">
            <w:pPr>
              <w:rPr>
                <w:rFonts w:asciiTheme="minorHAnsi" w:hAnsiTheme="minorHAnsi" w:cs="Calibri"/>
                <w:b/>
                <w:bCs/>
                <w:color w:val="FFFFFF"/>
                <w:sz w:val="22"/>
                <w:szCs w:val="22"/>
              </w:rPr>
            </w:pPr>
            <w:r w:rsidRPr="0067297E">
              <w:rPr>
                <w:rFonts w:asciiTheme="minorHAnsi" w:hAnsiTheme="minorHAnsi" w:cs="Calibri"/>
                <w:b/>
                <w:bCs/>
                <w:color w:val="FFFFFF"/>
                <w:sz w:val="22"/>
                <w:szCs w:val="22"/>
              </w:rPr>
              <w:t>Factor</w:t>
            </w:r>
          </w:p>
        </w:tc>
        <w:tc>
          <w:tcPr>
            <w:tcW w:w="1173" w:type="pct"/>
            <w:shd w:val="clear" w:color="auto" w:fill="009999"/>
            <w:vAlign w:val="bottom"/>
            <w:hideMark/>
          </w:tcPr>
          <w:p w14:paraId="30D584E9" w14:textId="77777777" w:rsidR="005A70B6" w:rsidRPr="0067297E" w:rsidRDefault="005A70B6" w:rsidP="00B21336">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Number</w:t>
            </w:r>
          </w:p>
        </w:tc>
        <w:tc>
          <w:tcPr>
            <w:tcW w:w="1006" w:type="pct"/>
            <w:shd w:val="clear" w:color="auto" w:fill="009999"/>
          </w:tcPr>
          <w:p w14:paraId="0A589D83" w14:textId="77777777" w:rsidR="005A70B6" w:rsidRPr="0067297E" w:rsidRDefault="005A70B6" w:rsidP="00B21336">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w:t>
            </w:r>
          </w:p>
        </w:tc>
      </w:tr>
      <w:tr w:rsidR="005A70B6" w:rsidRPr="0067297E" w14:paraId="2973B97C" w14:textId="77777777" w:rsidTr="00B21336">
        <w:trPr>
          <w:trHeight w:val="285"/>
        </w:trPr>
        <w:tc>
          <w:tcPr>
            <w:tcW w:w="2822" w:type="pct"/>
            <w:shd w:val="clear" w:color="auto" w:fill="auto"/>
            <w:noWrap/>
            <w:vAlign w:val="bottom"/>
          </w:tcPr>
          <w:p w14:paraId="73300997" w14:textId="77777777" w:rsidR="005A70B6" w:rsidRPr="0067297E" w:rsidRDefault="005A70B6" w:rsidP="00B21336">
            <w:pPr>
              <w:rPr>
                <w:rFonts w:asciiTheme="minorHAnsi" w:hAnsiTheme="minorHAnsi" w:cs="Calibri"/>
                <w:color w:val="000000"/>
                <w:sz w:val="22"/>
                <w:szCs w:val="22"/>
              </w:rPr>
            </w:pPr>
            <w:r w:rsidRPr="0067297E">
              <w:rPr>
                <w:rFonts w:asciiTheme="minorHAnsi" w:hAnsiTheme="minorHAnsi" w:cs="Calibri"/>
                <w:color w:val="000000"/>
                <w:sz w:val="22"/>
                <w:szCs w:val="22"/>
              </w:rPr>
              <w:t xml:space="preserve">N1 Homeless Households </w:t>
            </w:r>
          </w:p>
        </w:tc>
        <w:tc>
          <w:tcPr>
            <w:tcW w:w="1173" w:type="pct"/>
            <w:shd w:val="clear" w:color="auto" w:fill="auto"/>
            <w:vAlign w:val="bottom"/>
          </w:tcPr>
          <w:p w14:paraId="14ECED07" w14:textId="77777777" w:rsidR="005A70B6" w:rsidRPr="0067297E" w:rsidRDefault="005A70B6" w:rsidP="0050310B">
            <w:pPr>
              <w:jc w:val="right"/>
              <w:rPr>
                <w:rFonts w:asciiTheme="minorHAnsi" w:hAnsiTheme="minorHAnsi" w:cs="Calibri"/>
                <w:color w:val="000000"/>
                <w:sz w:val="22"/>
                <w:szCs w:val="22"/>
              </w:rPr>
            </w:pPr>
            <w:r w:rsidRPr="0067297E">
              <w:rPr>
                <w:rFonts w:asciiTheme="minorHAnsi" w:hAnsiTheme="minorHAnsi" w:cs="Calibri"/>
                <w:color w:val="000000"/>
                <w:sz w:val="22"/>
                <w:szCs w:val="22"/>
              </w:rPr>
              <w:t>1,692</w:t>
            </w:r>
          </w:p>
        </w:tc>
        <w:tc>
          <w:tcPr>
            <w:tcW w:w="1006" w:type="pct"/>
          </w:tcPr>
          <w:p w14:paraId="604DF318" w14:textId="77777777" w:rsidR="005A70B6" w:rsidRPr="0067297E" w:rsidRDefault="005A70B6" w:rsidP="0050310B">
            <w:pPr>
              <w:jc w:val="right"/>
              <w:rPr>
                <w:rFonts w:asciiTheme="minorHAnsi" w:hAnsiTheme="minorHAnsi" w:cs="Calibri"/>
                <w:color w:val="000000"/>
                <w:sz w:val="22"/>
                <w:szCs w:val="22"/>
              </w:rPr>
            </w:pPr>
            <w:r w:rsidRPr="0067297E">
              <w:rPr>
                <w:rFonts w:asciiTheme="minorHAnsi" w:hAnsiTheme="minorHAnsi" w:cs="Calibri"/>
                <w:color w:val="000000"/>
                <w:sz w:val="22"/>
                <w:szCs w:val="22"/>
              </w:rPr>
              <w:t>17.3</w:t>
            </w:r>
          </w:p>
        </w:tc>
      </w:tr>
      <w:tr w:rsidR="005A70B6" w:rsidRPr="0067297E" w14:paraId="62367E13" w14:textId="77777777" w:rsidTr="00B21336">
        <w:trPr>
          <w:trHeight w:val="285"/>
        </w:trPr>
        <w:tc>
          <w:tcPr>
            <w:tcW w:w="2822" w:type="pct"/>
            <w:shd w:val="clear" w:color="auto" w:fill="auto"/>
            <w:noWrap/>
            <w:vAlign w:val="bottom"/>
          </w:tcPr>
          <w:p w14:paraId="579F94C0" w14:textId="2E823DF9" w:rsidR="005A70B6" w:rsidRPr="0067297E" w:rsidRDefault="005A70B6" w:rsidP="00B21336">
            <w:pPr>
              <w:rPr>
                <w:rFonts w:asciiTheme="minorHAnsi" w:hAnsiTheme="minorHAnsi" w:cs="Calibri"/>
                <w:color w:val="000000"/>
                <w:sz w:val="22"/>
                <w:szCs w:val="22"/>
              </w:rPr>
            </w:pPr>
            <w:r w:rsidRPr="0067297E">
              <w:rPr>
                <w:rFonts w:asciiTheme="minorHAnsi" w:hAnsiTheme="minorHAnsi" w:cs="Calibri"/>
                <w:color w:val="000000"/>
                <w:sz w:val="22"/>
                <w:szCs w:val="22"/>
              </w:rPr>
              <w:t xml:space="preserve">N2 </w:t>
            </w:r>
            <w:r w:rsidR="005B2517" w:rsidRPr="0067297E">
              <w:rPr>
                <w:rFonts w:asciiTheme="minorHAnsi" w:hAnsiTheme="minorHAnsi" w:cs="Calibri"/>
                <w:color w:val="000000"/>
                <w:sz w:val="22"/>
                <w:szCs w:val="22"/>
              </w:rPr>
              <w:t>Priority</w:t>
            </w:r>
            <w:r w:rsidRPr="0067297E">
              <w:rPr>
                <w:rFonts w:asciiTheme="minorHAnsi" w:hAnsiTheme="minorHAnsi" w:cs="Calibri"/>
                <w:color w:val="000000"/>
                <w:sz w:val="22"/>
                <w:szCs w:val="22"/>
              </w:rPr>
              <w:t xml:space="preserve"> need</w:t>
            </w:r>
          </w:p>
        </w:tc>
        <w:tc>
          <w:tcPr>
            <w:tcW w:w="1173" w:type="pct"/>
            <w:shd w:val="clear" w:color="auto" w:fill="auto"/>
            <w:vAlign w:val="bottom"/>
          </w:tcPr>
          <w:p w14:paraId="201A6743" w14:textId="77777777" w:rsidR="005A70B6" w:rsidRPr="0067297E" w:rsidRDefault="005A70B6" w:rsidP="0050310B">
            <w:pPr>
              <w:jc w:val="right"/>
              <w:rPr>
                <w:rFonts w:asciiTheme="minorHAnsi" w:hAnsiTheme="minorHAnsi" w:cs="Calibri"/>
                <w:color w:val="000000"/>
                <w:sz w:val="22"/>
                <w:szCs w:val="22"/>
              </w:rPr>
            </w:pPr>
            <w:r w:rsidRPr="0067297E">
              <w:rPr>
                <w:rFonts w:asciiTheme="minorHAnsi" w:hAnsiTheme="minorHAnsi" w:cs="Calibri"/>
                <w:color w:val="000000"/>
                <w:sz w:val="22"/>
                <w:szCs w:val="22"/>
              </w:rPr>
              <w:t>86</w:t>
            </w:r>
          </w:p>
        </w:tc>
        <w:tc>
          <w:tcPr>
            <w:tcW w:w="1006" w:type="pct"/>
          </w:tcPr>
          <w:p w14:paraId="2FF84331" w14:textId="77777777" w:rsidR="005A70B6" w:rsidRPr="0067297E" w:rsidRDefault="005A70B6" w:rsidP="0050310B">
            <w:pPr>
              <w:jc w:val="right"/>
              <w:rPr>
                <w:rFonts w:asciiTheme="minorHAnsi" w:hAnsiTheme="minorHAnsi" w:cs="Calibri"/>
                <w:color w:val="000000"/>
                <w:sz w:val="22"/>
                <w:szCs w:val="22"/>
              </w:rPr>
            </w:pPr>
            <w:r w:rsidRPr="0067297E">
              <w:rPr>
                <w:rFonts w:asciiTheme="minorHAnsi" w:hAnsiTheme="minorHAnsi" w:cs="Calibri"/>
                <w:color w:val="000000"/>
                <w:sz w:val="22"/>
                <w:szCs w:val="22"/>
              </w:rPr>
              <w:t>0.9</w:t>
            </w:r>
          </w:p>
        </w:tc>
      </w:tr>
      <w:tr w:rsidR="005A70B6" w:rsidRPr="0067297E" w14:paraId="5FBD398F" w14:textId="77777777" w:rsidTr="00B21336">
        <w:trPr>
          <w:trHeight w:val="285"/>
        </w:trPr>
        <w:tc>
          <w:tcPr>
            <w:tcW w:w="2822" w:type="pct"/>
            <w:shd w:val="clear" w:color="auto" w:fill="auto"/>
            <w:noWrap/>
            <w:vAlign w:val="bottom"/>
          </w:tcPr>
          <w:p w14:paraId="5F8F7F7C" w14:textId="77777777" w:rsidR="005A70B6" w:rsidRPr="0067297E" w:rsidRDefault="005A70B6" w:rsidP="00B21336">
            <w:pPr>
              <w:rPr>
                <w:rFonts w:asciiTheme="minorHAnsi" w:hAnsiTheme="minorHAnsi" w:cs="Calibri"/>
                <w:color w:val="000000"/>
                <w:sz w:val="22"/>
                <w:szCs w:val="22"/>
              </w:rPr>
            </w:pPr>
            <w:r w:rsidRPr="0067297E">
              <w:rPr>
                <w:rFonts w:asciiTheme="minorHAnsi" w:hAnsiTheme="minorHAnsi" w:cs="Calibri"/>
                <w:color w:val="000000"/>
                <w:sz w:val="22"/>
                <w:szCs w:val="22"/>
              </w:rPr>
              <w:t>N3 Overcrowded</w:t>
            </w:r>
          </w:p>
        </w:tc>
        <w:tc>
          <w:tcPr>
            <w:tcW w:w="1173" w:type="pct"/>
            <w:shd w:val="clear" w:color="auto" w:fill="auto"/>
            <w:vAlign w:val="bottom"/>
          </w:tcPr>
          <w:p w14:paraId="1F1A970F" w14:textId="77777777" w:rsidR="005A70B6" w:rsidRPr="0067297E" w:rsidRDefault="005A70B6" w:rsidP="0050310B">
            <w:pPr>
              <w:jc w:val="right"/>
              <w:rPr>
                <w:rFonts w:asciiTheme="minorHAnsi" w:hAnsiTheme="minorHAnsi" w:cs="Calibri"/>
                <w:color w:val="000000"/>
                <w:sz w:val="22"/>
                <w:szCs w:val="22"/>
              </w:rPr>
            </w:pPr>
            <w:r w:rsidRPr="0067297E">
              <w:rPr>
                <w:rFonts w:asciiTheme="minorHAnsi" w:hAnsiTheme="minorHAnsi" w:cs="Calibri"/>
                <w:color w:val="000000"/>
                <w:sz w:val="22"/>
                <w:szCs w:val="22"/>
              </w:rPr>
              <w:t>1,643</w:t>
            </w:r>
          </w:p>
        </w:tc>
        <w:tc>
          <w:tcPr>
            <w:tcW w:w="1006" w:type="pct"/>
          </w:tcPr>
          <w:p w14:paraId="5A21DA36" w14:textId="77777777" w:rsidR="005A70B6" w:rsidRPr="0067297E" w:rsidRDefault="005A70B6" w:rsidP="0050310B">
            <w:pPr>
              <w:jc w:val="right"/>
              <w:rPr>
                <w:rFonts w:asciiTheme="minorHAnsi" w:hAnsiTheme="minorHAnsi" w:cs="Calibri"/>
                <w:color w:val="000000"/>
                <w:sz w:val="22"/>
                <w:szCs w:val="22"/>
              </w:rPr>
            </w:pPr>
            <w:r w:rsidRPr="0067297E">
              <w:rPr>
                <w:rFonts w:asciiTheme="minorHAnsi" w:hAnsiTheme="minorHAnsi" w:cs="Calibri"/>
                <w:color w:val="000000"/>
                <w:sz w:val="22"/>
                <w:szCs w:val="22"/>
              </w:rPr>
              <w:t>44.6</w:t>
            </w:r>
          </w:p>
        </w:tc>
      </w:tr>
      <w:tr w:rsidR="005A70B6" w:rsidRPr="0067297E" w14:paraId="277A8226" w14:textId="77777777" w:rsidTr="00B21336">
        <w:trPr>
          <w:trHeight w:val="285"/>
        </w:trPr>
        <w:tc>
          <w:tcPr>
            <w:tcW w:w="2822" w:type="pct"/>
            <w:shd w:val="clear" w:color="auto" w:fill="auto"/>
            <w:noWrap/>
            <w:vAlign w:val="bottom"/>
          </w:tcPr>
          <w:p w14:paraId="79560B05" w14:textId="77777777" w:rsidR="005A70B6" w:rsidRPr="0067297E" w:rsidRDefault="005A70B6" w:rsidP="00B21336">
            <w:pPr>
              <w:rPr>
                <w:rFonts w:asciiTheme="minorHAnsi" w:hAnsiTheme="minorHAnsi" w:cs="Calibri"/>
                <w:color w:val="000000"/>
                <w:sz w:val="22"/>
                <w:szCs w:val="22"/>
              </w:rPr>
            </w:pPr>
            <w:r w:rsidRPr="0067297E">
              <w:rPr>
                <w:rFonts w:asciiTheme="minorHAnsi" w:hAnsiTheme="minorHAnsi" w:cs="Calibri"/>
                <w:color w:val="000000"/>
                <w:sz w:val="22"/>
                <w:szCs w:val="22"/>
              </w:rPr>
              <w:t xml:space="preserve">N4 Concealed households </w:t>
            </w:r>
          </w:p>
        </w:tc>
        <w:tc>
          <w:tcPr>
            <w:tcW w:w="1173" w:type="pct"/>
            <w:shd w:val="clear" w:color="auto" w:fill="auto"/>
            <w:vAlign w:val="bottom"/>
          </w:tcPr>
          <w:p w14:paraId="74F1CA7B" w14:textId="77777777" w:rsidR="005A70B6" w:rsidRPr="0067297E" w:rsidRDefault="005A70B6" w:rsidP="0050310B">
            <w:pPr>
              <w:jc w:val="right"/>
              <w:rPr>
                <w:rFonts w:asciiTheme="minorHAnsi" w:hAnsiTheme="minorHAnsi" w:cs="Calibri"/>
                <w:color w:val="000000"/>
                <w:sz w:val="22"/>
                <w:szCs w:val="22"/>
              </w:rPr>
            </w:pPr>
            <w:r w:rsidRPr="0067297E">
              <w:rPr>
                <w:rFonts w:asciiTheme="minorHAnsi" w:hAnsiTheme="minorHAnsi" w:cs="Calibri"/>
                <w:color w:val="000000"/>
                <w:sz w:val="22"/>
                <w:szCs w:val="22"/>
              </w:rPr>
              <w:t>491</w:t>
            </w:r>
          </w:p>
        </w:tc>
        <w:tc>
          <w:tcPr>
            <w:tcW w:w="1006" w:type="pct"/>
          </w:tcPr>
          <w:p w14:paraId="7AF1C0B3" w14:textId="77777777" w:rsidR="005A70B6" w:rsidRPr="0067297E" w:rsidRDefault="005A70B6" w:rsidP="0050310B">
            <w:pPr>
              <w:jc w:val="right"/>
              <w:rPr>
                <w:rFonts w:asciiTheme="minorHAnsi" w:hAnsiTheme="minorHAnsi" w:cs="Calibri"/>
                <w:color w:val="000000"/>
                <w:sz w:val="22"/>
                <w:szCs w:val="22"/>
              </w:rPr>
            </w:pPr>
            <w:r w:rsidRPr="0067297E">
              <w:rPr>
                <w:rFonts w:asciiTheme="minorHAnsi" w:hAnsiTheme="minorHAnsi" w:cs="Calibri"/>
                <w:color w:val="000000"/>
                <w:sz w:val="22"/>
                <w:szCs w:val="22"/>
              </w:rPr>
              <w:t>5.0</w:t>
            </w:r>
          </w:p>
        </w:tc>
      </w:tr>
      <w:tr w:rsidR="005A70B6" w:rsidRPr="0067297E" w14:paraId="558FBEF0" w14:textId="77777777" w:rsidTr="00B21336">
        <w:trPr>
          <w:trHeight w:val="285"/>
        </w:trPr>
        <w:tc>
          <w:tcPr>
            <w:tcW w:w="2822" w:type="pct"/>
            <w:shd w:val="clear" w:color="auto" w:fill="auto"/>
            <w:noWrap/>
            <w:vAlign w:val="bottom"/>
          </w:tcPr>
          <w:p w14:paraId="21DFADAB" w14:textId="77777777" w:rsidR="005A70B6" w:rsidRPr="0067297E" w:rsidRDefault="005A70B6" w:rsidP="00B21336">
            <w:pPr>
              <w:rPr>
                <w:rFonts w:asciiTheme="minorHAnsi" w:hAnsiTheme="minorHAnsi" w:cs="Calibri"/>
                <w:color w:val="000000"/>
                <w:sz w:val="22"/>
                <w:szCs w:val="22"/>
              </w:rPr>
            </w:pPr>
            <w:r w:rsidRPr="0067297E">
              <w:rPr>
                <w:rFonts w:asciiTheme="minorHAnsi" w:hAnsiTheme="minorHAnsi" w:cs="Calibri"/>
                <w:color w:val="000000"/>
                <w:sz w:val="22"/>
                <w:szCs w:val="22"/>
              </w:rPr>
              <w:t>N5 Existing affordable tenants in need</w:t>
            </w:r>
          </w:p>
        </w:tc>
        <w:tc>
          <w:tcPr>
            <w:tcW w:w="1173" w:type="pct"/>
            <w:shd w:val="clear" w:color="auto" w:fill="auto"/>
            <w:vAlign w:val="bottom"/>
          </w:tcPr>
          <w:p w14:paraId="1D164600" w14:textId="77777777" w:rsidR="005A70B6" w:rsidRPr="0067297E" w:rsidRDefault="005A70B6" w:rsidP="0050310B">
            <w:pPr>
              <w:jc w:val="right"/>
              <w:rPr>
                <w:rFonts w:asciiTheme="minorHAnsi" w:hAnsiTheme="minorHAnsi" w:cs="Calibri"/>
                <w:color w:val="000000"/>
                <w:sz w:val="22"/>
                <w:szCs w:val="22"/>
              </w:rPr>
            </w:pPr>
            <w:r w:rsidRPr="0067297E">
              <w:rPr>
                <w:rFonts w:asciiTheme="minorHAnsi" w:hAnsiTheme="minorHAnsi" w:cs="Calibri"/>
                <w:color w:val="000000"/>
                <w:sz w:val="22"/>
                <w:szCs w:val="22"/>
              </w:rPr>
              <w:t>3,027</w:t>
            </w:r>
          </w:p>
        </w:tc>
        <w:tc>
          <w:tcPr>
            <w:tcW w:w="1006" w:type="pct"/>
          </w:tcPr>
          <w:p w14:paraId="7A882F69" w14:textId="77777777" w:rsidR="005A70B6" w:rsidRPr="0067297E" w:rsidRDefault="005A70B6" w:rsidP="0050310B">
            <w:pPr>
              <w:jc w:val="right"/>
              <w:rPr>
                <w:rFonts w:asciiTheme="minorHAnsi" w:hAnsiTheme="minorHAnsi" w:cs="Calibri"/>
                <w:color w:val="000000"/>
                <w:sz w:val="22"/>
                <w:szCs w:val="22"/>
              </w:rPr>
            </w:pPr>
            <w:r w:rsidRPr="0067297E">
              <w:rPr>
                <w:rFonts w:asciiTheme="minorHAnsi" w:hAnsiTheme="minorHAnsi" w:cs="Calibri"/>
                <w:color w:val="000000"/>
                <w:sz w:val="22"/>
                <w:szCs w:val="22"/>
              </w:rPr>
              <w:t>31.0</w:t>
            </w:r>
          </w:p>
        </w:tc>
      </w:tr>
      <w:tr w:rsidR="005A70B6" w:rsidRPr="0067297E" w14:paraId="1B31278D" w14:textId="77777777" w:rsidTr="00B21336">
        <w:trPr>
          <w:trHeight w:val="285"/>
        </w:trPr>
        <w:tc>
          <w:tcPr>
            <w:tcW w:w="2822" w:type="pct"/>
            <w:shd w:val="clear" w:color="auto" w:fill="auto"/>
            <w:noWrap/>
            <w:vAlign w:val="bottom"/>
          </w:tcPr>
          <w:p w14:paraId="069CD754" w14:textId="77777777" w:rsidR="005A70B6" w:rsidRPr="0067297E" w:rsidRDefault="005A70B6" w:rsidP="00B21336">
            <w:pPr>
              <w:rPr>
                <w:rFonts w:asciiTheme="minorHAnsi" w:hAnsiTheme="minorHAnsi" w:cs="Calibri"/>
                <w:color w:val="000000"/>
                <w:sz w:val="22"/>
                <w:szCs w:val="22"/>
              </w:rPr>
            </w:pPr>
            <w:r w:rsidRPr="0067297E">
              <w:rPr>
                <w:rFonts w:asciiTheme="minorHAnsi" w:hAnsiTheme="minorHAnsi" w:cs="Calibri"/>
                <w:color w:val="000000"/>
                <w:sz w:val="22"/>
                <w:szCs w:val="22"/>
              </w:rPr>
              <w:t>N6 From other tenures in need</w:t>
            </w:r>
          </w:p>
        </w:tc>
        <w:tc>
          <w:tcPr>
            <w:tcW w:w="1173" w:type="pct"/>
            <w:shd w:val="clear" w:color="auto" w:fill="auto"/>
            <w:vAlign w:val="bottom"/>
          </w:tcPr>
          <w:p w14:paraId="49FD78B2" w14:textId="77777777" w:rsidR="005A70B6" w:rsidRPr="0067297E" w:rsidRDefault="005A70B6" w:rsidP="0050310B">
            <w:pPr>
              <w:jc w:val="right"/>
              <w:rPr>
                <w:rFonts w:asciiTheme="minorHAnsi" w:hAnsiTheme="minorHAnsi" w:cs="Calibri"/>
                <w:color w:val="000000"/>
                <w:sz w:val="22"/>
                <w:szCs w:val="22"/>
              </w:rPr>
            </w:pPr>
            <w:r w:rsidRPr="0067297E">
              <w:rPr>
                <w:rFonts w:asciiTheme="minorHAnsi" w:hAnsiTheme="minorHAnsi" w:cs="Calibri"/>
                <w:color w:val="000000"/>
                <w:sz w:val="22"/>
                <w:szCs w:val="22"/>
              </w:rPr>
              <w:t>118</w:t>
            </w:r>
          </w:p>
        </w:tc>
        <w:tc>
          <w:tcPr>
            <w:tcW w:w="1006" w:type="pct"/>
          </w:tcPr>
          <w:p w14:paraId="1C0C33EF" w14:textId="77777777" w:rsidR="005A70B6" w:rsidRPr="0067297E" w:rsidRDefault="005A70B6" w:rsidP="0050310B">
            <w:pPr>
              <w:jc w:val="right"/>
              <w:rPr>
                <w:rFonts w:asciiTheme="minorHAnsi" w:hAnsiTheme="minorHAnsi" w:cs="Calibri"/>
                <w:color w:val="000000"/>
                <w:sz w:val="22"/>
                <w:szCs w:val="22"/>
              </w:rPr>
            </w:pPr>
            <w:r w:rsidRPr="0067297E">
              <w:rPr>
                <w:rFonts w:asciiTheme="minorHAnsi" w:hAnsiTheme="minorHAnsi" w:cs="Calibri"/>
                <w:color w:val="000000"/>
                <w:sz w:val="22"/>
                <w:szCs w:val="22"/>
              </w:rPr>
              <w:t>1.2</w:t>
            </w:r>
          </w:p>
        </w:tc>
      </w:tr>
      <w:tr w:rsidR="005A70B6" w:rsidRPr="0067297E" w14:paraId="19E7ADAD" w14:textId="77777777" w:rsidTr="00B21336">
        <w:trPr>
          <w:trHeight w:val="285"/>
        </w:trPr>
        <w:tc>
          <w:tcPr>
            <w:tcW w:w="2822" w:type="pct"/>
            <w:shd w:val="clear" w:color="auto" w:fill="auto"/>
            <w:noWrap/>
            <w:vAlign w:val="bottom"/>
          </w:tcPr>
          <w:p w14:paraId="47C709E3" w14:textId="77777777" w:rsidR="005A70B6" w:rsidRPr="0067297E" w:rsidRDefault="005A70B6" w:rsidP="00B21336">
            <w:pPr>
              <w:rPr>
                <w:rFonts w:asciiTheme="minorHAnsi" w:hAnsiTheme="minorHAnsi" w:cs="Calibri"/>
                <w:color w:val="000000"/>
                <w:sz w:val="22"/>
                <w:szCs w:val="22"/>
              </w:rPr>
            </w:pPr>
            <w:r w:rsidRPr="0067297E">
              <w:rPr>
                <w:rFonts w:asciiTheme="minorHAnsi" w:hAnsiTheme="minorHAnsi" w:cs="Calibri"/>
                <w:color w:val="000000"/>
                <w:sz w:val="22"/>
                <w:szCs w:val="22"/>
              </w:rPr>
              <w:t>Total</w:t>
            </w:r>
          </w:p>
        </w:tc>
        <w:tc>
          <w:tcPr>
            <w:tcW w:w="1173" w:type="pct"/>
            <w:shd w:val="clear" w:color="auto" w:fill="auto"/>
            <w:vAlign w:val="bottom"/>
          </w:tcPr>
          <w:p w14:paraId="39D3361D" w14:textId="65CAF298" w:rsidR="005A70B6" w:rsidRPr="0067297E" w:rsidRDefault="005A70B6" w:rsidP="0050310B">
            <w:pPr>
              <w:jc w:val="right"/>
              <w:rPr>
                <w:rFonts w:asciiTheme="minorHAnsi" w:hAnsiTheme="minorHAnsi" w:cs="Calibri"/>
                <w:color w:val="000000"/>
                <w:sz w:val="22"/>
                <w:szCs w:val="22"/>
              </w:rPr>
            </w:pPr>
            <w:r w:rsidRPr="0067297E">
              <w:rPr>
                <w:rFonts w:asciiTheme="minorHAnsi" w:hAnsiTheme="minorHAnsi" w:cs="Calibri"/>
                <w:color w:val="000000"/>
                <w:sz w:val="22"/>
                <w:szCs w:val="22"/>
              </w:rPr>
              <w:t>9</w:t>
            </w:r>
            <w:r w:rsidR="00445D70" w:rsidRPr="0067297E">
              <w:rPr>
                <w:rFonts w:asciiTheme="minorHAnsi" w:hAnsiTheme="minorHAnsi" w:cs="Calibri"/>
                <w:color w:val="000000"/>
                <w:sz w:val="22"/>
                <w:szCs w:val="22"/>
              </w:rPr>
              <w:t>,</w:t>
            </w:r>
            <w:r w:rsidRPr="0067297E">
              <w:rPr>
                <w:rFonts w:asciiTheme="minorHAnsi" w:hAnsiTheme="minorHAnsi" w:cs="Calibri"/>
                <w:color w:val="000000"/>
                <w:sz w:val="22"/>
                <w:szCs w:val="22"/>
              </w:rPr>
              <w:t>765</w:t>
            </w:r>
          </w:p>
        </w:tc>
        <w:tc>
          <w:tcPr>
            <w:tcW w:w="1006" w:type="pct"/>
          </w:tcPr>
          <w:p w14:paraId="76CFB88B" w14:textId="77777777" w:rsidR="005A70B6" w:rsidRPr="0067297E" w:rsidRDefault="005A70B6" w:rsidP="0050310B">
            <w:pPr>
              <w:jc w:val="right"/>
              <w:rPr>
                <w:rFonts w:asciiTheme="minorHAnsi" w:hAnsiTheme="minorHAnsi" w:cs="Calibri"/>
                <w:color w:val="000000"/>
                <w:sz w:val="22"/>
                <w:szCs w:val="22"/>
              </w:rPr>
            </w:pPr>
            <w:r w:rsidRPr="0067297E">
              <w:rPr>
                <w:rFonts w:asciiTheme="minorHAnsi" w:hAnsiTheme="minorHAnsi" w:cs="Calibri"/>
                <w:color w:val="000000"/>
                <w:sz w:val="22"/>
                <w:szCs w:val="22"/>
              </w:rPr>
              <w:t>100.0</w:t>
            </w:r>
          </w:p>
        </w:tc>
      </w:tr>
    </w:tbl>
    <w:p w14:paraId="67FE7F04" w14:textId="77777777" w:rsidR="008043C3" w:rsidRPr="0067297E" w:rsidRDefault="008043C3" w:rsidP="00B21336">
      <w:pPr>
        <w:ind w:left="720"/>
        <w:rPr>
          <w:rFonts w:asciiTheme="minorHAnsi" w:hAnsiTheme="minorHAnsi" w:cs="Arial"/>
          <w:iCs/>
          <w:sz w:val="20"/>
          <w:szCs w:val="20"/>
        </w:rPr>
      </w:pPr>
      <w:r w:rsidRPr="0067297E">
        <w:rPr>
          <w:rFonts w:asciiTheme="minorHAnsi" w:hAnsiTheme="minorHAnsi" w:cs="Arial"/>
          <w:iCs/>
          <w:sz w:val="20"/>
          <w:szCs w:val="20"/>
        </w:rPr>
        <w:t xml:space="preserve">Source: 2018 </w:t>
      </w:r>
      <w:r w:rsidR="00AA3E30" w:rsidRPr="0067297E">
        <w:rPr>
          <w:rFonts w:asciiTheme="minorHAnsi" w:hAnsiTheme="minorHAnsi" w:cs="Arial"/>
          <w:iCs/>
          <w:sz w:val="20"/>
          <w:szCs w:val="20"/>
        </w:rPr>
        <w:t>Lewisham</w:t>
      </w:r>
      <w:r w:rsidR="008559C3" w:rsidRPr="0067297E">
        <w:rPr>
          <w:rFonts w:asciiTheme="minorHAnsi" w:hAnsiTheme="minorHAnsi" w:cs="Arial"/>
          <w:iCs/>
          <w:sz w:val="20"/>
          <w:szCs w:val="20"/>
        </w:rPr>
        <w:t xml:space="preserve"> Housing R</w:t>
      </w:r>
      <w:r w:rsidRPr="0067297E">
        <w:rPr>
          <w:rFonts w:asciiTheme="minorHAnsi" w:hAnsiTheme="minorHAnsi" w:cs="Arial"/>
          <w:iCs/>
          <w:sz w:val="20"/>
          <w:szCs w:val="20"/>
        </w:rPr>
        <w:t>egister</w:t>
      </w:r>
    </w:p>
    <w:p w14:paraId="295BACFF" w14:textId="559057CA" w:rsidR="005A70B6" w:rsidRPr="0067297E" w:rsidRDefault="005A70B6" w:rsidP="00B21336">
      <w:pPr>
        <w:ind w:left="720"/>
        <w:rPr>
          <w:rFonts w:asciiTheme="minorHAnsi" w:hAnsiTheme="minorHAnsi" w:cs="Arial"/>
          <w:iCs/>
          <w:sz w:val="20"/>
          <w:szCs w:val="20"/>
        </w:rPr>
      </w:pPr>
      <w:r w:rsidRPr="0067297E">
        <w:rPr>
          <w:rFonts w:asciiTheme="minorHAnsi" w:hAnsiTheme="minorHAnsi" w:cs="Arial"/>
          <w:iCs/>
          <w:sz w:val="20"/>
          <w:szCs w:val="20"/>
        </w:rPr>
        <w:t>Note due to the categorisation of households on the register the breakdown of needs factors is estimated based on the primary reason the household</w:t>
      </w:r>
      <w:r w:rsidR="00AC4B34" w:rsidRPr="0067297E">
        <w:rPr>
          <w:rFonts w:asciiTheme="minorHAnsi" w:hAnsiTheme="minorHAnsi" w:cs="Arial"/>
          <w:iCs/>
          <w:sz w:val="20"/>
          <w:szCs w:val="20"/>
        </w:rPr>
        <w:t xml:space="preserve"> is </w:t>
      </w:r>
      <w:r w:rsidRPr="0067297E">
        <w:rPr>
          <w:rFonts w:asciiTheme="minorHAnsi" w:hAnsiTheme="minorHAnsi" w:cs="Arial"/>
          <w:iCs/>
          <w:sz w:val="20"/>
          <w:szCs w:val="20"/>
        </w:rPr>
        <w:t>on the register</w:t>
      </w:r>
    </w:p>
    <w:p w14:paraId="0AFF41A3" w14:textId="77777777" w:rsidR="008043C3" w:rsidRPr="0067297E" w:rsidRDefault="008043C3" w:rsidP="00543A76">
      <w:pPr>
        <w:rPr>
          <w:rFonts w:asciiTheme="minorHAnsi" w:hAnsiTheme="minorHAnsi" w:cs="Arial"/>
        </w:rPr>
      </w:pPr>
    </w:p>
    <w:p w14:paraId="7D85B080" w14:textId="77777777" w:rsidR="008043C3" w:rsidRPr="0067297E" w:rsidRDefault="008043C3" w:rsidP="00543A76">
      <w:pPr>
        <w:pStyle w:val="Heading3"/>
        <w:rPr>
          <w:rFonts w:asciiTheme="minorHAnsi" w:hAnsiTheme="minorHAnsi" w:cs="Arial"/>
        </w:rPr>
      </w:pPr>
      <w:r w:rsidRPr="0067297E">
        <w:rPr>
          <w:rFonts w:asciiTheme="minorHAnsi" w:hAnsiTheme="minorHAnsi" w:cs="Arial"/>
        </w:rPr>
        <w:t>Homelessness</w:t>
      </w:r>
    </w:p>
    <w:bookmarkEnd w:id="539"/>
    <w:p w14:paraId="0CD117BD" w14:textId="293B85AF" w:rsidR="008043C3" w:rsidRPr="0067297E" w:rsidRDefault="00255B16" w:rsidP="002C70BC">
      <w:pPr>
        <w:pStyle w:val="Maintext"/>
        <w:numPr>
          <w:ilvl w:val="1"/>
          <w:numId w:val="37"/>
        </w:numPr>
        <w:rPr>
          <w:rFonts w:asciiTheme="minorHAnsi" w:hAnsiTheme="minorHAnsi"/>
        </w:rPr>
      </w:pPr>
      <w:r w:rsidRPr="0067297E">
        <w:rPr>
          <w:rFonts w:asciiTheme="minorHAnsi" w:hAnsiTheme="minorHAnsi"/>
        </w:rPr>
        <w:t>Table B</w:t>
      </w:r>
      <w:r w:rsidR="00B32E87" w:rsidRPr="0067297E">
        <w:rPr>
          <w:rFonts w:asciiTheme="minorHAnsi" w:hAnsiTheme="minorHAnsi"/>
          <w:lang w:val="en-GB"/>
        </w:rPr>
        <w:t>2</w:t>
      </w:r>
      <w:r w:rsidR="008043C3" w:rsidRPr="0067297E">
        <w:rPr>
          <w:rFonts w:asciiTheme="minorHAnsi" w:hAnsiTheme="minorHAnsi"/>
        </w:rPr>
        <w:t xml:space="preserve"> identifies a total of </w:t>
      </w:r>
      <w:r w:rsidR="00D444A1" w:rsidRPr="0067297E">
        <w:rPr>
          <w:rFonts w:asciiTheme="minorHAnsi" w:hAnsiTheme="minorHAnsi"/>
          <w:lang w:val="en-GB"/>
        </w:rPr>
        <w:t>1,</w:t>
      </w:r>
      <w:r w:rsidR="00C96A70" w:rsidRPr="0067297E">
        <w:rPr>
          <w:rFonts w:asciiTheme="minorHAnsi" w:hAnsiTheme="minorHAnsi"/>
          <w:lang w:val="en-GB"/>
        </w:rPr>
        <w:t>692</w:t>
      </w:r>
      <w:r w:rsidR="008043C3" w:rsidRPr="0067297E">
        <w:rPr>
          <w:rFonts w:asciiTheme="minorHAnsi" w:hAnsiTheme="minorHAnsi"/>
        </w:rPr>
        <w:t xml:space="preserve"> households who are homeless or threa</w:t>
      </w:r>
      <w:r w:rsidR="00D444A1" w:rsidRPr="0067297E">
        <w:rPr>
          <w:rFonts w:asciiTheme="minorHAnsi" w:hAnsiTheme="minorHAnsi"/>
        </w:rPr>
        <w:t xml:space="preserve">tened with homelessness. </w:t>
      </w:r>
      <w:r w:rsidRPr="0067297E">
        <w:rPr>
          <w:rFonts w:asciiTheme="minorHAnsi" w:hAnsiTheme="minorHAnsi"/>
        </w:rPr>
        <w:t>Table B</w:t>
      </w:r>
      <w:r w:rsidR="00B32E87" w:rsidRPr="0067297E">
        <w:rPr>
          <w:rFonts w:asciiTheme="minorHAnsi" w:hAnsiTheme="minorHAnsi"/>
          <w:lang w:val="en-GB"/>
        </w:rPr>
        <w:t>3</w:t>
      </w:r>
      <w:r w:rsidR="008043C3" w:rsidRPr="0067297E">
        <w:rPr>
          <w:rFonts w:asciiTheme="minorHAnsi" w:hAnsiTheme="minorHAnsi"/>
        </w:rPr>
        <w:t xml:space="preserve"> considers longer-term trends in decisions and acceptances of homeless households and indicates that an annual average of </w:t>
      </w:r>
      <w:r w:rsidR="00D444A1" w:rsidRPr="0067297E">
        <w:rPr>
          <w:rFonts w:asciiTheme="minorHAnsi" w:hAnsiTheme="minorHAnsi"/>
          <w:lang w:val="en-GB"/>
        </w:rPr>
        <w:t>755</w:t>
      </w:r>
      <w:r w:rsidR="008043C3" w:rsidRPr="0067297E">
        <w:rPr>
          <w:rFonts w:asciiTheme="minorHAnsi" w:hAnsiTheme="minorHAnsi"/>
        </w:rPr>
        <w:t xml:space="preserve"> households have been accepted as homeless.</w:t>
      </w:r>
    </w:p>
    <w:p w14:paraId="5D65120A" w14:textId="77777777" w:rsidR="00B21336" w:rsidRPr="0067297E" w:rsidRDefault="00B21336" w:rsidP="00B21336">
      <w:pPr>
        <w:pStyle w:val="Maintext"/>
        <w:numPr>
          <w:ilvl w:val="0"/>
          <w:numId w:val="0"/>
        </w:numPr>
        <w:ind w:left="709"/>
        <w:rPr>
          <w:rFonts w:asciiTheme="minorHAnsi" w:hAnsiTheme="minorHAnsi"/>
        </w:rPr>
      </w:pPr>
    </w:p>
    <w:tbl>
      <w:tblPr>
        <w:tblW w:w="4692" w:type="pct"/>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506"/>
        <w:gridCol w:w="2770"/>
        <w:gridCol w:w="3185"/>
      </w:tblGrid>
      <w:tr w:rsidR="008043C3" w:rsidRPr="0067297E" w14:paraId="5E6F260A" w14:textId="77777777" w:rsidTr="00426BD8">
        <w:trPr>
          <w:tblHeader/>
        </w:trPr>
        <w:tc>
          <w:tcPr>
            <w:tcW w:w="5000" w:type="pct"/>
            <w:gridSpan w:val="3"/>
            <w:shd w:val="clear" w:color="auto" w:fill="009999"/>
            <w:vAlign w:val="bottom"/>
          </w:tcPr>
          <w:p w14:paraId="266DD41D" w14:textId="4F3C0A6C" w:rsidR="008043C3" w:rsidRPr="0067297E" w:rsidRDefault="00255B16" w:rsidP="001B5150">
            <w:pPr>
              <w:pStyle w:val="tableheading"/>
              <w:rPr>
                <w:rFonts w:asciiTheme="minorHAnsi" w:hAnsiTheme="minorHAnsi"/>
                <w:color w:val="FFFFFF"/>
              </w:rPr>
            </w:pPr>
            <w:bookmarkStart w:id="540" w:name="_Toc399871697"/>
            <w:bookmarkStart w:id="541" w:name="_Toc428528321"/>
            <w:bookmarkStart w:id="542" w:name="_Toc306297803"/>
            <w:bookmarkStart w:id="543" w:name="_Toc517185846"/>
            <w:bookmarkStart w:id="544" w:name="_Toc23151204"/>
            <w:r w:rsidRPr="0067297E">
              <w:rPr>
                <w:rFonts w:asciiTheme="minorHAnsi" w:hAnsiTheme="minorHAnsi"/>
              </w:rPr>
              <w:t>Table B</w:t>
            </w:r>
            <w:r w:rsidR="00B32E87" w:rsidRPr="0067297E">
              <w:rPr>
                <w:rFonts w:asciiTheme="minorHAnsi" w:hAnsiTheme="minorHAnsi"/>
                <w:lang w:val="en-GB"/>
              </w:rPr>
              <w:t>3</w:t>
            </w:r>
            <w:r w:rsidR="008043C3" w:rsidRPr="0067297E">
              <w:rPr>
                <w:rFonts w:asciiTheme="minorHAnsi" w:hAnsiTheme="minorHAnsi"/>
              </w:rPr>
              <w:tab/>
              <w:t>Homeles</w:t>
            </w:r>
            <w:r w:rsidR="00640C4D" w:rsidRPr="0067297E">
              <w:rPr>
                <w:rFonts w:asciiTheme="minorHAnsi" w:hAnsiTheme="minorHAnsi"/>
              </w:rPr>
              <w:t>s decisions and acceptances 2013/14</w:t>
            </w:r>
            <w:r w:rsidR="008043C3" w:rsidRPr="0067297E">
              <w:rPr>
                <w:rFonts w:asciiTheme="minorHAnsi" w:hAnsiTheme="minorHAnsi"/>
              </w:rPr>
              <w:t xml:space="preserve"> to </w:t>
            </w:r>
            <w:bookmarkEnd w:id="540"/>
            <w:bookmarkEnd w:id="541"/>
            <w:r w:rsidR="008043C3" w:rsidRPr="0067297E">
              <w:rPr>
                <w:rFonts w:asciiTheme="minorHAnsi" w:hAnsiTheme="minorHAnsi"/>
              </w:rPr>
              <w:t>201</w:t>
            </w:r>
            <w:bookmarkEnd w:id="542"/>
            <w:r w:rsidR="008043C3" w:rsidRPr="0067297E">
              <w:rPr>
                <w:rFonts w:asciiTheme="minorHAnsi" w:hAnsiTheme="minorHAnsi"/>
              </w:rPr>
              <w:t>6/17</w:t>
            </w:r>
            <w:bookmarkEnd w:id="543"/>
            <w:bookmarkEnd w:id="544"/>
          </w:p>
        </w:tc>
      </w:tr>
      <w:tr w:rsidR="008043C3" w:rsidRPr="0067297E" w14:paraId="4F08ECA2" w14:textId="77777777" w:rsidTr="00B21336">
        <w:tc>
          <w:tcPr>
            <w:tcW w:w="1481" w:type="pct"/>
            <w:shd w:val="clear" w:color="auto" w:fill="009999"/>
            <w:vAlign w:val="bottom"/>
            <w:hideMark/>
          </w:tcPr>
          <w:p w14:paraId="69132EBD" w14:textId="77777777" w:rsidR="008043C3" w:rsidRPr="0067297E" w:rsidRDefault="008043C3" w:rsidP="00B21336">
            <w:pPr>
              <w:rPr>
                <w:rFonts w:asciiTheme="minorHAnsi" w:hAnsiTheme="minorHAnsi" w:cs="Calibri"/>
                <w:b/>
                <w:bCs/>
                <w:color w:val="FFFFFF"/>
                <w:sz w:val="22"/>
                <w:szCs w:val="22"/>
              </w:rPr>
            </w:pPr>
            <w:r w:rsidRPr="0067297E">
              <w:rPr>
                <w:rFonts w:asciiTheme="minorHAnsi" w:hAnsiTheme="minorHAnsi" w:cs="Calibri"/>
                <w:b/>
                <w:bCs/>
                <w:color w:val="FFFFFF"/>
                <w:sz w:val="22"/>
                <w:szCs w:val="22"/>
              </w:rPr>
              <w:t>Year</w:t>
            </w:r>
          </w:p>
        </w:tc>
        <w:tc>
          <w:tcPr>
            <w:tcW w:w="1637" w:type="pct"/>
            <w:shd w:val="clear" w:color="auto" w:fill="009999"/>
            <w:vAlign w:val="bottom"/>
            <w:hideMark/>
          </w:tcPr>
          <w:p w14:paraId="1FF4F216" w14:textId="77777777" w:rsidR="008043C3" w:rsidRPr="0067297E" w:rsidRDefault="008043C3" w:rsidP="00B21336">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Decisions made</w:t>
            </w:r>
          </w:p>
        </w:tc>
        <w:tc>
          <w:tcPr>
            <w:tcW w:w="1882" w:type="pct"/>
            <w:shd w:val="clear" w:color="auto" w:fill="009999"/>
            <w:vAlign w:val="bottom"/>
            <w:hideMark/>
          </w:tcPr>
          <w:p w14:paraId="12F7FF46" w14:textId="77777777" w:rsidR="008043C3" w:rsidRPr="0067297E" w:rsidRDefault="008043C3" w:rsidP="00B21336">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Accepted as homeless</w:t>
            </w:r>
          </w:p>
        </w:tc>
      </w:tr>
      <w:tr w:rsidR="008043C3" w:rsidRPr="0067297E" w14:paraId="702146DF" w14:textId="77777777" w:rsidTr="00B21336">
        <w:tc>
          <w:tcPr>
            <w:tcW w:w="1481" w:type="pct"/>
            <w:shd w:val="clear" w:color="auto" w:fill="auto"/>
            <w:noWrap/>
            <w:vAlign w:val="center"/>
          </w:tcPr>
          <w:p w14:paraId="246AD247" w14:textId="77777777" w:rsidR="008043C3" w:rsidRPr="0067297E" w:rsidRDefault="008043C3" w:rsidP="00B21336">
            <w:pPr>
              <w:rPr>
                <w:rFonts w:asciiTheme="minorHAnsi" w:hAnsiTheme="minorHAnsi" w:cs="Calibri"/>
                <w:color w:val="000000"/>
                <w:sz w:val="22"/>
                <w:szCs w:val="22"/>
              </w:rPr>
            </w:pPr>
            <w:r w:rsidRPr="0067297E">
              <w:rPr>
                <w:rFonts w:asciiTheme="minorHAnsi" w:hAnsiTheme="minorHAnsi" w:cs="Calibri"/>
                <w:color w:val="000000"/>
                <w:sz w:val="22"/>
                <w:szCs w:val="22"/>
              </w:rPr>
              <w:t>2013/14</w:t>
            </w:r>
          </w:p>
        </w:tc>
        <w:tc>
          <w:tcPr>
            <w:tcW w:w="1637" w:type="pct"/>
            <w:shd w:val="clear" w:color="auto" w:fill="auto"/>
            <w:noWrap/>
          </w:tcPr>
          <w:p w14:paraId="3111B5F3" w14:textId="77777777" w:rsidR="008043C3" w:rsidRPr="0067297E" w:rsidRDefault="00D444A1" w:rsidP="0050310B">
            <w:pPr>
              <w:jc w:val="right"/>
              <w:rPr>
                <w:rFonts w:asciiTheme="minorHAnsi" w:hAnsiTheme="minorHAnsi" w:cs="Calibri"/>
                <w:color w:val="000000"/>
                <w:sz w:val="22"/>
                <w:szCs w:val="22"/>
              </w:rPr>
            </w:pPr>
            <w:r w:rsidRPr="0067297E">
              <w:rPr>
                <w:rFonts w:asciiTheme="minorHAnsi" w:hAnsiTheme="minorHAnsi" w:cs="Calibri"/>
                <w:sz w:val="22"/>
                <w:szCs w:val="22"/>
              </w:rPr>
              <w:t>886</w:t>
            </w:r>
          </w:p>
        </w:tc>
        <w:tc>
          <w:tcPr>
            <w:tcW w:w="1882" w:type="pct"/>
            <w:shd w:val="clear" w:color="auto" w:fill="auto"/>
            <w:noWrap/>
          </w:tcPr>
          <w:p w14:paraId="0F7E020C" w14:textId="77777777" w:rsidR="008043C3" w:rsidRPr="0067297E" w:rsidRDefault="00D444A1" w:rsidP="0050310B">
            <w:pPr>
              <w:jc w:val="right"/>
              <w:rPr>
                <w:rFonts w:asciiTheme="minorHAnsi" w:hAnsiTheme="minorHAnsi" w:cs="Calibri"/>
                <w:color w:val="000000"/>
                <w:sz w:val="22"/>
                <w:szCs w:val="22"/>
              </w:rPr>
            </w:pPr>
            <w:r w:rsidRPr="0067297E">
              <w:rPr>
                <w:rFonts w:asciiTheme="minorHAnsi" w:hAnsiTheme="minorHAnsi" w:cs="Calibri"/>
                <w:sz w:val="22"/>
                <w:szCs w:val="22"/>
              </w:rPr>
              <w:t>710</w:t>
            </w:r>
          </w:p>
        </w:tc>
      </w:tr>
      <w:tr w:rsidR="008043C3" w:rsidRPr="0067297E" w14:paraId="40CC029D" w14:textId="77777777" w:rsidTr="00B21336">
        <w:trPr>
          <w:trHeight w:val="219"/>
        </w:trPr>
        <w:tc>
          <w:tcPr>
            <w:tcW w:w="1481" w:type="pct"/>
            <w:shd w:val="clear" w:color="auto" w:fill="auto"/>
            <w:noWrap/>
            <w:vAlign w:val="center"/>
          </w:tcPr>
          <w:p w14:paraId="47A8C1E9" w14:textId="77777777" w:rsidR="008043C3" w:rsidRPr="0067297E" w:rsidRDefault="008043C3" w:rsidP="00B21336">
            <w:pPr>
              <w:rPr>
                <w:rFonts w:asciiTheme="minorHAnsi" w:hAnsiTheme="minorHAnsi" w:cs="Calibri"/>
                <w:color w:val="000000"/>
                <w:sz w:val="22"/>
                <w:szCs w:val="22"/>
              </w:rPr>
            </w:pPr>
            <w:r w:rsidRPr="0067297E">
              <w:rPr>
                <w:rFonts w:asciiTheme="minorHAnsi" w:hAnsiTheme="minorHAnsi" w:cs="Calibri"/>
                <w:color w:val="000000"/>
                <w:sz w:val="22"/>
                <w:szCs w:val="22"/>
              </w:rPr>
              <w:t>2014/15</w:t>
            </w:r>
          </w:p>
        </w:tc>
        <w:tc>
          <w:tcPr>
            <w:tcW w:w="1637" w:type="pct"/>
            <w:shd w:val="clear" w:color="auto" w:fill="auto"/>
            <w:noWrap/>
          </w:tcPr>
          <w:p w14:paraId="3023ECE0" w14:textId="77777777" w:rsidR="008043C3" w:rsidRPr="0067297E" w:rsidRDefault="00D444A1" w:rsidP="0050310B">
            <w:pPr>
              <w:jc w:val="right"/>
              <w:rPr>
                <w:rFonts w:asciiTheme="minorHAnsi" w:hAnsiTheme="minorHAnsi" w:cs="Calibri"/>
                <w:color w:val="000000"/>
                <w:sz w:val="22"/>
                <w:szCs w:val="22"/>
              </w:rPr>
            </w:pPr>
            <w:r w:rsidRPr="0067297E">
              <w:rPr>
                <w:rFonts w:asciiTheme="minorHAnsi" w:hAnsiTheme="minorHAnsi" w:cs="Calibri"/>
                <w:sz w:val="22"/>
                <w:szCs w:val="22"/>
              </w:rPr>
              <w:t>1,227</w:t>
            </w:r>
          </w:p>
        </w:tc>
        <w:tc>
          <w:tcPr>
            <w:tcW w:w="1882" w:type="pct"/>
            <w:shd w:val="clear" w:color="auto" w:fill="auto"/>
            <w:noWrap/>
          </w:tcPr>
          <w:p w14:paraId="6D43100F" w14:textId="77777777" w:rsidR="008043C3" w:rsidRPr="0067297E" w:rsidRDefault="00D444A1" w:rsidP="0050310B">
            <w:pPr>
              <w:jc w:val="right"/>
              <w:rPr>
                <w:rFonts w:asciiTheme="minorHAnsi" w:hAnsiTheme="minorHAnsi" w:cs="Calibri"/>
                <w:color w:val="000000"/>
                <w:sz w:val="22"/>
                <w:szCs w:val="22"/>
              </w:rPr>
            </w:pPr>
            <w:r w:rsidRPr="0067297E">
              <w:rPr>
                <w:rFonts w:asciiTheme="minorHAnsi" w:hAnsiTheme="minorHAnsi" w:cs="Calibri"/>
                <w:sz w:val="22"/>
                <w:szCs w:val="22"/>
              </w:rPr>
              <w:t>769</w:t>
            </w:r>
          </w:p>
        </w:tc>
      </w:tr>
      <w:tr w:rsidR="008043C3" w:rsidRPr="0067297E" w14:paraId="1393350A" w14:textId="77777777" w:rsidTr="00B21336">
        <w:tc>
          <w:tcPr>
            <w:tcW w:w="1481" w:type="pct"/>
            <w:shd w:val="clear" w:color="auto" w:fill="auto"/>
            <w:noWrap/>
            <w:vAlign w:val="bottom"/>
          </w:tcPr>
          <w:p w14:paraId="6D8D21EA" w14:textId="77777777" w:rsidR="008043C3" w:rsidRPr="0067297E" w:rsidRDefault="008043C3" w:rsidP="00B21336">
            <w:pPr>
              <w:rPr>
                <w:rFonts w:asciiTheme="minorHAnsi" w:hAnsiTheme="minorHAnsi" w:cs="Calibri"/>
                <w:color w:val="000000"/>
                <w:sz w:val="22"/>
                <w:szCs w:val="22"/>
              </w:rPr>
            </w:pPr>
            <w:r w:rsidRPr="0067297E">
              <w:rPr>
                <w:rFonts w:asciiTheme="minorHAnsi" w:hAnsiTheme="minorHAnsi" w:cs="Calibri"/>
                <w:color w:val="000000"/>
                <w:sz w:val="22"/>
                <w:szCs w:val="22"/>
              </w:rPr>
              <w:t>2015/16</w:t>
            </w:r>
          </w:p>
        </w:tc>
        <w:tc>
          <w:tcPr>
            <w:tcW w:w="1637" w:type="pct"/>
            <w:shd w:val="clear" w:color="auto" w:fill="auto"/>
            <w:noWrap/>
          </w:tcPr>
          <w:p w14:paraId="5A5B08E4" w14:textId="77777777" w:rsidR="008043C3" w:rsidRPr="0067297E" w:rsidRDefault="00D444A1" w:rsidP="0050310B">
            <w:pPr>
              <w:jc w:val="right"/>
              <w:rPr>
                <w:rFonts w:asciiTheme="minorHAnsi" w:hAnsiTheme="minorHAnsi" w:cs="Calibri"/>
                <w:sz w:val="22"/>
                <w:szCs w:val="22"/>
              </w:rPr>
            </w:pPr>
            <w:r w:rsidRPr="0067297E">
              <w:rPr>
                <w:rFonts w:asciiTheme="minorHAnsi" w:hAnsiTheme="minorHAnsi" w:cs="Calibri"/>
                <w:sz w:val="22"/>
                <w:szCs w:val="22"/>
              </w:rPr>
              <w:t>1,180</w:t>
            </w:r>
          </w:p>
        </w:tc>
        <w:tc>
          <w:tcPr>
            <w:tcW w:w="1882" w:type="pct"/>
            <w:shd w:val="clear" w:color="auto" w:fill="auto"/>
            <w:noWrap/>
          </w:tcPr>
          <w:p w14:paraId="7170E878" w14:textId="77777777" w:rsidR="008043C3" w:rsidRPr="0067297E" w:rsidRDefault="00D444A1" w:rsidP="0050310B">
            <w:pPr>
              <w:jc w:val="right"/>
              <w:rPr>
                <w:rFonts w:asciiTheme="minorHAnsi" w:hAnsiTheme="minorHAnsi" w:cs="Calibri"/>
                <w:sz w:val="22"/>
                <w:szCs w:val="22"/>
              </w:rPr>
            </w:pPr>
            <w:r w:rsidRPr="0067297E">
              <w:rPr>
                <w:rFonts w:asciiTheme="minorHAnsi" w:hAnsiTheme="minorHAnsi" w:cs="Calibri"/>
                <w:sz w:val="22"/>
                <w:szCs w:val="22"/>
              </w:rPr>
              <w:t>772</w:t>
            </w:r>
          </w:p>
        </w:tc>
      </w:tr>
      <w:tr w:rsidR="008043C3" w:rsidRPr="0067297E" w14:paraId="4828A0F5" w14:textId="77777777" w:rsidTr="00B21336">
        <w:tc>
          <w:tcPr>
            <w:tcW w:w="1481" w:type="pct"/>
            <w:shd w:val="clear" w:color="auto" w:fill="auto"/>
            <w:noWrap/>
            <w:vAlign w:val="bottom"/>
          </w:tcPr>
          <w:p w14:paraId="11667469" w14:textId="77777777" w:rsidR="008043C3" w:rsidRPr="0067297E" w:rsidRDefault="008043C3" w:rsidP="00B21336">
            <w:pPr>
              <w:rPr>
                <w:rFonts w:asciiTheme="minorHAnsi" w:hAnsiTheme="minorHAnsi" w:cs="Calibri"/>
                <w:color w:val="000000"/>
                <w:sz w:val="22"/>
                <w:szCs w:val="22"/>
              </w:rPr>
            </w:pPr>
            <w:r w:rsidRPr="0067297E">
              <w:rPr>
                <w:rFonts w:asciiTheme="minorHAnsi" w:hAnsiTheme="minorHAnsi" w:cs="Calibri"/>
                <w:color w:val="000000"/>
                <w:sz w:val="22"/>
                <w:szCs w:val="22"/>
              </w:rPr>
              <w:t>2016/17</w:t>
            </w:r>
          </w:p>
        </w:tc>
        <w:tc>
          <w:tcPr>
            <w:tcW w:w="1637" w:type="pct"/>
            <w:shd w:val="clear" w:color="auto" w:fill="auto"/>
            <w:noWrap/>
          </w:tcPr>
          <w:p w14:paraId="228CA754" w14:textId="77777777" w:rsidR="008043C3" w:rsidRPr="0067297E" w:rsidRDefault="00D444A1" w:rsidP="0050310B">
            <w:pPr>
              <w:jc w:val="right"/>
              <w:rPr>
                <w:rFonts w:asciiTheme="minorHAnsi" w:hAnsiTheme="minorHAnsi" w:cs="Calibri"/>
                <w:sz w:val="22"/>
                <w:szCs w:val="22"/>
              </w:rPr>
            </w:pPr>
            <w:r w:rsidRPr="0067297E">
              <w:rPr>
                <w:rFonts w:asciiTheme="minorHAnsi" w:hAnsiTheme="minorHAnsi" w:cs="Calibri"/>
                <w:sz w:val="22"/>
                <w:szCs w:val="22"/>
              </w:rPr>
              <w:t>1,176</w:t>
            </w:r>
          </w:p>
        </w:tc>
        <w:tc>
          <w:tcPr>
            <w:tcW w:w="1882" w:type="pct"/>
            <w:shd w:val="clear" w:color="auto" w:fill="auto"/>
            <w:noWrap/>
          </w:tcPr>
          <w:p w14:paraId="08FC0A6D" w14:textId="77777777" w:rsidR="008043C3" w:rsidRPr="0067297E" w:rsidRDefault="00D444A1" w:rsidP="0050310B">
            <w:pPr>
              <w:jc w:val="right"/>
              <w:rPr>
                <w:rFonts w:asciiTheme="minorHAnsi" w:hAnsiTheme="minorHAnsi" w:cs="Calibri"/>
                <w:sz w:val="22"/>
                <w:szCs w:val="22"/>
              </w:rPr>
            </w:pPr>
            <w:r w:rsidRPr="0067297E">
              <w:rPr>
                <w:rFonts w:asciiTheme="minorHAnsi" w:hAnsiTheme="minorHAnsi" w:cs="Calibri"/>
                <w:sz w:val="22"/>
                <w:szCs w:val="22"/>
              </w:rPr>
              <w:t>768</w:t>
            </w:r>
          </w:p>
        </w:tc>
      </w:tr>
      <w:tr w:rsidR="008043C3" w:rsidRPr="0067297E" w14:paraId="1B6B0B66" w14:textId="77777777" w:rsidTr="00B21336">
        <w:tc>
          <w:tcPr>
            <w:tcW w:w="1481" w:type="pct"/>
            <w:shd w:val="clear" w:color="auto" w:fill="auto"/>
            <w:noWrap/>
            <w:vAlign w:val="bottom"/>
            <w:hideMark/>
          </w:tcPr>
          <w:p w14:paraId="59B3BB08" w14:textId="77777777" w:rsidR="008043C3" w:rsidRPr="0067297E" w:rsidRDefault="008043C3" w:rsidP="00B21336">
            <w:pPr>
              <w:rPr>
                <w:rFonts w:asciiTheme="minorHAnsi" w:hAnsiTheme="minorHAnsi" w:cs="Calibri"/>
                <w:b/>
                <w:color w:val="000000"/>
                <w:sz w:val="22"/>
                <w:szCs w:val="22"/>
              </w:rPr>
            </w:pPr>
            <w:r w:rsidRPr="0067297E">
              <w:rPr>
                <w:rFonts w:asciiTheme="minorHAnsi" w:hAnsiTheme="minorHAnsi" w:cs="Calibri"/>
                <w:b/>
                <w:color w:val="000000"/>
                <w:sz w:val="22"/>
                <w:szCs w:val="22"/>
              </w:rPr>
              <w:t>Total</w:t>
            </w:r>
          </w:p>
        </w:tc>
        <w:tc>
          <w:tcPr>
            <w:tcW w:w="1637" w:type="pct"/>
            <w:shd w:val="clear" w:color="auto" w:fill="auto"/>
            <w:noWrap/>
            <w:hideMark/>
          </w:tcPr>
          <w:p w14:paraId="5F1B0E8D" w14:textId="77777777" w:rsidR="008043C3" w:rsidRPr="0067297E" w:rsidRDefault="005A70B6" w:rsidP="0050310B">
            <w:pPr>
              <w:jc w:val="right"/>
              <w:rPr>
                <w:rFonts w:asciiTheme="minorHAnsi" w:hAnsiTheme="minorHAnsi" w:cs="Calibri"/>
                <w:b/>
                <w:color w:val="000000"/>
                <w:sz w:val="22"/>
                <w:szCs w:val="22"/>
              </w:rPr>
            </w:pPr>
            <w:r w:rsidRPr="0067297E">
              <w:rPr>
                <w:rFonts w:asciiTheme="minorHAnsi" w:hAnsiTheme="minorHAnsi" w:cs="Calibri"/>
                <w:sz w:val="22"/>
                <w:szCs w:val="22"/>
              </w:rPr>
              <w:t>4,44</w:t>
            </w:r>
            <w:r w:rsidR="00D444A1" w:rsidRPr="0067297E">
              <w:rPr>
                <w:rFonts w:asciiTheme="minorHAnsi" w:hAnsiTheme="minorHAnsi" w:cs="Calibri"/>
                <w:sz w:val="22"/>
                <w:szCs w:val="22"/>
              </w:rPr>
              <w:t>9</w:t>
            </w:r>
          </w:p>
        </w:tc>
        <w:tc>
          <w:tcPr>
            <w:tcW w:w="1882" w:type="pct"/>
            <w:shd w:val="clear" w:color="auto" w:fill="auto"/>
            <w:noWrap/>
            <w:hideMark/>
          </w:tcPr>
          <w:p w14:paraId="2C0A1F99" w14:textId="77777777" w:rsidR="008043C3" w:rsidRPr="0067297E" w:rsidRDefault="00D444A1" w:rsidP="0050310B">
            <w:pPr>
              <w:jc w:val="right"/>
              <w:rPr>
                <w:rFonts w:asciiTheme="minorHAnsi" w:hAnsiTheme="minorHAnsi" w:cs="Calibri"/>
                <w:b/>
                <w:color w:val="000000"/>
                <w:sz w:val="22"/>
                <w:szCs w:val="22"/>
              </w:rPr>
            </w:pPr>
            <w:r w:rsidRPr="0067297E">
              <w:rPr>
                <w:rFonts w:asciiTheme="minorHAnsi" w:hAnsiTheme="minorHAnsi" w:cs="Calibri"/>
                <w:sz w:val="22"/>
                <w:szCs w:val="22"/>
              </w:rPr>
              <w:t>3,019</w:t>
            </w:r>
          </w:p>
        </w:tc>
      </w:tr>
      <w:tr w:rsidR="008043C3" w:rsidRPr="0067297E" w14:paraId="0D99F469" w14:textId="77777777" w:rsidTr="00B21336">
        <w:tc>
          <w:tcPr>
            <w:tcW w:w="1481" w:type="pct"/>
            <w:shd w:val="clear" w:color="auto" w:fill="auto"/>
            <w:noWrap/>
            <w:vAlign w:val="bottom"/>
            <w:hideMark/>
          </w:tcPr>
          <w:p w14:paraId="74A10139" w14:textId="77777777" w:rsidR="008043C3" w:rsidRPr="0067297E" w:rsidRDefault="008043C3" w:rsidP="00B21336">
            <w:pPr>
              <w:rPr>
                <w:rFonts w:asciiTheme="minorHAnsi" w:hAnsiTheme="minorHAnsi" w:cs="Calibri"/>
                <w:b/>
                <w:color w:val="000000"/>
                <w:sz w:val="22"/>
                <w:szCs w:val="22"/>
              </w:rPr>
            </w:pPr>
            <w:r w:rsidRPr="0067297E">
              <w:rPr>
                <w:rFonts w:asciiTheme="minorHAnsi" w:hAnsiTheme="minorHAnsi" w:cs="Calibri"/>
                <w:b/>
                <w:color w:val="000000"/>
                <w:sz w:val="22"/>
                <w:szCs w:val="22"/>
              </w:rPr>
              <w:t>Annual Average</w:t>
            </w:r>
          </w:p>
        </w:tc>
        <w:tc>
          <w:tcPr>
            <w:tcW w:w="1637" w:type="pct"/>
            <w:shd w:val="clear" w:color="auto" w:fill="auto"/>
            <w:noWrap/>
            <w:hideMark/>
          </w:tcPr>
          <w:p w14:paraId="5FB8D83F" w14:textId="77777777" w:rsidR="008043C3" w:rsidRPr="0067297E" w:rsidRDefault="00D444A1" w:rsidP="0050310B">
            <w:pPr>
              <w:jc w:val="right"/>
              <w:rPr>
                <w:rFonts w:asciiTheme="minorHAnsi" w:hAnsiTheme="minorHAnsi" w:cs="Calibri"/>
                <w:b/>
                <w:color w:val="000000"/>
                <w:sz w:val="22"/>
                <w:szCs w:val="22"/>
              </w:rPr>
            </w:pPr>
            <w:r w:rsidRPr="0067297E">
              <w:rPr>
                <w:rFonts w:asciiTheme="minorHAnsi" w:hAnsiTheme="minorHAnsi" w:cs="Calibri"/>
                <w:sz w:val="22"/>
                <w:szCs w:val="22"/>
              </w:rPr>
              <w:t>1,11</w:t>
            </w:r>
            <w:r w:rsidR="005A70B6" w:rsidRPr="0067297E">
              <w:rPr>
                <w:rFonts w:asciiTheme="minorHAnsi" w:hAnsiTheme="minorHAnsi" w:cs="Calibri"/>
                <w:sz w:val="22"/>
                <w:szCs w:val="22"/>
              </w:rPr>
              <w:t>2</w:t>
            </w:r>
          </w:p>
        </w:tc>
        <w:tc>
          <w:tcPr>
            <w:tcW w:w="1882" w:type="pct"/>
            <w:shd w:val="clear" w:color="auto" w:fill="auto"/>
            <w:noWrap/>
            <w:hideMark/>
          </w:tcPr>
          <w:p w14:paraId="514CE27F" w14:textId="77777777" w:rsidR="008043C3" w:rsidRPr="0067297E" w:rsidRDefault="00D444A1" w:rsidP="0050310B">
            <w:pPr>
              <w:jc w:val="right"/>
              <w:rPr>
                <w:rFonts w:asciiTheme="minorHAnsi" w:hAnsiTheme="minorHAnsi" w:cs="Calibri"/>
                <w:b/>
                <w:color w:val="000000"/>
                <w:sz w:val="22"/>
                <w:szCs w:val="22"/>
              </w:rPr>
            </w:pPr>
            <w:r w:rsidRPr="0067297E">
              <w:rPr>
                <w:rFonts w:asciiTheme="minorHAnsi" w:hAnsiTheme="minorHAnsi" w:cs="Calibri"/>
                <w:sz w:val="22"/>
                <w:szCs w:val="22"/>
              </w:rPr>
              <w:t>755</w:t>
            </w:r>
          </w:p>
        </w:tc>
      </w:tr>
    </w:tbl>
    <w:p w14:paraId="6642248D" w14:textId="77777777" w:rsidR="005A70B6" w:rsidRPr="0067297E" w:rsidRDefault="008043C3" w:rsidP="00B21336">
      <w:pPr>
        <w:ind w:left="709"/>
        <w:rPr>
          <w:rFonts w:asciiTheme="minorHAnsi" w:hAnsiTheme="minorHAnsi" w:cs="Arial"/>
          <w:sz w:val="20"/>
          <w:szCs w:val="20"/>
        </w:rPr>
      </w:pPr>
      <w:r w:rsidRPr="0067297E">
        <w:rPr>
          <w:rFonts w:asciiTheme="minorHAnsi" w:hAnsiTheme="minorHAnsi" w:cs="Arial"/>
          <w:sz w:val="20"/>
          <w:szCs w:val="20"/>
        </w:rPr>
        <w:t>Source: CLG Homelessness Statistics</w:t>
      </w:r>
    </w:p>
    <w:p w14:paraId="12812F36" w14:textId="77777777" w:rsidR="005A70B6" w:rsidRPr="0067297E" w:rsidRDefault="005A70B6" w:rsidP="00B21336">
      <w:pPr>
        <w:rPr>
          <w:rFonts w:asciiTheme="minorHAnsi" w:hAnsiTheme="minorHAnsi"/>
        </w:rPr>
      </w:pPr>
    </w:p>
    <w:p w14:paraId="00FCD302" w14:textId="07368481" w:rsidR="008043C3" w:rsidRPr="0067297E" w:rsidRDefault="008043C3" w:rsidP="00543A76">
      <w:pPr>
        <w:pStyle w:val="Heading3"/>
        <w:rPr>
          <w:rFonts w:asciiTheme="minorHAnsi" w:hAnsiTheme="minorHAnsi" w:cs="Arial"/>
        </w:rPr>
      </w:pPr>
      <w:bookmarkStart w:id="545" w:name="_Toc318323466"/>
      <w:bookmarkStart w:id="546" w:name="_Toc360192703"/>
      <w:bookmarkStart w:id="547" w:name="_Toc399864458"/>
      <w:r w:rsidRPr="0067297E">
        <w:rPr>
          <w:rFonts w:asciiTheme="minorHAnsi" w:hAnsiTheme="minorHAnsi" w:cs="Arial"/>
        </w:rPr>
        <w:t>Overcrowding</w:t>
      </w:r>
      <w:bookmarkEnd w:id="545"/>
      <w:bookmarkEnd w:id="546"/>
      <w:bookmarkEnd w:id="547"/>
    </w:p>
    <w:p w14:paraId="7E37A387" w14:textId="77777777"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 xml:space="preserve">The extent to which </w:t>
      </w:r>
      <w:r w:rsidRPr="0067297E">
        <w:rPr>
          <w:rFonts w:asciiTheme="minorHAnsi" w:hAnsiTheme="minorHAnsi" w:cs="Arial"/>
          <w:iCs/>
        </w:rPr>
        <w:t>households</w:t>
      </w:r>
      <w:r w:rsidRPr="0067297E">
        <w:rPr>
          <w:rFonts w:asciiTheme="minorHAnsi" w:hAnsiTheme="minorHAnsi" w:cs="Arial"/>
        </w:rPr>
        <w:t xml:space="preserve"> are overcrowded is measured using the ‘bedroom standard’. This allocates a standard number of bedrooms to each household in accordance with its age/sex/marital status composition. A separate bedroom is allocated to each married couple, any other person aged 21 or over, each pair of adolescents aged 10-20 of the same sex and each pair of children under 10. Any unpaired person aged 10-20 is paired if possible with a child under 10 of the same sex, or, if that is not possible, is given a separate bedroom, as is any unpaired child under 10. This standard is then compared with the actual number of bedrooms (including bedsits) available for the sole use of the household. </w:t>
      </w:r>
    </w:p>
    <w:p w14:paraId="37896DE7" w14:textId="04CE1B2C" w:rsidR="008043C3" w:rsidRPr="0067297E" w:rsidRDefault="005A70B6" w:rsidP="002C70BC">
      <w:pPr>
        <w:pStyle w:val="Maintext"/>
        <w:numPr>
          <w:ilvl w:val="1"/>
          <w:numId w:val="37"/>
        </w:numPr>
        <w:rPr>
          <w:rFonts w:asciiTheme="minorHAnsi" w:hAnsiTheme="minorHAnsi" w:cs="Arial"/>
        </w:rPr>
      </w:pPr>
      <w:r w:rsidRPr="0067297E">
        <w:rPr>
          <w:rFonts w:asciiTheme="minorHAnsi" w:hAnsiTheme="minorHAnsi" w:cs="Arial"/>
        </w:rPr>
        <w:t>According to the housing register</w:t>
      </w:r>
      <w:r w:rsidR="008043C3" w:rsidRPr="0067297E">
        <w:rPr>
          <w:rFonts w:asciiTheme="minorHAnsi" w:hAnsiTheme="minorHAnsi" w:cs="Arial"/>
        </w:rPr>
        <w:t xml:space="preserve"> data, </w:t>
      </w:r>
      <w:r w:rsidRPr="0067297E">
        <w:rPr>
          <w:rFonts w:asciiTheme="minorHAnsi" w:hAnsiTheme="minorHAnsi" w:cs="Arial"/>
          <w:lang w:val="en-GB"/>
        </w:rPr>
        <w:t>1,643</w:t>
      </w:r>
      <w:r w:rsidR="008043C3" w:rsidRPr="0067297E">
        <w:rPr>
          <w:rFonts w:asciiTheme="minorHAnsi" w:hAnsiTheme="minorHAnsi" w:cs="Arial"/>
        </w:rPr>
        <w:t xml:space="preserve"> households are currently living in overcrowded accommodation</w:t>
      </w:r>
      <w:r w:rsidR="00445D70" w:rsidRPr="0067297E">
        <w:rPr>
          <w:rFonts w:asciiTheme="minorHAnsi" w:hAnsiTheme="minorHAnsi" w:cs="Arial"/>
          <w:lang w:val="en-GB"/>
        </w:rPr>
        <w:t>.</w:t>
      </w:r>
    </w:p>
    <w:p w14:paraId="2E49FFAD" w14:textId="77777777" w:rsidR="008043C3" w:rsidRPr="0067297E" w:rsidRDefault="008043C3" w:rsidP="00B21336">
      <w:pPr>
        <w:rPr>
          <w:rFonts w:asciiTheme="minorHAnsi" w:hAnsiTheme="minorHAnsi"/>
        </w:rPr>
      </w:pPr>
      <w:bookmarkStart w:id="548" w:name="_Toc318323468"/>
      <w:bookmarkStart w:id="549" w:name="_Toc360192705"/>
      <w:bookmarkStart w:id="550" w:name="_Toc399864460"/>
    </w:p>
    <w:p w14:paraId="67E251A2" w14:textId="77777777" w:rsidR="008043C3" w:rsidRPr="0067297E" w:rsidRDefault="008043C3" w:rsidP="000256AC">
      <w:pPr>
        <w:pStyle w:val="Heading3"/>
        <w:rPr>
          <w:rFonts w:asciiTheme="minorHAnsi" w:hAnsiTheme="minorHAnsi" w:cs="Arial"/>
        </w:rPr>
      </w:pPr>
      <w:r w:rsidRPr="0067297E">
        <w:rPr>
          <w:rFonts w:asciiTheme="minorHAnsi" w:hAnsiTheme="minorHAnsi" w:cs="Arial"/>
        </w:rPr>
        <w:t xml:space="preserve">Total current housing need </w:t>
      </w:r>
      <w:bookmarkEnd w:id="548"/>
      <w:r w:rsidRPr="0067297E">
        <w:rPr>
          <w:rFonts w:asciiTheme="minorHAnsi" w:hAnsiTheme="minorHAnsi" w:cs="Arial"/>
        </w:rPr>
        <w:t>summary</w:t>
      </w:r>
      <w:bookmarkEnd w:id="549"/>
      <w:bookmarkEnd w:id="550"/>
    </w:p>
    <w:p w14:paraId="7062A01F" w14:textId="49DE5DE2"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 xml:space="preserve">Analysis indicates a total of </w:t>
      </w:r>
      <w:r w:rsidR="004A7BDB" w:rsidRPr="0067297E">
        <w:rPr>
          <w:rFonts w:asciiTheme="minorHAnsi" w:hAnsiTheme="minorHAnsi" w:cs="Arial"/>
          <w:lang w:val="en-GB"/>
        </w:rPr>
        <w:t>9,</w:t>
      </w:r>
      <w:r w:rsidR="00255B16" w:rsidRPr="0067297E">
        <w:rPr>
          <w:rFonts w:asciiTheme="minorHAnsi" w:hAnsiTheme="minorHAnsi" w:cs="Arial"/>
          <w:lang w:val="en-GB"/>
        </w:rPr>
        <w:t>765</w:t>
      </w:r>
      <w:r w:rsidR="00255B16" w:rsidRPr="0067297E">
        <w:rPr>
          <w:rFonts w:asciiTheme="minorHAnsi" w:hAnsiTheme="minorHAnsi" w:cs="Arial"/>
        </w:rPr>
        <w:t xml:space="preserve"> </w:t>
      </w:r>
      <w:r w:rsidRPr="0067297E">
        <w:rPr>
          <w:rFonts w:asciiTheme="minorHAnsi" w:hAnsiTheme="minorHAnsi" w:cs="Arial"/>
        </w:rPr>
        <w:t xml:space="preserve">households who are in housing need which represents </w:t>
      </w:r>
      <w:r w:rsidR="00E205A7" w:rsidRPr="0067297E">
        <w:rPr>
          <w:rFonts w:asciiTheme="minorHAnsi" w:hAnsiTheme="minorHAnsi" w:cs="Arial"/>
          <w:lang w:val="en-GB"/>
        </w:rPr>
        <w:t>7.</w:t>
      </w:r>
      <w:r w:rsidR="00255B16" w:rsidRPr="0067297E">
        <w:rPr>
          <w:rFonts w:asciiTheme="minorHAnsi" w:hAnsiTheme="minorHAnsi" w:cs="Arial"/>
          <w:lang w:val="en-GB"/>
        </w:rPr>
        <w:t>6</w:t>
      </w:r>
      <w:r w:rsidRPr="0067297E">
        <w:rPr>
          <w:rFonts w:asciiTheme="minorHAnsi" w:hAnsiTheme="minorHAnsi" w:cs="Arial"/>
        </w:rPr>
        <w:t xml:space="preserve">% of all households (arc4 would expect between 5 and 10% of households are in need based on our other studies). As accurate household income data is not available from </w:t>
      </w:r>
      <w:r w:rsidR="004A7BDB" w:rsidRPr="0067297E">
        <w:rPr>
          <w:rFonts w:asciiTheme="minorHAnsi" w:hAnsiTheme="minorHAnsi" w:cs="Arial"/>
          <w:lang w:val="en-GB"/>
        </w:rPr>
        <w:t>housing register</w:t>
      </w:r>
      <w:r w:rsidRPr="0067297E">
        <w:rPr>
          <w:rFonts w:asciiTheme="minorHAnsi" w:hAnsiTheme="minorHAnsi" w:cs="Arial"/>
        </w:rPr>
        <w:t xml:space="preserve"> data, it is assumed that all households on the register are in need of affordable housing. </w:t>
      </w:r>
      <w:r w:rsidR="00E205A7" w:rsidRPr="0067297E">
        <w:rPr>
          <w:rFonts w:asciiTheme="minorHAnsi" w:hAnsiTheme="minorHAnsi" w:cs="Arial"/>
        </w:rPr>
        <w:t xml:space="preserve">The relative </w:t>
      </w:r>
      <w:r w:rsidR="005B2517" w:rsidRPr="0067297E">
        <w:rPr>
          <w:rFonts w:asciiTheme="minorHAnsi" w:hAnsiTheme="minorHAnsi" w:cs="Arial"/>
        </w:rPr>
        <w:t>affordability</w:t>
      </w:r>
      <w:r w:rsidR="00E205A7" w:rsidRPr="0067297E">
        <w:rPr>
          <w:rFonts w:asciiTheme="minorHAnsi" w:hAnsiTheme="minorHAnsi" w:cs="Arial"/>
        </w:rPr>
        <w:t xml:space="preserve"> of alternative tenure options has been tested using CAMEO household income.</w:t>
      </w:r>
    </w:p>
    <w:p w14:paraId="12A5B129" w14:textId="77777777" w:rsidR="008043C3" w:rsidRPr="0067297E" w:rsidRDefault="008043C3" w:rsidP="006C722F">
      <w:pPr>
        <w:rPr>
          <w:rFonts w:asciiTheme="minorHAnsi" w:hAnsiTheme="minorHAnsi" w:cs="Arial"/>
        </w:rPr>
      </w:pPr>
    </w:p>
    <w:p w14:paraId="798A3AF2" w14:textId="77777777" w:rsidR="008043C3" w:rsidRPr="0067297E" w:rsidRDefault="008043C3" w:rsidP="006C722F">
      <w:pPr>
        <w:pStyle w:val="Heading2"/>
        <w:rPr>
          <w:rFonts w:asciiTheme="minorHAnsi" w:hAnsiTheme="minorHAnsi" w:cs="Arial"/>
        </w:rPr>
      </w:pPr>
      <w:bookmarkStart w:id="551" w:name="_Toc391019042"/>
      <w:bookmarkStart w:id="552" w:name="_Toc398751108"/>
      <w:bookmarkStart w:id="553" w:name="_Toc529887283"/>
      <w:bookmarkStart w:id="554" w:name="_Toc1385801"/>
      <w:bookmarkStart w:id="555" w:name="_Toc23151118"/>
      <w:r w:rsidRPr="0067297E">
        <w:rPr>
          <w:rFonts w:asciiTheme="minorHAnsi" w:hAnsiTheme="minorHAnsi" w:cs="Arial"/>
        </w:rPr>
        <w:t>Stage 2:  Newly-arising affordable need</w:t>
      </w:r>
      <w:bookmarkEnd w:id="551"/>
      <w:bookmarkEnd w:id="552"/>
      <w:bookmarkEnd w:id="553"/>
      <w:bookmarkEnd w:id="554"/>
      <w:bookmarkEnd w:id="555"/>
    </w:p>
    <w:p w14:paraId="470459F0" w14:textId="4529DAA4" w:rsidR="00E205A7"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ab/>
      </w:r>
      <w:r w:rsidR="00C96A70" w:rsidRPr="0067297E">
        <w:rPr>
          <w:rFonts w:asciiTheme="minorHAnsi" w:hAnsiTheme="minorHAnsi" w:cs="Arial"/>
        </w:rPr>
        <w:t>The 201</w:t>
      </w:r>
      <w:r w:rsidR="00E3486D">
        <w:rPr>
          <w:rFonts w:asciiTheme="minorHAnsi" w:hAnsiTheme="minorHAnsi" w:cs="Arial"/>
          <w:lang w:val="en-US"/>
        </w:rPr>
        <w:t>9</w:t>
      </w:r>
      <w:r w:rsidR="00C96A70" w:rsidRPr="0067297E">
        <w:rPr>
          <w:rFonts w:asciiTheme="minorHAnsi" w:hAnsiTheme="minorHAnsi" w:cs="Arial"/>
        </w:rPr>
        <w:t xml:space="preserve"> </w:t>
      </w:r>
      <w:r w:rsidRPr="0067297E">
        <w:rPr>
          <w:rFonts w:asciiTheme="minorHAnsi" w:hAnsiTheme="minorHAnsi" w:cs="Arial"/>
        </w:rPr>
        <w:t>PPG</w:t>
      </w:r>
      <w:r w:rsidR="00C96A70" w:rsidRPr="0067297E">
        <w:rPr>
          <w:rFonts w:asciiTheme="minorHAnsi" w:hAnsiTheme="minorHAnsi" w:cs="Arial"/>
        </w:rPr>
        <w:t xml:space="preserve"> </w:t>
      </w:r>
      <w:r w:rsidRPr="0067297E">
        <w:rPr>
          <w:rFonts w:asciiTheme="minorHAnsi" w:hAnsiTheme="minorHAnsi" w:cs="Arial"/>
        </w:rPr>
        <w:t xml:space="preserve">considers how the number of newly-arising households </w:t>
      </w:r>
      <w:r w:rsidR="00DC1742" w:rsidRPr="0067297E">
        <w:rPr>
          <w:rFonts w:asciiTheme="minorHAnsi" w:hAnsiTheme="minorHAnsi" w:cs="Arial"/>
          <w:lang w:val="en-GB"/>
        </w:rPr>
        <w:t xml:space="preserve">are </w:t>
      </w:r>
      <w:r w:rsidRPr="0067297E">
        <w:rPr>
          <w:rFonts w:asciiTheme="minorHAnsi" w:hAnsiTheme="minorHAnsi" w:cs="Arial"/>
        </w:rPr>
        <w:t>lik</w:t>
      </w:r>
      <w:r w:rsidR="00E205A7" w:rsidRPr="0067297E">
        <w:rPr>
          <w:rFonts w:asciiTheme="minorHAnsi" w:hAnsiTheme="minorHAnsi" w:cs="Arial"/>
        </w:rPr>
        <w:t>ely to need affordable housing: ‘</w:t>
      </w:r>
      <w:r w:rsidR="00E205A7" w:rsidRPr="0067297E">
        <w:rPr>
          <w:rFonts w:asciiTheme="minorHAnsi" w:hAnsiTheme="minorHAnsi" w:cs="Arial"/>
          <w:i/>
          <w:color w:val="0B0C0C"/>
          <w:shd w:val="clear" w:color="auto" w:fill="FFFFFF"/>
        </w:rPr>
        <w:t>Projections of affordable housing need will have to reflect new household formation, the proportion of newly forming households unable to buy or rent in the market area, and an estimation of the number of existing households falling into need. This process will need to identify the minimum household income required to access lower quartile (entry level) market housing (strategic policy-making authorities can use current cost in this process, but may wish to factor in anticipated changes in house prices and wages). It can then assess what proportion of newly-forming households will be unable to access market housing</w:t>
      </w:r>
      <w:r w:rsidR="00E205A7" w:rsidRPr="0067297E">
        <w:rPr>
          <w:rFonts w:asciiTheme="minorHAnsi" w:hAnsiTheme="minorHAnsi" w:cs="Arial"/>
          <w:color w:val="0B0C0C"/>
          <w:shd w:val="clear" w:color="auto" w:fill="FFFFFF"/>
        </w:rPr>
        <w:t>.’</w:t>
      </w:r>
      <w:r w:rsidR="00E205A7" w:rsidRPr="0067297E">
        <w:rPr>
          <w:rStyle w:val="FootnoteReference"/>
          <w:rFonts w:asciiTheme="minorHAnsi" w:hAnsiTheme="minorHAnsi" w:cs="Arial"/>
          <w:color w:val="0B0C0C"/>
          <w:shd w:val="clear" w:color="auto" w:fill="FFFFFF"/>
        </w:rPr>
        <w:footnoteReference w:id="63"/>
      </w:r>
    </w:p>
    <w:p w14:paraId="0CFB2821" w14:textId="77777777" w:rsidR="00E205A7" w:rsidRPr="0067297E" w:rsidRDefault="00E205A7" w:rsidP="00944242">
      <w:pPr>
        <w:rPr>
          <w:rFonts w:asciiTheme="minorHAnsi" w:hAnsiTheme="minorHAnsi" w:cs="Arial"/>
        </w:rPr>
      </w:pPr>
    </w:p>
    <w:p w14:paraId="1A3F2899" w14:textId="77777777" w:rsidR="008043C3" w:rsidRPr="0067297E" w:rsidRDefault="008043C3" w:rsidP="006B6473">
      <w:pPr>
        <w:pStyle w:val="Heading3"/>
        <w:rPr>
          <w:rFonts w:asciiTheme="minorHAnsi" w:hAnsiTheme="minorHAnsi" w:cs="Arial"/>
        </w:rPr>
      </w:pPr>
      <w:bookmarkStart w:id="556" w:name="_Toc360192706"/>
      <w:bookmarkStart w:id="557" w:name="_Toc399864461"/>
      <w:r w:rsidRPr="0067297E">
        <w:rPr>
          <w:rFonts w:asciiTheme="minorHAnsi" w:hAnsiTheme="minorHAnsi" w:cs="Arial"/>
        </w:rPr>
        <w:t>New household formation (gross per year)</w:t>
      </w:r>
      <w:bookmarkEnd w:id="556"/>
      <w:bookmarkEnd w:id="557"/>
    </w:p>
    <w:p w14:paraId="04052850" w14:textId="5610E738"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The national household formation rate reported in the English Housing Survey is currently 1.</w:t>
      </w:r>
      <w:r w:rsidR="00574333">
        <w:rPr>
          <w:rFonts w:asciiTheme="minorHAnsi" w:hAnsiTheme="minorHAnsi" w:cs="Arial"/>
          <w:lang w:val="en-US"/>
        </w:rPr>
        <w:t>49</w:t>
      </w:r>
      <w:r w:rsidRPr="0067297E">
        <w:rPr>
          <w:rFonts w:asciiTheme="minorHAnsi" w:hAnsiTheme="minorHAnsi" w:cs="Arial"/>
        </w:rPr>
        <w:t>% based on the latest three-year average national rate reported in the English Housing Survey over the period 201</w:t>
      </w:r>
      <w:r w:rsidR="00574333">
        <w:rPr>
          <w:rFonts w:asciiTheme="minorHAnsi" w:hAnsiTheme="minorHAnsi" w:cs="Arial"/>
          <w:lang w:val="en-US"/>
        </w:rPr>
        <w:t>5</w:t>
      </w:r>
      <w:r w:rsidRPr="0067297E">
        <w:rPr>
          <w:rFonts w:asciiTheme="minorHAnsi" w:hAnsiTheme="minorHAnsi" w:cs="Arial"/>
        </w:rPr>
        <w:t>/1</w:t>
      </w:r>
      <w:r w:rsidR="00574333">
        <w:rPr>
          <w:rFonts w:asciiTheme="minorHAnsi" w:hAnsiTheme="minorHAnsi" w:cs="Arial"/>
          <w:lang w:val="en-US"/>
        </w:rPr>
        <w:t>6</w:t>
      </w:r>
      <w:r w:rsidRPr="0067297E">
        <w:rPr>
          <w:rFonts w:asciiTheme="minorHAnsi" w:hAnsiTheme="minorHAnsi" w:cs="Arial"/>
        </w:rPr>
        <w:t xml:space="preserve"> to 201</w:t>
      </w:r>
      <w:r w:rsidR="00574333">
        <w:rPr>
          <w:rFonts w:asciiTheme="minorHAnsi" w:hAnsiTheme="minorHAnsi" w:cs="Arial"/>
          <w:lang w:val="en-US"/>
        </w:rPr>
        <w:t>7</w:t>
      </w:r>
      <w:r w:rsidRPr="0067297E">
        <w:rPr>
          <w:rFonts w:asciiTheme="minorHAnsi" w:hAnsiTheme="minorHAnsi" w:cs="Arial"/>
        </w:rPr>
        <w:t>/1</w:t>
      </w:r>
      <w:r w:rsidR="00574333">
        <w:rPr>
          <w:rFonts w:asciiTheme="minorHAnsi" w:hAnsiTheme="minorHAnsi" w:cs="Arial"/>
          <w:lang w:val="en-US"/>
        </w:rPr>
        <w:t>8</w:t>
      </w:r>
      <w:r w:rsidRPr="0067297E">
        <w:rPr>
          <w:rFonts w:asciiTheme="minorHAnsi" w:hAnsiTheme="minorHAnsi" w:cs="Arial"/>
        </w:rPr>
        <w:t xml:space="preserve">. </w:t>
      </w:r>
      <w:r w:rsidR="000515E7" w:rsidRPr="0067297E">
        <w:rPr>
          <w:rFonts w:asciiTheme="minorHAnsi" w:hAnsiTheme="minorHAnsi" w:cs="Arial"/>
          <w:lang w:val="en-GB"/>
        </w:rPr>
        <w:t xml:space="preserve"> </w:t>
      </w:r>
      <w:r w:rsidRPr="0067297E">
        <w:rPr>
          <w:rFonts w:asciiTheme="minorHAnsi" w:hAnsiTheme="minorHAnsi" w:cs="Arial"/>
        </w:rPr>
        <w:t xml:space="preserve">According to the </w:t>
      </w:r>
      <w:r w:rsidR="00496918">
        <w:rPr>
          <w:rFonts w:asciiTheme="minorHAnsi" w:hAnsiTheme="minorHAnsi" w:cs="Arial"/>
          <w:lang w:val="en-GB"/>
        </w:rPr>
        <w:t>2014</w:t>
      </w:r>
      <w:r w:rsidR="00255B16" w:rsidRPr="0067297E">
        <w:rPr>
          <w:rFonts w:asciiTheme="minorHAnsi" w:hAnsiTheme="minorHAnsi" w:cs="Arial"/>
          <w:lang w:val="en-GB"/>
        </w:rPr>
        <w:t>-based MHCLG household projections,</w:t>
      </w:r>
      <w:r w:rsidRPr="0067297E">
        <w:rPr>
          <w:rFonts w:asciiTheme="minorHAnsi" w:hAnsiTheme="minorHAnsi" w:cs="Arial"/>
        </w:rPr>
        <w:t xml:space="preserve"> the to</w:t>
      </w:r>
      <w:r w:rsidR="00E205A7" w:rsidRPr="0067297E">
        <w:rPr>
          <w:rFonts w:asciiTheme="minorHAnsi" w:hAnsiTheme="minorHAnsi" w:cs="Arial"/>
        </w:rPr>
        <w:t>tal number of households in 2018</w:t>
      </w:r>
      <w:r w:rsidRPr="0067297E">
        <w:rPr>
          <w:rFonts w:asciiTheme="minorHAnsi" w:hAnsiTheme="minorHAnsi" w:cs="Arial"/>
        </w:rPr>
        <w:t xml:space="preserve"> is </w:t>
      </w:r>
      <w:r w:rsidR="00496918">
        <w:rPr>
          <w:rFonts w:asciiTheme="minorHAnsi" w:hAnsiTheme="minorHAnsi" w:cs="Arial"/>
          <w:lang w:val="en-GB"/>
        </w:rPr>
        <w:t>134,147</w:t>
      </w:r>
      <w:r w:rsidRPr="0067297E">
        <w:rPr>
          <w:rFonts w:asciiTheme="minorHAnsi" w:hAnsiTheme="minorHAnsi" w:cs="Arial"/>
        </w:rPr>
        <w:t xml:space="preserve">. Applying the gross national household formation rate establishes an annual household formation of </w:t>
      </w:r>
      <w:r w:rsidR="00574333">
        <w:rPr>
          <w:rFonts w:asciiTheme="minorHAnsi" w:hAnsiTheme="minorHAnsi" w:cs="Arial"/>
          <w:lang w:val="en-GB"/>
        </w:rPr>
        <w:t>1,985</w:t>
      </w:r>
      <w:r w:rsidRPr="0067297E">
        <w:rPr>
          <w:rFonts w:asciiTheme="minorHAnsi" w:hAnsiTheme="minorHAnsi" w:cs="Arial"/>
        </w:rPr>
        <w:t xml:space="preserve">. </w:t>
      </w:r>
    </w:p>
    <w:p w14:paraId="54E8376A" w14:textId="6183358B" w:rsidR="008043C3" w:rsidRPr="0067297E" w:rsidRDefault="00860D12" w:rsidP="002C70BC">
      <w:pPr>
        <w:pStyle w:val="Maintext"/>
        <w:numPr>
          <w:ilvl w:val="1"/>
          <w:numId w:val="37"/>
        </w:numPr>
        <w:rPr>
          <w:rFonts w:asciiTheme="minorHAnsi" w:hAnsiTheme="minorHAnsi" w:cs="Arial"/>
        </w:rPr>
      </w:pPr>
      <w:r w:rsidRPr="0067297E">
        <w:rPr>
          <w:rFonts w:asciiTheme="minorHAnsi" w:hAnsiTheme="minorHAnsi" w:cs="Arial"/>
          <w:lang w:val="en-GB"/>
        </w:rPr>
        <w:t>A</w:t>
      </w:r>
      <w:r w:rsidR="008043C3" w:rsidRPr="0067297E">
        <w:rPr>
          <w:rFonts w:asciiTheme="minorHAnsi" w:hAnsiTheme="minorHAnsi" w:cs="Arial"/>
        </w:rPr>
        <w:t xml:space="preserve">ccurate income data </w:t>
      </w:r>
      <w:r w:rsidR="000515E7" w:rsidRPr="0067297E">
        <w:rPr>
          <w:rFonts w:asciiTheme="minorHAnsi" w:hAnsiTheme="minorHAnsi" w:cs="Arial"/>
          <w:lang w:val="en-GB"/>
        </w:rPr>
        <w:t>is</w:t>
      </w:r>
      <w:r w:rsidR="008043C3" w:rsidRPr="0067297E">
        <w:rPr>
          <w:rFonts w:asciiTheme="minorHAnsi" w:hAnsiTheme="minorHAnsi" w:cs="Arial"/>
        </w:rPr>
        <w:t xml:space="preserve"> not available </w:t>
      </w:r>
      <w:r w:rsidR="000515E7" w:rsidRPr="0067297E">
        <w:rPr>
          <w:rFonts w:asciiTheme="minorHAnsi" w:hAnsiTheme="minorHAnsi" w:cs="Arial"/>
          <w:lang w:val="en-GB"/>
        </w:rPr>
        <w:t xml:space="preserve">from the housing </w:t>
      </w:r>
      <w:r w:rsidR="008D39E8" w:rsidRPr="0067297E">
        <w:rPr>
          <w:rFonts w:asciiTheme="minorHAnsi" w:hAnsiTheme="minorHAnsi" w:cs="Arial"/>
          <w:lang w:val="en-GB"/>
        </w:rPr>
        <w:t>register;</w:t>
      </w:r>
      <w:r w:rsidR="000515E7" w:rsidRPr="0067297E">
        <w:rPr>
          <w:rFonts w:asciiTheme="minorHAnsi" w:hAnsiTheme="minorHAnsi" w:cs="Arial"/>
          <w:lang w:val="en-GB"/>
        </w:rPr>
        <w:t xml:space="preserve"> </w:t>
      </w:r>
      <w:r w:rsidR="008D39E8" w:rsidRPr="0067297E">
        <w:rPr>
          <w:rFonts w:asciiTheme="minorHAnsi" w:hAnsiTheme="minorHAnsi" w:cs="Arial"/>
          <w:lang w:val="en-GB"/>
        </w:rPr>
        <w:t>therefore,</w:t>
      </w:r>
      <w:r w:rsidRPr="0067297E">
        <w:rPr>
          <w:rFonts w:asciiTheme="minorHAnsi" w:hAnsiTheme="minorHAnsi" w:cs="Arial"/>
          <w:lang w:val="en-GB"/>
        </w:rPr>
        <w:t xml:space="preserve"> we have tested </w:t>
      </w:r>
      <w:r w:rsidR="008043C3" w:rsidRPr="0067297E">
        <w:rPr>
          <w:rFonts w:asciiTheme="minorHAnsi" w:hAnsiTheme="minorHAnsi" w:cs="Arial"/>
        </w:rPr>
        <w:t>the extent to which households could afford lower quartile open market prices</w:t>
      </w:r>
      <w:r w:rsidRPr="0067297E">
        <w:rPr>
          <w:rFonts w:asciiTheme="minorHAnsi" w:hAnsiTheme="minorHAnsi" w:cs="Arial"/>
          <w:lang w:val="en-GB"/>
        </w:rPr>
        <w:t xml:space="preserve"> by utilising CAMEO income data (2018)</w:t>
      </w:r>
      <w:r w:rsidR="007D70F8">
        <w:rPr>
          <w:rFonts w:asciiTheme="minorHAnsi" w:hAnsiTheme="minorHAnsi" w:cs="Arial"/>
          <w:lang w:val="en-GB"/>
        </w:rPr>
        <w:t xml:space="preserve">. </w:t>
      </w:r>
      <w:r w:rsidR="007D70F8">
        <w:rPr>
          <w:rFonts w:asciiTheme="minorHAnsi" w:hAnsiTheme="minorHAnsi" w:cs="Arial"/>
          <w:lang w:val="en-US"/>
        </w:rPr>
        <w:t>Comparing incomes with lower quartile market prices indicates that 81.7% of households could not afford lower quartile rents and 96.9% could not afford to buy on the open market. Using the figure for those who could not afford to rent in the open market, there is a need for 1,6</w:t>
      </w:r>
      <w:r w:rsidR="00574333">
        <w:rPr>
          <w:rFonts w:asciiTheme="minorHAnsi" w:hAnsiTheme="minorHAnsi" w:cs="Arial"/>
          <w:lang w:val="en-US"/>
        </w:rPr>
        <w:t>22</w:t>
      </w:r>
      <w:r w:rsidR="007D70F8">
        <w:rPr>
          <w:rFonts w:asciiTheme="minorHAnsi" w:hAnsiTheme="minorHAnsi" w:cs="Arial"/>
          <w:lang w:val="en-US"/>
        </w:rPr>
        <w:t xml:space="preserve"> affordable dwellings each year for newly-forming households. </w:t>
      </w:r>
      <w:r w:rsidR="008043C3" w:rsidRPr="0067297E">
        <w:rPr>
          <w:rFonts w:asciiTheme="minorHAnsi" w:hAnsiTheme="minorHAnsi" w:cs="Arial"/>
        </w:rPr>
        <w:t xml:space="preserve"> </w:t>
      </w:r>
    </w:p>
    <w:p w14:paraId="6BA2B9BE" w14:textId="77777777" w:rsidR="008043C3" w:rsidRPr="0067297E" w:rsidRDefault="008043C3" w:rsidP="00C12BC3">
      <w:pPr>
        <w:rPr>
          <w:rFonts w:asciiTheme="minorHAnsi" w:hAnsiTheme="minorHAnsi" w:cs="Arial"/>
        </w:rPr>
      </w:pPr>
      <w:bookmarkStart w:id="558" w:name="_Toc318323472"/>
    </w:p>
    <w:p w14:paraId="5CBC9EDD" w14:textId="77777777" w:rsidR="008043C3" w:rsidRPr="0067297E" w:rsidRDefault="008043C3" w:rsidP="00C12BC3">
      <w:pPr>
        <w:pStyle w:val="Heading3"/>
        <w:rPr>
          <w:rFonts w:asciiTheme="minorHAnsi" w:hAnsiTheme="minorHAnsi" w:cs="Arial"/>
        </w:rPr>
      </w:pPr>
      <w:bookmarkStart w:id="559" w:name="_Toc360192708"/>
      <w:bookmarkStart w:id="560" w:name="_Toc399864463"/>
      <w:r w:rsidRPr="0067297E">
        <w:rPr>
          <w:rFonts w:asciiTheme="minorHAnsi" w:hAnsiTheme="minorHAnsi" w:cs="Arial"/>
        </w:rPr>
        <w:t>Existing households expected to fall into need</w:t>
      </w:r>
      <w:bookmarkEnd w:id="558"/>
      <w:bookmarkEnd w:id="559"/>
      <w:bookmarkEnd w:id="560"/>
    </w:p>
    <w:p w14:paraId="4B277367" w14:textId="77777777"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 xml:space="preserve">The housing register will contain households who have fallen into need and likely to appear as in priority need however it is difficult to isolate this </w:t>
      </w:r>
      <w:r w:rsidR="008D39E8" w:rsidRPr="0067297E">
        <w:rPr>
          <w:rFonts w:asciiTheme="minorHAnsi" w:hAnsiTheme="minorHAnsi" w:cs="Arial"/>
        </w:rPr>
        <w:t>figure from the data available</w:t>
      </w:r>
      <w:r w:rsidR="008D39E8" w:rsidRPr="0067297E">
        <w:rPr>
          <w:rFonts w:asciiTheme="minorHAnsi" w:hAnsiTheme="minorHAnsi" w:cs="Arial"/>
          <w:lang w:val="en-GB"/>
        </w:rPr>
        <w:t>, therefore, we have suggested that this is already captured in step 1.1.</w:t>
      </w:r>
      <w:r w:rsidRPr="0067297E">
        <w:rPr>
          <w:rFonts w:asciiTheme="minorHAnsi" w:hAnsiTheme="minorHAnsi" w:cs="Arial"/>
        </w:rPr>
        <w:t xml:space="preserve"> </w:t>
      </w:r>
    </w:p>
    <w:p w14:paraId="43831E92" w14:textId="77777777" w:rsidR="008043C3" w:rsidRPr="0067297E" w:rsidRDefault="008043C3" w:rsidP="00B21336">
      <w:pPr>
        <w:rPr>
          <w:rFonts w:asciiTheme="minorHAnsi" w:hAnsiTheme="minorHAnsi"/>
        </w:rPr>
      </w:pPr>
      <w:bookmarkStart w:id="561" w:name="_Toc318323473"/>
      <w:bookmarkStart w:id="562" w:name="_Toc360192709"/>
      <w:bookmarkStart w:id="563" w:name="_Toc399864464"/>
    </w:p>
    <w:p w14:paraId="18388CF3" w14:textId="77777777" w:rsidR="008043C3" w:rsidRPr="0067297E" w:rsidRDefault="008043C3" w:rsidP="00C12BC3">
      <w:pPr>
        <w:pStyle w:val="Heading3"/>
        <w:rPr>
          <w:rFonts w:asciiTheme="minorHAnsi" w:hAnsiTheme="minorHAnsi" w:cs="Arial"/>
        </w:rPr>
      </w:pPr>
      <w:r w:rsidRPr="0067297E">
        <w:rPr>
          <w:rFonts w:asciiTheme="minorHAnsi" w:hAnsiTheme="minorHAnsi" w:cs="Arial"/>
        </w:rPr>
        <w:t>Total newly arising housing need (gross per year)</w:t>
      </w:r>
      <w:bookmarkEnd w:id="561"/>
      <w:bookmarkEnd w:id="562"/>
      <w:bookmarkEnd w:id="563"/>
    </w:p>
    <w:p w14:paraId="4C840BCF" w14:textId="138D03F8" w:rsidR="008043C3" w:rsidRPr="0067297E" w:rsidRDefault="008043C3" w:rsidP="002C70BC">
      <w:pPr>
        <w:pStyle w:val="Maintext"/>
        <w:numPr>
          <w:ilvl w:val="1"/>
          <w:numId w:val="37"/>
        </w:numPr>
        <w:rPr>
          <w:rFonts w:asciiTheme="minorHAnsi" w:hAnsiTheme="minorHAnsi" w:cs="Arial"/>
          <w:sz w:val="20"/>
          <w:szCs w:val="20"/>
        </w:rPr>
      </w:pPr>
      <w:r w:rsidRPr="0067297E">
        <w:rPr>
          <w:rFonts w:asciiTheme="minorHAnsi" w:hAnsiTheme="minorHAnsi" w:cs="Arial"/>
        </w:rPr>
        <w:t xml:space="preserve">Total newly arising need is calculated to be </w:t>
      </w:r>
      <w:r w:rsidR="00824DC2">
        <w:rPr>
          <w:rFonts w:asciiTheme="minorHAnsi" w:hAnsiTheme="minorHAnsi" w:cs="Arial"/>
          <w:lang w:val="en-GB"/>
        </w:rPr>
        <w:t>1,622</w:t>
      </w:r>
      <w:r w:rsidRPr="0067297E">
        <w:rPr>
          <w:rFonts w:asciiTheme="minorHAnsi" w:hAnsiTheme="minorHAnsi" w:cs="Arial"/>
        </w:rPr>
        <w:t xml:space="preserve"> households each year across </w:t>
      </w:r>
      <w:r w:rsidR="00E205A7" w:rsidRPr="0067297E">
        <w:rPr>
          <w:rFonts w:asciiTheme="minorHAnsi" w:hAnsiTheme="minorHAnsi" w:cs="Arial"/>
          <w:lang w:val="en-GB"/>
        </w:rPr>
        <w:t>the borough</w:t>
      </w:r>
      <w:r w:rsidRPr="0067297E">
        <w:rPr>
          <w:rFonts w:asciiTheme="minorHAnsi" w:hAnsiTheme="minorHAnsi" w:cs="Arial"/>
        </w:rPr>
        <w:t>.</w:t>
      </w:r>
    </w:p>
    <w:p w14:paraId="00C5F39F" w14:textId="77777777" w:rsidR="008043C3" w:rsidRPr="0067297E" w:rsidRDefault="008043C3" w:rsidP="00A04CC5">
      <w:pPr>
        <w:rPr>
          <w:rFonts w:asciiTheme="minorHAnsi" w:hAnsiTheme="minorHAnsi" w:cs="Arial"/>
        </w:rPr>
      </w:pPr>
      <w:bookmarkStart w:id="564" w:name="_Toc273698056"/>
      <w:bookmarkStart w:id="565" w:name="_Toc273708389"/>
      <w:bookmarkStart w:id="566" w:name="_Toc280272459"/>
    </w:p>
    <w:p w14:paraId="451FD20F" w14:textId="77777777" w:rsidR="008043C3" w:rsidRPr="0067297E" w:rsidRDefault="008043C3" w:rsidP="007E2C96">
      <w:pPr>
        <w:pStyle w:val="Heading2"/>
        <w:rPr>
          <w:rFonts w:asciiTheme="minorHAnsi" w:hAnsiTheme="minorHAnsi" w:cs="Arial"/>
        </w:rPr>
      </w:pPr>
      <w:bookmarkStart w:id="567" w:name="_Toc318323474"/>
      <w:bookmarkStart w:id="568" w:name="_Toc320271458"/>
      <w:bookmarkStart w:id="569" w:name="_Toc321323391"/>
      <w:bookmarkStart w:id="570" w:name="_Toc326077253"/>
      <w:bookmarkStart w:id="571" w:name="_Toc333507795"/>
      <w:bookmarkStart w:id="572" w:name="_Toc360192710"/>
      <w:bookmarkStart w:id="573" w:name="_Toc399864465"/>
      <w:bookmarkStart w:id="574" w:name="_Toc428528524"/>
      <w:bookmarkStart w:id="575" w:name="_Toc305854608"/>
      <w:bookmarkStart w:id="576" w:name="_Toc305860963"/>
      <w:bookmarkStart w:id="577" w:name="_Toc391019043"/>
      <w:bookmarkStart w:id="578" w:name="_Toc398751109"/>
      <w:bookmarkStart w:id="579" w:name="_Toc529887284"/>
      <w:bookmarkStart w:id="580" w:name="_Toc1385802"/>
      <w:bookmarkStart w:id="581" w:name="_Toc23151119"/>
      <w:r w:rsidRPr="0067297E">
        <w:rPr>
          <w:rFonts w:asciiTheme="minorHAnsi" w:hAnsiTheme="minorHAnsi" w:cs="Arial"/>
        </w:rPr>
        <w:t>Stage 3:  Affordable housing supply</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70CA653C" w14:textId="622C57DA" w:rsidR="008043C3" w:rsidRPr="0067297E" w:rsidRDefault="00C96A70" w:rsidP="002C70BC">
      <w:pPr>
        <w:pStyle w:val="Maintext"/>
        <w:numPr>
          <w:ilvl w:val="1"/>
          <w:numId w:val="37"/>
        </w:numPr>
        <w:rPr>
          <w:rFonts w:asciiTheme="minorHAnsi" w:hAnsiTheme="minorHAnsi" w:cs="Arial"/>
        </w:rPr>
      </w:pPr>
      <w:r w:rsidRPr="0067297E">
        <w:rPr>
          <w:rFonts w:asciiTheme="minorHAnsi" w:hAnsiTheme="minorHAnsi" w:cs="Arial"/>
        </w:rPr>
        <w:t>The 201</w:t>
      </w:r>
      <w:r w:rsidR="00E3486D">
        <w:rPr>
          <w:rFonts w:asciiTheme="minorHAnsi" w:hAnsiTheme="minorHAnsi" w:cs="Arial"/>
          <w:lang w:val="en-US"/>
        </w:rPr>
        <w:t>9</w:t>
      </w:r>
      <w:r w:rsidRPr="0067297E">
        <w:rPr>
          <w:rFonts w:asciiTheme="minorHAnsi" w:hAnsiTheme="minorHAnsi" w:cs="Arial"/>
        </w:rPr>
        <w:t xml:space="preserve"> </w:t>
      </w:r>
      <w:r w:rsidR="008043C3" w:rsidRPr="0067297E">
        <w:rPr>
          <w:rFonts w:asciiTheme="minorHAnsi" w:hAnsiTheme="minorHAnsi" w:cs="Arial"/>
        </w:rPr>
        <w:t xml:space="preserve">PPG </w:t>
      </w:r>
      <w:r w:rsidR="00E205A7" w:rsidRPr="0067297E">
        <w:rPr>
          <w:rFonts w:asciiTheme="minorHAnsi" w:hAnsiTheme="minorHAnsi" w:cs="Arial"/>
        </w:rPr>
        <w:t>states</w:t>
      </w:r>
      <w:r w:rsidR="008043C3" w:rsidRPr="0067297E">
        <w:rPr>
          <w:rFonts w:asciiTheme="minorHAnsi" w:hAnsiTheme="minorHAnsi" w:cs="Arial"/>
        </w:rPr>
        <w:t xml:space="preserve"> how the current stock of affordable housing supply should be calculated:</w:t>
      </w:r>
    </w:p>
    <w:p w14:paraId="1F9AA7A9" w14:textId="77777777" w:rsidR="008043C3" w:rsidRPr="0067297E" w:rsidRDefault="008043C3" w:rsidP="00FA273F">
      <w:pPr>
        <w:pStyle w:val="bullet"/>
        <w:rPr>
          <w:rFonts w:asciiTheme="minorHAnsi" w:hAnsiTheme="minorHAnsi"/>
          <w:i/>
        </w:rPr>
      </w:pPr>
      <w:r w:rsidRPr="0067297E">
        <w:rPr>
          <w:rFonts w:asciiTheme="minorHAnsi" w:hAnsiTheme="minorHAnsi"/>
          <w:i/>
        </w:rPr>
        <w:t>the number of affordable dwellings that are going to be vacated by current occupiers that are fit for use by other households in need;</w:t>
      </w:r>
    </w:p>
    <w:p w14:paraId="0B1EB16D" w14:textId="77777777" w:rsidR="008043C3" w:rsidRPr="0067297E" w:rsidRDefault="008043C3" w:rsidP="00FA273F">
      <w:pPr>
        <w:pStyle w:val="bullet"/>
        <w:rPr>
          <w:rFonts w:asciiTheme="minorHAnsi" w:hAnsiTheme="minorHAnsi"/>
          <w:i/>
        </w:rPr>
      </w:pPr>
      <w:r w:rsidRPr="0067297E">
        <w:rPr>
          <w:rFonts w:asciiTheme="minorHAnsi" w:hAnsiTheme="minorHAnsi"/>
          <w:i/>
        </w:rPr>
        <w:t>suitable surplus stock (vacant properties); and</w:t>
      </w:r>
    </w:p>
    <w:p w14:paraId="33894A76" w14:textId="77777777" w:rsidR="008043C3" w:rsidRPr="0067297E" w:rsidRDefault="008043C3" w:rsidP="00FA273F">
      <w:pPr>
        <w:pStyle w:val="bullet"/>
        <w:rPr>
          <w:rFonts w:asciiTheme="minorHAnsi" w:hAnsiTheme="minorHAnsi"/>
        </w:rPr>
      </w:pPr>
      <w:r w:rsidRPr="0067297E">
        <w:rPr>
          <w:rFonts w:asciiTheme="minorHAnsi" w:hAnsiTheme="minorHAnsi"/>
          <w:i/>
        </w:rPr>
        <w:t>the committed supply of new net affordable homes at the point of the assessment (number and</w:t>
      </w:r>
      <w:r w:rsidRPr="0067297E">
        <w:rPr>
          <w:rFonts w:asciiTheme="minorHAnsi" w:hAnsiTheme="minorHAnsi"/>
        </w:rPr>
        <w:t xml:space="preserve"> </w:t>
      </w:r>
      <w:r w:rsidRPr="0067297E">
        <w:rPr>
          <w:rFonts w:asciiTheme="minorHAnsi" w:hAnsiTheme="minorHAnsi"/>
          <w:i/>
        </w:rPr>
        <w:t>size)</w:t>
      </w:r>
      <w:r w:rsidRPr="0067297E">
        <w:rPr>
          <w:rFonts w:asciiTheme="minorHAnsi" w:hAnsiTheme="minorHAnsi"/>
        </w:rPr>
        <w:t>.</w:t>
      </w:r>
      <w:r w:rsidR="00E205A7" w:rsidRPr="0067297E">
        <w:rPr>
          <w:rStyle w:val="FootnoteReference"/>
          <w:rFonts w:asciiTheme="minorHAnsi" w:hAnsiTheme="minorHAnsi" w:cs="Arial"/>
          <w:i/>
        </w:rPr>
        <w:footnoteReference w:id="64"/>
      </w:r>
      <w:r w:rsidRPr="0067297E">
        <w:rPr>
          <w:rFonts w:asciiTheme="minorHAnsi" w:hAnsiTheme="minorHAnsi"/>
        </w:rPr>
        <w:t xml:space="preserve"> </w:t>
      </w:r>
    </w:p>
    <w:p w14:paraId="34FA5C9F" w14:textId="77777777"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The CLG model reviews the supply of affordable units, taking into account how many households in need are already in affordable accommodation, stock surpluses, committed supply of new affordable dwellings and dwellings being taken out of management (for instance pending demolition or being used for decanting).</w:t>
      </w:r>
    </w:p>
    <w:p w14:paraId="03C00BBE" w14:textId="77777777" w:rsidR="008043C3" w:rsidRPr="0067297E" w:rsidRDefault="008043C3" w:rsidP="00A04CC5">
      <w:pPr>
        <w:pStyle w:val="Maintext"/>
        <w:numPr>
          <w:ilvl w:val="0"/>
          <w:numId w:val="0"/>
        </w:numPr>
        <w:ind w:firstLine="709"/>
        <w:rPr>
          <w:rFonts w:asciiTheme="minorHAnsi" w:hAnsiTheme="minorHAnsi" w:cs="Arial"/>
        </w:rPr>
      </w:pPr>
    </w:p>
    <w:p w14:paraId="798F328A" w14:textId="77777777" w:rsidR="008043C3" w:rsidRPr="0067297E" w:rsidRDefault="008043C3" w:rsidP="007E2C96">
      <w:pPr>
        <w:pStyle w:val="Heading3"/>
        <w:rPr>
          <w:rFonts w:asciiTheme="minorHAnsi" w:hAnsiTheme="minorHAnsi" w:cs="Arial"/>
        </w:rPr>
      </w:pPr>
      <w:bookmarkStart w:id="582" w:name="_Toc318323475"/>
      <w:bookmarkStart w:id="583" w:name="_Toc360192711"/>
      <w:bookmarkStart w:id="584" w:name="_Toc399864466"/>
      <w:r w:rsidRPr="0067297E">
        <w:rPr>
          <w:rFonts w:asciiTheme="minorHAnsi" w:hAnsiTheme="minorHAnsi" w:cs="Arial"/>
        </w:rPr>
        <w:t>Step 3.1</w:t>
      </w:r>
      <w:r w:rsidRPr="0067297E">
        <w:rPr>
          <w:rFonts w:asciiTheme="minorHAnsi" w:hAnsiTheme="minorHAnsi" w:cs="Arial"/>
        </w:rPr>
        <w:tab/>
        <w:t>Affordable dwellings occupied by households in need</w:t>
      </w:r>
      <w:bookmarkEnd w:id="582"/>
      <w:bookmarkEnd w:id="583"/>
      <w:bookmarkEnd w:id="584"/>
    </w:p>
    <w:p w14:paraId="0592D305" w14:textId="77777777"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This is an important consideration in establishing the net levels of housing need as the movement of these households within affordable housing will have a nil effect in terms of housing need</w:t>
      </w:r>
      <w:r w:rsidR="00F80FF5" w:rsidRPr="0067297E">
        <w:rPr>
          <w:rFonts w:asciiTheme="minorHAnsi" w:hAnsiTheme="minorHAnsi"/>
        </w:rPr>
        <w:t>.</w:t>
      </w:r>
      <w:r w:rsidRPr="0067297E">
        <w:rPr>
          <w:rFonts w:asciiTheme="minorHAnsi" w:hAnsiTheme="minorHAnsi" w:cs="Arial"/>
        </w:rPr>
        <w:t xml:space="preserve"> </w:t>
      </w:r>
    </w:p>
    <w:p w14:paraId="6CB61618" w14:textId="4832D2E2"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 xml:space="preserve">A total of </w:t>
      </w:r>
      <w:r w:rsidR="008D39E8" w:rsidRPr="0067297E">
        <w:rPr>
          <w:rFonts w:asciiTheme="minorHAnsi" w:hAnsiTheme="minorHAnsi" w:cs="Arial"/>
          <w:lang w:val="en-GB"/>
        </w:rPr>
        <w:t>5</w:t>
      </w:r>
      <w:r w:rsidR="008D39E8" w:rsidRPr="0067297E">
        <w:rPr>
          <w:rFonts w:asciiTheme="minorHAnsi" w:hAnsiTheme="minorHAnsi" w:cs="Arial"/>
        </w:rPr>
        <w:t>,</w:t>
      </w:r>
      <w:r w:rsidR="008D39E8" w:rsidRPr="0067297E">
        <w:rPr>
          <w:rFonts w:asciiTheme="minorHAnsi" w:hAnsiTheme="minorHAnsi" w:cs="Arial"/>
          <w:lang w:val="en-GB"/>
        </w:rPr>
        <w:t>454</w:t>
      </w:r>
      <w:r w:rsidRPr="0067297E">
        <w:rPr>
          <w:rFonts w:asciiTheme="minorHAnsi" w:hAnsiTheme="minorHAnsi" w:cs="Arial"/>
        </w:rPr>
        <w:t xml:space="preserve"> households are current occupiers of affordable housing in need. Although the movement of these households within affordable housing will have a nil effect in terms of housing need (i.e. they already live in affordable housing), the type of property they would ‘free up’ if they moved is considered in modelling.</w:t>
      </w:r>
      <w:r w:rsidR="00255B16" w:rsidRPr="0067297E">
        <w:rPr>
          <w:rFonts w:asciiTheme="minorHAnsi" w:hAnsiTheme="minorHAnsi" w:cs="Arial"/>
          <w:lang w:val="en-US"/>
        </w:rPr>
        <w:t xml:space="preserve"> However, it is anticipated that only a proportion of these households are likely to move in the next </w:t>
      </w:r>
      <w:r w:rsidR="00574333">
        <w:rPr>
          <w:rFonts w:asciiTheme="minorHAnsi" w:hAnsiTheme="minorHAnsi" w:cs="Arial"/>
          <w:lang w:val="en-US"/>
        </w:rPr>
        <w:t>5</w:t>
      </w:r>
      <w:r w:rsidR="00496918">
        <w:rPr>
          <w:rFonts w:asciiTheme="minorHAnsi" w:hAnsiTheme="minorHAnsi" w:cs="Arial"/>
          <w:lang w:val="en-US"/>
        </w:rPr>
        <w:t xml:space="preserve"> </w:t>
      </w:r>
      <w:r w:rsidR="00255B16" w:rsidRPr="0067297E">
        <w:rPr>
          <w:rFonts w:asciiTheme="minorHAnsi" w:hAnsiTheme="minorHAnsi" w:cs="Arial"/>
          <w:lang w:val="en-US"/>
        </w:rPr>
        <w:t xml:space="preserve">years to address their housing need. Around </w:t>
      </w:r>
      <w:r w:rsidR="00574333">
        <w:rPr>
          <w:rFonts w:asciiTheme="minorHAnsi" w:hAnsiTheme="minorHAnsi" w:cs="Arial"/>
          <w:lang w:val="en-US"/>
        </w:rPr>
        <w:t>5.6</w:t>
      </w:r>
      <w:r w:rsidR="00255B16" w:rsidRPr="0067297E">
        <w:rPr>
          <w:rFonts w:asciiTheme="minorHAnsi" w:hAnsiTheme="minorHAnsi" w:cs="Arial"/>
          <w:lang w:val="en-US"/>
        </w:rPr>
        <w:t>%</w:t>
      </w:r>
      <w:r w:rsidR="00824DC2">
        <w:rPr>
          <w:rStyle w:val="FootnoteReference"/>
          <w:rFonts w:asciiTheme="minorHAnsi" w:hAnsiTheme="minorHAnsi" w:cs="Arial"/>
          <w:lang w:val="en-US"/>
        </w:rPr>
        <w:footnoteReference w:id="65"/>
      </w:r>
      <w:r w:rsidR="00255B16" w:rsidRPr="0067297E">
        <w:rPr>
          <w:rFonts w:asciiTheme="minorHAnsi" w:hAnsiTheme="minorHAnsi" w:cs="Arial"/>
          <w:lang w:val="en-US"/>
        </w:rPr>
        <w:t xml:space="preserve"> of stock is relet each year and assuming this is applied to the current occupiers in need, it is assumed that </w:t>
      </w:r>
      <w:r w:rsidR="00574333">
        <w:rPr>
          <w:rFonts w:asciiTheme="minorHAnsi" w:hAnsiTheme="minorHAnsi" w:cs="Arial"/>
          <w:lang w:val="en-US"/>
        </w:rPr>
        <w:t>305</w:t>
      </w:r>
      <w:r w:rsidR="00255B16" w:rsidRPr="0067297E">
        <w:rPr>
          <w:rFonts w:asciiTheme="minorHAnsi" w:hAnsiTheme="minorHAnsi" w:cs="Arial"/>
          <w:lang w:val="en-US"/>
        </w:rPr>
        <w:t xml:space="preserve"> move each year to address their need or 1,</w:t>
      </w:r>
      <w:r w:rsidR="00574333">
        <w:rPr>
          <w:rFonts w:asciiTheme="minorHAnsi" w:hAnsiTheme="minorHAnsi" w:cs="Arial"/>
          <w:lang w:val="en-US"/>
        </w:rPr>
        <w:t>528</w:t>
      </w:r>
      <w:r w:rsidR="00255B16" w:rsidRPr="0067297E">
        <w:rPr>
          <w:rFonts w:asciiTheme="minorHAnsi" w:hAnsiTheme="minorHAnsi" w:cs="Arial"/>
          <w:lang w:val="en-US"/>
        </w:rPr>
        <w:t xml:space="preserve"> over 5 years. </w:t>
      </w:r>
    </w:p>
    <w:p w14:paraId="207A882A" w14:textId="77777777" w:rsidR="008043C3" w:rsidRPr="0067297E" w:rsidRDefault="008043C3" w:rsidP="00A04CC5">
      <w:pPr>
        <w:rPr>
          <w:rFonts w:asciiTheme="minorHAnsi" w:hAnsiTheme="minorHAnsi" w:cs="Arial"/>
        </w:rPr>
      </w:pPr>
    </w:p>
    <w:p w14:paraId="17C66709" w14:textId="77777777" w:rsidR="008043C3" w:rsidRPr="0067297E" w:rsidRDefault="008043C3" w:rsidP="007E2C96">
      <w:pPr>
        <w:pStyle w:val="Heading3"/>
        <w:rPr>
          <w:rFonts w:asciiTheme="minorHAnsi" w:hAnsiTheme="minorHAnsi" w:cs="Arial"/>
        </w:rPr>
      </w:pPr>
      <w:bookmarkStart w:id="585" w:name="_Toc318323476"/>
      <w:bookmarkStart w:id="586" w:name="_Toc360192712"/>
      <w:bookmarkStart w:id="587" w:name="_Toc399864467"/>
      <w:r w:rsidRPr="0067297E">
        <w:rPr>
          <w:rFonts w:asciiTheme="minorHAnsi" w:hAnsiTheme="minorHAnsi" w:cs="Arial"/>
        </w:rPr>
        <w:t>Step 3.2</w:t>
      </w:r>
      <w:r w:rsidRPr="0067297E">
        <w:rPr>
          <w:rFonts w:asciiTheme="minorHAnsi" w:hAnsiTheme="minorHAnsi" w:cs="Arial"/>
        </w:rPr>
        <w:tab/>
        <w:t>Surplus stock</w:t>
      </w:r>
      <w:bookmarkEnd w:id="585"/>
      <w:bookmarkEnd w:id="586"/>
      <w:bookmarkEnd w:id="587"/>
    </w:p>
    <w:p w14:paraId="316B8B74" w14:textId="77777777" w:rsidR="008043C3" w:rsidRPr="0067297E" w:rsidRDefault="008043C3" w:rsidP="002C70BC">
      <w:pPr>
        <w:pStyle w:val="Maintext"/>
        <w:numPr>
          <w:ilvl w:val="1"/>
          <w:numId w:val="37"/>
        </w:numPr>
        <w:rPr>
          <w:rFonts w:asciiTheme="minorHAnsi" w:hAnsiTheme="minorHAnsi" w:cs="Arial"/>
          <w:b/>
        </w:rPr>
      </w:pPr>
      <w:r w:rsidRPr="0067297E">
        <w:rPr>
          <w:rFonts w:asciiTheme="minorHAnsi" w:hAnsiTheme="minorHAnsi" w:cs="Arial"/>
        </w:rPr>
        <w:t xml:space="preserve">A proportion of vacant properties are needed to allow households to move within housing stock. Across the social rented sector, this proportion is generally recognised as being 2%. Stock above this proportion is usually assumed to be surplus stock. Modelling assumes no surplus social rented stock across </w:t>
      </w:r>
      <w:r w:rsidR="00E205A7" w:rsidRPr="0067297E">
        <w:rPr>
          <w:rFonts w:asciiTheme="minorHAnsi" w:hAnsiTheme="minorHAnsi" w:cs="Arial"/>
          <w:lang w:val="en-GB"/>
        </w:rPr>
        <w:t>the borough.</w:t>
      </w:r>
    </w:p>
    <w:p w14:paraId="05D1AA0D" w14:textId="77777777" w:rsidR="008043C3" w:rsidRPr="0067297E" w:rsidRDefault="008043C3" w:rsidP="00A04CC5">
      <w:pPr>
        <w:pStyle w:val="Maintext"/>
        <w:numPr>
          <w:ilvl w:val="0"/>
          <w:numId w:val="0"/>
        </w:numPr>
        <w:tabs>
          <w:tab w:val="left" w:pos="1440"/>
        </w:tabs>
        <w:rPr>
          <w:rFonts w:asciiTheme="minorHAnsi" w:hAnsiTheme="minorHAnsi" w:cs="Arial"/>
          <w:b/>
        </w:rPr>
      </w:pPr>
    </w:p>
    <w:p w14:paraId="57755E15" w14:textId="77777777" w:rsidR="008043C3" w:rsidRPr="0067297E" w:rsidRDefault="008043C3" w:rsidP="007E2C96">
      <w:pPr>
        <w:pStyle w:val="Heading3"/>
        <w:rPr>
          <w:rFonts w:asciiTheme="minorHAnsi" w:hAnsiTheme="minorHAnsi" w:cs="Arial"/>
        </w:rPr>
      </w:pPr>
      <w:bookmarkStart w:id="588" w:name="_Toc318323477"/>
      <w:bookmarkStart w:id="589" w:name="_Toc360192713"/>
      <w:bookmarkStart w:id="590" w:name="_Toc399864468"/>
      <w:r w:rsidRPr="0067297E">
        <w:rPr>
          <w:rFonts w:asciiTheme="minorHAnsi" w:hAnsiTheme="minorHAnsi" w:cs="Arial"/>
        </w:rPr>
        <w:t>Step 3.3</w:t>
      </w:r>
      <w:r w:rsidRPr="0067297E">
        <w:rPr>
          <w:rFonts w:asciiTheme="minorHAnsi" w:hAnsiTheme="minorHAnsi" w:cs="Arial"/>
        </w:rPr>
        <w:tab/>
        <w:t>Committed supply of new affordable units</w:t>
      </w:r>
      <w:bookmarkEnd w:id="588"/>
      <w:bookmarkEnd w:id="589"/>
      <w:bookmarkEnd w:id="590"/>
    </w:p>
    <w:p w14:paraId="4CA72FA8" w14:textId="5EFEC8E3" w:rsidR="00F80FF5" w:rsidRPr="0067297E" w:rsidRDefault="00F80FF5" w:rsidP="002C70BC">
      <w:pPr>
        <w:pStyle w:val="Maintext"/>
        <w:numPr>
          <w:ilvl w:val="1"/>
          <w:numId w:val="37"/>
        </w:numPr>
        <w:rPr>
          <w:rFonts w:asciiTheme="minorHAnsi" w:hAnsiTheme="minorHAnsi" w:cs="Arial"/>
        </w:rPr>
      </w:pPr>
      <w:r w:rsidRPr="0067297E">
        <w:rPr>
          <w:rFonts w:asciiTheme="minorHAnsi" w:hAnsiTheme="minorHAnsi" w:cs="Arial"/>
        </w:rPr>
        <w:t>Over the period 201</w:t>
      </w:r>
      <w:r w:rsidR="00B6005F">
        <w:rPr>
          <w:rFonts w:asciiTheme="minorHAnsi" w:hAnsiTheme="minorHAnsi" w:cs="Arial"/>
          <w:lang w:val="en-US"/>
        </w:rPr>
        <w:t>3</w:t>
      </w:r>
      <w:r w:rsidRPr="0067297E">
        <w:rPr>
          <w:rFonts w:asciiTheme="minorHAnsi" w:hAnsiTheme="minorHAnsi" w:cs="Arial"/>
        </w:rPr>
        <w:t>/1</w:t>
      </w:r>
      <w:r w:rsidR="00B6005F">
        <w:rPr>
          <w:rFonts w:asciiTheme="minorHAnsi" w:hAnsiTheme="minorHAnsi" w:cs="Arial"/>
          <w:lang w:val="en-US"/>
        </w:rPr>
        <w:t>4</w:t>
      </w:r>
      <w:r w:rsidRPr="0067297E">
        <w:rPr>
          <w:rFonts w:asciiTheme="minorHAnsi" w:hAnsiTheme="minorHAnsi" w:cs="Arial"/>
        </w:rPr>
        <w:t xml:space="preserve"> to 201</w:t>
      </w:r>
      <w:r w:rsidR="00B6005F">
        <w:rPr>
          <w:rFonts w:asciiTheme="minorHAnsi" w:hAnsiTheme="minorHAnsi" w:cs="Arial"/>
          <w:lang w:val="en-US"/>
        </w:rPr>
        <w:t>7</w:t>
      </w:r>
      <w:r w:rsidRPr="0067297E">
        <w:rPr>
          <w:rFonts w:asciiTheme="minorHAnsi" w:hAnsiTheme="minorHAnsi" w:cs="Arial"/>
        </w:rPr>
        <w:t>/1</w:t>
      </w:r>
      <w:r w:rsidR="00B6005F">
        <w:rPr>
          <w:rFonts w:asciiTheme="minorHAnsi" w:hAnsiTheme="minorHAnsi" w:cs="Arial"/>
          <w:lang w:val="en-US"/>
        </w:rPr>
        <w:t>8</w:t>
      </w:r>
      <w:r w:rsidR="008043C3" w:rsidRPr="0067297E">
        <w:rPr>
          <w:rFonts w:asciiTheme="minorHAnsi" w:hAnsiTheme="minorHAnsi" w:cs="Arial"/>
        </w:rPr>
        <w:t>, a</w:t>
      </w:r>
      <w:r w:rsidR="00802188" w:rsidRPr="0067297E">
        <w:rPr>
          <w:rFonts w:asciiTheme="minorHAnsi" w:hAnsiTheme="minorHAnsi" w:cs="Arial"/>
          <w:lang w:val="en-GB"/>
        </w:rPr>
        <w:t xml:space="preserve"> </w:t>
      </w:r>
      <w:r w:rsidRPr="0067297E">
        <w:rPr>
          <w:rFonts w:asciiTheme="minorHAnsi" w:hAnsiTheme="minorHAnsi" w:cs="Arial"/>
          <w:lang w:val="en-GB"/>
        </w:rPr>
        <w:t xml:space="preserve">total of </w:t>
      </w:r>
      <w:r w:rsidR="00B6005F">
        <w:rPr>
          <w:rFonts w:asciiTheme="minorHAnsi" w:hAnsiTheme="minorHAnsi" w:cs="Arial"/>
          <w:lang w:val="en-GB"/>
        </w:rPr>
        <w:t>1,251</w:t>
      </w:r>
      <w:r w:rsidRPr="0067297E">
        <w:rPr>
          <w:rFonts w:asciiTheme="minorHAnsi" w:hAnsiTheme="minorHAnsi" w:cs="Arial"/>
          <w:lang w:val="en-GB"/>
        </w:rPr>
        <w:t xml:space="preserve"> affordable dwellings were built</w:t>
      </w:r>
      <w:r w:rsidR="00B6005F">
        <w:rPr>
          <w:rFonts w:asciiTheme="minorHAnsi" w:hAnsiTheme="minorHAnsi" w:cs="Arial"/>
          <w:lang w:val="en-GB"/>
        </w:rPr>
        <w:t>.</w:t>
      </w:r>
      <w:r w:rsidRPr="0067297E">
        <w:rPr>
          <w:rFonts w:asciiTheme="minorHAnsi" w:hAnsiTheme="minorHAnsi" w:cs="Arial"/>
          <w:lang w:val="en-GB"/>
        </w:rPr>
        <w:t xml:space="preserve"> This level of delivery is assumed to continue over the next </w:t>
      </w:r>
      <w:r w:rsidR="00B6005F">
        <w:rPr>
          <w:rFonts w:asciiTheme="minorHAnsi" w:hAnsiTheme="minorHAnsi" w:cs="Arial"/>
          <w:lang w:val="en-GB"/>
        </w:rPr>
        <w:t>5</w:t>
      </w:r>
      <w:r w:rsidRPr="0067297E">
        <w:rPr>
          <w:rFonts w:asciiTheme="minorHAnsi" w:hAnsiTheme="minorHAnsi" w:cs="Arial"/>
          <w:lang w:val="en-GB"/>
        </w:rPr>
        <w:t xml:space="preserve"> years. </w:t>
      </w:r>
    </w:p>
    <w:p w14:paraId="44DC2CAD" w14:textId="77777777" w:rsidR="008043C3" w:rsidRPr="0067297E" w:rsidRDefault="008043C3" w:rsidP="00A04CC5">
      <w:pPr>
        <w:rPr>
          <w:rFonts w:asciiTheme="minorHAnsi" w:hAnsiTheme="minorHAnsi" w:cs="Arial"/>
        </w:rPr>
      </w:pPr>
      <w:bookmarkStart w:id="591" w:name="_Toc318323478"/>
    </w:p>
    <w:p w14:paraId="4DAAD139" w14:textId="77777777" w:rsidR="008043C3" w:rsidRPr="0067297E" w:rsidRDefault="008043C3" w:rsidP="007E2C96">
      <w:pPr>
        <w:pStyle w:val="Heading3"/>
        <w:rPr>
          <w:rFonts w:asciiTheme="minorHAnsi" w:hAnsiTheme="minorHAnsi" w:cs="Arial"/>
        </w:rPr>
      </w:pPr>
      <w:bookmarkStart w:id="592" w:name="_Toc360192714"/>
      <w:bookmarkStart w:id="593" w:name="_Toc399864469"/>
      <w:r w:rsidRPr="0067297E">
        <w:rPr>
          <w:rFonts w:asciiTheme="minorHAnsi" w:hAnsiTheme="minorHAnsi" w:cs="Arial"/>
        </w:rPr>
        <w:t>Step 3.4</w:t>
      </w:r>
      <w:r w:rsidRPr="0067297E">
        <w:rPr>
          <w:rFonts w:asciiTheme="minorHAnsi" w:hAnsiTheme="minorHAnsi" w:cs="Arial"/>
        </w:rPr>
        <w:tab/>
        <w:t>Units to be taken out of management</w:t>
      </w:r>
      <w:bookmarkEnd w:id="591"/>
      <w:bookmarkEnd w:id="592"/>
      <w:bookmarkEnd w:id="593"/>
    </w:p>
    <w:p w14:paraId="2D295286" w14:textId="77777777"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The model assumes there will be no social rented units taken out of management over the next five years.</w:t>
      </w:r>
    </w:p>
    <w:p w14:paraId="254F97DA" w14:textId="77777777" w:rsidR="008043C3" w:rsidRPr="0067297E" w:rsidRDefault="008043C3" w:rsidP="00A04CC5">
      <w:pPr>
        <w:rPr>
          <w:rFonts w:asciiTheme="minorHAnsi" w:hAnsiTheme="minorHAnsi" w:cs="Arial"/>
        </w:rPr>
      </w:pPr>
    </w:p>
    <w:p w14:paraId="7981505F" w14:textId="77777777" w:rsidR="008043C3" w:rsidRPr="0067297E" w:rsidRDefault="008043C3" w:rsidP="007E2C96">
      <w:pPr>
        <w:pStyle w:val="Heading3"/>
        <w:rPr>
          <w:rFonts w:asciiTheme="minorHAnsi" w:hAnsiTheme="minorHAnsi" w:cs="Arial"/>
        </w:rPr>
      </w:pPr>
      <w:bookmarkStart w:id="594" w:name="_Toc318323479"/>
      <w:bookmarkStart w:id="595" w:name="_Toc360192715"/>
      <w:bookmarkStart w:id="596" w:name="_Toc399864470"/>
      <w:r w:rsidRPr="0067297E">
        <w:rPr>
          <w:rFonts w:asciiTheme="minorHAnsi" w:hAnsiTheme="minorHAnsi" w:cs="Arial"/>
        </w:rPr>
        <w:t>Step 3.5</w:t>
      </w:r>
      <w:r w:rsidRPr="0067297E">
        <w:rPr>
          <w:rFonts w:asciiTheme="minorHAnsi" w:hAnsiTheme="minorHAnsi" w:cs="Arial"/>
        </w:rPr>
        <w:tab/>
        <w:t>Total affordable housing stock available</w:t>
      </w:r>
      <w:bookmarkEnd w:id="594"/>
      <w:bookmarkEnd w:id="595"/>
      <w:bookmarkEnd w:id="596"/>
    </w:p>
    <w:p w14:paraId="70F545F8" w14:textId="07749277"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 xml:space="preserve">It is assumed that there are </w:t>
      </w:r>
      <w:r w:rsidR="00255B16" w:rsidRPr="0067297E">
        <w:rPr>
          <w:rFonts w:asciiTheme="minorHAnsi" w:hAnsiTheme="minorHAnsi" w:cs="Arial"/>
          <w:lang w:val="en-GB"/>
        </w:rPr>
        <w:t>2,</w:t>
      </w:r>
      <w:r w:rsidR="00B6005F">
        <w:rPr>
          <w:rFonts w:asciiTheme="minorHAnsi" w:hAnsiTheme="minorHAnsi" w:cs="Arial"/>
          <w:lang w:val="en-GB"/>
        </w:rPr>
        <w:t>779</w:t>
      </w:r>
      <w:r w:rsidR="00B6005F" w:rsidRPr="0067297E">
        <w:rPr>
          <w:rFonts w:asciiTheme="minorHAnsi" w:hAnsiTheme="minorHAnsi" w:cs="Arial"/>
        </w:rPr>
        <w:t xml:space="preserve"> </w:t>
      </w:r>
      <w:r w:rsidRPr="0067297E">
        <w:rPr>
          <w:rFonts w:asciiTheme="minorHAnsi" w:hAnsiTheme="minorHAnsi" w:cs="Arial"/>
        </w:rPr>
        <w:t>social (affordable) rented dwellings available over the five year period arising from households moving within the stock</w:t>
      </w:r>
      <w:r w:rsidR="00B6005F">
        <w:rPr>
          <w:rFonts w:asciiTheme="minorHAnsi" w:hAnsiTheme="minorHAnsi" w:cs="Arial"/>
          <w:lang w:val="en-US"/>
        </w:rPr>
        <w:t xml:space="preserve"> and the estimated supply of new affordable units</w:t>
      </w:r>
      <w:r w:rsidRPr="0067297E">
        <w:rPr>
          <w:rFonts w:asciiTheme="minorHAnsi" w:hAnsiTheme="minorHAnsi" w:cs="Arial"/>
        </w:rPr>
        <w:t xml:space="preserve">. </w:t>
      </w:r>
    </w:p>
    <w:p w14:paraId="0C8A25DF" w14:textId="77777777" w:rsidR="008043C3" w:rsidRPr="0067297E" w:rsidRDefault="008043C3" w:rsidP="00A04CC5">
      <w:pPr>
        <w:rPr>
          <w:rFonts w:asciiTheme="minorHAnsi" w:hAnsiTheme="minorHAnsi"/>
        </w:rPr>
      </w:pPr>
    </w:p>
    <w:p w14:paraId="2ADB8958" w14:textId="77777777" w:rsidR="008043C3" w:rsidRPr="0067297E" w:rsidRDefault="008043C3" w:rsidP="007E2C96">
      <w:pPr>
        <w:pStyle w:val="Heading3"/>
        <w:rPr>
          <w:rFonts w:asciiTheme="minorHAnsi" w:hAnsiTheme="minorHAnsi" w:cs="Arial"/>
        </w:rPr>
      </w:pPr>
      <w:bookmarkStart w:id="597" w:name="_Toc318323480"/>
      <w:bookmarkStart w:id="598" w:name="_Toc360192716"/>
      <w:bookmarkStart w:id="599" w:name="_Toc399864471"/>
      <w:r w:rsidRPr="0067297E">
        <w:rPr>
          <w:rFonts w:asciiTheme="minorHAnsi" w:hAnsiTheme="minorHAnsi" w:cs="Arial"/>
        </w:rPr>
        <w:t xml:space="preserve">Step 3.6 </w:t>
      </w:r>
      <w:r w:rsidRPr="0067297E">
        <w:rPr>
          <w:rFonts w:asciiTheme="minorHAnsi" w:hAnsiTheme="minorHAnsi" w:cs="Arial"/>
        </w:rPr>
        <w:tab/>
        <w:t>Annual supply of social re-lets</w:t>
      </w:r>
      <w:bookmarkEnd w:id="597"/>
      <w:bookmarkEnd w:id="598"/>
      <w:bookmarkEnd w:id="599"/>
    </w:p>
    <w:p w14:paraId="327715B1" w14:textId="37F888B2" w:rsidR="00255B16" w:rsidRPr="0067297E" w:rsidRDefault="00255B16" w:rsidP="002C70BC">
      <w:pPr>
        <w:pStyle w:val="Maintext"/>
        <w:numPr>
          <w:ilvl w:val="1"/>
          <w:numId w:val="37"/>
        </w:numPr>
        <w:rPr>
          <w:rFonts w:asciiTheme="minorHAnsi" w:hAnsiTheme="minorHAnsi" w:cs="Arial"/>
        </w:rPr>
      </w:pPr>
      <w:r w:rsidRPr="0067297E">
        <w:rPr>
          <w:rFonts w:asciiTheme="minorHAnsi" w:hAnsiTheme="minorHAnsi" w:cs="Arial"/>
          <w:lang w:val="en-US"/>
        </w:rPr>
        <w:t>Analysis of CORE lettings data would suggest that an average of 1,</w:t>
      </w:r>
      <w:r w:rsidR="00B6005F">
        <w:rPr>
          <w:rFonts w:asciiTheme="minorHAnsi" w:hAnsiTheme="minorHAnsi" w:cs="Arial"/>
          <w:lang w:val="en-US"/>
        </w:rPr>
        <w:t>388</w:t>
      </w:r>
      <w:r w:rsidRPr="0067297E">
        <w:rPr>
          <w:rFonts w:asciiTheme="minorHAnsi" w:hAnsiTheme="minorHAnsi" w:cs="Arial"/>
          <w:lang w:val="en-US"/>
        </w:rPr>
        <w:t xml:space="preserve"> social/affordable rented dwellings were let over the t</w:t>
      </w:r>
      <w:r w:rsidR="00B6005F">
        <w:rPr>
          <w:rFonts w:asciiTheme="minorHAnsi" w:hAnsiTheme="minorHAnsi" w:cs="Arial"/>
          <w:lang w:val="en-US"/>
        </w:rPr>
        <w:t>hree</w:t>
      </w:r>
      <w:r w:rsidRPr="0067297E">
        <w:rPr>
          <w:rFonts w:asciiTheme="minorHAnsi" w:hAnsiTheme="minorHAnsi" w:cs="Arial"/>
          <w:lang w:val="en-US"/>
        </w:rPr>
        <w:t xml:space="preserve"> years 2015/16 and 201</w:t>
      </w:r>
      <w:r w:rsidR="00B6005F">
        <w:rPr>
          <w:rFonts w:asciiTheme="minorHAnsi" w:hAnsiTheme="minorHAnsi" w:cs="Arial"/>
          <w:lang w:val="en-US"/>
        </w:rPr>
        <w:t>7</w:t>
      </w:r>
      <w:r w:rsidRPr="0067297E">
        <w:rPr>
          <w:rFonts w:asciiTheme="minorHAnsi" w:hAnsiTheme="minorHAnsi" w:cs="Arial"/>
          <w:lang w:val="en-US"/>
        </w:rPr>
        <w:t>/1</w:t>
      </w:r>
      <w:r w:rsidR="00B6005F">
        <w:rPr>
          <w:rFonts w:asciiTheme="minorHAnsi" w:hAnsiTheme="minorHAnsi" w:cs="Arial"/>
          <w:lang w:val="en-US"/>
        </w:rPr>
        <w:t>8</w:t>
      </w:r>
      <w:r w:rsidRPr="0067297E">
        <w:rPr>
          <w:rFonts w:asciiTheme="minorHAnsi" w:hAnsiTheme="minorHAnsi" w:cs="Arial"/>
          <w:lang w:val="en-US"/>
        </w:rPr>
        <w:t xml:space="preserve">. </w:t>
      </w:r>
    </w:p>
    <w:p w14:paraId="3DFA754D" w14:textId="77777777" w:rsidR="00B6005F" w:rsidRDefault="00B6005F" w:rsidP="0050310B">
      <w:bookmarkStart w:id="600" w:name="_Toc360192717"/>
      <w:bookmarkStart w:id="601" w:name="_Toc399864472"/>
    </w:p>
    <w:p w14:paraId="4626006A" w14:textId="25620F87" w:rsidR="008043C3" w:rsidRPr="0067297E" w:rsidRDefault="008043C3" w:rsidP="00A04CC5">
      <w:pPr>
        <w:pStyle w:val="Heading3"/>
        <w:rPr>
          <w:rFonts w:asciiTheme="minorHAnsi" w:hAnsiTheme="minorHAnsi" w:cs="Arial"/>
        </w:rPr>
      </w:pPr>
      <w:r w:rsidRPr="0067297E">
        <w:rPr>
          <w:rFonts w:asciiTheme="minorHAnsi" w:hAnsiTheme="minorHAnsi" w:cs="Arial"/>
        </w:rPr>
        <w:t xml:space="preserve">Step 3.7 </w:t>
      </w:r>
      <w:r w:rsidRPr="0067297E">
        <w:rPr>
          <w:rFonts w:asciiTheme="minorHAnsi" w:hAnsiTheme="minorHAnsi" w:cs="Arial"/>
        </w:rPr>
        <w:tab/>
        <w:t>Annual supply of intermediate re-lets/sales</w:t>
      </w:r>
      <w:bookmarkEnd w:id="600"/>
      <w:bookmarkEnd w:id="601"/>
      <w:r w:rsidRPr="0067297E">
        <w:rPr>
          <w:rFonts w:asciiTheme="minorHAnsi" w:hAnsiTheme="minorHAnsi" w:cs="Arial"/>
        </w:rPr>
        <w:t xml:space="preserve"> </w:t>
      </w:r>
    </w:p>
    <w:p w14:paraId="3AEAC27E" w14:textId="5F0DAB00" w:rsidR="00F80FF5" w:rsidRPr="0067297E" w:rsidRDefault="00B6005F" w:rsidP="002C70BC">
      <w:pPr>
        <w:pStyle w:val="Maintext"/>
        <w:numPr>
          <w:ilvl w:val="1"/>
          <w:numId w:val="37"/>
        </w:numPr>
        <w:rPr>
          <w:rFonts w:asciiTheme="minorHAnsi" w:hAnsiTheme="minorHAnsi" w:cs="Arial"/>
        </w:rPr>
      </w:pPr>
      <w:r>
        <w:rPr>
          <w:rFonts w:asciiTheme="minorHAnsi" w:hAnsiTheme="minorHAnsi" w:cs="Arial"/>
          <w:lang w:val="en-US"/>
        </w:rPr>
        <w:t>Annual Monitoring Return data</w:t>
      </w:r>
      <w:r w:rsidR="00F80FF5" w:rsidRPr="0067297E">
        <w:rPr>
          <w:rFonts w:asciiTheme="minorHAnsi" w:hAnsiTheme="minorHAnsi" w:cs="Arial"/>
        </w:rPr>
        <w:t xml:space="preserve"> indicates a total of </w:t>
      </w:r>
      <w:r>
        <w:rPr>
          <w:rFonts w:asciiTheme="minorHAnsi" w:hAnsiTheme="minorHAnsi" w:cs="Arial"/>
          <w:lang w:val="en-US"/>
        </w:rPr>
        <w:t>405</w:t>
      </w:r>
      <w:r w:rsidR="00F80FF5" w:rsidRPr="0067297E">
        <w:rPr>
          <w:rFonts w:asciiTheme="minorHAnsi" w:hAnsiTheme="minorHAnsi" w:cs="Arial"/>
        </w:rPr>
        <w:t xml:space="preserve"> intermediate tenure dwellings have been built across the borough over the</w:t>
      </w:r>
      <w:r>
        <w:rPr>
          <w:rFonts w:asciiTheme="minorHAnsi" w:hAnsiTheme="minorHAnsi" w:cs="Arial"/>
          <w:lang w:val="en-US"/>
        </w:rPr>
        <w:t xml:space="preserve"> five</w:t>
      </w:r>
      <w:r w:rsidR="00F80FF5" w:rsidRPr="0067297E">
        <w:rPr>
          <w:rFonts w:asciiTheme="minorHAnsi" w:hAnsiTheme="minorHAnsi" w:cs="Arial"/>
        </w:rPr>
        <w:t xml:space="preserve"> years 201</w:t>
      </w:r>
      <w:r>
        <w:rPr>
          <w:rFonts w:asciiTheme="minorHAnsi" w:hAnsiTheme="minorHAnsi" w:cs="Arial"/>
          <w:lang w:val="en-US"/>
        </w:rPr>
        <w:t>3</w:t>
      </w:r>
      <w:r w:rsidR="00F80FF5" w:rsidRPr="0067297E">
        <w:rPr>
          <w:rFonts w:asciiTheme="minorHAnsi" w:hAnsiTheme="minorHAnsi" w:cs="Arial"/>
        </w:rPr>
        <w:t>/1</w:t>
      </w:r>
      <w:r>
        <w:rPr>
          <w:rFonts w:asciiTheme="minorHAnsi" w:hAnsiTheme="minorHAnsi" w:cs="Arial"/>
          <w:lang w:val="en-US"/>
        </w:rPr>
        <w:t>4</w:t>
      </w:r>
      <w:r w:rsidR="00F80FF5" w:rsidRPr="0067297E">
        <w:rPr>
          <w:rFonts w:asciiTheme="minorHAnsi" w:hAnsiTheme="minorHAnsi" w:cs="Arial"/>
        </w:rPr>
        <w:t xml:space="preserve"> and 201</w:t>
      </w:r>
      <w:r>
        <w:rPr>
          <w:rFonts w:asciiTheme="minorHAnsi" w:hAnsiTheme="minorHAnsi" w:cs="Arial"/>
          <w:lang w:val="en-US"/>
        </w:rPr>
        <w:t>7</w:t>
      </w:r>
      <w:r w:rsidR="00F80FF5" w:rsidRPr="0067297E">
        <w:rPr>
          <w:rFonts w:asciiTheme="minorHAnsi" w:hAnsiTheme="minorHAnsi" w:cs="Arial"/>
        </w:rPr>
        <w:t>/1</w:t>
      </w:r>
      <w:r>
        <w:rPr>
          <w:rFonts w:asciiTheme="minorHAnsi" w:hAnsiTheme="minorHAnsi" w:cs="Arial"/>
          <w:lang w:val="en-US"/>
        </w:rPr>
        <w:t>8. In the past three years, 201 have been built (67 each year which is used in the model)</w:t>
      </w:r>
      <w:r w:rsidR="00F80FF5" w:rsidRPr="0067297E">
        <w:rPr>
          <w:rFonts w:asciiTheme="minorHAnsi" w:hAnsiTheme="minorHAnsi" w:cs="Arial"/>
        </w:rPr>
        <w:t xml:space="preserve">.  </w:t>
      </w:r>
    </w:p>
    <w:p w14:paraId="5B342966" w14:textId="77777777" w:rsidR="008043C3" w:rsidRPr="0067297E" w:rsidRDefault="008043C3" w:rsidP="00A04CC5">
      <w:pPr>
        <w:rPr>
          <w:rFonts w:asciiTheme="minorHAnsi" w:hAnsiTheme="minorHAnsi"/>
        </w:rPr>
      </w:pPr>
    </w:p>
    <w:p w14:paraId="7B250EC9" w14:textId="77777777" w:rsidR="008043C3" w:rsidRPr="0067297E" w:rsidRDefault="008043C3" w:rsidP="007E2C96">
      <w:pPr>
        <w:pStyle w:val="Heading3"/>
        <w:rPr>
          <w:rFonts w:asciiTheme="minorHAnsi" w:hAnsiTheme="minorHAnsi" w:cs="Arial"/>
        </w:rPr>
      </w:pPr>
      <w:bookmarkStart w:id="602" w:name="_Toc318323482"/>
      <w:bookmarkStart w:id="603" w:name="_Toc360192718"/>
      <w:bookmarkStart w:id="604" w:name="_Toc399864473"/>
      <w:r w:rsidRPr="0067297E">
        <w:rPr>
          <w:rFonts w:asciiTheme="minorHAnsi" w:hAnsiTheme="minorHAnsi" w:cs="Arial"/>
        </w:rPr>
        <w:t>Summary of Stage 3</w:t>
      </w:r>
      <w:bookmarkEnd w:id="602"/>
      <w:bookmarkEnd w:id="603"/>
      <w:bookmarkEnd w:id="604"/>
    </w:p>
    <w:p w14:paraId="57B521F7" w14:textId="7FF2755A"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 xml:space="preserve">Overall, the model assumes an </w:t>
      </w:r>
      <w:r w:rsidR="00F80FF5" w:rsidRPr="0067297E">
        <w:rPr>
          <w:rFonts w:asciiTheme="minorHAnsi" w:hAnsiTheme="minorHAnsi" w:cs="Arial"/>
        </w:rPr>
        <w:t xml:space="preserve">annual affordable supply of </w:t>
      </w:r>
      <w:r w:rsidR="00B6005F">
        <w:rPr>
          <w:rFonts w:asciiTheme="minorHAnsi" w:hAnsiTheme="minorHAnsi" w:cs="Arial"/>
          <w:lang w:val="en-US"/>
        </w:rPr>
        <w:t>1,455</w:t>
      </w:r>
      <w:r w:rsidR="00255B16" w:rsidRPr="0067297E">
        <w:rPr>
          <w:rFonts w:asciiTheme="minorHAnsi" w:hAnsiTheme="minorHAnsi" w:cs="Arial"/>
        </w:rPr>
        <w:t xml:space="preserve"> </w:t>
      </w:r>
      <w:r w:rsidR="00F80FF5" w:rsidRPr="0067297E">
        <w:rPr>
          <w:rFonts w:asciiTheme="minorHAnsi" w:hAnsiTheme="minorHAnsi" w:cs="Arial"/>
        </w:rPr>
        <w:t xml:space="preserve">dwellings: </w:t>
      </w:r>
      <w:r w:rsidR="00255B16" w:rsidRPr="0067297E">
        <w:rPr>
          <w:rFonts w:asciiTheme="minorHAnsi" w:hAnsiTheme="minorHAnsi" w:cs="Arial"/>
          <w:lang w:val="en-US"/>
        </w:rPr>
        <w:t>1,</w:t>
      </w:r>
      <w:r w:rsidR="00B6005F">
        <w:rPr>
          <w:rFonts w:asciiTheme="minorHAnsi" w:hAnsiTheme="minorHAnsi" w:cs="Arial"/>
          <w:lang w:val="en-US"/>
        </w:rPr>
        <w:t>38</w:t>
      </w:r>
      <w:r w:rsidR="00255B16" w:rsidRPr="0067297E">
        <w:rPr>
          <w:rFonts w:asciiTheme="minorHAnsi" w:hAnsiTheme="minorHAnsi" w:cs="Arial"/>
          <w:lang w:val="en-US"/>
        </w:rPr>
        <w:t>8</w:t>
      </w:r>
      <w:r w:rsidR="00255B16" w:rsidRPr="0067297E">
        <w:rPr>
          <w:rFonts w:asciiTheme="minorHAnsi" w:hAnsiTheme="minorHAnsi" w:cs="Arial"/>
        </w:rPr>
        <w:t xml:space="preserve"> </w:t>
      </w:r>
      <w:r w:rsidR="00F80FF5" w:rsidRPr="0067297E">
        <w:rPr>
          <w:rFonts w:asciiTheme="minorHAnsi" w:hAnsiTheme="minorHAnsi" w:cs="Arial"/>
        </w:rPr>
        <w:t xml:space="preserve">affordable/social rented and </w:t>
      </w:r>
      <w:r w:rsidR="00B6005F">
        <w:rPr>
          <w:rFonts w:asciiTheme="minorHAnsi" w:hAnsiTheme="minorHAnsi" w:cs="Arial"/>
          <w:lang w:val="en-US"/>
        </w:rPr>
        <w:t>67</w:t>
      </w:r>
      <w:r w:rsidR="00F80FF5" w:rsidRPr="0067297E">
        <w:rPr>
          <w:rFonts w:asciiTheme="minorHAnsi" w:hAnsiTheme="minorHAnsi" w:cs="Arial"/>
        </w:rPr>
        <w:t xml:space="preserve"> intermediate tenure </w:t>
      </w:r>
      <w:r w:rsidRPr="0067297E">
        <w:rPr>
          <w:rFonts w:asciiTheme="minorHAnsi" w:hAnsiTheme="minorHAnsi" w:cs="Arial"/>
        </w:rPr>
        <w:t>sales.</w:t>
      </w:r>
    </w:p>
    <w:p w14:paraId="5AE4DEC4" w14:textId="77777777" w:rsidR="008043C3" w:rsidRPr="0067297E" w:rsidRDefault="008043C3" w:rsidP="00A04CC5">
      <w:pPr>
        <w:pStyle w:val="Maintext"/>
        <w:numPr>
          <w:ilvl w:val="0"/>
          <w:numId w:val="0"/>
        </w:numPr>
        <w:rPr>
          <w:rFonts w:asciiTheme="minorHAnsi" w:hAnsiTheme="minorHAnsi" w:cs="Arial"/>
          <w:b/>
        </w:rPr>
      </w:pPr>
    </w:p>
    <w:p w14:paraId="35371D62" w14:textId="08F755AF" w:rsidR="008043C3" w:rsidRPr="0067297E" w:rsidRDefault="008043C3" w:rsidP="00114D52">
      <w:pPr>
        <w:pStyle w:val="Heading2"/>
        <w:rPr>
          <w:rFonts w:asciiTheme="minorHAnsi" w:hAnsiTheme="minorHAnsi"/>
        </w:rPr>
      </w:pPr>
      <w:bookmarkStart w:id="605" w:name="_Toc273698058"/>
      <w:bookmarkStart w:id="606" w:name="_Toc273708391"/>
      <w:bookmarkStart w:id="607" w:name="_Toc280272461"/>
      <w:bookmarkStart w:id="608" w:name="_Toc318323483"/>
      <w:bookmarkStart w:id="609" w:name="_Toc320271459"/>
      <w:bookmarkStart w:id="610" w:name="_Toc321323392"/>
      <w:bookmarkStart w:id="611" w:name="_Toc326077254"/>
      <w:bookmarkStart w:id="612" w:name="_Toc333507796"/>
      <w:bookmarkStart w:id="613" w:name="_Toc360192719"/>
      <w:bookmarkStart w:id="614" w:name="_Toc399864474"/>
      <w:bookmarkStart w:id="615" w:name="_Toc428528525"/>
      <w:bookmarkStart w:id="616" w:name="_Toc305854609"/>
      <w:bookmarkStart w:id="617" w:name="_Toc305860964"/>
      <w:bookmarkStart w:id="618" w:name="_Toc391019044"/>
      <w:bookmarkStart w:id="619" w:name="_Toc398751110"/>
      <w:bookmarkStart w:id="620" w:name="_Toc529887285"/>
      <w:bookmarkStart w:id="621" w:name="_Toc1385803"/>
      <w:bookmarkStart w:id="622" w:name="_Toc23151120"/>
      <w:r w:rsidRPr="0067297E">
        <w:rPr>
          <w:rFonts w:asciiTheme="minorHAnsi" w:hAnsiTheme="minorHAnsi" w:cs="Arial"/>
        </w:rPr>
        <w:t>Stage 4:  Estimate of annual housing need</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1E6F1BCF" w14:textId="77777777" w:rsidR="008043C3" w:rsidRPr="0067297E" w:rsidRDefault="008043C3" w:rsidP="00516B53">
      <w:pPr>
        <w:pStyle w:val="Heading3"/>
        <w:rPr>
          <w:rFonts w:asciiTheme="minorHAnsi" w:hAnsiTheme="minorHAnsi" w:cs="Arial"/>
        </w:rPr>
      </w:pPr>
      <w:r w:rsidRPr="0067297E">
        <w:rPr>
          <w:rFonts w:asciiTheme="minorHAnsi" w:hAnsiTheme="minorHAnsi" w:cs="Arial"/>
        </w:rPr>
        <w:t>Overview</w:t>
      </w:r>
    </w:p>
    <w:p w14:paraId="278A9A8F" w14:textId="77777777"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 xml:space="preserve">Analysis has carefully considered how housing need is arising within </w:t>
      </w:r>
      <w:r w:rsidR="00F80FF5" w:rsidRPr="0067297E">
        <w:rPr>
          <w:rFonts w:asciiTheme="minorHAnsi" w:hAnsiTheme="minorHAnsi" w:cs="Arial"/>
          <w:lang w:val="en-GB"/>
        </w:rPr>
        <w:t>the borough</w:t>
      </w:r>
      <w:r w:rsidRPr="0067297E">
        <w:rPr>
          <w:rFonts w:asciiTheme="minorHAnsi" w:hAnsiTheme="minorHAnsi" w:cs="Arial"/>
        </w:rPr>
        <w:t xml:space="preserve"> by identifying existing households in need (and who cannot afford market solutions), newly-forming households in need and existing households likely to fall into need.</w:t>
      </w:r>
    </w:p>
    <w:p w14:paraId="0B5828EF" w14:textId="66811110"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 xml:space="preserve">This has been reconciled with the </w:t>
      </w:r>
      <w:r w:rsidR="008D2D0E" w:rsidRPr="0067297E">
        <w:rPr>
          <w:rFonts w:asciiTheme="minorHAnsi" w:hAnsiTheme="minorHAnsi" w:cs="Arial"/>
        </w:rPr>
        <w:t xml:space="preserve">overall </w:t>
      </w:r>
      <w:r w:rsidRPr="0067297E">
        <w:rPr>
          <w:rFonts w:asciiTheme="minorHAnsi" w:hAnsiTheme="minorHAnsi" w:cs="Arial"/>
        </w:rPr>
        <w:t>supply of affordable dwellings</w:t>
      </w:r>
      <w:r w:rsidR="008D2D0E" w:rsidRPr="0067297E">
        <w:rPr>
          <w:rFonts w:asciiTheme="minorHAnsi" w:hAnsiTheme="minorHAnsi" w:cs="Arial"/>
        </w:rPr>
        <w:t>. Based on the affordable needs framework model</w:t>
      </w:r>
      <w:r w:rsidRPr="0067297E">
        <w:rPr>
          <w:rFonts w:asciiTheme="minorHAnsi" w:hAnsiTheme="minorHAnsi" w:cs="Arial"/>
        </w:rPr>
        <w:t xml:space="preserve">, analysis suggests that </w:t>
      </w:r>
      <w:r w:rsidRPr="0067297E">
        <w:rPr>
          <w:rFonts w:asciiTheme="minorHAnsi" w:hAnsiTheme="minorHAnsi" w:cs="Arial"/>
          <w:b/>
        </w:rPr>
        <w:t xml:space="preserve">there is an overall annual net imbalance of </w:t>
      </w:r>
      <w:r w:rsidR="00B6005F">
        <w:rPr>
          <w:rFonts w:asciiTheme="minorHAnsi" w:hAnsiTheme="minorHAnsi" w:cs="Arial"/>
          <w:b/>
          <w:lang w:val="en-GB"/>
        </w:rPr>
        <w:t>1,564</w:t>
      </w:r>
      <w:r w:rsidR="00B6005F" w:rsidRPr="0067297E">
        <w:rPr>
          <w:rFonts w:asciiTheme="minorHAnsi" w:hAnsiTheme="minorHAnsi" w:cs="Arial"/>
          <w:b/>
        </w:rPr>
        <w:t xml:space="preserve"> </w:t>
      </w:r>
      <w:r w:rsidRPr="0067297E">
        <w:rPr>
          <w:rFonts w:asciiTheme="minorHAnsi" w:hAnsiTheme="minorHAnsi" w:cs="Arial"/>
          <w:b/>
        </w:rPr>
        <w:t>dwellings each year</w:t>
      </w:r>
      <w:r w:rsidRPr="0067297E">
        <w:rPr>
          <w:rFonts w:asciiTheme="minorHAnsi" w:hAnsiTheme="minorHAnsi" w:cs="Arial"/>
        </w:rPr>
        <w:t>.</w:t>
      </w:r>
    </w:p>
    <w:p w14:paraId="50270927" w14:textId="77777777"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 xml:space="preserve">Stage 4 brings together the individual components of the needs assessment to establish the total net annual shortfall. </w:t>
      </w:r>
    </w:p>
    <w:p w14:paraId="0496FD15" w14:textId="77777777" w:rsidR="008043C3" w:rsidRPr="0067297E" w:rsidRDefault="008043C3" w:rsidP="00A04CC5">
      <w:pPr>
        <w:pStyle w:val="Maintext"/>
        <w:numPr>
          <w:ilvl w:val="0"/>
          <w:numId w:val="0"/>
        </w:numPr>
        <w:ind w:left="709"/>
        <w:rPr>
          <w:rFonts w:asciiTheme="minorHAnsi" w:hAnsiTheme="minorHAnsi" w:cs="Arial"/>
        </w:rPr>
      </w:pPr>
    </w:p>
    <w:p w14:paraId="2F77AEED" w14:textId="77777777" w:rsidR="008043C3" w:rsidRPr="0067297E" w:rsidRDefault="008043C3" w:rsidP="007E2C96">
      <w:pPr>
        <w:pStyle w:val="Heading3"/>
        <w:rPr>
          <w:rFonts w:asciiTheme="minorHAnsi" w:hAnsiTheme="minorHAnsi" w:cs="Arial"/>
        </w:rPr>
      </w:pPr>
      <w:bookmarkStart w:id="623" w:name="_Toc360192720"/>
      <w:bookmarkStart w:id="624" w:name="_Toc399864475"/>
      <w:r w:rsidRPr="0067297E">
        <w:rPr>
          <w:rFonts w:asciiTheme="minorHAnsi" w:hAnsiTheme="minorHAnsi" w:cs="Arial"/>
        </w:rPr>
        <w:t>Step 4.1</w:t>
      </w:r>
      <w:r w:rsidRPr="0067297E">
        <w:rPr>
          <w:rFonts w:asciiTheme="minorHAnsi" w:hAnsiTheme="minorHAnsi" w:cs="Arial"/>
        </w:rPr>
        <w:tab/>
        <w:t>Total backlog need</w:t>
      </w:r>
      <w:bookmarkEnd w:id="623"/>
      <w:bookmarkEnd w:id="624"/>
    </w:p>
    <w:p w14:paraId="1D7E7897" w14:textId="12DD9941"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Step 4.1 is the total backlog need which is derived from the number of households in Step 1.1 minus total affordable housing stock available (Step 3.</w:t>
      </w:r>
      <w:r w:rsidR="008D2D0E" w:rsidRPr="0067297E">
        <w:rPr>
          <w:rFonts w:asciiTheme="minorHAnsi" w:hAnsiTheme="minorHAnsi" w:cs="Arial"/>
        </w:rPr>
        <w:t xml:space="preserve">5). The total backlog need is </w:t>
      </w:r>
      <w:r w:rsidR="00B6005F">
        <w:rPr>
          <w:rFonts w:asciiTheme="minorHAnsi" w:hAnsiTheme="minorHAnsi" w:cs="Arial"/>
          <w:lang w:val="en-US"/>
        </w:rPr>
        <w:t>6,986</w:t>
      </w:r>
      <w:r w:rsidR="008D2D0E" w:rsidRPr="0067297E">
        <w:rPr>
          <w:rFonts w:asciiTheme="minorHAnsi" w:hAnsiTheme="minorHAnsi" w:cs="Arial"/>
        </w:rPr>
        <w:t>.</w:t>
      </w:r>
      <w:r w:rsidRPr="0067297E">
        <w:rPr>
          <w:rFonts w:asciiTheme="minorHAnsi" w:hAnsiTheme="minorHAnsi" w:cs="Arial"/>
        </w:rPr>
        <w:t xml:space="preserve"> </w:t>
      </w:r>
    </w:p>
    <w:p w14:paraId="17E4FF11" w14:textId="77777777" w:rsidR="008043C3" w:rsidRPr="0067297E" w:rsidRDefault="008043C3" w:rsidP="00FA273F">
      <w:pPr>
        <w:pStyle w:val="Maintext"/>
        <w:numPr>
          <w:ilvl w:val="0"/>
          <w:numId w:val="0"/>
        </w:numPr>
        <w:ind w:left="709" w:hanging="709"/>
        <w:rPr>
          <w:rFonts w:asciiTheme="minorHAnsi" w:hAnsiTheme="minorHAnsi" w:cs="Arial"/>
        </w:rPr>
      </w:pPr>
    </w:p>
    <w:p w14:paraId="4719EA38" w14:textId="77777777" w:rsidR="008043C3" w:rsidRPr="0067297E" w:rsidRDefault="008043C3" w:rsidP="00543A76">
      <w:pPr>
        <w:pStyle w:val="Heading3"/>
        <w:rPr>
          <w:rFonts w:asciiTheme="minorHAnsi" w:hAnsiTheme="minorHAnsi" w:cs="Arial"/>
        </w:rPr>
      </w:pPr>
      <w:bookmarkStart w:id="625" w:name="_Toc360192721"/>
      <w:bookmarkStart w:id="626" w:name="_Toc399864476"/>
      <w:r w:rsidRPr="0067297E">
        <w:rPr>
          <w:rFonts w:asciiTheme="minorHAnsi" w:hAnsiTheme="minorHAnsi" w:cs="Arial"/>
        </w:rPr>
        <w:t>Steps 4.2 to 4.6</w:t>
      </w:r>
      <w:bookmarkEnd w:id="625"/>
      <w:bookmarkEnd w:id="626"/>
    </w:p>
    <w:p w14:paraId="483B4547" w14:textId="77777777"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 xml:space="preserve">Step 4.2 is a quota to reduce the total backlog need which is assumed to be </w:t>
      </w:r>
      <w:r w:rsidR="008D2D0E" w:rsidRPr="0067297E">
        <w:rPr>
          <w:rFonts w:asciiTheme="minorHAnsi" w:hAnsiTheme="minorHAnsi" w:cs="Arial"/>
          <w:lang w:val="en-GB"/>
        </w:rPr>
        <w:t>20</w:t>
      </w:r>
      <w:r w:rsidRPr="0067297E">
        <w:rPr>
          <w:rFonts w:asciiTheme="minorHAnsi" w:hAnsiTheme="minorHAnsi" w:cs="Arial"/>
        </w:rPr>
        <w:t xml:space="preserve">% </w:t>
      </w:r>
      <w:r w:rsidR="008D2D0E" w:rsidRPr="0067297E">
        <w:rPr>
          <w:rFonts w:asciiTheme="minorHAnsi" w:hAnsiTheme="minorHAnsi" w:cs="Arial"/>
        </w:rPr>
        <w:t xml:space="preserve">(this was the </w:t>
      </w:r>
      <w:r w:rsidRPr="0067297E">
        <w:rPr>
          <w:rFonts w:asciiTheme="minorHAnsi" w:hAnsiTheme="minorHAnsi" w:cs="Arial"/>
        </w:rPr>
        <w:t xml:space="preserve">standard modelling assumption </w:t>
      </w:r>
      <w:r w:rsidR="008D2D0E" w:rsidRPr="0067297E">
        <w:rPr>
          <w:rFonts w:asciiTheme="minorHAnsi" w:hAnsiTheme="minorHAnsi" w:cs="Arial"/>
        </w:rPr>
        <w:t>in former</w:t>
      </w:r>
      <w:r w:rsidRPr="0067297E">
        <w:rPr>
          <w:rFonts w:asciiTheme="minorHAnsi" w:hAnsiTheme="minorHAnsi" w:cs="Arial"/>
        </w:rPr>
        <w:t xml:space="preserve"> CLG guidance).</w:t>
      </w:r>
    </w:p>
    <w:p w14:paraId="24DD93F4" w14:textId="5A4CFBE6"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Step 4.3 is the annual backlog reduction based on Step 4.2 (</w:t>
      </w:r>
      <w:r w:rsidR="00255B16" w:rsidRPr="0067297E">
        <w:rPr>
          <w:rFonts w:asciiTheme="minorHAnsi" w:hAnsiTheme="minorHAnsi" w:cs="Arial"/>
          <w:lang w:val="en-GB"/>
        </w:rPr>
        <w:t>1,</w:t>
      </w:r>
      <w:r w:rsidR="00B6005F">
        <w:rPr>
          <w:rFonts w:asciiTheme="minorHAnsi" w:hAnsiTheme="minorHAnsi" w:cs="Arial"/>
          <w:lang w:val="en-GB"/>
        </w:rPr>
        <w:t>397</w:t>
      </w:r>
      <w:r w:rsidR="00255B16" w:rsidRPr="0067297E">
        <w:rPr>
          <w:rFonts w:asciiTheme="minorHAnsi" w:hAnsiTheme="minorHAnsi" w:cs="Arial"/>
        </w:rPr>
        <w:t xml:space="preserve"> </w:t>
      </w:r>
      <w:r w:rsidRPr="0067297E">
        <w:rPr>
          <w:rFonts w:asciiTheme="minorHAnsi" w:hAnsiTheme="minorHAnsi" w:cs="Arial"/>
        </w:rPr>
        <w:t xml:space="preserve">each year). </w:t>
      </w:r>
    </w:p>
    <w:p w14:paraId="6381C557" w14:textId="5668839D"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Step 4.4 is a summary of newly-arising need from both newly forming households and existing households falling into need (</w:t>
      </w:r>
      <w:r w:rsidR="00B6005F">
        <w:rPr>
          <w:rFonts w:asciiTheme="minorHAnsi" w:hAnsiTheme="minorHAnsi" w:cs="Arial"/>
          <w:lang w:val="en-GB"/>
        </w:rPr>
        <w:t>1,622</w:t>
      </w:r>
      <w:r w:rsidRPr="0067297E">
        <w:rPr>
          <w:rFonts w:asciiTheme="minorHAnsi" w:hAnsiTheme="minorHAnsi" w:cs="Arial"/>
        </w:rPr>
        <w:t xml:space="preserve"> each year).</w:t>
      </w:r>
    </w:p>
    <w:p w14:paraId="047C824F" w14:textId="1EDAB67A"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Step 4.5 is the total annual affordable need based on Steps 4.3 and 4.4 (</w:t>
      </w:r>
      <w:r w:rsidR="00B6005F">
        <w:rPr>
          <w:rFonts w:asciiTheme="minorHAnsi" w:hAnsiTheme="minorHAnsi" w:cs="Arial"/>
          <w:lang w:val="en-US"/>
        </w:rPr>
        <w:t>3,019</w:t>
      </w:r>
      <w:r w:rsidR="0058316E">
        <w:rPr>
          <w:rFonts w:asciiTheme="minorHAnsi" w:hAnsiTheme="minorHAnsi" w:cs="Arial"/>
          <w:lang w:val="en-US"/>
        </w:rPr>
        <w:t xml:space="preserve"> </w:t>
      </w:r>
      <w:r w:rsidRPr="0067297E">
        <w:rPr>
          <w:rFonts w:asciiTheme="minorHAnsi" w:hAnsiTheme="minorHAnsi" w:cs="Arial"/>
        </w:rPr>
        <w:t>each year) (</w:t>
      </w:r>
      <w:r w:rsidRPr="0067297E">
        <w:rPr>
          <w:rFonts w:asciiTheme="minorHAnsi" w:hAnsiTheme="minorHAnsi" w:cs="Arial"/>
          <w:i/>
        </w:rPr>
        <w:t>this is also the gross need</w:t>
      </w:r>
      <w:r w:rsidRPr="0067297E">
        <w:rPr>
          <w:rFonts w:asciiTheme="minorHAnsi" w:hAnsiTheme="minorHAnsi" w:cs="Arial"/>
        </w:rPr>
        <w:t>).</w:t>
      </w:r>
    </w:p>
    <w:p w14:paraId="379FD329" w14:textId="0B720807" w:rsidR="008043C3" w:rsidRPr="0067297E" w:rsidRDefault="008043C3" w:rsidP="002C70BC">
      <w:pPr>
        <w:pStyle w:val="Maintext"/>
        <w:numPr>
          <w:ilvl w:val="1"/>
          <w:numId w:val="37"/>
        </w:numPr>
        <w:rPr>
          <w:rFonts w:asciiTheme="minorHAnsi" w:hAnsiTheme="minorHAnsi" w:cs="Arial"/>
        </w:rPr>
      </w:pPr>
      <w:r w:rsidRPr="0067297E">
        <w:rPr>
          <w:rFonts w:asciiTheme="minorHAnsi" w:hAnsiTheme="minorHAnsi" w:cs="Arial"/>
        </w:rPr>
        <w:t>Step 4.6 is the annual social</w:t>
      </w:r>
      <w:r w:rsidR="008D2D0E" w:rsidRPr="0067297E">
        <w:rPr>
          <w:rFonts w:asciiTheme="minorHAnsi" w:hAnsiTheme="minorHAnsi" w:cs="Arial"/>
        </w:rPr>
        <w:t>/affordable rented and</w:t>
      </w:r>
      <w:r w:rsidR="00E9706C" w:rsidRPr="0067297E">
        <w:rPr>
          <w:rFonts w:asciiTheme="minorHAnsi" w:hAnsiTheme="minorHAnsi" w:cs="Arial"/>
          <w:lang w:val="en-GB"/>
        </w:rPr>
        <w:t xml:space="preserve"> </w:t>
      </w:r>
      <w:r w:rsidRPr="0067297E">
        <w:rPr>
          <w:rFonts w:asciiTheme="minorHAnsi" w:hAnsiTheme="minorHAnsi" w:cs="Arial"/>
        </w:rPr>
        <w:t>intermediate tenure capacity based on Step 3.8 (</w:t>
      </w:r>
      <w:r w:rsidR="00255B16" w:rsidRPr="0067297E">
        <w:rPr>
          <w:rFonts w:asciiTheme="minorHAnsi" w:hAnsiTheme="minorHAnsi" w:cs="Arial"/>
          <w:lang w:val="en-GB"/>
        </w:rPr>
        <w:t>1,</w:t>
      </w:r>
      <w:r w:rsidR="00B6005F">
        <w:rPr>
          <w:rFonts w:asciiTheme="minorHAnsi" w:hAnsiTheme="minorHAnsi" w:cs="Arial"/>
          <w:lang w:val="en-GB"/>
        </w:rPr>
        <w:t>455</w:t>
      </w:r>
      <w:r w:rsidR="00B6005F" w:rsidRPr="0067297E">
        <w:rPr>
          <w:rFonts w:asciiTheme="minorHAnsi" w:hAnsiTheme="minorHAnsi" w:cs="Arial"/>
        </w:rPr>
        <w:t xml:space="preserve"> </w:t>
      </w:r>
      <w:r w:rsidRPr="0067297E">
        <w:rPr>
          <w:rFonts w:asciiTheme="minorHAnsi" w:hAnsiTheme="minorHAnsi" w:cs="Arial"/>
        </w:rPr>
        <w:t>each year).</w:t>
      </w:r>
    </w:p>
    <w:p w14:paraId="0974AA28" w14:textId="77777777" w:rsidR="008043C3" w:rsidRPr="0067297E" w:rsidRDefault="008043C3" w:rsidP="00FA273F">
      <w:pPr>
        <w:pStyle w:val="Maintext"/>
        <w:numPr>
          <w:ilvl w:val="0"/>
          <w:numId w:val="0"/>
        </w:numPr>
        <w:ind w:left="709" w:hanging="709"/>
        <w:rPr>
          <w:rFonts w:asciiTheme="minorHAnsi" w:hAnsiTheme="minorHAnsi" w:cs="Arial"/>
        </w:rPr>
      </w:pPr>
    </w:p>
    <w:p w14:paraId="5BB08756" w14:textId="77777777" w:rsidR="008043C3" w:rsidRPr="0067297E" w:rsidRDefault="008043C3" w:rsidP="00543A76">
      <w:pPr>
        <w:pStyle w:val="Heading2"/>
        <w:rPr>
          <w:rFonts w:asciiTheme="minorHAnsi" w:hAnsiTheme="minorHAnsi" w:cs="Arial"/>
        </w:rPr>
      </w:pPr>
      <w:bookmarkStart w:id="627" w:name="_Toc428528526"/>
      <w:bookmarkStart w:id="628" w:name="_Toc305854610"/>
      <w:bookmarkStart w:id="629" w:name="_Toc305860965"/>
      <w:bookmarkStart w:id="630" w:name="_Toc391019045"/>
      <w:bookmarkStart w:id="631" w:name="_Toc398751111"/>
      <w:bookmarkStart w:id="632" w:name="_Toc529887286"/>
      <w:bookmarkStart w:id="633" w:name="_Toc1385804"/>
      <w:bookmarkStart w:id="634" w:name="_Toc23151121"/>
      <w:r w:rsidRPr="0067297E">
        <w:rPr>
          <w:rFonts w:asciiTheme="minorHAnsi" w:hAnsiTheme="minorHAnsi" w:cs="Arial"/>
        </w:rPr>
        <w:t>Total gross and net imbalance</w:t>
      </w:r>
      <w:bookmarkEnd w:id="627"/>
      <w:bookmarkEnd w:id="628"/>
      <w:bookmarkEnd w:id="629"/>
      <w:bookmarkEnd w:id="630"/>
      <w:bookmarkEnd w:id="631"/>
      <w:bookmarkEnd w:id="632"/>
      <w:bookmarkEnd w:id="633"/>
      <w:bookmarkEnd w:id="634"/>
    </w:p>
    <w:p w14:paraId="1E44E109" w14:textId="4B6605E9" w:rsidR="008043C3" w:rsidRPr="0067297E" w:rsidRDefault="00255B16" w:rsidP="002C70BC">
      <w:pPr>
        <w:pStyle w:val="Maintext"/>
        <w:numPr>
          <w:ilvl w:val="1"/>
          <w:numId w:val="37"/>
        </w:numPr>
        <w:rPr>
          <w:rFonts w:asciiTheme="minorHAnsi" w:hAnsiTheme="minorHAnsi" w:cs="Arial"/>
        </w:rPr>
      </w:pPr>
      <w:r w:rsidRPr="0067297E">
        <w:rPr>
          <w:rFonts w:asciiTheme="minorHAnsi" w:hAnsiTheme="minorHAnsi" w:cs="Arial"/>
        </w:rPr>
        <w:t>Table B</w:t>
      </w:r>
      <w:r w:rsidR="00B32E87" w:rsidRPr="0067297E">
        <w:rPr>
          <w:rFonts w:asciiTheme="minorHAnsi" w:hAnsiTheme="minorHAnsi" w:cs="Arial"/>
          <w:lang w:val="en-GB"/>
        </w:rPr>
        <w:t>4</w:t>
      </w:r>
      <w:r w:rsidR="008043C3" w:rsidRPr="0067297E">
        <w:rPr>
          <w:rFonts w:asciiTheme="minorHAnsi" w:hAnsiTheme="minorHAnsi" w:cs="Arial"/>
        </w:rPr>
        <w:t xml:space="preserve"> summarises the overall annual gross and net affordable housing requirements for </w:t>
      </w:r>
      <w:r w:rsidR="008D2D0E" w:rsidRPr="0067297E">
        <w:rPr>
          <w:rFonts w:asciiTheme="minorHAnsi" w:hAnsiTheme="minorHAnsi" w:cs="Arial"/>
          <w:lang w:val="en-GB"/>
        </w:rPr>
        <w:t>the borough</w:t>
      </w:r>
      <w:r w:rsidR="008043C3" w:rsidRPr="0067297E">
        <w:rPr>
          <w:rFonts w:asciiTheme="minorHAnsi" w:hAnsiTheme="minorHAnsi" w:cs="Arial"/>
        </w:rPr>
        <w:t xml:space="preserve"> by property size. The gross figure refers to the annual need for affordable housing and the net figure takes into account the likely supply of affordable housing through affordable lettings and intermediate sales. </w:t>
      </w:r>
    </w:p>
    <w:p w14:paraId="12B70072" w14:textId="4CCCBD51" w:rsidR="00255B16" w:rsidRPr="0067297E" w:rsidRDefault="00255B16" w:rsidP="00543A76">
      <w:pPr>
        <w:pStyle w:val="Maintext"/>
        <w:numPr>
          <w:ilvl w:val="0"/>
          <w:numId w:val="0"/>
        </w:numPr>
        <w:rPr>
          <w:rFonts w:asciiTheme="minorHAnsi" w:hAnsiTheme="minorHAnsi" w:cs="Arial"/>
        </w:rPr>
      </w:pPr>
    </w:p>
    <w:tbl>
      <w:tblPr>
        <w:tblW w:w="5000" w:type="pct"/>
        <w:tblLook w:val="04A0" w:firstRow="1" w:lastRow="0" w:firstColumn="1" w:lastColumn="0" w:noHBand="0" w:noVBand="1"/>
      </w:tblPr>
      <w:tblGrid>
        <w:gridCol w:w="3554"/>
        <w:gridCol w:w="985"/>
        <w:gridCol w:w="1149"/>
        <w:gridCol w:w="1149"/>
        <w:gridCol w:w="1191"/>
        <w:gridCol w:w="978"/>
      </w:tblGrid>
      <w:tr w:rsidR="00255B16" w:rsidRPr="0067297E" w14:paraId="554E8686" w14:textId="77777777" w:rsidTr="00426BD8">
        <w:trPr>
          <w:trHeight w:val="320"/>
          <w:tblHeader/>
        </w:trPr>
        <w:tc>
          <w:tcPr>
            <w:tcW w:w="5000" w:type="pct"/>
            <w:gridSpan w:val="6"/>
            <w:tcBorders>
              <w:top w:val="single" w:sz="8" w:space="0" w:color="006666"/>
              <w:left w:val="single" w:sz="8" w:space="0" w:color="006666"/>
              <w:bottom w:val="single" w:sz="8" w:space="0" w:color="006666"/>
              <w:right w:val="single" w:sz="8" w:space="0" w:color="006666"/>
            </w:tcBorders>
            <w:shd w:val="clear" w:color="000000" w:fill="009999"/>
            <w:noWrap/>
            <w:vAlign w:val="center"/>
            <w:hideMark/>
          </w:tcPr>
          <w:p w14:paraId="3BB2CC25" w14:textId="4CDCD86B" w:rsidR="00255B16" w:rsidRPr="0067297E" w:rsidRDefault="00255B16" w:rsidP="001B5150">
            <w:pPr>
              <w:pStyle w:val="tableheading"/>
              <w:rPr>
                <w:rFonts w:asciiTheme="minorHAnsi" w:hAnsiTheme="minorHAnsi"/>
              </w:rPr>
            </w:pPr>
            <w:bookmarkStart w:id="635" w:name="_Toc306297805"/>
            <w:bookmarkStart w:id="636" w:name="_Toc517185847"/>
            <w:bookmarkStart w:id="637" w:name="RANGE!B86"/>
            <w:bookmarkStart w:id="638" w:name="_Toc23151205"/>
            <w:r w:rsidRPr="0067297E">
              <w:rPr>
                <w:rFonts w:asciiTheme="minorHAnsi" w:hAnsiTheme="minorHAnsi"/>
              </w:rPr>
              <w:t>Table B</w:t>
            </w:r>
            <w:r w:rsidR="00B21336" w:rsidRPr="0067297E">
              <w:rPr>
                <w:rFonts w:asciiTheme="minorHAnsi" w:hAnsiTheme="minorHAnsi"/>
              </w:rPr>
              <w:t>.</w:t>
            </w:r>
            <w:r w:rsidR="00B32E87" w:rsidRPr="0067297E">
              <w:rPr>
                <w:rFonts w:asciiTheme="minorHAnsi" w:hAnsiTheme="minorHAnsi"/>
                <w:lang w:val="en-GB"/>
              </w:rPr>
              <w:t>4</w:t>
            </w:r>
            <w:r w:rsidR="00B21336" w:rsidRPr="0067297E">
              <w:rPr>
                <w:rFonts w:asciiTheme="minorHAnsi" w:hAnsiTheme="minorHAnsi"/>
              </w:rPr>
              <w:tab/>
            </w:r>
            <w:r w:rsidRPr="0067297E">
              <w:rPr>
                <w:rFonts w:asciiTheme="minorHAnsi" w:hAnsiTheme="minorHAnsi"/>
              </w:rPr>
              <w:t>Net annual affordable housing imbalance by property size 2017/18 to 2021/22</w:t>
            </w:r>
            <w:bookmarkEnd w:id="635"/>
            <w:bookmarkEnd w:id="636"/>
            <w:bookmarkEnd w:id="637"/>
            <w:bookmarkEnd w:id="638"/>
          </w:p>
        </w:tc>
      </w:tr>
      <w:tr w:rsidR="00B21336" w:rsidRPr="0067297E" w14:paraId="386AB64F" w14:textId="77777777" w:rsidTr="0058316E">
        <w:trPr>
          <w:trHeight w:val="320"/>
        </w:trPr>
        <w:tc>
          <w:tcPr>
            <w:tcW w:w="1973" w:type="pct"/>
            <w:vMerge w:val="restart"/>
            <w:tcBorders>
              <w:top w:val="nil"/>
              <w:left w:val="single" w:sz="8" w:space="0" w:color="006666"/>
              <w:bottom w:val="single" w:sz="8" w:space="0" w:color="006666"/>
              <w:right w:val="single" w:sz="8" w:space="0" w:color="006666"/>
            </w:tcBorders>
            <w:shd w:val="clear" w:color="000000" w:fill="009999"/>
            <w:noWrap/>
            <w:vAlign w:val="bottom"/>
            <w:hideMark/>
          </w:tcPr>
          <w:p w14:paraId="408BAFC7" w14:textId="77777777" w:rsidR="00B21336" w:rsidRPr="0067297E" w:rsidRDefault="00B21336" w:rsidP="00B21336">
            <w:pPr>
              <w:rPr>
                <w:rFonts w:asciiTheme="minorHAnsi" w:hAnsiTheme="minorHAnsi" w:cs="Arial"/>
                <w:b/>
                <w:bCs/>
                <w:color w:val="FFFFFF"/>
                <w:sz w:val="22"/>
                <w:szCs w:val="22"/>
              </w:rPr>
            </w:pPr>
            <w:r w:rsidRPr="0067297E">
              <w:rPr>
                <w:rFonts w:asciiTheme="minorHAnsi" w:hAnsiTheme="minorHAnsi" w:cs="Arial"/>
                <w:b/>
                <w:bCs/>
                <w:color w:val="FFFFFF"/>
                <w:sz w:val="22"/>
                <w:szCs w:val="22"/>
              </w:rPr>
              <w:t>Shortfall  and supply</w:t>
            </w:r>
          </w:p>
        </w:tc>
        <w:tc>
          <w:tcPr>
            <w:tcW w:w="2484" w:type="pct"/>
            <w:gridSpan w:val="4"/>
            <w:tcBorders>
              <w:top w:val="single" w:sz="8" w:space="0" w:color="006666"/>
              <w:left w:val="nil"/>
              <w:bottom w:val="single" w:sz="8" w:space="0" w:color="006666"/>
              <w:right w:val="single" w:sz="8" w:space="0" w:color="006666"/>
            </w:tcBorders>
            <w:shd w:val="clear" w:color="000000" w:fill="009999"/>
            <w:vAlign w:val="center"/>
            <w:hideMark/>
          </w:tcPr>
          <w:p w14:paraId="49E32AC0" w14:textId="77777777" w:rsidR="00B21336" w:rsidRPr="0067297E" w:rsidRDefault="00B21336" w:rsidP="00B21336">
            <w:pPr>
              <w:jc w:val="center"/>
              <w:rPr>
                <w:rFonts w:asciiTheme="minorHAnsi" w:hAnsiTheme="minorHAnsi" w:cs="Arial"/>
                <w:b/>
                <w:bCs/>
                <w:color w:val="FFFFFF"/>
                <w:sz w:val="22"/>
                <w:szCs w:val="22"/>
              </w:rPr>
            </w:pPr>
            <w:r w:rsidRPr="0067297E">
              <w:rPr>
                <w:rFonts w:asciiTheme="minorHAnsi" w:hAnsiTheme="minorHAnsi" w:cs="Arial"/>
                <w:b/>
                <w:bCs/>
                <w:color w:val="FFFFFF"/>
                <w:sz w:val="22"/>
                <w:szCs w:val="22"/>
              </w:rPr>
              <w:t>Number of bedrooms</w:t>
            </w:r>
          </w:p>
        </w:tc>
        <w:tc>
          <w:tcPr>
            <w:tcW w:w="543" w:type="pct"/>
            <w:vMerge w:val="restart"/>
            <w:tcBorders>
              <w:top w:val="nil"/>
              <w:left w:val="nil"/>
              <w:right w:val="single" w:sz="8" w:space="0" w:color="006666"/>
            </w:tcBorders>
            <w:shd w:val="clear" w:color="000000" w:fill="009999"/>
            <w:noWrap/>
            <w:vAlign w:val="bottom"/>
            <w:hideMark/>
          </w:tcPr>
          <w:p w14:paraId="2AEBF034" w14:textId="72C6EECA" w:rsidR="00B21336" w:rsidRPr="0067297E" w:rsidRDefault="00B21336" w:rsidP="00B21336">
            <w:pPr>
              <w:jc w:val="center"/>
              <w:rPr>
                <w:rFonts w:asciiTheme="minorHAnsi" w:hAnsiTheme="minorHAnsi" w:cs="Arial"/>
                <w:b/>
                <w:bCs/>
                <w:color w:val="FFFFFF"/>
                <w:sz w:val="22"/>
                <w:szCs w:val="22"/>
              </w:rPr>
            </w:pPr>
            <w:r w:rsidRPr="0067297E">
              <w:rPr>
                <w:rFonts w:asciiTheme="minorHAnsi" w:hAnsiTheme="minorHAnsi" w:cs="Arial"/>
                <w:b/>
                <w:bCs/>
                <w:color w:val="FFFFFF"/>
                <w:sz w:val="22"/>
                <w:szCs w:val="22"/>
              </w:rPr>
              <w:t>Total</w:t>
            </w:r>
          </w:p>
        </w:tc>
      </w:tr>
      <w:tr w:rsidR="00B21336" w:rsidRPr="0067297E" w14:paraId="41EA3E8A" w14:textId="77777777" w:rsidTr="0058316E">
        <w:trPr>
          <w:trHeight w:val="320"/>
        </w:trPr>
        <w:tc>
          <w:tcPr>
            <w:tcW w:w="1973" w:type="pct"/>
            <w:vMerge/>
            <w:tcBorders>
              <w:top w:val="nil"/>
              <w:left w:val="single" w:sz="8" w:space="0" w:color="006666"/>
              <w:bottom w:val="single" w:sz="8" w:space="0" w:color="006666"/>
              <w:right w:val="single" w:sz="8" w:space="0" w:color="006666"/>
            </w:tcBorders>
            <w:vAlign w:val="center"/>
            <w:hideMark/>
          </w:tcPr>
          <w:p w14:paraId="70E0D01C" w14:textId="77777777" w:rsidR="00B21336" w:rsidRPr="0067297E" w:rsidRDefault="00B21336" w:rsidP="00FA273F">
            <w:pPr>
              <w:rPr>
                <w:rFonts w:asciiTheme="minorHAnsi" w:hAnsiTheme="minorHAnsi" w:cs="Arial"/>
                <w:b/>
                <w:bCs/>
                <w:color w:val="FFFFFF"/>
                <w:sz w:val="22"/>
                <w:szCs w:val="22"/>
              </w:rPr>
            </w:pPr>
          </w:p>
        </w:tc>
        <w:tc>
          <w:tcPr>
            <w:tcW w:w="547" w:type="pct"/>
            <w:tcBorders>
              <w:top w:val="nil"/>
              <w:left w:val="nil"/>
              <w:bottom w:val="single" w:sz="8" w:space="0" w:color="006666"/>
              <w:right w:val="single" w:sz="8" w:space="0" w:color="006666"/>
            </w:tcBorders>
            <w:shd w:val="clear" w:color="000000" w:fill="009999"/>
            <w:noWrap/>
            <w:vAlign w:val="center"/>
            <w:hideMark/>
          </w:tcPr>
          <w:p w14:paraId="7B9CB316" w14:textId="77777777" w:rsidR="00B21336" w:rsidRPr="0067297E" w:rsidRDefault="00B21336" w:rsidP="00FA273F">
            <w:pPr>
              <w:jc w:val="center"/>
              <w:rPr>
                <w:rFonts w:asciiTheme="minorHAnsi" w:hAnsiTheme="minorHAnsi" w:cs="Arial"/>
                <w:color w:val="FFFFFF"/>
                <w:sz w:val="22"/>
                <w:szCs w:val="22"/>
              </w:rPr>
            </w:pPr>
            <w:r w:rsidRPr="0067297E">
              <w:rPr>
                <w:rFonts w:asciiTheme="minorHAnsi" w:hAnsiTheme="minorHAnsi" w:cs="Arial"/>
                <w:color w:val="FFFFFF"/>
                <w:sz w:val="22"/>
                <w:szCs w:val="22"/>
              </w:rPr>
              <w:t>1 Bed</w:t>
            </w:r>
          </w:p>
        </w:tc>
        <w:tc>
          <w:tcPr>
            <w:tcW w:w="638" w:type="pct"/>
            <w:tcBorders>
              <w:top w:val="nil"/>
              <w:left w:val="nil"/>
              <w:bottom w:val="single" w:sz="8" w:space="0" w:color="006666"/>
              <w:right w:val="single" w:sz="8" w:space="0" w:color="006666"/>
            </w:tcBorders>
            <w:shd w:val="clear" w:color="000000" w:fill="009999"/>
            <w:noWrap/>
            <w:vAlign w:val="center"/>
            <w:hideMark/>
          </w:tcPr>
          <w:p w14:paraId="458F4901" w14:textId="77777777" w:rsidR="00B21336" w:rsidRPr="0067297E" w:rsidRDefault="00B21336" w:rsidP="00FA273F">
            <w:pPr>
              <w:jc w:val="center"/>
              <w:rPr>
                <w:rFonts w:asciiTheme="minorHAnsi" w:hAnsiTheme="minorHAnsi" w:cs="Arial"/>
                <w:color w:val="FFFFFF"/>
                <w:sz w:val="22"/>
                <w:szCs w:val="22"/>
              </w:rPr>
            </w:pPr>
            <w:r w:rsidRPr="0067297E">
              <w:rPr>
                <w:rFonts w:asciiTheme="minorHAnsi" w:hAnsiTheme="minorHAnsi" w:cs="Arial"/>
                <w:color w:val="FFFFFF"/>
                <w:sz w:val="22"/>
                <w:szCs w:val="22"/>
              </w:rPr>
              <w:t>2 Beds</w:t>
            </w:r>
          </w:p>
        </w:tc>
        <w:tc>
          <w:tcPr>
            <w:tcW w:w="638" w:type="pct"/>
            <w:tcBorders>
              <w:top w:val="nil"/>
              <w:left w:val="nil"/>
              <w:bottom w:val="single" w:sz="8" w:space="0" w:color="006666"/>
              <w:right w:val="single" w:sz="8" w:space="0" w:color="006666"/>
            </w:tcBorders>
            <w:shd w:val="clear" w:color="000000" w:fill="009999"/>
            <w:noWrap/>
            <w:vAlign w:val="center"/>
            <w:hideMark/>
          </w:tcPr>
          <w:p w14:paraId="24F08880" w14:textId="77777777" w:rsidR="00B21336" w:rsidRPr="0067297E" w:rsidRDefault="00B21336" w:rsidP="00FA273F">
            <w:pPr>
              <w:jc w:val="center"/>
              <w:rPr>
                <w:rFonts w:asciiTheme="minorHAnsi" w:hAnsiTheme="minorHAnsi" w:cs="Arial"/>
                <w:color w:val="FFFFFF"/>
                <w:sz w:val="22"/>
                <w:szCs w:val="22"/>
              </w:rPr>
            </w:pPr>
            <w:r w:rsidRPr="0067297E">
              <w:rPr>
                <w:rFonts w:asciiTheme="minorHAnsi" w:hAnsiTheme="minorHAnsi" w:cs="Arial"/>
                <w:color w:val="FFFFFF"/>
                <w:sz w:val="22"/>
                <w:szCs w:val="22"/>
              </w:rPr>
              <w:t>3 Beds</w:t>
            </w:r>
          </w:p>
        </w:tc>
        <w:tc>
          <w:tcPr>
            <w:tcW w:w="661" w:type="pct"/>
            <w:tcBorders>
              <w:top w:val="nil"/>
              <w:left w:val="nil"/>
              <w:bottom w:val="single" w:sz="8" w:space="0" w:color="006666"/>
              <w:right w:val="single" w:sz="8" w:space="0" w:color="006666"/>
            </w:tcBorders>
            <w:shd w:val="clear" w:color="000000" w:fill="009999"/>
            <w:noWrap/>
            <w:vAlign w:val="center"/>
            <w:hideMark/>
          </w:tcPr>
          <w:p w14:paraId="3AB167DF" w14:textId="77777777" w:rsidR="00B21336" w:rsidRPr="0067297E" w:rsidRDefault="00B21336" w:rsidP="00FA273F">
            <w:pPr>
              <w:jc w:val="center"/>
              <w:rPr>
                <w:rFonts w:asciiTheme="minorHAnsi" w:hAnsiTheme="minorHAnsi" w:cs="Arial"/>
                <w:color w:val="FFFFFF"/>
                <w:sz w:val="22"/>
                <w:szCs w:val="22"/>
              </w:rPr>
            </w:pPr>
            <w:r w:rsidRPr="0067297E">
              <w:rPr>
                <w:rFonts w:asciiTheme="minorHAnsi" w:hAnsiTheme="minorHAnsi" w:cs="Arial"/>
                <w:color w:val="FFFFFF"/>
                <w:sz w:val="22"/>
                <w:szCs w:val="22"/>
              </w:rPr>
              <w:t>4+ Bed</w:t>
            </w:r>
          </w:p>
        </w:tc>
        <w:tc>
          <w:tcPr>
            <w:tcW w:w="543" w:type="pct"/>
            <w:vMerge/>
            <w:tcBorders>
              <w:left w:val="nil"/>
              <w:bottom w:val="single" w:sz="8" w:space="0" w:color="006666"/>
              <w:right w:val="single" w:sz="8" w:space="0" w:color="006666"/>
            </w:tcBorders>
            <w:shd w:val="clear" w:color="000000" w:fill="009999"/>
            <w:noWrap/>
            <w:vAlign w:val="center"/>
            <w:hideMark/>
          </w:tcPr>
          <w:p w14:paraId="42EAB9E4" w14:textId="4529965B" w:rsidR="00B21336" w:rsidRPr="0067297E" w:rsidRDefault="00B21336" w:rsidP="00FA273F">
            <w:pPr>
              <w:jc w:val="center"/>
              <w:rPr>
                <w:rFonts w:asciiTheme="minorHAnsi" w:hAnsiTheme="minorHAnsi" w:cs="Arial"/>
                <w:b/>
                <w:bCs/>
                <w:color w:val="FFFFFF"/>
                <w:sz w:val="22"/>
                <w:szCs w:val="22"/>
              </w:rPr>
            </w:pPr>
          </w:p>
        </w:tc>
      </w:tr>
      <w:tr w:rsidR="0058316E" w:rsidRPr="0067297E" w14:paraId="5170754E" w14:textId="77777777" w:rsidTr="0058316E">
        <w:trPr>
          <w:trHeight w:val="340"/>
        </w:trPr>
        <w:tc>
          <w:tcPr>
            <w:tcW w:w="1973" w:type="pct"/>
            <w:tcBorders>
              <w:top w:val="nil"/>
              <w:left w:val="single" w:sz="8" w:space="0" w:color="006666"/>
              <w:bottom w:val="single" w:sz="8" w:space="0" w:color="006666"/>
              <w:right w:val="single" w:sz="8" w:space="0" w:color="006666"/>
            </w:tcBorders>
            <w:shd w:val="clear" w:color="auto" w:fill="auto"/>
            <w:noWrap/>
            <w:vAlign w:val="center"/>
            <w:hideMark/>
          </w:tcPr>
          <w:p w14:paraId="526DFE63" w14:textId="77777777" w:rsidR="0058316E" w:rsidRPr="0067297E" w:rsidRDefault="0058316E" w:rsidP="0058316E">
            <w:pPr>
              <w:rPr>
                <w:rFonts w:asciiTheme="minorHAnsi" w:hAnsiTheme="minorHAnsi" w:cs="Arial"/>
                <w:color w:val="000000"/>
                <w:sz w:val="22"/>
                <w:szCs w:val="22"/>
              </w:rPr>
            </w:pPr>
            <w:r w:rsidRPr="0067297E">
              <w:rPr>
                <w:rFonts w:asciiTheme="minorHAnsi" w:hAnsiTheme="minorHAnsi" w:cs="Arial"/>
                <w:color w:val="000000"/>
                <w:sz w:val="22"/>
                <w:szCs w:val="22"/>
              </w:rPr>
              <w:t>Gross imbalance</w:t>
            </w:r>
          </w:p>
        </w:tc>
        <w:tc>
          <w:tcPr>
            <w:tcW w:w="547" w:type="pct"/>
            <w:tcBorders>
              <w:top w:val="nil"/>
              <w:left w:val="nil"/>
              <w:bottom w:val="single" w:sz="8" w:space="0" w:color="006666"/>
              <w:right w:val="single" w:sz="8" w:space="0" w:color="006666"/>
            </w:tcBorders>
            <w:shd w:val="clear" w:color="auto" w:fill="auto"/>
            <w:noWrap/>
            <w:vAlign w:val="center"/>
            <w:hideMark/>
          </w:tcPr>
          <w:p w14:paraId="60C4F607" w14:textId="0139E8EF" w:rsidR="0058316E" w:rsidRPr="0067297E" w:rsidRDefault="0058316E" w:rsidP="0050310B">
            <w:pPr>
              <w:jc w:val="right"/>
              <w:rPr>
                <w:rFonts w:asciiTheme="minorHAnsi" w:hAnsiTheme="minorHAnsi" w:cs="Arial"/>
                <w:color w:val="000000"/>
                <w:sz w:val="22"/>
                <w:szCs w:val="22"/>
              </w:rPr>
            </w:pPr>
            <w:r>
              <w:rPr>
                <w:rFonts w:cs="Arial"/>
                <w:color w:val="000000"/>
                <w:sz w:val="22"/>
                <w:szCs w:val="22"/>
              </w:rPr>
              <w:t>687</w:t>
            </w:r>
          </w:p>
        </w:tc>
        <w:tc>
          <w:tcPr>
            <w:tcW w:w="638" w:type="pct"/>
            <w:tcBorders>
              <w:top w:val="nil"/>
              <w:left w:val="nil"/>
              <w:bottom w:val="single" w:sz="8" w:space="0" w:color="006666"/>
              <w:right w:val="single" w:sz="8" w:space="0" w:color="006666"/>
            </w:tcBorders>
            <w:shd w:val="clear" w:color="auto" w:fill="auto"/>
            <w:noWrap/>
            <w:vAlign w:val="center"/>
            <w:hideMark/>
          </w:tcPr>
          <w:p w14:paraId="7F1F511E" w14:textId="25A9D225" w:rsidR="0058316E" w:rsidRPr="0067297E" w:rsidRDefault="0058316E" w:rsidP="0050310B">
            <w:pPr>
              <w:jc w:val="right"/>
              <w:rPr>
                <w:rFonts w:asciiTheme="minorHAnsi" w:hAnsiTheme="minorHAnsi" w:cs="Arial"/>
                <w:color w:val="000000"/>
                <w:sz w:val="22"/>
                <w:szCs w:val="22"/>
              </w:rPr>
            </w:pPr>
            <w:r>
              <w:rPr>
                <w:rFonts w:cs="Arial"/>
                <w:color w:val="000000"/>
                <w:sz w:val="22"/>
                <w:szCs w:val="22"/>
              </w:rPr>
              <w:t>1,120</w:t>
            </w:r>
          </w:p>
        </w:tc>
        <w:tc>
          <w:tcPr>
            <w:tcW w:w="638" w:type="pct"/>
            <w:tcBorders>
              <w:top w:val="nil"/>
              <w:left w:val="nil"/>
              <w:bottom w:val="single" w:sz="8" w:space="0" w:color="006666"/>
              <w:right w:val="single" w:sz="8" w:space="0" w:color="006666"/>
            </w:tcBorders>
            <w:shd w:val="clear" w:color="auto" w:fill="auto"/>
            <w:noWrap/>
            <w:vAlign w:val="center"/>
            <w:hideMark/>
          </w:tcPr>
          <w:p w14:paraId="6F77DF49" w14:textId="7EEFAD8E" w:rsidR="0058316E" w:rsidRPr="0067297E" w:rsidRDefault="0058316E" w:rsidP="0050310B">
            <w:pPr>
              <w:jc w:val="right"/>
              <w:rPr>
                <w:rFonts w:asciiTheme="minorHAnsi" w:hAnsiTheme="minorHAnsi" w:cs="Arial"/>
                <w:color w:val="000000"/>
                <w:sz w:val="22"/>
                <w:szCs w:val="22"/>
              </w:rPr>
            </w:pPr>
            <w:r>
              <w:rPr>
                <w:rFonts w:cs="Arial"/>
                <w:color w:val="000000"/>
                <w:sz w:val="22"/>
                <w:szCs w:val="22"/>
              </w:rPr>
              <w:t>827</w:t>
            </w:r>
          </w:p>
        </w:tc>
        <w:tc>
          <w:tcPr>
            <w:tcW w:w="661" w:type="pct"/>
            <w:tcBorders>
              <w:top w:val="nil"/>
              <w:left w:val="nil"/>
              <w:bottom w:val="single" w:sz="8" w:space="0" w:color="006666"/>
              <w:right w:val="single" w:sz="8" w:space="0" w:color="006666"/>
            </w:tcBorders>
            <w:shd w:val="clear" w:color="auto" w:fill="auto"/>
            <w:noWrap/>
            <w:vAlign w:val="center"/>
            <w:hideMark/>
          </w:tcPr>
          <w:p w14:paraId="64BDE93B" w14:textId="4BE21D4E" w:rsidR="0058316E" w:rsidRPr="0067297E" w:rsidRDefault="0058316E" w:rsidP="0050310B">
            <w:pPr>
              <w:jc w:val="right"/>
              <w:rPr>
                <w:rFonts w:asciiTheme="minorHAnsi" w:hAnsiTheme="minorHAnsi" w:cs="Arial"/>
                <w:color w:val="000000"/>
                <w:sz w:val="22"/>
                <w:szCs w:val="22"/>
              </w:rPr>
            </w:pPr>
            <w:r>
              <w:rPr>
                <w:rFonts w:cs="Arial"/>
                <w:color w:val="000000"/>
                <w:sz w:val="22"/>
                <w:szCs w:val="22"/>
              </w:rPr>
              <w:t>384</w:t>
            </w:r>
          </w:p>
        </w:tc>
        <w:tc>
          <w:tcPr>
            <w:tcW w:w="543" w:type="pct"/>
            <w:tcBorders>
              <w:top w:val="nil"/>
              <w:left w:val="nil"/>
              <w:bottom w:val="single" w:sz="8" w:space="0" w:color="006666"/>
              <w:right w:val="single" w:sz="8" w:space="0" w:color="006666"/>
            </w:tcBorders>
            <w:shd w:val="clear" w:color="auto" w:fill="auto"/>
            <w:noWrap/>
            <w:vAlign w:val="center"/>
            <w:hideMark/>
          </w:tcPr>
          <w:p w14:paraId="64A9640F" w14:textId="3C8B0D2E" w:rsidR="0058316E" w:rsidRPr="0067297E" w:rsidRDefault="0058316E" w:rsidP="0050310B">
            <w:pPr>
              <w:jc w:val="right"/>
              <w:rPr>
                <w:rFonts w:asciiTheme="minorHAnsi" w:hAnsiTheme="minorHAnsi" w:cs="Arial"/>
                <w:b/>
                <w:bCs/>
                <w:color w:val="000000"/>
                <w:sz w:val="22"/>
                <w:szCs w:val="22"/>
              </w:rPr>
            </w:pPr>
            <w:r>
              <w:rPr>
                <w:rFonts w:cs="Arial"/>
                <w:b/>
                <w:bCs/>
                <w:color w:val="000000"/>
                <w:sz w:val="22"/>
                <w:szCs w:val="22"/>
              </w:rPr>
              <w:t>3,019</w:t>
            </w:r>
          </w:p>
        </w:tc>
      </w:tr>
      <w:tr w:rsidR="0058316E" w:rsidRPr="0067297E" w14:paraId="18704140" w14:textId="77777777" w:rsidTr="0058316E">
        <w:trPr>
          <w:trHeight w:val="340"/>
        </w:trPr>
        <w:tc>
          <w:tcPr>
            <w:tcW w:w="1973" w:type="pct"/>
            <w:tcBorders>
              <w:top w:val="single" w:sz="8" w:space="0" w:color="006666"/>
              <w:left w:val="single" w:sz="8" w:space="0" w:color="006666"/>
              <w:bottom w:val="single" w:sz="8" w:space="0" w:color="006666"/>
              <w:right w:val="single" w:sz="8" w:space="0" w:color="006666"/>
            </w:tcBorders>
            <w:shd w:val="clear" w:color="auto" w:fill="auto"/>
            <w:noWrap/>
            <w:vAlign w:val="center"/>
            <w:hideMark/>
          </w:tcPr>
          <w:p w14:paraId="625113B7" w14:textId="77777777" w:rsidR="0058316E" w:rsidRPr="0067297E" w:rsidRDefault="0058316E" w:rsidP="0058316E">
            <w:pPr>
              <w:rPr>
                <w:rFonts w:asciiTheme="minorHAnsi" w:hAnsiTheme="minorHAnsi" w:cs="Arial"/>
                <w:b/>
                <w:bCs/>
                <w:color w:val="000000"/>
                <w:sz w:val="22"/>
                <w:szCs w:val="22"/>
              </w:rPr>
            </w:pPr>
            <w:r w:rsidRPr="0067297E">
              <w:rPr>
                <w:rFonts w:asciiTheme="minorHAnsi" w:hAnsiTheme="minorHAnsi" w:cs="Arial"/>
                <w:b/>
                <w:bCs/>
                <w:color w:val="000000"/>
                <w:sz w:val="22"/>
                <w:szCs w:val="22"/>
              </w:rPr>
              <w:t>Net imbalance</w:t>
            </w:r>
          </w:p>
        </w:tc>
        <w:tc>
          <w:tcPr>
            <w:tcW w:w="547" w:type="pct"/>
            <w:tcBorders>
              <w:top w:val="single" w:sz="8" w:space="0" w:color="006666"/>
              <w:left w:val="nil"/>
              <w:bottom w:val="single" w:sz="8" w:space="0" w:color="006666"/>
              <w:right w:val="single" w:sz="8" w:space="0" w:color="006666"/>
            </w:tcBorders>
            <w:shd w:val="clear" w:color="auto" w:fill="auto"/>
            <w:noWrap/>
            <w:vAlign w:val="center"/>
            <w:hideMark/>
          </w:tcPr>
          <w:p w14:paraId="5B6E4046" w14:textId="3D85815E" w:rsidR="0058316E" w:rsidRPr="0067297E" w:rsidRDefault="0058316E" w:rsidP="0050310B">
            <w:pPr>
              <w:jc w:val="right"/>
              <w:rPr>
                <w:rFonts w:asciiTheme="minorHAnsi" w:hAnsiTheme="minorHAnsi" w:cs="Arial"/>
                <w:b/>
                <w:bCs/>
                <w:color w:val="000000"/>
                <w:sz w:val="22"/>
                <w:szCs w:val="22"/>
              </w:rPr>
            </w:pPr>
            <w:r>
              <w:rPr>
                <w:rFonts w:cs="Arial"/>
                <w:b/>
                <w:bCs/>
                <w:color w:val="000000"/>
                <w:sz w:val="22"/>
                <w:szCs w:val="22"/>
              </w:rPr>
              <w:t>356</w:t>
            </w:r>
          </w:p>
        </w:tc>
        <w:tc>
          <w:tcPr>
            <w:tcW w:w="638" w:type="pct"/>
            <w:tcBorders>
              <w:top w:val="single" w:sz="8" w:space="0" w:color="006666"/>
              <w:left w:val="nil"/>
              <w:bottom w:val="single" w:sz="8" w:space="0" w:color="006666"/>
              <w:right w:val="single" w:sz="8" w:space="0" w:color="006666"/>
            </w:tcBorders>
            <w:shd w:val="clear" w:color="auto" w:fill="auto"/>
            <w:noWrap/>
            <w:vAlign w:val="center"/>
            <w:hideMark/>
          </w:tcPr>
          <w:p w14:paraId="2FA4B3BE" w14:textId="45C0BCF4" w:rsidR="0058316E" w:rsidRPr="0067297E" w:rsidRDefault="0058316E" w:rsidP="0050310B">
            <w:pPr>
              <w:jc w:val="right"/>
              <w:rPr>
                <w:rFonts w:asciiTheme="minorHAnsi" w:hAnsiTheme="minorHAnsi" w:cs="Arial"/>
                <w:b/>
                <w:bCs/>
                <w:color w:val="000000"/>
                <w:sz w:val="22"/>
                <w:szCs w:val="22"/>
              </w:rPr>
            </w:pPr>
            <w:r>
              <w:rPr>
                <w:rFonts w:cs="Arial"/>
                <w:b/>
                <w:bCs/>
                <w:color w:val="000000"/>
                <w:sz w:val="22"/>
                <w:szCs w:val="22"/>
              </w:rPr>
              <w:t>580</w:t>
            </w:r>
          </w:p>
        </w:tc>
        <w:tc>
          <w:tcPr>
            <w:tcW w:w="638" w:type="pct"/>
            <w:tcBorders>
              <w:top w:val="single" w:sz="8" w:space="0" w:color="006666"/>
              <w:left w:val="nil"/>
              <w:bottom w:val="single" w:sz="8" w:space="0" w:color="006666"/>
              <w:right w:val="single" w:sz="8" w:space="0" w:color="006666"/>
            </w:tcBorders>
            <w:shd w:val="clear" w:color="auto" w:fill="auto"/>
            <w:noWrap/>
            <w:vAlign w:val="center"/>
            <w:hideMark/>
          </w:tcPr>
          <w:p w14:paraId="5C905298" w14:textId="0E1DB343" w:rsidR="0058316E" w:rsidRPr="0067297E" w:rsidRDefault="0058316E" w:rsidP="0050310B">
            <w:pPr>
              <w:jc w:val="right"/>
              <w:rPr>
                <w:rFonts w:asciiTheme="minorHAnsi" w:hAnsiTheme="minorHAnsi" w:cs="Arial"/>
                <w:b/>
                <w:bCs/>
                <w:color w:val="000000"/>
                <w:sz w:val="22"/>
                <w:szCs w:val="22"/>
              </w:rPr>
            </w:pPr>
            <w:r>
              <w:rPr>
                <w:rFonts w:cs="Arial"/>
                <w:b/>
                <w:bCs/>
                <w:color w:val="000000"/>
                <w:sz w:val="22"/>
                <w:szCs w:val="22"/>
              </w:rPr>
              <w:t>429</w:t>
            </w:r>
          </w:p>
        </w:tc>
        <w:tc>
          <w:tcPr>
            <w:tcW w:w="661" w:type="pct"/>
            <w:tcBorders>
              <w:top w:val="single" w:sz="8" w:space="0" w:color="006666"/>
              <w:left w:val="nil"/>
              <w:bottom w:val="single" w:sz="8" w:space="0" w:color="006666"/>
              <w:right w:val="single" w:sz="8" w:space="0" w:color="006666"/>
            </w:tcBorders>
            <w:shd w:val="clear" w:color="auto" w:fill="auto"/>
            <w:noWrap/>
            <w:vAlign w:val="center"/>
            <w:hideMark/>
          </w:tcPr>
          <w:p w14:paraId="27BD7181" w14:textId="2472C3EB" w:rsidR="0058316E" w:rsidRPr="0067297E" w:rsidRDefault="0058316E" w:rsidP="0050310B">
            <w:pPr>
              <w:jc w:val="right"/>
              <w:rPr>
                <w:rFonts w:asciiTheme="minorHAnsi" w:hAnsiTheme="minorHAnsi" w:cs="Arial"/>
                <w:b/>
                <w:bCs/>
                <w:color w:val="000000"/>
                <w:sz w:val="22"/>
                <w:szCs w:val="22"/>
              </w:rPr>
            </w:pPr>
            <w:r>
              <w:rPr>
                <w:rFonts w:cs="Arial"/>
                <w:b/>
                <w:bCs/>
                <w:color w:val="000000"/>
                <w:sz w:val="22"/>
                <w:szCs w:val="22"/>
              </w:rPr>
              <w:t>199</w:t>
            </w:r>
          </w:p>
        </w:tc>
        <w:tc>
          <w:tcPr>
            <w:tcW w:w="543" w:type="pct"/>
            <w:tcBorders>
              <w:top w:val="single" w:sz="8" w:space="0" w:color="006666"/>
              <w:left w:val="nil"/>
              <w:bottom w:val="single" w:sz="8" w:space="0" w:color="006666"/>
              <w:right w:val="single" w:sz="8" w:space="0" w:color="006666"/>
            </w:tcBorders>
            <w:shd w:val="clear" w:color="auto" w:fill="auto"/>
            <w:noWrap/>
            <w:vAlign w:val="center"/>
            <w:hideMark/>
          </w:tcPr>
          <w:p w14:paraId="29B82500" w14:textId="61D2D926" w:rsidR="0058316E" w:rsidRPr="0067297E" w:rsidRDefault="0058316E" w:rsidP="0050310B">
            <w:pPr>
              <w:jc w:val="right"/>
              <w:rPr>
                <w:rFonts w:asciiTheme="minorHAnsi" w:hAnsiTheme="minorHAnsi" w:cs="Arial"/>
                <w:b/>
                <w:bCs/>
                <w:color w:val="000000"/>
                <w:sz w:val="22"/>
                <w:szCs w:val="22"/>
              </w:rPr>
            </w:pPr>
            <w:r>
              <w:rPr>
                <w:rFonts w:cs="Arial"/>
                <w:b/>
                <w:bCs/>
                <w:color w:val="000000"/>
                <w:sz w:val="22"/>
                <w:szCs w:val="22"/>
              </w:rPr>
              <w:t>1,564</w:t>
            </w:r>
          </w:p>
        </w:tc>
      </w:tr>
      <w:tr w:rsidR="00255B16" w:rsidRPr="0067297E" w14:paraId="570A9434" w14:textId="77777777" w:rsidTr="0058316E">
        <w:trPr>
          <w:trHeight w:val="340"/>
        </w:trPr>
        <w:tc>
          <w:tcPr>
            <w:tcW w:w="1973" w:type="pct"/>
            <w:tcBorders>
              <w:top w:val="single" w:sz="8" w:space="0" w:color="006666"/>
              <w:left w:val="single" w:sz="8" w:space="0" w:color="006666"/>
              <w:bottom w:val="single" w:sz="8" w:space="0" w:color="006666"/>
              <w:right w:val="single" w:sz="8" w:space="0" w:color="006666"/>
            </w:tcBorders>
            <w:shd w:val="clear" w:color="auto" w:fill="auto"/>
            <w:noWrap/>
            <w:vAlign w:val="center"/>
          </w:tcPr>
          <w:p w14:paraId="14CD8C41" w14:textId="73D740C8" w:rsidR="00255B16" w:rsidRPr="0067297E" w:rsidRDefault="00255B16" w:rsidP="00B21336">
            <w:pPr>
              <w:rPr>
                <w:rFonts w:asciiTheme="minorHAnsi" w:hAnsiTheme="minorHAnsi" w:cs="Arial"/>
                <w:b/>
                <w:bCs/>
                <w:color w:val="000000"/>
                <w:sz w:val="22"/>
                <w:szCs w:val="22"/>
              </w:rPr>
            </w:pPr>
            <w:r w:rsidRPr="0067297E">
              <w:rPr>
                <w:rFonts w:asciiTheme="minorHAnsi" w:hAnsiTheme="minorHAnsi" w:cs="Arial"/>
                <w:b/>
                <w:bCs/>
                <w:color w:val="000000"/>
                <w:sz w:val="22"/>
                <w:szCs w:val="22"/>
              </w:rPr>
              <w:t>% by dwelling size</w:t>
            </w:r>
          </w:p>
        </w:tc>
        <w:tc>
          <w:tcPr>
            <w:tcW w:w="547" w:type="pct"/>
            <w:tcBorders>
              <w:top w:val="single" w:sz="8" w:space="0" w:color="006666"/>
              <w:left w:val="nil"/>
              <w:bottom w:val="single" w:sz="8" w:space="0" w:color="006666"/>
              <w:right w:val="single" w:sz="8" w:space="0" w:color="006666"/>
            </w:tcBorders>
            <w:shd w:val="clear" w:color="auto" w:fill="auto"/>
            <w:noWrap/>
            <w:vAlign w:val="center"/>
          </w:tcPr>
          <w:p w14:paraId="2C8A4EAA" w14:textId="5891027F" w:rsidR="00255B16" w:rsidRPr="0067297E" w:rsidRDefault="00255B16" w:rsidP="0050310B">
            <w:pPr>
              <w:jc w:val="right"/>
              <w:rPr>
                <w:rFonts w:asciiTheme="minorHAnsi" w:hAnsiTheme="minorHAnsi" w:cs="Arial"/>
                <w:b/>
                <w:bCs/>
                <w:color w:val="000000"/>
                <w:sz w:val="22"/>
                <w:szCs w:val="22"/>
              </w:rPr>
            </w:pPr>
            <w:r w:rsidRPr="0067297E">
              <w:rPr>
                <w:rFonts w:asciiTheme="minorHAnsi" w:hAnsiTheme="minorHAnsi" w:cs="Arial"/>
                <w:b/>
                <w:bCs/>
                <w:color w:val="000000"/>
                <w:sz w:val="22"/>
                <w:szCs w:val="22"/>
              </w:rPr>
              <w:t>22.7</w:t>
            </w:r>
          </w:p>
        </w:tc>
        <w:tc>
          <w:tcPr>
            <w:tcW w:w="638" w:type="pct"/>
            <w:tcBorders>
              <w:top w:val="single" w:sz="8" w:space="0" w:color="006666"/>
              <w:left w:val="nil"/>
              <w:bottom w:val="single" w:sz="8" w:space="0" w:color="006666"/>
              <w:right w:val="single" w:sz="8" w:space="0" w:color="006666"/>
            </w:tcBorders>
            <w:shd w:val="clear" w:color="auto" w:fill="auto"/>
            <w:noWrap/>
            <w:vAlign w:val="center"/>
          </w:tcPr>
          <w:p w14:paraId="50F89A50" w14:textId="7CD69EB8" w:rsidR="00255B16" w:rsidRPr="0067297E" w:rsidRDefault="00255B16" w:rsidP="0050310B">
            <w:pPr>
              <w:jc w:val="right"/>
              <w:rPr>
                <w:rFonts w:asciiTheme="minorHAnsi" w:hAnsiTheme="minorHAnsi" w:cs="Arial"/>
                <w:b/>
                <w:bCs/>
                <w:color w:val="000000"/>
                <w:sz w:val="22"/>
                <w:szCs w:val="22"/>
              </w:rPr>
            </w:pPr>
            <w:r w:rsidRPr="0067297E">
              <w:rPr>
                <w:rFonts w:asciiTheme="minorHAnsi" w:hAnsiTheme="minorHAnsi" w:cs="Arial"/>
                <w:b/>
                <w:bCs/>
                <w:color w:val="000000"/>
                <w:sz w:val="22"/>
                <w:szCs w:val="22"/>
              </w:rPr>
              <w:t>37.1</w:t>
            </w:r>
          </w:p>
        </w:tc>
        <w:tc>
          <w:tcPr>
            <w:tcW w:w="638" w:type="pct"/>
            <w:tcBorders>
              <w:top w:val="single" w:sz="8" w:space="0" w:color="006666"/>
              <w:left w:val="nil"/>
              <w:bottom w:val="single" w:sz="8" w:space="0" w:color="006666"/>
              <w:right w:val="single" w:sz="8" w:space="0" w:color="006666"/>
            </w:tcBorders>
            <w:shd w:val="clear" w:color="auto" w:fill="auto"/>
            <w:noWrap/>
            <w:vAlign w:val="center"/>
          </w:tcPr>
          <w:p w14:paraId="6C44BEA2" w14:textId="5E2378FF" w:rsidR="00255B16" w:rsidRPr="0067297E" w:rsidRDefault="00255B16" w:rsidP="0050310B">
            <w:pPr>
              <w:jc w:val="right"/>
              <w:rPr>
                <w:rFonts w:asciiTheme="minorHAnsi" w:hAnsiTheme="minorHAnsi" w:cs="Arial"/>
                <w:b/>
                <w:bCs/>
                <w:color w:val="000000"/>
                <w:sz w:val="22"/>
                <w:szCs w:val="22"/>
              </w:rPr>
            </w:pPr>
            <w:r w:rsidRPr="0067297E">
              <w:rPr>
                <w:rFonts w:asciiTheme="minorHAnsi" w:hAnsiTheme="minorHAnsi" w:cs="Arial"/>
                <w:b/>
                <w:bCs/>
                <w:color w:val="000000"/>
                <w:sz w:val="22"/>
                <w:szCs w:val="22"/>
              </w:rPr>
              <w:t>27.4</w:t>
            </w:r>
          </w:p>
        </w:tc>
        <w:tc>
          <w:tcPr>
            <w:tcW w:w="661" w:type="pct"/>
            <w:tcBorders>
              <w:top w:val="single" w:sz="8" w:space="0" w:color="006666"/>
              <w:left w:val="nil"/>
              <w:bottom w:val="single" w:sz="8" w:space="0" w:color="006666"/>
              <w:right w:val="single" w:sz="8" w:space="0" w:color="006666"/>
            </w:tcBorders>
            <w:shd w:val="clear" w:color="auto" w:fill="auto"/>
            <w:noWrap/>
            <w:vAlign w:val="center"/>
          </w:tcPr>
          <w:p w14:paraId="2452494F" w14:textId="7B346CAA" w:rsidR="00255B16" w:rsidRPr="0067297E" w:rsidRDefault="00255B16" w:rsidP="0050310B">
            <w:pPr>
              <w:jc w:val="right"/>
              <w:rPr>
                <w:rFonts w:asciiTheme="minorHAnsi" w:hAnsiTheme="minorHAnsi" w:cs="Arial"/>
                <w:b/>
                <w:bCs/>
                <w:color w:val="000000"/>
                <w:sz w:val="22"/>
                <w:szCs w:val="22"/>
              </w:rPr>
            </w:pPr>
            <w:r w:rsidRPr="0067297E">
              <w:rPr>
                <w:rFonts w:asciiTheme="minorHAnsi" w:hAnsiTheme="minorHAnsi" w:cs="Arial"/>
                <w:b/>
                <w:bCs/>
                <w:color w:val="000000"/>
                <w:sz w:val="22"/>
                <w:szCs w:val="22"/>
              </w:rPr>
              <w:t>12.7</w:t>
            </w:r>
          </w:p>
        </w:tc>
        <w:tc>
          <w:tcPr>
            <w:tcW w:w="543" w:type="pct"/>
            <w:tcBorders>
              <w:top w:val="single" w:sz="8" w:space="0" w:color="006666"/>
              <w:left w:val="nil"/>
              <w:bottom w:val="single" w:sz="8" w:space="0" w:color="006666"/>
              <w:right w:val="single" w:sz="8" w:space="0" w:color="006666"/>
            </w:tcBorders>
            <w:shd w:val="clear" w:color="auto" w:fill="auto"/>
            <w:noWrap/>
            <w:vAlign w:val="center"/>
          </w:tcPr>
          <w:p w14:paraId="03D32A4E" w14:textId="07A52316" w:rsidR="00255B16" w:rsidRPr="0067297E" w:rsidRDefault="00255B16" w:rsidP="0050310B">
            <w:pPr>
              <w:jc w:val="right"/>
              <w:rPr>
                <w:rFonts w:asciiTheme="minorHAnsi" w:hAnsiTheme="minorHAnsi" w:cs="Arial"/>
                <w:b/>
                <w:bCs/>
                <w:color w:val="000000"/>
                <w:sz w:val="22"/>
                <w:szCs w:val="22"/>
              </w:rPr>
            </w:pPr>
            <w:r w:rsidRPr="0067297E">
              <w:rPr>
                <w:rFonts w:asciiTheme="minorHAnsi" w:hAnsiTheme="minorHAnsi" w:cs="Arial"/>
                <w:b/>
                <w:bCs/>
                <w:color w:val="000000"/>
                <w:sz w:val="22"/>
                <w:szCs w:val="22"/>
              </w:rPr>
              <w:t>100.0</w:t>
            </w:r>
          </w:p>
        </w:tc>
      </w:tr>
    </w:tbl>
    <w:p w14:paraId="43B73E4E" w14:textId="77777777" w:rsidR="00255B16" w:rsidRPr="0067297E" w:rsidRDefault="00255B16" w:rsidP="00543A76">
      <w:pPr>
        <w:rPr>
          <w:rFonts w:asciiTheme="minorHAnsi" w:hAnsiTheme="minorHAnsi" w:cs="Arial"/>
          <w:sz w:val="20"/>
          <w:szCs w:val="20"/>
        </w:rPr>
      </w:pPr>
      <w:r w:rsidRPr="0067297E">
        <w:rPr>
          <w:rFonts w:asciiTheme="minorHAnsi" w:hAnsiTheme="minorHAnsi" w:cs="Arial"/>
          <w:sz w:val="20"/>
          <w:szCs w:val="20"/>
        </w:rPr>
        <w:t>Sources: 2018 Housing Register; Council lettings data</w:t>
      </w:r>
    </w:p>
    <w:p w14:paraId="2EE8469A" w14:textId="77777777" w:rsidR="008043C3" w:rsidRPr="0067297E" w:rsidRDefault="008043C3" w:rsidP="00543A76">
      <w:pPr>
        <w:rPr>
          <w:rFonts w:asciiTheme="minorHAnsi" w:hAnsiTheme="minorHAnsi"/>
        </w:rPr>
      </w:pPr>
    </w:p>
    <w:p w14:paraId="1FE93C64" w14:textId="77777777" w:rsidR="00986F4E" w:rsidRPr="0067297E" w:rsidRDefault="00986F4E">
      <w:pPr>
        <w:rPr>
          <w:rFonts w:asciiTheme="minorHAnsi" w:hAnsiTheme="minorHAnsi" w:cs="Calibri"/>
          <w:bCs/>
          <w:color w:val="009999"/>
          <w:kern w:val="32"/>
          <w:sz w:val="40"/>
          <w:szCs w:val="28"/>
          <w:lang w:val="x-none"/>
        </w:rPr>
      </w:pPr>
      <w:r w:rsidRPr="0067297E">
        <w:rPr>
          <w:rFonts w:asciiTheme="minorHAnsi" w:hAnsiTheme="minorHAnsi" w:cs="Calibri"/>
        </w:rPr>
        <w:br w:type="page"/>
      </w:r>
    </w:p>
    <w:p w14:paraId="51BE95E1" w14:textId="086B722C" w:rsidR="002708A2" w:rsidRPr="0067297E" w:rsidRDefault="0083251E" w:rsidP="00FA273F">
      <w:pPr>
        <w:pStyle w:val="Heading1"/>
        <w:numPr>
          <w:ilvl w:val="0"/>
          <w:numId w:val="0"/>
        </w:numPr>
        <w:ind w:left="709" w:hanging="709"/>
        <w:rPr>
          <w:rFonts w:asciiTheme="minorHAnsi" w:hAnsiTheme="minorHAnsi" w:cs="Calibri"/>
          <w:lang w:val="en-GB"/>
        </w:rPr>
      </w:pPr>
      <w:bookmarkStart w:id="639" w:name="_Toc1385805"/>
      <w:bookmarkStart w:id="640" w:name="_Toc23151122"/>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Pr="0067297E">
        <w:rPr>
          <w:rFonts w:asciiTheme="minorHAnsi" w:hAnsiTheme="minorHAnsi" w:cs="Calibri"/>
          <w:lang w:val="en-GB"/>
        </w:rPr>
        <w:t xml:space="preserve">Technical Appendix </w:t>
      </w:r>
      <w:r w:rsidR="00DF121C" w:rsidRPr="0067297E">
        <w:rPr>
          <w:rFonts w:asciiTheme="minorHAnsi" w:hAnsiTheme="minorHAnsi" w:cs="Calibri"/>
          <w:lang w:val="en-GB"/>
        </w:rPr>
        <w:t>C</w:t>
      </w:r>
      <w:r w:rsidRPr="0067297E">
        <w:rPr>
          <w:rFonts w:asciiTheme="minorHAnsi" w:hAnsiTheme="minorHAnsi" w:cs="Calibri"/>
          <w:lang w:val="en-GB"/>
        </w:rPr>
        <w:t>:</w:t>
      </w:r>
      <w:r w:rsidR="00C00079" w:rsidRPr="0067297E">
        <w:rPr>
          <w:rFonts w:asciiTheme="minorHAnsi" w:hAnsiTheme="minorHAnsi" w:cs="Calibri"/>
          <w:lang w:val="en-GB"/>
        </w:rPr>
        <w:t xml:space="preserve"> </w:t>
      </w:r>
      <w:r w:rsidRPr="0067297E">
        <w:rPr>
          <w:rFonts w:asciiTheme="minorHAnsi" w:hAnsiTheme="minorHAnsi" w:cs="Calibri"/>
          <w:lang w:val="en-GB"/>
        </w:rPr>
        <w:t xml:space="preserve"> </w:t>
      </w:r>
      <w:r w:rsidR="00066EF9" w:rsidRPr="0067297E">
        <w:rPr>
          <w:rFonts w:asciiTheme="minorHAnsi" w:hAnsiTheme="minorHAnsi" w:cs="Calibri"/>
          <w:lang w:val="en-GB"/>
        </w:rPr>
        <w:t>Stakeholder survey</w:t>
      </w:r>
      <w:bookmarkEnd w:id="639"/>
      <w:bookmarkEnd w:id="640"/>
    </w:p>
    <w:p w14:paraId="1788B281" w14:textId="77777777" w:rsidR="0038038C" w:rsidRPr="0067297E" w:rsidRDefault="0038038C" w:rsidP="00543A76">
      <w:pPr>
        <w:rPr>
          <w:rFonts w:asciiTheme="minorHAnsi" w:hAnsiTheme="minorHAnsi"/>
        </w:rPr>
      </w:pPr>
    </w:p>
    <w:p w14:paraId="7234C990" w14:textId="709DE64C"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Stakeholders were invited to participate in a questionnaire survey aimed at identifying a range of information, including establishing the key perceived housing market issues in Lewisham. Stakeholders were asked to respond to any of the questions within the </w:t>
      </w:r>
      <w:r w:rsidRPr="0067297E">
        <w:rPr>
          <w:rFonts w:asciiTheme="minorHAnsi" w:hAnsiTheme="minorHAnsi" w:cs="Arial"/>
        </w:rPr>
        <w:t>survey</w:t>
      </w:r>
      <w:r w:rsidRPr="0067297E">
        <w:rPr>
          <w:rFonts w:asciiTheme="minorHAnsi" w:hAnsiTheme="minorHAnsi" w:cs="Calibri"/>
        </w:rPr>
        <w:t xml:space="preserve"> that they felt related to their area of knowledge or experience. A total of 20 separate responses to the stakeholder consultation were obtained</w:t>
      </w:r>
      <w:r w:rsidR="006C4DDE" w:rsidRPr="0067297E">
        <w:rPr>
          <w:rFonts w:asciiTheme="minorHAnsi" w:hAnsiTheme="minorHAnsi" w:cs="Calibri"/>
          <w:lang w:val="en-GB"/>
        </w:rPr>
        <w:t xml:space="preserve"> and represents a small sample of opinions</w:t>
      </w:r>
      <w:r w:rsidRPr="0067297E">
        <w:rPr>
          <w:rFonts w:asciiTheme="minorHAnsi" w:hAnsiTheme="minorHAnsi" w:cs="Calibri"/>
        </w:rPr>
        <w:t xml:space="preserve">. Respondents were asked to answer only the questions that they felt were relevant to their knowledge and experience. This is a qualitative summary of the views expressed by stakeholders responding to the online survey.  </w:t>
      </w:r>
    </w:p>
    <w:p w14:paraId="6E259D2F" w14:textId="77777777" w:rsidR="0038038C" w:rsidRPr="0067297E" w:rsidRDefault="0038038C" w:rsidP="003177A0">
      <w:pPr>
        <w:rPr>
          <w:rFonts w:asciiTheme="minorHAnsi" w:hAnsiTheme="minorHAnsi"/>
        </w:rPr>
      </w:pPr>
    </w:p>
    <w:p w14:paraId="340C084A" w14:textId="3B4318BC" w:rsidR="0038038C" w:rsidRPr="0067297E" w:rsidRDefault="0038038C" w:rsidP="00543A76">
      <w:pPr>
        <w:pStyle w:val="Heading2"/>
        <w:rPr>
          <w:rFonts w:asciiTheme="minorHAnsi" w:hAnsiTheme="minorHAnsi" w:cs="Calibri"/>
        </w:rPr>
      </w:pPr>
      <w:bookmarkStart w:id="641" w:name="_Toc398751113"/>
      <w:bookmarkStart w:id="642" w:name="_Toc529887288"/>
      <w:bookmarkStart w:id="643" w:name="_Toc1385806"/>
      <w:bookmarkStart w:id="644" w:name="_Toc23151123"/>
      <w:r w:rsidRPr="0067297E">
        <w:rPr>
          <w:rFonts w:asciiTheme="minorHAnsi" w:hAnsiTheme="minorHAnsi" w:cs="Calibri"/>
        </w:rPr>
        <w:t>Priorities</w:t>
      </w:r>
      <w:bookmarkEnd w:id="641"/>
      <w:bookmarkEnd w:id="642"/>
      <w:bookmarkEnd w:id="643"/>
      <w:bookmarkEnd w:id="644"/>
      <w:r w:rsidRPr="0067297E">
        <w:rPr>
          <w:rFonts w:asciiTheme="minorHAnsi" w:hAnsiTheme="minorHAnsi" w:cs="Calibri"/>
        </w:rPr>
        <w:t xml:space="preserve"> </w:t>
      </w:r>
    </w:p>
    <w:p w14:paraId="4CA6CE3B" w14:textId="2943C4E6"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Stakeholders were asked to rank a range of housing priorities as high, medium or low, their responses are summarised in Table </w:t>
      </w:r>
      <w:r w:rsidR="00A62CB8" w:rsidRPr="0067297E">
        <w:rPr>
          <w:rFonts w:asciiTheme="minorHAnsi" w:hAnsiTheme="minorHAnsi" w:cs="Calibri"/>
          <w:lang w:val="en-GB"/>
        </w:rPr>
        <w:t>C</w:t>
      </w:r>
      <w:r w:rsidR="00DB2C3D" w:rsidRPr="0067297E">
        <w:rPr>
          <w:rFonts w:asciiTheme="minorHAnsi" w:hAnsiTheme="minorHAnsi" w:cs="Calibri"/>
          <w:lang w:val="en-GB"/>
        </w:rPr>
        <w:t>.1</w:t>
      </w:r>
      <w:r w:rsidRPr="0067297E">
        <w:rPr>
          <w:rFonts w:asciiTheme="minorHAnsi" w:hAnsiTheme="minorHAnsi" w:cs="Calibri"/>
        </w:rPr>
        <w:t xml:space="preserve">. </w:t>
      </w:r>
    </w:p>
    <w:p w14:paraId="364294FC" w14:textId="77777777" w:rsidR="0038038C" w:rsidRPr="0067297E" w:rsidRDefault="0038038C" w:rsidP="000256AC">
      <w:pPr>
        <w:pStyle w:val="Maintext"/>
        <w:numPr>
          <w:ilvl w:val="0"/>
          <w:numId w:val="0"/>
        </w:numPr>
        <w:ind w:left="709"/>
        <w:rPr>
          <w:rFonts w:asciiTheme="minorHAnsi" w:hAnsiTheme="minorHAnsi" w:cs="Calibri"/>
          <w:highlight w:val="red"/>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shd w:val="clear" w:color="auto" w:fill="FFFFFF"/>
        <w:tblCellMar>
          <w:top w:w="30" w:type="dxa"/>
          <w:left w:w="30" w:type="dxa"/>
          <w:bottom w:w="30" w:type="dxa"/>
          <w:right w:w="30" w:type="dxa"/>
        </w:tblCellMar>
        <w:tblLook w:val="04A0" w:firstRow="1" w:lastRow="0" w:firstColumn="1" w:lastColumn="0" w:noHBand="0" w:noVBand="1"/>
      </w:tblPr>
      <w:tblGrid>
        <w:gridCol w:w="5779"/>
        <w:gridCol w:w="1003"/>
        <w:gridCol w:w="1199"/>
        <w:gridCol w:w="1035"/>
      </w:tblGrid>
      <w:tr w:rsidR="0038038C" w:rsidRPr="0067297E" w14:paraId="2D7F22D4" w14:textId="77777777" w:rsidTr="00A62CB8">
        <w:trPr>
          <w:tblHeader/>
        </w:trPr>
        <w:tc>
          <w:tcPr>
            <w:tcW w:w="5000" w:type="pct"/>
            <w:gridSpan w:val="4"/>
            <w:shd w:val="clear" w:color="auto" w:fill="009999"/>
            <w:tcMar>
              <w:top w:w="120" w:type="dxa"/>
              <w:left w:w="120" w:type="dxa"/>
              <w:bottom w:w="120" w:type="dxa"/>
              <w:right w:w="120" w:type="dxa"/>
            </w:tcMar>
            <w:vAlign w:val="bottom"/>
          </w:tcPr>
          <w:p w14:paraId="335A6270" w14:textId="71704832" w:rsidR="0038038C" w:rsidRPr="0067297E" w:rsidRDefault="0038038C" w:rsidP="001B5150">
            <w:pPr>
              <w:pStyle w:val="tableheading"/>
              <w:rPr>
                <w:rFonts w:asciiTheme="minorHAnsi" w:hAnsiTheme="minorHAnsi"/>
              </w:rPr>
            </w:pPr>
            <w:bookmarkStart w:id="645" w:name="_Toc23151206"/>
            <w:r w:rsidRPr="0067297E">
              <w:rPr>
                <w:rFonts w:asciiTheme="minorHAnsi" w:hAnsiTheme="minorHAnsi"/>
              </w:rPr>
              <w:t xml:space="preserve">Table </w:t>
            </w:r>
            <w:r w:rsidR="00A62CB8" w:rsidRPr="0067297E">
              <w:rPr>
                <w:rFonts w:asciiTheme="minorHAnsi" w:hAnsiTheme="minorHAnsi"/>
              </w:rPr>
              <w:t>C</w:t>
            </w:r>
            <w:r w:rsidR="00DB2C3D" w:rsidRPr="0067297E">
              <w:rPr>
                <w:rFonts w:asciiTheme="minorHAnsi" w:hAnsiTheme="minorHAnsi"/>
              </w:rPr>
              <w:t>.1</w:t>
            </w:r>
            <w:r w:rsidRPr="0067297E">
              <w:rPr>
                <w:rFonts w:asciiTheme="minorHAnsi" w:hAnsiTheme="minorHAnsi"/>
              </w:rPr>
              <w:tab/>
              <w:t>Ranking of priorities by stakeholders</w:t>
            </w:r>
            <w:bookmarkEnd w:id="645"/>
            <w:r w:rsidRPr="0067297E">
              <w:rPr>
                <w:rFonts w:asciiTheme="minorHAnsi" w:hAnsiTheme="minorHAnsi"/>
              </w:rPr>
              <w:t xml:space="preserve">  </w:t>
            </w:r>
          </w:p>
        </w:tc>
      </w:tr>
      <w:tr w:rsidR="0038038C" w:rsidRPr="0067297E" w14:paraId="5811B943" w14:textId="77777777" w:rsidTr="00A62CB8">
        <w:trPr>
          <w:tblHeader/>
        </w:trPr>
        <w:tc>
          <w:tcPr>
            <w:tcW w:w="3205" w:type="pct"/>
            <w:shd w:val="clear" w:color="auto" w:fill="009999"/>
            <w:tcMar>
              <w:top w:w="120" w:type="dxa"/>
              <w:left w:w="120" w:type="dxa"/>
              <w:bottom w:w="120" w:type="dxa"/>
              <w:right w:w="120" w:type="dxa"/>
            </w:tcMar>
            <w:vAlign w:val="bottom"/>
          </w:tcPr>
          <w:p w14:paraId="0167E514" w14:textId="1C6CE26F" w:rsidR="0038038C" w:rsidRPr="0067297E" w:rsidRDefault="0038038C" w:rsidP="00A62CB8">
            <w:pP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 xml:space="preserve">Proposed priorities </w:t>
            </w:r>
          </w:p>
        </w:tc>
        <w:tc>
          <w:tcPr>
            <w:tcW w:w="556" w:type="pct"/>
            <w:shd w:val="clear" w:color="auto" w:fill="009999"/>
            <w:tcMar>
              <w:top w:w="120" w:type="dxa"/>
              <w:left w:w="120" w:type="dxa"/>
              <w:bottom w:w="120" w:type="dxa"/>
              <w:right w:w="120" w:type="dxa"/>
            </w:tcMar>
            <w:vAlign w:val="bottom"/>
          </w:tcPr>
          <w:p w14:paraId="09CBDD60" w14:textId="77777777" w:rsidR="0038038C" w:rsidRPr="0067297E" w:rsidRDefault="0038038C" w:rsidP="00A62CB8">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Low</w:t>
            </w:r>
          </w:p>
        </w:tc>
        <w:tc>
          <w:tcPr>
            <w:tcW w:w="665" w:type="pct"/>
            <w:shd w:val="clear" w:color="auto" w:fill="009999"/>
            <w:tcMar>
              <w:top w:w="120" w:type="dxa"/>
              <w:left w:w="120" w:type="dxa"/>
              <w:bottom w:w="120" w:type="dxa"/>
              <w:right w:w="120" w:type="dxa"/>
            </w:tcMar>
            <w:vAlign w:val="bottom"/>
          </w:tcPr>
          <w:p w14:paraId="6CF86CB0" w14:textId="77777777" w:rsidR="0038038C" w:rsidRPr="0067297E" w:rsidRDefault="0038038C" w:rsidP="00A62CB8">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Medium</w:t>
            </w:r>
          </w:p>
        </w:tc>
        <w:tc>
          <w:tcPr>
            <w:tcW w:w="574" w:type="pct"/>
            <w:shd w:val="clear" w:color="auto" w:fill="009999"/>
            <w:tcMar>
              <w:top w:w="120" w:type="dxa"/>
              <w:left w:w="120" w:type="dxa"/>
              <w:bottom w:w="120" w:type="dxa"/>
              <w:right w:w="120" w:type="dxa"/>
            </w:tcMar>
            <w:vAlign w:val="bottom"/>
          </w:tcPr>
          <w:p w14:paraId="116E85DA" w14:textId="77777777" w:rsidR="0038038C" w:rsidRPr="0067297E" w:rsidRDefault="0038038C" w:rsidP="00A62CB8">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High</w:t>
            </w:r>
          </w:p>
        </w:tc>
      </w:tr>
      <w:tr w:rsidR="0038038C" w:rsidRPr="0067297E" w14:paraId="28C75B44" w14:textId="77777777" w:rsidTr="00A62CB8">
        <w:tc>
          <w:tcPr>
            <w:tcW w:w="3205" w:type="pct"/>
            <w:shd w:val="clear" w:color="auto" w:fill="auto"/>
            <w:tcMar>
              <w:top w:w="75" w:type="dxa"/>
              <w:left w:w="75" w:type="dxa"/>
              <w:bottom w:w="75" w:type="dxa"/>
              <w:right w:w="75" w:type="dxa"/>
            </w:tcMar>
          </w:tcPr>
          <w:p w14:paraId="3AFD1A9A" w14:textId="77777777" w:rsidR="0038038C" w:rsidRPr="0067297E" w:rsidRDefault="0038038C" w:rsidP="00A62CB8">
            <w:pPr>
              <w:rPr>
                <w:rFonts w:asciiTheme="minorHAnsi" w:hAnsiTheme="minorHAnsi" w:cs="Calibri"/>
                <w:sz w:val="22"/>
                <w:szCs w:val="22"/>
              </w:rPr>
            </w:pPr>
            <w:r w:rsidRPr="0067297E">
              <w:rPr>
                <w:rFonts w:asciiTheme="minorHAnsi" w:hAnsiTheme="minorHAnsi" w:cs="Calibri"/>
                <w:sz w:val="22"/>
                <w:szCs w:val="22"/>
              </w:rPr>
              <w:t>Building homes to buy on the open market</w:t>
            </w:r>
          </w:p>
        </w:tc>
        <w:tc>
          <w:tcPr>
            <w:tcW w:w="556" w:type="pct"/>
            <w:shd w:val="clear" w:color="auto" w:fill="FAFAFA"/>
          </w:tcPr>
          <w:p w14:paraId="1AF268EE"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24%</w:t>
            </w:r>
          </w:p>
        </w:tc>
        <w:tc>
          <w:tcPr>
            <w:tcW w:w="665" w:type="pct"/>
            <w:shd w:val="clear" w:color="auto" w:fill="FAFAFA"/>
          </w:tcPr>
          <w:p w14:paraId="60B023E9"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59%</w:t>
            </w:r>
          </w:p>
        </w:tc>
        <w:tc>
          <w:tcPr>
            <w:tcW w:w="574" w:type="pct"/>
            <w:shd w:val="clear" w:color="auto" w:fill="FAFAFA"/>
          </w:tcPr>
          <w:p w14:paraId="605E9D59"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18%</w:t>
            </w:r>
          </w:p>
        </w:tc>
      </w:tr>
      <w:tr w:rsidR="0038038C" w:rsidRPr="0067297E" w14:paraId="24E39578" w14:textId="77777777" w:rsidTr="00A62CB8">
        <w:tc>
          <w:tcPr>
            <w:tcW w:w="3205" w:type="pct"/>
            <w:shd w:val="clear" w:color="auto" w:fill="auto"/>
            <w:tcMar>
              <w:top w:w="75" w:type="dxa"/>
              <w:left w:w="75" w:type="dxa"/>
              <w:bottom w:w="75" w:type="dxa"/>
              <w:right w:w="75" w:type="dxa"/>
            </w:tcMar>
          </w:tcPr>
          <w:p w14:paraId="030503D1" w14:textId="77777777" w:rsidR="0038038C" w:rsidRPr="0067297E" w:rsidRDefault="0038038C" w:rsidP="00A62CB8">
            <w:pPr>
              <w:rPr>
                <w:rFonts w:asciiTheme="minorHAnsi" w:hAnsiTheme="minorHAnsi" w:cs="Calibri"/>
                <w:sz w:val="22"/>
                <w:szCs w:val="22"/>
              </w:rPr>
            </w:pPr>
            <w:r w:rsidRPr="0067297E">
              <w:rPr>
                <w:rFonts w:asciiTheme="minorHAnsi" w:hAnsiTheme="minorHAnsi" w:cs="Calibri"/>
                <w:sz w:val="22"/>
                <w:szCs w:val="22"/>
              </w:rPr>
              <w:t>Building affordable homes to rent</w:t>
            </w:r>
          </w:p>
        </w:tc>
        <w:tc>
          <w:tcPr>
            <w:tcW w:w="556" w:type="pct"/>
            <w:shd w:val="clear" w:color="auto" w:fill="FFFFFF"/>
          </w:tcPr>
          <w:p w14:paraId="727020AB"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6%</w:t>
            </w:r>
          </w:p>
        </w:tc>
        <w:tc>
          <w:tcPr>
            <w:tcW w:w="665" w:type="pct"/>
            <w:shd w:val="clear" w:color="auto" w:fill="FFFFFF"/>
          </w:tcPr>
          <w:p w14:paraId="52A245B8"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0%</w:t>
            </w:r>
          </w:p>
        </w:tc>
        <w:tc>
          <w:tcPr>
            <w:tcW w:w="574" w:type="pct"/>
            <w:shd w:val="clear" w:color="auto" w:fill="FFFFFF"/>
          </w:tcPr>
          <w:p w14:paraId="36598F84"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94%</w:t>
            </w:r>
          </w:p>
        </w:tc>
      </w:tr>
      <w:tr w:rsidR="0038038C" w:rsidRPr="0067297E" w14:paraId="5DE42318" w14:textId="77777777" w:rsidTr="00A62CB8">
        <w:tc>
          <w:tcPr>
            <w:tcW w:w="3205" w:type="pct"/>
            <w:shd w:val="clear" w:color="auto" w:fill="auto"/>
            <w:tcMar>
              <w:top w:w="75" w:type="dxa"/>
              <w:left w:w="75" w:type="dxa"/>
              <w:bottom w:w="75" w:type="dxa"/>
              <w:right w:w="75" w:type="dxa"/>
            </w:tcMar>
          </w:tcPr>
          <w:p w14:paraId="49E9E041" w14:textId="77777777" w:rsidR="0038038C" w:rsidRPr="0067297E" w:rsidRDefault="0038038C" w:rsidP="00A62CB8">
            <w:pPr>
              <w:rPr>
                <w:rFonts w:asciiTheme="minorHAnsi" w:hAnsiTheme="minorHAnsi" w:cs="Calibri"/>
                <w:sz w:val="22"/>
                <w:szCs w:val="22"/>
              </w:rPr>
            </w:pPr>
            <w:r w:rsidRPr="0067297E">
              <w:rPr>
                <w:rFonts w:asciiTheme="minorHAnsi" w:hAnsiTheme="minorHAnsi" w:cs="Calibri"/>
                <w:sz w:val="22"/>
                <w:szCs w:val="22"/>
              </w:rPr>
              <w:t>Building affordable homes to buy (shared ownership, shared equity, starter homes, rent to buy)</w:t>
            </w:r>
          </w:p>
        </w:tc>
        <w:tc>
          <w:tcPr>
            <w:tcW w:w="556" w:type="pct"/>
            <w:shd w:val="clear" w:color="auto" w:fill="FAFAFA"/>
          </w:tcPr>
          <w:p w14:paraId="2C4CF847"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6%</w:t>
            </w:r>
          </w:p>
        </w:tc>
        <w:tc>
          <w:tcPr>
            <w:tcW w:w="665" w:type="pct"/>
            <w:shd w:val="clear" w:color="auto" w:fill="FAFAFA"/>
          </w:tcPr>
          <w:p w14:paraId="1FDD8D64"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19%</w:t>
            </w:r>
          </w:p>
        </w:tc>
        <w:tc>
          <w:tcPr>
            <w:tcW w:w="574" w:type="pct"/>
            <w:shd w:val="clear" w:color="auto" w:fill="FAFAFA"/>
          </w:tcPr>
          <w:p w14:paraId="118607C1"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75%</w:t>
            </w:r>
          </w:p>
        </w:tc>
      </w:tr>
      <w:tr w:rsidR="0038038C" w:rsidRPr="0067297E" w14:paraId="5A8E2427" w14:textId="77777777" w:rsidTr="00A62CB8">
        <w:tc>
          <w:tcPr>
            <w:tcW w:w="3205" w:type="pct"/>
            <w:shd w:val="clear" w:color="auto" w:fill="auto"/>
            <w:tcMar>
              <w:top w:w="75" w:type="dxa"/>
              <w:left w:w="75" w:type="dxa"/>
              <w:bottom w:w="75" w:type="dxa"/>
              <w:right w:w="75" w:type="dxa"/>
            </w:tcMar>
          </w:tcPr>
          <w:p w14:paraId="14234177" w14:textId="77777777" w:rsidR="0038038C" w:rsidRPr="0067297E" w:rsidRDefault="0038038C" w:rsidP="00A62CB8">
            <w:pPr>
              <w:rPr>
                <w:rFonts w:asciiTheme="minorHAnsi" w:hAnsiTheme="minorHAnsi" w:cs="Calibri"/>
                <w:sz w:val="22"/>
                <w:szCs w:val="22"/>
              </w:rPr>
            </w:pPr>
            <w:r w:rsidRPr="0067297E">
              <w:rPr>
                <w:rFonts w:asciiTheme="minorHAnsi" w:hAnsiTheme="minorHAnsi" w:cs="Calibri"/>
                <w:sz w:val="22"/>
                <w:szCs w:val="22"/>
              </w:rPr>
              <w:t>Building executive homes</w:t>
            </w:r>
          </w:p>
        </w:tc>
        <w:tc>
          <w:tcPr>
            <w:tcW w:w="556" w:type="pct"/>
            <w:shd w:val="clear" w:color="auto" w:fill="FFFFFF"/>
          </w:tcPr>
          <w:p w14:paraId="27931B5E"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63%</w:t>
            </w:r>
          </w:p>
        </w:tc>
        <w:tc>
          <w:tcPr>
            <w:tcW w:w="665" w:type="pct"/>
            <w:shd w:val="clear" w:color="auto" w:fill="FFFFFF"/>
          </w:tcPr>
          <w:p w14:paraId="518DB446"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38%</w:t>
            </w:r>
          </w:p>
        </w:tc>
        <w:tc>
          <w:tcPr>
            <w:tcW w:w="574" w:type="pct"/>
            <w:shd w:val="clear" w:color="auto" w:fill="FFFFFF"/>
          </w:tcPr>
          <w:p w14:paraId="4449B413"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0%</w:t>
            </w:r>
          </w:p>
        </w:tc>
      </w:tr>
      <w:tr w:rsidR="0038038C" w:rsidRPr="0067297E" w14:paraId="5E3F5328" w14:textId="77777777" w:rsidTr="00A62CB8">
        <w:tc>
          <w:tcPr>
            <w:tcW w:w="3205" w:type="pct"/>
            <w:shd w:val="clear" w:color="auto" w:fill="auto"/>
            <w:tcMar>
              <w:top w:w="75" w:type="dxa"/>
              <w:left w:w="75" w:type="dxa"/>
              <w:bottom w:w="75" w:type="dxa"/>
              <w:right w:w="75" w:type="dxa"/>
            </w:tcMar>
          </w:tcPr>
          <w:p w14:paraId="1A0DD18C" w14:textId="77777777" w:rsidR="0038038C" w:rsidRPr="0067297E" w:rsidRDefault="0038038C" w:rsidP="00A62CB8">
            <w:pPr>
              <w:rPr>
                <w:rFonts w:asciiTheme="minorHAnsi" w:hAnsiTheme="minorHAnsi" w:cs="Calibri"/>
                <w:sz w:val="22"/>
                <w:szCs w:val="22"/>
              </w:rPr>
            </w:pPr>
            <w:r w:rsidRPr="0067297E">
              <w:rPr>
                <w:rFonts w:asciiTheme="minorHAnsi" w:hAnsiTheme="minorHAnsi" w:cs="Calibri"/>
                <w:sz w:val="22"/>
                <w:szCs w:val="22"/>
              </w:rPr>
              <w:t>Building properties designed for older people</w:t>
            </w:r>
          </w:p>
        </w:tc>
        <w:tc>
          <w:tcPr>
            <w:tcW w:w="556" w:type="pct"/>
            <w:shd w:val="clear" w:color="auto" w:fill="FAFAFA"/>
          </w:tcPr>
          <w:p w14:paraId="1F2CB87C"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0%</w:t>
            </w:r>
          </w:p>
        </w:tc>
        <w:tc>
          <w:tcPr>
            <w:tcW w:w="665" w:type="pct"/>
            <w:shd w:val="clear" w:color="auto" w:fill="FAFAFA"/>
          </w:tcPr>
          <w:p w14:paraId="11AE319C"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50%</w:t>
            </w:r>
          </w:p>
        </w:tc>
        <w:tc>
          <w:tcPr>
            <w:tcW w:w="574" w:type="pct"/>
            <w:shd w:val="clear" w:color="auto" w:fill="FAFAFA"/>
          </w:tcPr>
          <w:p w14:paraId="62B1E8DD"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50%</w:t>
            </w:r>
          </w:p>
        </w:tc>
      </w:tr>
      <w:tr w:rsidR="0038038C" w:rsidRPr="0067297E" w14:paraId="1C3834DE" w14:textId="77777777" w:rsidTr="00A62CB8">
        <w:tc>
          <w:tcPr>
            <w:tcW w:w="3205" w:type="pct"/>
            <w:shd w:val="clear" w:color="auto" w:fill="auto"/>
            <w:tcMar>
              <w:top w:w="75" w:type="dxa"/>
              <w:left w:w="75" w:type="dxa"/>
              <w:bottom w:w="75" w:type="dxa"/>
              <w:right w:w="75" w:type="dxa"/>
            </w:tcMar>
          </w:tcPr>
          <w:p w14:paraId="3E65FC73" w14:textId="77777777" w:rsidR="0038038C" w:rsidRPr="0067297E" w:rsidRDefault="0038038C" w:rsidP="00A62CB8">
            <w:pPr>
              <w:rPr>
                <w:rFonts w:asciiTheme="minorHAnsi" w:hAnsiTheme="minorHAnsi" w:cs="Calibri"/>
                <w:sz w:val="22"/>
                <w:szCs w:val="22"/>
              </w:rPr>
            </w:pPr>
            <w:r w:rsidRPr="0067297E">
              <w:rPr>
                <w:rFonts w:asciiTheme="minorHAnsi" w:hAnsiTheme="minorHAnsi" w:cs="Calibri"/>
                <w:sz w:val="22"/>
                <w:szCs w:val="22"/>
              </w:rPr>
              <w:t>Building properties designed for people with specialist needs</w:t>
            </w:r>
          </w:p>
        </w:tc>
        <w:tc>
          <w:tcPr>
            <w:tcW w:w="556" w:type="pct"/>
            <w:shd w:val="clear" w:color="auto" w:fill="FFFFFF"/>
          </w:tcPr>
          <w:p w14:paraId="6992963A"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6%</w:t>
            </w:r>
          </w:p>
        </w:tc>
        <w:tc>
          <w:tcPr>
            <w:tcW w:w="665" w:type="pct"/>
            <w:shd w:val="clear" w:color="auto" w:fill="FFFFFF"/>
          </w:tcPr>
          <w:p w14:paraId="379A0FBB"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44%</w:t>
            </w:r>
          </w:p>
        </w:tc>
        <w:tc>
          <w:tcPr>
            <w:tcW w:w="574" w:type="pct"/>
            <w:shd w:val="clear" w:color="auto" w:fill="FFFFFF"/>
          </w:tcPr>
          <w:p w14:paraId="2C5A388D"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50%</w:t>
            </w:r>
          </w:p>
        </w:tc>
      </w:tr>
      <w:tr w:rsidR="0038038C" w:rsidRPr="0067297E" w14:paraId="66654785" w14:textId="77777777" w:rsidTr="00A62CB8">
        <w:tc>
          <w:tcPr>
            <w:tcW w:w="3205" w:type="pct"/>
            <w:shd w:val="clear" w:color="auto" w:fill="auto"/>
            <w:tcMar>
              <w:top w:w="75" w:type="dxa"/>
              <w:left w:w="75" w:type="dxa"/>
              <w:bottom w:w="75" w:type="dxa"/>
              <w:right w:w="75" w:type="dxa"/>
            </w:tcMar>
          </w:tcPr>
          <w:p w14:paraId="3350F29B" w14:textId="77777777" w:rsidR="0038038C" w:rsidRPr="0067297E" w:rsidRDefault="0038038C" w:rsidP="00A62CB8">
            <w:pPr>
              <w:rPr>
                <w:rFonts w:asciiTheme="minorHAnsi" w:hAnsiTheme="minorHAnsi" w:cs="Calibri"/>
                <w:sz w:val="22"/>
                <w:szCs w:val="22"/>
              </w:rPr>
            </w:pPr>
            <w:r w:rsidRPr="0067297E">
              <w:rPr>
                <w:rFonts w:asciiTheme="minorHAnsi" w:hAnsiTheme="minorHAnsi" w:cs="Calibri"/>
                <w:sz w:val="22"/>
                <w:szCs w:val="22"/>
              </w:rPr>
              <w:t>Improving the quality of existing stock</w:t>
            </w:r>
          </w:p>
        </w:tc>
        <w:tc>
          <w:tcPr>
            <w:tcW w:w="556" w:type="pct"/>
            <w:shd w:val="clear" w:color="auto" w:fill="FAFAFA"/>
          </w:tcPr>
          <w:p w14:paraId="4377E280"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0%</w:t>
            </w:r>
          </w:p>
        </w:tc>
        <w:tc>
          <w:tcPr>
            <w:tcW w:w="665" w:type="pct"/>
            <w:shd w:val="clear" w:color="auto" w:fill="FAFAFA"/>
          </w:tcPr>
          <w:p w14:paraId="69391932"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25%</w:t>
            </w:r>
          </w:p>
        </w:tc>
        <w:tc>
          <w:tcPr>
            <w:tcW w:w="574" w:type="pct"/>
            <w:shd w:val="clear" w:color="auto" w:fill="FAFAFA"/>
          </w:tcPr>
          <w:p w14:paraId="4E88850E"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75%</w:t>
            </w:r>
          </w:p>
        </w:tc>
      </w:tr>
      <w:tr w:rsidR="0038038C" w:rsidRPr="0067297E" w14:paraId="72406EEC" w14:textId="77777777" w:rsidTr="00445D70">
        <w:tc>
          <w:tcPr>
            <w:tcW w:w="3205" w:type="pct"/>
            <w:shd w:val="clear" w:color="auto" w:fill="auto"/>
            <w:tcMar>
              <w:top w:w="75" w:type="dxa"/>
              <w:left w:w="75" w:type="dxa"/>
              <w:bottom w:w="75" w:type="dxa"/>
              <w:right w:w="75" w:type="dxa"/>
            </w:tcMar>
          </w:tcPr>
          <w:p w14:paraId="5675A690" w14:textId="77777777" w:rsidR="0038038C" w:rsidRPr="0067297E" w:rsidRDefault="0038038C" w:rsidP="00A62CB8">
            <w:pPr>
              <w:rPr>
                <w:rFonts w:asciiTheme="minorHAnsi" w:hAnsiTheme="minorHAnsi" w:cs="Calibri"/>
                <w:sz w:val="22"/>
                <w:szCs w:val="22"/>
              </w:rPr>
            </w:pPr>
            <w:r w:rsidRPr="0067297E">
              <w:rPr>
                <w:rFonts w:asciiTheme="minorHAnsi" w:hAnsiTheme="minorHAnsi" w:cs="Calibri"/>
                <w:sz w:val="22"/>
                <w:szCs w:val="22"/>
              </w:rPr>
              <w:t>Encouraging and enabling self-build</w:t>
            </w:r>
          </w:p>
        </w:tc>
        <w:tc>
          <w:tcPr>
            <w:tcW w:w="556" w:type="pct"/>
            <w:shd w:val="clear" w:color="auto" w:fill="auto"/>
          </w:tcPr>
          <w:p w14:paraId="7A83B5B4"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31%</w:t>
            </w:r>
          </w:p>
        </w:tc>
        <w:tc>
          <w:tcPr>
            <w:tcW w:w="665" w:type="pct"/>
            <w:shd w:val="clear" w:color="auto" w:fill="auto"/>
          </w:tcPr>
          <w:p w14:paraId="29DEC0F7"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63%</w:t>
            </w:r>
          </w:p>
        </w:tc>
        <w:tc>
          <w:tcPr>
            <w:tcW w:w="574" w:type="pct"/>
            <w:shd w:val="clear" w:color="auto" w:fill="auto"/>
          </w:tcPr>
          <w:p w14:paraId="619D7FE5"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6%</w:t>
            </w:r>
          </w:p>
        </w:tc>
      </w:tr>
      <w:tr w:rsidR="0038038C" w:rsidRPr="0067297E" w14:paraId="184B1E8B" w14:textId="77777777" w:rsidTr="00A62CB8">
        <w:tc>
          <w:tcPr>
            <w:tcW w:w="3205" w:type="pct"/>
            <w:shd w:val="clear" w:color="auto" w:fill="auto"/>
            <w:tcMar>
              <w:top w:w="75" w:type="dxa"/>
              <w:left w:w="75" w:type="dxa"/>
              <w:bottom w:w="75" w:type="dxa"/>
              <w:right w:w="75" w:type="dxa"/>
            </w:tcMar>
          </w:tcPr>
          <w:p w14:paraId="2CEC41CE" w14:textId="77777777" w:rsidR="0038038C" w:rsidRPr="0067297E" w:rsidRDefault="0038038C" w:rsidP="00A62CB8">
            <w:pPr>
              <w:rPr>
                <w:rFonts w:asciiTheme="minorHAnsi" w:hAnsiTheme="minorHAnsi" w:cs="Calibri"/>
                <w:sz w:val="22"/>
                <w:szCs w:val="22"/>
              </w:rPr>
            </w:pPr>
            <w:r w:rsidRPr="0067297E">
              <w:rPr>
                <w:rFonts w:asciiTheme="minorHAnsi" w:hAnsiTheme="minorHAnsi" w:cs="Calibri"/>
                <w:sz w:val="22"/>
                <w:szCs w:val="22"/>
              </w:rPr>
              <w:t>Student housing</w:t>
            </w:r>
          </w:p>
        </w:tc>
        <w:tc>
          <w:tcPr>
            <w:tcW w:w="556" w:type="pct"/>
            <w:shd w:val="clear" w:color="auto" w:fill="FAFAFA"/>
          </w:tcPr>
          <w:p w14:paraId="7EA54F3A"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38%</w:t>
            </w:r>
          </w:p>
        </w:tc>
        <w:tc>
          <w:tcPr>
            <w:tcW w:w="665" w:type="pct"/>
            <w:shd w:val="clear" w:color="auto" w:fill="FAFAFA"/>
          </w:tcPr>
          <w:p w14:paraId="26DD6AA5"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63%</w:t>
            </w:r>
          </w:p>
        </w:tc>
        <w:tc>
          <w:tcPr>
            <w:tcW w:w="574" w:type="pct"/>
            <w:shd w:val="clear" w:color="auto" w:fill="FAFAFA"/>
          </w:tcPr>
          <w:p w14:paraId="1750F81D"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0%</w:t>
            </w:r>
          </w:p>
        </w:tc>
      </w:tr>
      <w:tr w:rsidR="0038038C" w:rsidRPr="0067297E" w14:paraId="213F6B9D" w14:textId="77777777" w:rsidTr="00445D70">
        <w:tc>
          <w:tcPr>
            <w:tcW w:w="3205" w:type="pct"/>
            <w:shd w:val="clear" w:color="auto" w:fill="auto"/>
            <w:tcMar>
              <w:top w:w="75" w:type="dxa"/>
              <w:left w:w="75" w:type="dxa"/>
              <w:bottom w:w="75" w:type="dxa"/>
              <w:right w:w="75" w:type="dxa"/>
            </w:tcMar>
          </w:tcPr>
          <w:p w14:paraId="14DF8235" w14:textId="77777777" w:rsidR="0038038C" w:rsidRPr="0067297E" w:rsidRDefault="0038038C" w:rsidP="00A62CB8">
            <w:pPr>
              <w:rPr>
                <w:rFonts w:asciiTheme="minorHAnsi" w:hAnsiTheme="minorHAnsi" w:cs="Calibri"/>
                <w:sz w:val="22"/>
                <w:szCs w:val="22"/>
              </w:rPr>
            </w:pPr>
            <w:r w:rsidRPr="0067297E">
              <w:rPr>
                <w:rFonts w:asciiTheme="minorHAnsi" w:hAnsiTheme="minorHAnsi" w:cs="Calibri"/>
                <w:sz w:val="22"/>
                <w:szCs w:val="22"/>
              </w:rPr>
              <w:t>Family housing</w:t>
            </w:r>
          </w:p>
        </w:tc>
        <w:tc>
          <w:tcPr>
            <w:tcW w:w="556" w:type="pct"/>
            <w:shd w:val="clear" w:color="auto" w:fill="auto"/>
          </w:tcPr>
          <w:p w14:paraId="5D92D836"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0%</w:t>
            </w:r>
          </w:p>
        </w:tc>
        <w:tc>
          <w:tcPr>
            <w:tcW w:w="665" w:type="pct"/>
            <w:shd w:val="clear" w:color="auto" w:fill="auto"/>
          </w:tcPr>
          <w:p w14:paraId="657D68DB"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13%</w:t>
            </w:r>
          </w:p>
        </w:tc>
        <w:tc>
          <w:tcPr>
            <w:tcW w:w="574" w:type="pct"/>
            <w:shd w:val="clear" w:color="auto" w:fill="auto"/>
          </w:tcPr>
          <w:p w14:paraId="172C8037"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88%</w:t>
            </w:r>
          </w:p>
        </w:tc>
      </w:tr>
      <w:tr w:rsidR="0038038C" w:rsidRPr="0067297E" w14:paraId="7FC7879D" w14:textId="77777777" w:rsidTr="00A62CB8">
        <w:tc>
          <w:tcPr>
            <w:tcW w:w="3205" w:type="pct"/>
            <w:shd w:val="clear" w:color="auto" w:fill="auto"/>
            <w:tcMar>
              <w:top w:w="75" w:type="dxa"/>
              <w:left w:w="75" w:type="dxa"/>
              <w:bottom w:w="75" w:type="dxa"/>
              <w:right w:w="75" w:type="dxa"/>
            </w:tcMar>
          </w:tcPr>
          <w:p w14:paraId="19103144" w14:textId="77777777" w:rsidR="0038038C" w:rsidRPr="0067297E" w:rsidRDefault="0038038C" w:rsidP="00A62CB8">
            <w:pPr>
              <w:rPr>
                <w:rFonts w:asciiTheme="minorHAnsi" w:hAnsiTheme="minorHAnsi" w:cs="Calibri"/>
                <w:sz w:val="22"/>
                <w:szCs w:val="22"/>
              </w:rPr>
            </w:pPr>
            <w:r w:rsidRPr="0067297E">
              <w:rPr>
                <w:rFonts w:asciiTheme="minorHAnsi" w:hAnsiTheme="minorHAnsi" w:cs="Calibri"/>
                <w:sz w:val="22"/>
                <w:szCs w:val="22"/>
              </w:rPr>
              <w:t>Multiple Occupation homes (HMOs)</w:t>
            </w:r>
          </w:p>
        </w:tc>
        <w:tc>
          <w:tcPr>
            <w:tcW w:w="556" w:type="pct"/>
            <w:shd w:val="clear" w:color="auto" w:fill="FAFAFA"/>
          </w:tcPr>
          <w:p w14:paraId="1D3EBF45"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53%</w:t>
            </w:r>
          </w:p>
        </w:tc>
        <w:tc>
          <w:tcPr>
            <w:tcW w:w="665" w:type="pct"/>
            <w:shd w:val="clear" w:color="auto" w:fill="FAFAFA"/>
          </w:tcPr>
          <w:p w14:paraId="0B3C6B13"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33%</w:t>
            </w:r>
          </w:p>
        </w:tc>
        <w:tc>
          <w:tcPr>
            <w:tcW w:w="574" w:type="pct"/>
            <w:shd w:val="clear" w:color="auto" w:fill="FAFAFA"/>
          </w:tcPr>
          <w:p w14:paraId="27E46370" w14:textId="77777777" w:rsidR="0038038C" w:rsidRPr="0067297E" w:rsidRDefault="0038038C" w:rsidP="0050310B">
            <w:pPr>
              <w:jc w:val="right"/>
              <w:rPr>
                <w:rFonts w:asciiTheme="minorHAnsi" w:hAnsiTheme="minorHAnsi" w:cs="Calibri"/>
                <w:sz w:val="22"/>
                <w:szCs w:val="22"/>
              </w:rPr>
            </w:pPr>
            <w:r w:rsidRPr="0067297E">
              <w:rPr>
                <w:rFonts w:asciiTheme="minorHAnsi" w:hAnsiTheme="minorHAnsi" w:cs="Calibri"/>
                <w:sz w:val="22"/>
                <w:szCs w:val="22"/>
              </w:rPr>
              <w:t>13%</w:t>
            </w:r>
          </w:p>
        </w:tc>
      </w:tr>
    </w:tbl>
    <w:p w14:paraId="24AAA0A0" w14:textId="77777777" w:rsidR="0038038C" w:rsidRPr="0067297E" w:rsidRDefault="0038038C" w:rsidP="00543A76">
      <w:pPr>
        <w:pStyle w:val="Maintext"/>
        <w:numPr>
          <w:ilvl w:val="0"/>
          <w:numId w:val="0"/>
        </w:numPr>
        <w:ind w:left="709"/>
        <w:rPr>
          <w:rFonts w:asciiTheme="minorHAnsi" w:hAnsiTheme="minorHAnsi" w:cs="Calibri"/>
        </w:rPr>
      </w:pPr>
    </w:p>
    <w:p w14:paraId="40E0E714" w14:textId="128931DD"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Building affordable homes to rent and family housing were ranked as the highest priorities by stakeholders, with 94% and 88% of respondents (respectively) considering these as high priority. Building affordable homes to buy (shared ownership etc</w:t>
      </w:r>
      <w:r w:rsidR="00445D70" w:rsidRPr="0067297E">
        <w:rPr>
          <w:rFonts w:asciiTheme="minorHAnsi" w:hAnsiTheme="minorHAnsi" w:cs="Calibri"/>
          <w:lang w:val="en-GB"/>
        </w:rPr>
        <w:t>.</w:t>
      </w:r>
      <w:r w:rsidRPr="0067297E">
        <w:rPr>
          <w:rFonts w:asciiTheme="minorHAnsi" w:hAnsiTheme="minorHAnsi" w:cs="Calibri"/>
        </w:rPr>
        <w:t>) and improving the quality of existing stock were also predominantly ranked as high priority (75% of respondents ranked these as high priority).</w:t>
      </w:r>
    </w:p>
    <w:p w14:paraId="0F0DB2A6"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Building properties designed for older people and building properties designed for people with specialist needs were also ranked highly by stakeholders, with 50% of respondents considering these to be high priority.</w:t>
      </w:r>
    </w:p>
    <w:p w14:paraId="1B8B4F9E"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Building properties to buy on the open market, student housing and encouraging self-build were typically considered as medium priority by the majority of respondents.</w:t>
      </w:r>
    </w:p>
    <w:p w14:paraId="4A7A148C"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The lowest priority was given to building executive homes and homes in multiple occupation; over 50% of respondents ranked these as low priority.</w:t>
      </w:r>
    </w:p>
    <w:p w14:paraId="487328E2"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Stakeholders gave a range of reasons for identifying these priorities, including:</w:t>
      </w:r>
    </w:p>
    <w:p w14:paraId="04F440C5" w14:textId="77777777" w:rsidR="0038038C" w:rsidRPr="0067297E" w:rsidRDefault="0038038C" w:rsidP="006C722F">
      <w:pPr>
        <w:pStyle w:val="bullet"/>
        <w:rPr>
          <w:rFonts w:asciiTheme="minorHAnsi" w:hAnsiTheme="minorHAnsi" w:cs="Calibri"/>
        </w:rPr>
      </w:pPr>
      <w:r w:rsidRPr="0067297E">
        <w:rPr>
          <w:rFonts w:asciiTheme="minorHAnsi" w:hAnsiTheme="minorHAnsi" w:cs="Calibri"/>
        </w:rPr>
        <w:t>General housing shortage/housing crisis in London, with mismatch between supply and demand;</w:t>
      </w:r>
    </w:p>
    <w:p w14:paraId="296570CD" w14:textId="77777777" w:rsidR="0038038C" w:rsidRPr="0067297E" w:rsidRDefault="0038038C" w:rsidP="006C722F">
      <w:pPr>
        <w:pStyle w:val="bullet"/>
        <w:rPr>
          <w:rFonts w:asciiTheme="minorHAnsi" w:hAnsiTheme="minorHAnsi" w:cs="Calibri"/>
        </w:rPr>
      </w:pPr>
      <w:r w:rsidRPr="0067297E">
        <w:rPr>
          <w:rFonts w:asciiTheme="minorHAnsi" w:hAnsiTheme="minorHAnsi" w:cs="Calibri"/>
        </w:rPr>
        <w:t>High demand for social rented housing - many households on housing benefits cannot afford to rent properties at current market price, long waiting list, high numbers of households in temporary accommodation and B&amp;B;</w:t>
      </w:r>
    </w:p>
    <w:p w14:paraId="33A53AE5" w14:textId="77777777" w:rsidR="0038038C" w:rsidRPr="0067297E" w:rsidRDefault="0038038C" w:rsidP="006C722F">
      <w:pPr>
        <w:pStyle w:val="bullet"/>
        <w:rPr>
          <w:rFonts w:asciiTheme="minorHAnsi" w:hAnsiTheme="minorHAnsi" w:cs="Calibri"/>
        </w:rPr>
      </w:pPr>
      <w:r w:rsidRPr="0067297E">
        <w:rPr>
          <w:rFonts w:asciiTheme="minorHAnsi" w:hAnsiTheme="minorHAnsi" w:cs="Calibri"/>
        </w:rPr>
        <w:t>There is a political drive to build 1,000 new council homes, in addition to the 500 already promised;</w:t>
      </w:r>
    </w:p>
    <w:p w14:paraId="64D13589" w14:textId="77777777" w:rsidR="0038038C" w:rsidRPr="0067297E" w:rsidRDefault="0038038C" w:rsidP="00944242">
      <w:pPr>
        <w:pStyle w:val="bullet"/>
        <w:rPr>
          <w:rFonts w:asciiTheme="minorHAnsi" w:hAnsiTheme="minorHAnsi" w:cs="Calibri"/>
        </w:rPr>
      </w:pPr>
      <w:r w:rsidRPr="0067297E">
        <w:rPr>
          <w:rFonts w:asciiTheme="minorHAnsi" w:hAnsiTheme="minorHAnsi" w:cs="Calibri"/>
        </w:rPr>
        <w:t>Ageing population living in homes that are too large for them, but not enough housing stock to meet their needs or aspirations;</w:t>
      </w:r>
    </w:p>
    <w:p w14:paraId="48FFBA83" w14:textId="77777777" w:rsidR="0038038C" w:rsidRPr="0067297E" w:rsidRDefault="0038038C" w:rsidP="00944242">
      <w:pPr>
        <w:pStyle w:val="bullet"/>
        <w:rPr>
          <w:rFonts w:asciiTheme="minorHAnsi" w:hAnsiTheme="minorHAnsi" w:cs="Calibri"/>
        </w:rPr>
      </w:pPr>
      <w:r w:rsidRPr="0067297E">
        <w:rPr>
          <w:rFonts w:asciiTheme="minorHAnsi" w:hAnsiTheme="minorHAnsi" w:cs="Calibri"/>
        </w:rPr>
        <w:t>Homes in multiple occupation (HMOs) are needed for people who cannot afford to rent on their own because of the high rent costs in London;</w:t>
      </w:r>
    </w:p>
    <w:p w14:paraId="15A30317" w14:textId="77777777" w:rsidR="0038038C" w:rsidRPr="0067297E" w:rsidRDefault="0038038C" w:rsidP="006B6473">
      <w:pPr>
        <w:pStyle w:val="bullet"/>
        <w:rPr>
          <w:rFonts w:asciiTheme="minorHAnsi" w:hAnsiTheme="minorHAnsi" w:cs="Calibri"/>
        </w:rPr>
      </w:pPr>
      <w:r w:rsidRPr="0067297E">
        <w:rPr>
          <w:rFonts w:asciiTheme="minorHAnsi" w:hAnsiTheme="minorHAnsi" w:cs="Calibri"/>
        </w:rPr>
        <w:t>Affordable homes for rent will allow young households save for a deposit to buy their own homes; and</w:t>
      </w:r>
    </w:p>
    <w:p w14:paraId="29BA587B" w14:textId="77777777" w:rsidR="0038038C" w:rsidRPr="0067297E" w:rsidRDefault="0038038C" w:rsidP="008C3647">
      <w:pPr>
        <w:pStyle w:val="bullet"/>
        <w:rPr>
          <w:rFonts w:asciiTheme="minorHAnsi" w:hAnsiTheme="minorHAnsi" w:cs="Calibri"/>
        </w:rPr>
      </w:pPr>
      <w:r w:rsidRPr="0067297E">
        <w:rPr>
          <w:rFonts w:asciiTheme="minorHAnsi" w:hAnsiTheme="minorHAnsi" w:cs="Calibri"/>
        </w:rPr>
        <w:t>Improving existing stock and building homes for people with specialist needs will save money for the Council.</w:t>
      </w:r>
    </w:p>
    <w:p w14:paraId="6CE13954"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Asked what other key housing priorities there are in Lewisham, stakeholders identified the following, in addition to those above:</w:t>
      </w:r>
    </w:p>
    <w:p w14:paraId="176132C5" w14:textId="77777777" w:rsidR="0038038C" w:rsidRPr="0067297E" w:rsidRDefault="0038038C" w:rsidP="008C3647">
      <w:pPr>
        <w:pStyle w:val="bullet"/>
        <w:rPr>
          <w:rFonts w:asciiTheme="minorHAnsi" w:hAnsiTheme="minorHAnsi" w:cs="Calibri"/>
          <w:szCs w:val="16"/>
        </w:rPr>
      </w:pPr>
      <w:r w:rsidRPr="0067297E">
        <w:rPr>
          <w:rFonts w:asciiTheme="minorHAnsi" w:hAnsiTheme="minorHAnsi" w:cs="Calibri"/>
          <w:szCs w:val="16"/>
        </w:rPr>
        <w:t>Market renting as an important category – good quality private renting has an important role in a well-functioning housing market;</w:t>
      </w:r>
    </w:p>
    <w:p w14:paraId="06E56EBC" w14:textId="77777777" w:rsidR="0038038C" w:rsidRPr="0067297E" w:rsidRDefault="0038038C" w:rsidP="00C12BC3">
      <w:pPr>
        <w:pStyle w:val="bullet"/>
        <w:rPr>
          <w:rFonts w:asciiTheme="minorHAnsi" w:hAnsiTheme="minorHAnsi" w:cs="Calibri"/>
          <w:szCs w:val="16"/>
        </w:rPr>
      </w:pPr>
      <w:r w:rsidRPr="0067297E">
        <w:rPr>
          <w:rFonts w:asciiTheme="minorHAnsi" w:hAnsiTheme="minorHAnsi" w:cs="Calibri"/>
          <w:szCs w:val="16"/>
        </w:rPr>
        <w:t>The need for a mix of rental products, ranging from social to intermediate;</w:t>
      </w:r>
    </w:p>
    <w:p w14:paraId="2AD5DA7F" w14:textId="77777777" w:rsidR="0038038C" w:rsidRPr="0067297E" w:rsidRDefault="0038038C" w:rsidP="00C12BC3">
      <w:pPr>
        <w:pStyle w:val="bullet"/>
        <w:rPr>
          <w:rFonts w:asciiTheme="minorHAnsi" w:hAnsiTheme="minorHAnsi" w:cs="Calibri"/>
          <w:szCs w:val="16"/>
        </w:rPr>
      </w:pPr>
      <w:r w:rsidRPr="0067297E">
        <w:rPr>
          <w:rFonts w:asciiTheme="minorHAnsi" w:hAnsiTheme="minorHAnsi" w:cs="Calibri"/>
          <w:szCs w:val="16"/>
        </w:rPr>
        <w:t>Housing for young people generally;</w:t>
      </w:r>
    </w:p>
    <w:p w14:paraId="692BF674" w14:textId="77777777" w:rsidR="0038038C" w:rsidRPr="0067297E" w:rsidRDefault="0038038C" w:rsidP="00C12BC3">
      <w:pPr>
        <w:pStyle w:val="bullet"/>
        <w:rPr>
          <w:rFonts w:asciiTheme="minorHAnsi" w:hAnsiTheme="minorHAnsi" w:cs="Calibri"/>
          <w:szCs w:val="16"/>
        </w:rPr>
      </w:pPr>
      <w:r w:rsidRPr="0067297E">
        <w:rPr>
          <w:rFonts w:asciiTheme="minorHAnsi" w:hAnsiTheme="minorHAnsi" w:cs="Calibri"/>
          <w:szCs w:val="16"/>
        </w:rPr>
        <w:t xml:space="preserve">Affordable housing options for single people who do not fall within a priority need category, but who have the private rented sector as their only housing option, usually shared housing. This demand is not just from single people under 30 - also from single people aged over 40, often from broken relationships; </w:t>
      </w:r>
    </w:p>
    <w:p w14:paraId="569AA272" w14:textId="77777777" w:rsidR="0038038C" w:rsidRPr="0067297E" w:rsidRDefault="0038038C" w:rsidP="00C12BC3">
      <w:pPr>
        <w:pStyle w:val="bullet"/>
        <w:rPr>
          <w:rFonts w:asciiTheme="minorHAnsi" w:hAnsiTheme="minorHAnsi" w:cs="Calibri"/>
          <w:szCs w:val="16"/>
        </w:rPr>
      </w:pPr>
      <w:r w:rsidRPr="0067297E">
        <w:rPr>
          <w:rFonts w:asciiTheme="minorHAnsi" w:hAnsiTheme="minorHAnsi" w:cs="Calibri"/>
          <w:szCs w:val="16"/>
        </w:rPr>
        <w:t>Temporary accommodation; and</w:t>
      </w:r>
    </w:p>
    <w:p w14:paraId="0556D53F" w14:textId="77777777" w:rsidR="0038038C" w:rsidRPr="0067297E" w:rsidRDefault="0038038C" w:rsidP="00A04CC5">
      <w:pPr>
        <w:pStyle w:val="bullet"/>
        <w:rPr>
          <w:rFonts w:asciiTheme="minorHAnsi" w:hAnsiTheme="minorHAnsi" w:cs="Calibri"/>
          <w:szCs w:val="16"/>
        </w:rPr>
      </w:pPr>
      <w:r w:rsidRPr="0067297E">
        <w:rPr>
          <w:rFonts w:asciiTheme="minorHAnsi" w:hAnsiTheme="minorHAnsi" w:cs="Calibri"/>
          <w:szCs w:val="16"/>
        </w:rPr>
        <w:t>Mental health and wellbeing.</w:t>
      </w:r>
    </w:p>
    <w:p w14:paraId="6F3F7F97" w14:textId="77777777" w:rsidR="0038038C" w:rsidRPr="0067297E" w:rsidRDefault="0038038C" w:rsidP="007E2C96">
      <w:pPr>
        <w:pStyle w:val="bullet"/>
        <w:numPr>
          <w:ilvl w:val="0"/>
          <w:numId w:val="0"/>
        </w:numPr>
        <w:rPr>
          <w:rFonts w:asciiTheme="minorHAnsi" w:hAnsiTheme="minorHAnsi" w:cs="Calibri"/>
          <w:szCs w:val="16"/>
        </w:rPr>
      </w:pPr>
    </w:p>
    <w:p w14:paraId="720EBC6A" w14:textId="512A5F2C" w:rsidR="0038038C" w:rsidRPr="0067297E" w:rsidRDefault="0038038C" w:rsidP="007E2C96">
      <w:pPr>
        <w:pStyle w:val="Heading2"/>
        <w:ind w:left="709" w:firstLine="0"/>
        <w:rPr>
          <w:rFonts w:asciiTheme="minorHAnsi" w:hAnsiTheme="minorHAnsi" w:cs="Calibri"/>
          <w:lang w:val="en-US"/>
        </w:rPr>
      </w:pPr>
      <w:bookmarkStart w:id="646" w:name="_Toc398751114"/>
      <w:bookmarkStart w:id="647" w:name="_Toc529887289"/>
      <w:bookmarkStart w:id="648" w:name="_Toc1385807"/>
      <w:bookmarkStart w:id="649" w:name="_Toc23151124"/>
      <w:r w:rsidRPr="0067297E">
        <w:rPr>
          <w:rFonts w:asciiTheme="minorHAnsi" w:hAnsiTheme="minorHAnsi" w:cs="Calibri"/>
          <w:lang w:val="en-US"/>
        </w:rPr>
        <w:t>The current and future housing market in Lewisham and housing market drivers</w:t>
      </w:r>
      <w:bookmarkEnd w:id="646"/>
      <w:bookmarkEnd w:id="647"/>
      <w:bookmarkEnd w:id="648"/>
      <w:bookmarkEnd w:id="649"/>
    </w:p>
    <w:p w14:paraId="3A5F1263" w14:textId="1E1D1888"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Stakeholders were asked whether they are aware of employees who travel to work in Lewisham from outside the </w:t>
      </w:r>
      <w:r w:rsidR="00445D70" w:rsidRPr="0067297E">
        <w:rPr>
          <w:rFonts w:asciiTheme="minorHAnsi" w:hAnsiTheme="minorHAnsi" w:cs="Calibri"/>
          <w:lang w:val="en-GB"/>
        </w:rPr>
        <w:t>b</w:t>
      </w:r>
      <w:r w:rsidRPr="0067297E">
        <w:rPr>
          <w:rFonts w:asciiTheme="minorHAnsi" w:hAnsiTheme="minorHAnsi" w:cs="Calibri"/>
        </w:rPr>
        <w:t xml:space="preserve">orough. Several respondents were aware of people commuting into the area for work; reasons for this include: high housing costs in Lewisham, good accessibility into the </w:t>
      </w:r>
      <w:r w:rsidR="00445D70" w:rsidRPr="0067297E">
        <w:rPr>
          <w:rFonts w:asciiTheme="minorHAnsi" w:hAnsiTheme="minorHAnsi" w:cs="Calibri"/>
          <w:lang w:val="en-GB"/>
        </w:rPr>
        <w:t>b</w:t>
      </w:r>
      <w:r w:rsidRPr="0067297E">
        <w:rPr>
          <w:rFonts w:asciiTheme="minorHAnsi" w:hAnsiTheme="minorHAnsi" w:cs="Calibri"/>
        </w:rPr>
        <w:t xml:space="preserve">orough by train, lack of suitable employment opportunities in other boroughs and family commitments. Choice and the desire to separate work and home were also mentioned. It was noted that people are travelling further rather than relocating. When asked whether they thought that employees who live outside of the </w:t>
      </w:r>
      <w:r w:rsidR="00445D70" w:rsidRPr="0067297E">
        <w:rPr>
          <w:rFonts w:asciiTheme="minorHAnsi" w:hAnsiTheme="minorHAnsi" w:cs="Calibri"/>
          <w:lang w:val="en-GB"/>
        </w:rPr>
        <w:t>b</w:t>
      </w:r>
      <w:r w:rsidRPr="0067297E">
        <w:rPr>
          <w:rFonts w:asciiTheme="minorHAnsi" w:hAnsiTheme="minorHAnsi" w:cs="Calibri"/>
        </w:rPr>
        <w:t xml:space="preserve">orough would move to Lewisham if suitable housing was made available, four respondents said yes and four said no. Some felt that cheaper housing would attract more employees to also live in the </w:t>
      </w:r>
      <w:r w:rsidR="00445D70" w:rsidRPr="0067297E">
        <w:rPr>
          <w:rFonts w:asciiTheme="minorHAnsi" w:hAnsiTheme="minorHAnsi" w:cs="Calibri"/>
          <w:lang w:val="en-GB"/>
        </w:rPr>
        <w:t>b</w:t>
      </w:r>
      <w:r w:rsidRPr="0067297E">
        <w:rPr>
          <w:rFonts w:asciiTheme="minorHAnsi" w:hAnsiTheme="minorHAnsi" w:cs="Calibri"/>
        </w:rPr>
        <w:t>orough. On the other hand, existing ties, schools and a resistance to move house were also noted as reasons why people would stay in their current residence and commute into Lewisham for work.</w:t>
      </w:r>
    </w:p>
    <w:p w14:paraId="6C513EBF"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Stakeholders were asked to identify what they perceive to be the main drivers of housing demand in Lewisham. Drivers identified included:</w:t>
      </w:r>
    </w:p>
    <w:p w14:paraId="03E11CFA" w14:textId="77777777" w:rsidR="0038038C" w:rsidRPr="0067297E" w:rsidRDefault="0038038C" w:rsidP="00A04CC5">
      <w:pPr>
        <w:pStyle w:val="bullet"/>
        <w:rPr>
          <w:rFonts w:asciiTheme="minorHAnsi" w:hAnsiTheme="minorHAnsi" w:cs="Calibri"/>
        </w:rPr>
      </w:pPr>
      <w:r w:rsidRPr="0067297E">
        <w:rPr>
          <w:rFonts w:asciiTheme="minorHAnsi" w:hAnsiTheme="minorHAnsi" w:cs="Calibri"/>
        </w:rPr>
        <w:t>Population growth, with growing demand from younger people;</w:t>
      </w:r>
    </w:p>
    <w:p w14:paraId="6E215266" w14:textId="77777777" w:rsidR="0038038C" w:rsidRPr="0067297E" w:rsidRDefault="0038038C" w:rsidP="007E2C96">
      <w:pPr>
        <w:pStyle w:val="bullet"/>
        <w:rPr>
          <w:rFonts w:asciiTheme="minorHAnsi" w:hAnsiTheme="minorHAnsi" w:cs="Calibri"/>
        </w:rPr>
      </w:pPr>
      <w:r w:rsidRPr="0067297E">
        <w:rPr>
          <w:rFonts w:asciiTheme="minorHAnsi" w:hAnsiTheme="minorHAnsi" w:cs="Calibri"/>
        </w:rPr>
        <w:t>Relative affordability of Lewisham, compared with other London boroughs;</w:t>
      </w:r>
    </w:p>
    <w:p w14:paraId="0F62FA02" w14:textId="77777777" w:rsidR="0038038C" w:rsidRPr="0067297E" w:rsidRDefault="0038038C" w:rsidP="00516B53">
      <w:pPr>
        <w:pStyle w:val="bullet"/>
        <w:rPr>
          <w:rFonts w:asciiTheme="minorHAnsi" w:hAnsiTheme="minorHAnsi" w:cs="Calibri"/>
        </w:rPr>
      </w:pPr>
      <w:r w:rsidRPr="0067297E">
        <w:rPr>
          <w:rFonts w:asciiTheme="minorHAnsi" w:hAnsiTheme="minorHAnsi" w:cs="Calibri"/>
        </w:rPr>
        <w:t>Good amenities within the Borough make it attractive;</w:t>
      </w:r>
    </w:p>
    <w:p w14:paraId="631DE861" w14:textId="77777777" w:rsidR="0038038C" w:rsidRPr="0067297E" w:rsidRDefault="0038038C" w:rsidP="00516B53">
      <w:pPr>
        <w:pStyle w:val="bullet"/>
        <w:rPr>
          <w:rFonts w:asciiTheme="minorHAnsi" w:hAnsiTheme="minorHAnsi" w:cs="Calibri"/>
        </w:rPr>
      </w:pPr>
      <w:r w:rsidRPr="0067297E">
        <w:rPr>
          <w:rFonts w:asciiTheme="minorHAnsi" w:hAnsiTheme="minorHAnsi" w:cs="Calibri"/>
        </w:rPr>
        <w:t>Good employment prospects; and</w:t>
      </w:r>
    </w:p>
    <w:p w14:paraId="0D68C049" w14:textId="77777777" w:rsidR="0038038C" w:rsidRPr="0067297E" w:rsidRDefault="0038038C" w:rsidP="00516B53">
      <w:pPr>
        <w:pStyle w:val="bullet"/>
        <w:rPr>
          <w:rFonts w:asciiTheme="minorHAnsi" w:hAnsiTheme="minorHAnsi" w:cs="Calibri"/>
        </w:rPr>
      </w:pPr>
      <w:r w:rsidRPr="0067297E">
        <w:rPr>
          <w:rFonts w:asciiTheme="minorHAnsi" w:hAnsiTheme="minorHAnsi" w:cs="Calibri"/>
        </w:rPr>
        <w:t>Historic shortfall in housing supply, including a lack of affordable housing.</w:t>
      </w:r>
    </w:p>
    <w:p w14:paraId="06A56B58" w14:textId="77777777" w:rsidR="0038038C" w:rsidRPr="0067297E" w:rsidRDefault="0038038C" w:rsidP="00FA273F">
      <w:pPr>
        <w:pStyle w:val="Reporttext"/>
        <w:numPr>
          <w:ilvl w:val="0"/>
          <w:numId w:val="0"/>
        </w:numPr>
        <w:ind w:left="709" w:hanging="709"/>
        <w:rPr>
          <w:rFonts w:asciiTheme="minorHAnsi" w:hAnsiTheme="minorHAnsi" w:cs="Calibri"/>
        </w:rPr>
      </w:pPr>
    </w:p>
    <w:p w14:paraId="1313B2A3" w14:textId="3BE2CA62" w:rsidR="0038038C" w:rsidRPr="0067297E" w:rsidRDefault="0038038C" w:rsidP="00543A76">
      <w:pPr>
        <w:pStyle w:val="Heading2"/>
        <w:ind w:left="709" w:firstLine="0"/>
        <w:rPr>
          <w:rFonts w:asciiTheme="minorHAnsi" w:hAnsiTheme="minorHAnsi"/>
        </w:rPr>
      </w:pPr>
      <w:bookmarkStart w:id="650" w:name="_Toc398751115"/>
      <w:bookmarkStart w:id="651" w:name="_Toc529887290"/>
      <w:bookmarkStart w:id="652" w:name="_Toc1385808"/>
      <w:bookmarkStart w:id="653" w:name="_Toc23151125"/>
      <w:r w:rsidRPr="0067297E">
        <w:rPr>
          <w:rFonts w:asciiTheme="minorHAnsi" w:hAnsiTheme="minorHAnsi"/>
        </w:rPr>
        <w:t>Open-market housing: the owner-occupied and private rented sectors</w:t>
      </w:r>
      <w:bookmarkEnd w:id="650"/>
      <w:bookmarkEnd w:id="651"/>
      <w:bookmarkEnd w:id="652"/>
      <w:bookmarkEnd w:id="653"/>
    </w:p>
    <w:p w14:paraId="75B8DC5F" w14:textId="523300AB"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The survey asked stakeholders to identify the areas of high and low demand within the </w:t>
      </w:r>
      <w:r w:rsidR="00B61903" w:rsidRPr="0067297E">
        <w:rPr>
          <w:rFonts w:asciiTheme="minorHAnsi" w:hAnsiTheme="minorHAnsi" w:cs="Calibri"/>
          <w:lang w:val="en-GB"/>
        </w:rPr>
        <w:t>b</w:t>
      </w:r>
      <w:r w:rsidRPr="0067297E">
        <w:rPr>
          <w:rFonts w:asciiTheme="minorHAnsi" w:hAnsiTheme="minorHAnsi" w:cs="Calibri"/>
        </w:rPr>
        <w:t xml:space="preserve">orough, and the factors that influence this. Two stakeholders commented that demand is high across the Borough. However, high demand was noted in the north of Lewisham, including New Cross and Deptford, due to transport hubs. High demand close to railway stations such as Hither Green, Lee and Grove Park was also reported. By contrast, it was commented by one stakeholder that south Lewisham is not well served by transport links or large-scale employment opportunities </w:t>
      </w:r>
      <w:r w:rsidR="00D67941" w:rsidRPr="0067297E">
        <w:rPr>
          <w:rFonts w:asciiTheme="minorHAnsi" w:hAnsiTheme="minorHAnsi" w:cs="Calibri"/>
        </w:rPr>
        <w:t>and</w:t>
      </w:r>
      <w:r w:rsidRPr="0067297E">
        <w:rPr>
          <w:rFonts w:asciiTheme="minorHAnsi" w:hAnsiTheme="minorHAnsi" w:cs="Calibri"/>
        </w:rPr>
        <w:t xml:space="preserve"> is not as popular as other areas. In addition to transport links, factors affecting demand were considered to include relative affordability, the environment, proximity to good schools and amenities/services. Houses were considered to be more attractive than blocks of flats.</w:t>
      </w:r>
    </w:p>
    <w:p w14:paraId="4FEB1B73"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Asked what they considered the current limitations of the housing market to be across the Borough of Lewisham, stakeholders mentioned affordability, supply, availability and flexibility (to meet changing needs over time). Access to social housing was mentioned as a current problem within the housing market. In addition, it was noted that the high density of some new developments (i.e. flats and apartments) is driving some people away as they would prefer a traditional, three-bedroom house.</w:t>
      </w:r>
    </w:p>
    <w:p w14:paraId="0988FD32"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In terms of demand, this was considered to be strong in many areas and across all tenures. A mixed demand was reported, including new families looking for houses and single people looking for flats. In-migration was mentioned, with new households moving into the Borough from elsewhere and driving demand. However, homelessness was also highlighted. One stakeholder expressed the view that the gentrification of the area is driving poorer families to homelessness.</w:t>
      </w:r>
    </w:p>
    <w:p w14:paraId="676628A6" w14:textId="13968486"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Stakeholders were asked for their views on house price and rental price trends in the survey area, including the impact of changes in mortgage finances. Increasing house prices in Brockley, Forest Hill, Hither Green, Sydenham and New Cross were mentioned, wi</w:t>
      </w:r>
      <w:r w:rsidR="00B61903" w:rsidRPr="0067297E">
        <w:rPr>
          <w:rFonts w:asciiTheme="minorHAnsi" w:hAnsiTheme="minorHAnsi" w:cs="Calibri"/>
          <w:lang w:val="en-GB"/>
        </w:rPr>
        <w:t>th</w:t>
      </w:r>
      <w:r w:rsidRPr="0067297E">
        <w:rPr>
          <w:rFonts w:asciiTheme="minorHAnsi" w:hAnsiTheme="minorHAnsi" w:cs="Calibri"/>
        </w:rPr>
        <w:t xml:space="preserve"> </w:t>
      </w:r>
      <w:r w:rsidR="00CA04EE" w:rsidRPr="0067297E">
        <w:rPr>
          <w:rFonts w:asciiTheme="minorHAnsi" w:hAnsiTheme="minorHAnsi" w:cs="Calibri"/>
        </w:rPr>
        <w:t xml:space="preserve">have </w:t>
      </w:r>
      <w:r w:rsidRPr="0067297E">
        <w:rPr>
          <w:rFonts w:asciiTheme="minorHAnsi" w:hAnsiTheme="minorHAnsi" w:cs="Calibri"/>
        </w:rPr>
        <w:t xml:space="preserve">a knock-on effect on other areas. Some stakeholders felt that prices have stabilised, due to a general downward trend across London and affected by interests rates, availability of mortgage finance and the size of deposits (savings). Affordability tests from lenders are considered to have softened demand slightly, but supply shortfalls have outweighed this impacting on prices too much. Uncertainty arising from Brexit may dampen market sentiment in the short term, but prices are expected to recover as the fundamental supply and demand issues will remain. One stakeholder reported that there is weakening demand for Buy to Let, driven by tax changes, but this is having the effect of helping first time buyers to compete in the market. One social landlord stated that requests to buy homes from existing tenants peaked after Right to Buy (RTB) discounts were increased but have decreased since; even with high RTB discounts some working tenants cannot afford the cost of buying their house. </w:t>
      </w:r>
    </w:p>
    <w:p w14:paraId="55325F11"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Regarding the private rented sector, stakeholders were asked about its size in Lewisham. One stakeholder felt that the private rented sector (PRS) must be too small because of the continued high level of demand; others expressed the view that the PRS appears to currently be in line with demand and is ‘OK’. One respondent stated that quality is a bigger issue, rather than size of the sector. This respondent expressed a preference for growth in Built to Rent (BTR) and a reduction in Buy to Let (BTL). An awareness of PRS providers investing in blocks close to Lewisham mainline station was noted; it was felt that this will result in increased competition within this market.</w:t>
      </w:r>
    </w:p>
    <w:p w14:paraId="0875E532" w14:textId="51445115"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The characteristics of the PRS in Lewisham were considered to include private landlords who have invested for the purposes of their own pension: these buy-to-let landlords typically hold a small number of units and are unregulated. These PRS properties are across the </w:t>
      </w:r>
      <w:r w:rsidR="00B61903" w:rsidRPr="0067297E">
        <w:rPr>
          <w:rFonts w:asciiTheme="minorHAnsi" w:hAnsiTheme="minorHAnsi" w:cs="Calibri"/>
          <w:lang w:val="en-GB"/>
        </w:rPr>
        <w:t>b</w:t>
      </w:r>
      <w:r w:rsidRPr="0067297E">
        <w:rPr>
          <w:rFonts w:asciiTheme="minorHAnsi" w:hAnsiTheme="minorHAnsi" w:cs="Calibri"/>
        </w:rPr>
        <w:t xml:space="preserve">orough, often focused in areas that were formerly Housing Action areas or in ex-council houses. In addition, an increasing number of major developers were reported, who are providing private rented properties through new-build schemes - some flagship - often comprising of flat/apartment schemes with property managers, concierge and wi-fi. The larger London-based PRS operators tend to focus on high density schemes that are located in town centres or close to mainline train stations. </w:t>
      </w:r>
    </w:p>
    <w:p w14:paraId="2DE676B9" w14:textId="7BC919D1"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Demand for PRS was considered to be strong across the Borough, with some of this attributed to the lack of other housing options for people who cannot afford to buy and are not eligible for social rented housing. One stakeholder reported that close to the centre the PRS demographic is mainly young professional couples or sharers, with a split of approximately 60/40 between UK nationals and people from abroad coming to find work in London. Stakeholders reported that there is demand for PRS from a wide range of tenants, with the profile varying depending upon pricing and location within the </w:t>
      </w:r>
      <w:r w:rsidR="00B61903" w:rsidRPr="0067297E">
        <w:rPr>
          <w:rFonts w:asciiTheme="minorHAnsi" w:hAnsiTheme="minorHAnsi" w:cs="Calibri"/>
          <w:lang w:val="en-GB"/>
        </w:rPr>
        <w:t>b</w:t>
      </w:r>
      <w:r w:rsidRPr="0067297E">
        <w:rPr>
          <w:rFonts w:asciiTheme="minorHAnsi" w:hAnsiTheme="minorHAnsi" w:cs="Calibri"/>
        </w:rPr>
        <w:t>orough. For example, larger landlords with flagship schemes in central locations may have strict criteria for prospective tenants which results in predominantly young professional sharers and a small number of mainly foreign students. Less restrictive landlords attract a wider range of tenants, and families and lower income households often live in the PRS as a default because there are no other options (as above). In addition, some single people live in the PRS following relationship breakdown, often middle-aged men who have been asked to leave their family home.</w:t>
      </w:r>
    </w:p>
    <w:p w14:paraId="7D655C96"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In terms of buy-to-let, one stakeholder reported that this has a ‘massive’ role in the PRS in Lewisham. However, in terms of trends, another stakeholder noted that some landlords are now selling up because of the ‘landlords tax’. Another respondent reported an overall drop in the buy-to-let market as a result of interest rate rises and increases in stamp duty.</w:t>
      </w:r>
    </w:p>
    <w:p w14:paraId="349DEE57" w14:textId="1385AC7D"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Other changes noted by stakeholders include a reported drop in the number of tenants coming to work in London from abroad, attributed to uncertainty surrounding Brexit. Welfare changes were considered to have had an impact, with Universal Credit and benefit cuts making it very difficult for some tenants, particularly those who really need social housing. This results in benefit-dependent families being forced into low-quality PRS housing. It was noted that some landlords will not accept tenants</w:t>
      </w:r>
      <w:r w:rsidR="00D67941" w:rsidRPr="0067297E">
        <w:rPr>
          <w:rFonts w:asciiTheme="minorHAnsi" w:hAnsiTheme="minorHAnsi" w:cs="Calibri"/>
        </w:rPr>
        <w:t xml:space="preserve"> that are benefit claimants (described colloquially  as DSS tenants)</w:t>
      </w:r>
      <w:r w:rsidRPr="0067297E">
        <w:rPr>
          <w:rFonts w:asciiTheme="minorHAnsi" w:hAnsiTheme="minorHAnsi" w:cs="Calibri"/>
        </w:rPr>
        <w:t>. The trend towards landlords selling up is also resulting in a lot of tenants being evicted.</w:t>
      </w:r>
    </w:p>
    <w:p w14:paraId="29CD3F39"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One stakeholder reported that the most common reasons for PRS tenants to move are as follows: </w:t>
      </w:r>
    </w:p>
    <w:p w14:paraId="41FF295A" w14:textId="77777777" w:rsidR="0038038C" w:rsidRPr="0067297E" w:rsidRDefault="0038038C" w:rsidP="00FA273F">
      <w:pPr>
        <w:pStyle w:val="Reporttext"/>
        <w:numPr>
          <w:ilvl w:val="0"/>
          <w:numId w:val="0"/>
        </w:numPr>
        <w:ind w:left="709"/>
        <w:rPr>
          <w:rFonts w:asciiTheme="minorHAnsi" w:hAnsiTheme="minorHAnsi" w:cs="Calibri"/>
        </w:rPr>
      </w:pPr>
      <w:r w:rsidRPr="0067297E">
        <w:rPr>
          <w:rFonts w:asciiTheme="minorHAnsi" w:hAnsiTheme="minorHAnsi" w:cs="Calibri"/>
        </w:rPr>
        <w:t>1. Buying a property of their own, often as part of a move out of London;</w:t>
      </w:r>
    </w:p>
    <w:p w14:paraId="74E22BA6" w14:textId="77777777" w:rsidR="0038038C" w:rsidRPr="0067297E" w:rsidRDefault="0038038C" w:rsidP="00FA273F">
      <w:pPr>
        <w:pStyle w:val="Reporttext"/>
        <w:numPr>
          <w:ilvl w:val="0"/>
          <w:numId w:val="0"/>
        </w:numPr>
        <w:ind w:left="709"/>
        <w:rPr>
          <w:rFonts w:asciiTheme="minorHAnsi" w:hAnsiTheme="minorHAnsi" w:cs="Calibri"/>
        </w:rPr>
      </w:pPr>
      <w:r w:rsidRPr="0067297E">
        <w:rPr>
          <w:rFonts w:asciiTheme="minorHAnsi" w:hAnsiTheme="minorHAnsi" w:cs="Calibri"/>
        </w:rPr>
        <w:t>2. Moving elsewhere for work, or only being in London for a work contract; and</w:t>
      </w:r>
    </w:p>
    <w:p w14:paraId="23B163DC" w14:textId="77777777" w:rsidR="0038038C" w:rsidRPr="0067297E" w:rsidRDefault="0038038C" w:rsidP="00FA273F">
      <w:pPr>
        <w:pStyle w:val="Reporttext"/>
        <w:numPr>
          <w:ilvl w:val="0"/>
          <w:numId w:val="0"/>
        </w:numPr>
        <w:ind w:left="709"/>
        <w:rPr>
          <w:rFonts w:asciiTheme="minorHAnsi" w:hAnsiTheme="minorHAnsi" w:cs="Calibri"/>
        </w:rPr>
      </w:pPr>
      <w:r w:rsidRPr="0067297E">
        <w:rPr>
          <w:rFonts w:asciiTheme="minorHAnsi" w:hAnsiTheme="minorHAnsi" w:cs="Calibri"/>
        </w:rPr>
        <w:t>3. Rent renewal price is set too high.</w:t>
      </w:r>
    </w:p>
    <w:p w14:paraId="6750BFC4"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Another respondent commented that it is very difficult to access social housing or to raise a deposit and mortgage to access home ownership. As a result it is almost impossible for many tenants to leave the PRS.</w:t>
      </w:r>
    </w:p>
    <w:p w14:paraId="1FD9C208"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Affordability was generally acknowledged to be an issue across the entire Borough area, but with some spatial variation: </w:t>
      </w:r>
      <w:r w:rsidRPr="0067297E">
        <w:rPr>
          <w:rFonts w:asciiTheme="minorHAnsi" w:hAnsiTheme="minorHAnsi" w:cs="Calibri"/>
          <w:i/>
        </w:rPr>
        <w:t>‘some parts are hugely unaffordable, some affordable to the higher earners, all unaffordable to those on low incomes’</w:t>
      </w:r>
      <w:r w:rsidRPr="0067297E">
        <w:rPr>
          <w:rFonts w:asciiTheme="minorHAnsi" w:hAnsiTheme="minorHAnsi" w:cs="Calibri"/>
        </w:rPr>
        <w:t>. It was noted that affordability is a particular problem for single people and those on fixed incomes. One stakeholder noted that it is not only rents that are increasing, with increasing numbers of people experiencing food and fuel poverty on a regular basis.</w:t>
      </w:r>
    </w:p>
    <w:p w14:paraId="7FF58219"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In terms of anti-social behaviour (ASB), stakeholders identified that this is a perceived problem in parts of Deptford, New Cross and Downham. It was considered to be a localised issue, and one stakeholder noted that they see more neighbourhood nuisance issues rather than hard-core ASB. Another respondent noted that the impact of ASB becomes greater as housing developments become denser. </w:t>
      </w:r>
    </w:p>
    <w:p w14:paraId="088CE715" w14:textId="77777777" w:rsidR="0038038C" w:rsidRPr="0067297E" w:rsidRDefault="0038038C" w:rsidP="00A62CB8">
      <w:pPr>
        <w:rPr>
          <w:rFonts w:asciiTheme="minorHAnsi" w:hAnsiTheme="minorHAnsi"/>
          <w:lang w:val="en-US"/>
        </w:rPr>
      </w:pPr>
    </w:p>
    <w:p w14:paraId="2089B69F" w14:textId="25C36497" w:rsidR="0038038C" w:rsidRPr="0067297E" w:rsidRDefault="0038038C" w:rsidP="00543A76">
      <w:pPr>
        <w:pStyle w:val="Heading2"/>
        <w:rPr>
          <w:rFonts w:asciiTheme="minorHAnsi" w:hAnsiTheme="minorHAnsi" w:cs="Calibri"/>
          <w:lang w:val="en-US"/>
        </w:rPr>
      </w:pPr>
      <w:bookmarkStart w:id="654" w:name="_Toc398751116"/>
      <w:bookmarkStart w:id="655" w:name="_Toc529887291"/>
      <w:bookmarkStart w:id="656" w:name="_Toc1385809"/>
      <w:bookmarkStart w:id="657" w:name="_Toc23151126"/>
      <w:r w:rsidRPr="0067297E">
        <w:rPr>
          <w:rFonts w:asciiTheme="minorHAnsi" w:hAnsiTheme="minorHAnsi" w:cs="Calibri"/>
          <w:lang w:val="en-US"/>
        </w:rPr>
        <w:t>New housing provision</w:t>
      </w:r>
      <w:bookmarkEnd w:id="654"/>
      <w:bookmarkEnd w:id="655"/>
      <w:bookmarkEnd w:id="656"/>
      <w:bookmarkEnd w:id="657"/>
    </w:p>
    <w:p w14:paraId="5E2FA8C2"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In terms of new-build activity, one stakeholder reported that there has been less taking place than in previous years. However, another respondent noted activity in the following locations: Central Lewisham, Deptford, parts of Lower Sydenham and Catford.</w:t>
      </w:r>
    </w:p>
    <w:p w14:paraId="656A00C0" w14:textId="387F5562"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Respondents considered that demand for new development is strong across the </w:t>
      </w:r>
      <w:r w:rsidR="00B61903" w:rsidRPr="0067297E">
        <w:rPr>
          <w:rFonts w:asciiTheme="minorHAnsi" w:hAnsiTheme="minorHAnsi" w:cs="Calibri"/>
          <w:lang w:val="en-GB"/>
        </w:rPr>
        <w:t>b</w:t>
      </w:r>
      <w:r w:rsidRPr="0067297E">
        <w:rPr>
          <w:rFonts w:asciiTheme="minorHAnsi" w:hAnsiTheme="minorHAnsi" w:cs="Calibri"/>
        </w:rPr>
        <w:t>orough, with transport links, schools, amenities etc</w:t>
      </w:r>
      <w:r w:rsidR="00B61903" w:rsidRPr="0067297E">
        <w:rPr>
          <w:rFonts w:asciiTheme="minorHAnsi" w:hAnsiTheme="minorHAnsi" w:cs="Calibri"/>
          <w:lang w:val="en-GB"/>
        </w:rPr>
        <w:t>.</w:t>
      </w:r>
      <w:r w:rsidRPr="0067297E">
        <w:rPr>
          <w:rFonts w:asciiTheme="minorHAnsi" w:hAnsiTheme="minorHAnsi" w:cs="Calibri"/>
        </w:rPr>
        <w:t xml:space="preserve"> being determining local drivers. The availability of land was identified as a key factor in new-build activity.</w:t>
      </w:r>
    </w:p>
    <w:p w14:paraId="2EABC3A2"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In terms of the demand profile, it was noted that most people would buy if they could afford to, but if this is unrealistic then they rent. A high demand for all tenures was identified, with private rental and social rented accommodation being specifically mentioned.</w:t>
      </w:r>
    </w:p>
    <w:p w14:paraId="0E7CD753"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Demand for new-build housing was considered to come from both households currently living within Lewisham and households seeking to move to the area from elsewhere. </w:t>
      </w:r>
    </w:p>
    <w:p w14:paraId="665D4AD7" w14:textId="5018C649"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Stakeholders were asked where they consider new housing should be built. Three respondents felt that new homes should be built across the </w:t>
      </w:r>
      <w:r w:rsidR="00B61903" w:rsidRPr="0067297E">
        <w:rPr>
          <w:rFonts w:asciiTheme="minorHAnsi" w:hAnsiTheme="minorHAnsi" w:cs="Calibri"/>
          <w:lang w:val="en-GB"/>
        </w:rPr>
        <w:t>b</w:t>
      </w:r>
      <w:r w:rsidRPr="0067297E">
        <w:rPr>
          <w:rFonts w:asciiTheme="minorHAnsi" w:hAnsiTheme="minorHAnsi" w:cs="Calibri"/>
        </w:rPr>
        <w:t>orough, so that no one area becomes over-developed at a high density. Another stakeholder expressed concern regarding the demolition of existing council estates, which are typically replaced with unaffordable, private new-build flats.</w:t>
      </w:r>
    </w:p>
    <w:p w14:paraId="240D0315"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In terms of the types of new housing that should be built within Lewisham, stakeholders suggested the following:</w:t>
      </w:r>
    </w:p>
    <w:p w14:paraId="223C0277" w14:textId="77777777" w:rsidR="0038038C" w:rsidRPr="0067297E" w:rsidRDefault="0038038C" w:rsidP="006B6473">
      <w:pPr>
        <w:pStyle w:val="bullet"/>
        <w:rPr>
          <w:rFonts w:asciiTheme="minorHAnsi" w:hAnsiTheme="minorHAnsi" w:cs="Calibri"/>
        </w:rPr>
      </w:pPr>
      <w:r w:rsidRPr="0067297E">
        <w:rPr>
          <w:rFonts w:asciiTheme="minorHAnsi" w:hAnsiTheme="minorHAnsi" w:cs="Calibri"/>
        </w:rPr>
        <w:t>A mix of housing types based on local planning policy, which should reflect local need;</w:t>
      </w:r>
    </w:p>
    <w:p w14:paraId="73374DCB" w14:textId="77777777" w:rsidR="0038038C" w:rsidRPr="0067297E" w:rsidRDefault="0038038C" w:rsidP="008C3647">
      <w:pPr>
        <w:pStyle w:val="bullet"/>
        <w:rPr>
          <w:rFonts w:asciiTheme="minorHAnsi" w:hAnsiTheme="minorHAnsi" w:cs="Calibri"/>
        </w:rPr>
      </w:pPr>
      <w:r w:rsidRPr="0067297E">
        <w:rPr>
          <w:rFonts w:asciiTheme="minorHAnsi" w:hAnsiTheme="minorHAnsi" w:cs="Calibri"/>
        </w:rPr>
        <w:t>Houses with two, three and four bedrooms;</w:t>
      </w:r>
    </w:p>
    <w:p w14:paraId="2BB05849" w14:textId="77777777" w:rsidR="0038038C" w:rsidRPr="0067297E" w:rsidRDefault="0038038C" w:rsidP="008C3647">
      <w:pPr>
        <w:pStyle w:val="bullet"/>
        <w:rPr>
          <w:rFonts w:asciiTheme="minorHAnsi" w:hAnsiTheme="minorHAnsi" w:cs="Calibri"/>
        </w:rPr>
      </w:pPr>
      <w:r w:rsidRPr="0067297E">
        <w:rPr>
          <w:rFonts w:asciiTheme="minorHAnsi" w:hAnsiTheme="minorHAnsi" w:cs="Calibri"/>
        </w:rPr>
        <w:t>Larger houses for sharers;</w:t>
      </w:r>
    </w:p>
    <w:p w14:paraId="2737C5F5" w14:textId="77777777" w:rsidR="0038038C" w:rsidRPr="0067297E" w:rsidRDefault="0038038C" w:rsidP="008C3647">
      <w:pPr>
        <w:pStyle w:val="bullet"/>
        <w:rPr>
          <w:rFonts w:asciiTheme="minorHAnsi" w:hAnsiTheme="minorHAnsi" w:cs="Calibri"/>
        </w:rPr>
      </w:pPr>
      <w:r w:rsidRPr="0067297E">
        <w:rPr>
          <w:rFonts w:asciiTheme="minorHAnsi" w:hAnsiTheme="minorHAnsi" w:cs="Calibri"/>
        </w:rPr>
        <w:t xml:space="preserve">Flats for singles; </w:t>
      </w:r>
    </w:p>
    <w:p w14:paraId="21B20EE3" w14:textId="77777777" w:rsidR="0038038C" w:rsidRPr="0067297E" w:rsidRDefault="0038038C" w:rsidP="00C12BC3">
      <w:pPr>
        <w:pStyle w:val="bullet"/>
        <w:rPr>
          <w:rFonts w:asciiTheme="minorHAnsi" w:hAnsiTheme="minorHAnsi" w:cs="Calibri"/>
        </w:rPr>
      </w:pPr>
      <w:r w:rsidRPr="0067297E">
        <w:rPr>
          <w:rFonts w:asciiTheme="minorHAnsi" w:hAnsiTheme="minorHAnsi" w:cs="Calibri"/>
        </w:rPr>
        <w:t xml:space="preserve">Affordable housing; and </w:t>
      </w:r>
    </w:p>
    <w:p w14:paraId="46F1EDDC" w14:textId="77777777" w:rsidR="0038038C" w:rsidRPr="0067297E" w:rsidRDefault="0038038C" w:rsidP="00C12BC3">
      <w:pPr>
        <w:pStyle w:val="bullet"/>
        <w:rPr>
          <w:rFonts w:asciiTheme="minorHAnsi" w:hAnsiTheme="minorHAnsi" w:cs="Calibri"/>
        </w:rPr>
      </w:pPr>
      <w:r w:rsidRPr="0067297E">
        <w:rPr>
          <w:rFonts w:asciiTheme="minorHAnsi" w:hAnsiTheme="minorHAnsi" w:cs="Calibri"/>
        </w:rPr>
        <w:t>Flats with two or three bedrooms with capped rents so that they are affordable.</w:t>
      </w:r>
    </w:p>
    <w:p w14:paraId="4A3EF121" w14:textId="273C9C59"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A few of the stakeholders identified their commitment to the development of new housing within the </w:t>
      </w:r>
      <w:r w:rsidR="00B61903" w:rsidRPr="0067297E">
        <w:rPr>
          <w:rFonts w:asciiTheme="minorHAnsi" w:hAnsiTheme="minorHAnsi" w:cs="Calibri"/>
          <w:lang w:val="en-GB"/>
        </w:rPr>
        <w:t>b</w:t>
      </w:r>
      <w:r w:rsidRPr="0067297E">
        <w:rPr>
          <w:rFonts w:asciiTheme="minorHAnsi" w:hAnsiTheme="minorHAnsi" w:cs="Calibri"/>
        </w:rPr>
        <w:t xml:space="preserve">orough. This included a long-term stakeholder with established stock within the Borough and a developer for whom the </w:t>
      </w:r>
      <w:r w:rsidR="00B61903" w:rsidRPr="0067297E">
        <w:rPr>
          <w:rFonts w:asciiTheme="minorHAnsi" w:hAnsiTheme="minorHAnsi" w:cs="Calibri"/>
          <w:lang w:val="en-GB"/>
        </w:rPr>
        <w:t>b</w:t>
      </w:r>
      <w:r w:rsidRPr="0067297E">
        <w:rPr>
          <w:rFonts w:asciiTheme="minorHAnsi" w:hAnsiTheme="minorHAnsi" w:cs="Calibri"/>
        </w:rPr>
        <w:t>orough fits their profile of being relatively affordable with good development opportunities. Lewisham is considered to have strong demand, being a popular location with good transport links into Central London.</w:t>
      </w:r>
    </w:p>
    <w:p w14:paraId="6BB56184"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Barriers to new development reported by stakeholders include: </w:t>
      </w:r>
    </w:p>
    <w:p w14:paraId="286AFFB0" w14:textId="77777777" w:rsidR="0038038C" w:rsidRPr="0067297E" w:rsidRDefault="0038038C" w:rsidP="00A04CC5">
      <w:pPr>
        <w:pStyle w:val="bullet"/>
        <w:rPr>
          <w:rFonts w:asciiTheme="minorHAnsi" w:hAnsiTheme="minorHAnsi" w:cs="Calibri"/>
        </w:rPr>
      </w:pPr>
      <w:r w:rsidRPr="0067297E">
        <w:rPr>
          <w:rFonts w:asciiTheme="minorHAnsi" w:hAnsiTheme="minorHAnsi" w:cs="Calibri"/>
        </w:rPr>
        <w:t>Site availability and assembly issues;</w:t>
      </w:r>
    </w:p>
    <w:p w14:paraId="2BDFCACC" w14:textId="77777777" w:rsidR="0038038C" w:rsidRPr="0067297E" w:rsidRDefault="0038038C" w:rsidP="007E2C96">
      <w:pPr>
        <w:pStyle w:val="bullet"/>
        <w:rPr>
          <w:rFonts w:asciiTheme="minorHAnsi" w:hAnsiTheme="minorHAnsi" w:cs="Calibri"/>
        </w:rPr>
      </w:pPr>
      <w:r w:rsidRPr="0067297E">
        <w:rPr>
          <w:rFonts w:asciiTheme="minorHAnsi" w:hAnsiTheme="minorHAnsi" w:cs="Calibri"/>
        </w:rPr>
        <w:t>Land costs, finance and market uncertainties;</w:t>
      </w:r>
    </w:p>
    <w:p w14:paraId="4373AF01" w14:textId="77777777" w:rsidR="0038038C" w:rsidRPr="0067297E" w:rsidRDefault="0038038C" w:rsidP="00516B53">
      <w:pPr>
        <w:pStyle w:val="bullet"/>
        <w:rPr>
          <w:rFonts w:asciiTheme="minorHAnsi" w:hAnsiTheme="minorHAnsi" w:cs="Calibri"/>
        </w:rPr>
      </w:pPr>
      <w:r w:rsidRPr="0067297E">
        <w:rPr>
          <w:rFonts w:asciiTheme="minorHAnsi" w:hAnsiTheme="minorHAnsi" w:cs="Calibri"/>
        </w:rPr>
        <w:t>Planning – identified as a risk and challenge to development;</w:t>
      </w:r>
    </w:p>
    <w:p w14:paraId="480D8A5C" w14:textId="77777777" w:rsidR="0038038C" w:rsidRPr="0067297E" w:rsidRDefault="0038038C" w:rsidP="00516B53">
      <w:pPr>
        <w:pStyle w:val="bullet"/>
        <w:rPr>
          <w:rFonts w:asciiTheme="minorHAnsi" w:hAnsiTheme="minorHAnsi" w:cs="Calibri"/>
        </w:rPr>
      </w:pPr>
      <w:r w:rsidRPr="0067297E">
        <w:rPr>
          <w:rFonts w:asciiTheme="minorHAnsi" w:hAnsiTheme="minorHAnsi" w:cs="Calibri"/>
        </w:rPr>
        <w:t>Safeguarding of strategic industrial sites;</w:t>
      </w:r>
    </w:p>
    <w:p w14:paraId="4A81D2D3" w14:textId="77777777" w:rsidR="0038038C" w:rsidRPr="0067297E" w:rsidRDefault="0038038C" w:rsidP="00516B53">
      <w:pPr>
        <w:pStyle w:val="bullet"/>
        <w:rPr>
          <w:rFonts w:asciiTheme="minorHAnsi" w:hAnsiTheme="minorHAnsi" w:cs="Calibri"/>
        </w:rPr>
      </w:pPr>
      <w:r w:rsidRPr="0067297E">
        <w:rPr>
          <w:rFonts w:asciiTheme="minorHAnsi" w:hAnsiTheme="minorHAnsi" w:cs="Calibri"/>
        </w:rPr>
        <w:t>Lack of local infrastructure;</w:t>
      </w:r>
    </w:p>
    <w:p w14:paraId="7181B59A" w14:textId="77777777" w:rsidR="0038038C" w:rsidRPr="0067297E" w:rsidRDefault="0038038C" w:rsidP="00516B53">
      <w:pPr>
        <w:pStyle w:val="bullet"/>
        <w:rPr>
          <w:rFonts w:asciiTheme="minorHAnsi" w:hAnsiTheme="minorHAnsi" w:cs="Calibri"/>
        </w:rPr>
      </w:pPr>
      <w:r w:rsidRPr="0067297E">
        <w:rPr>
          <w:rFonts w:asciiTheme="minorHAnsi" w:hAnsiTheme="minorHAnsi" w:cs="Calibri"/>
        </w:rPr>
        <w:t>Construction skills; and</w:t>
      </w:r>
    </w:p>
    <w:p w14:paraId="1820C3B1" w14:textId="77777777" w:rsidR="0038038C" w:rsidRPr="0067297E" w:rsidRDefault="0038038C" w:rsidP="00516B53">
      <w:pPr>
        <w:pStyle w:val="bullet"/>
        <w:rPr>
          <w:rFonts w:asciiTheme="minorHAnsi" w:hAnsiTheme="minorHAnsi" w:cs="Calibri"/>
        </w:rPr>
      </w:pPr>
      <w:r w:rsidRPr="0067297E">
        <w:rPr>
          <w:rFonts w:asciiTheme="minorHAnsi" w:hAnsiTheme="minorHAnsi" w:cs="Calibri"/>
        </w:rPr>
        <w:t>Inertia.</w:t>
      </w:r>
    </w:p>
    <w:p w14:paraId="3C0022C3"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In terms of the future of new-build development, increased offsite manufacture and a more creative approach to infilling were mentioned by stakeholders. However, whilst offsite manufacture may improve the speed of delivery, it is considered that affordability will continue to be a major problem. One stakeholder commented that new-build housing will continue to be unaffordable to families. In addition, any current slowdown or correction of the market will serve to slow the rate of development. One stakeholder predicted that house price growth will be muted, with key determining factors including the hardness of Brexit, interest rates and consumer sentiment in the wider economy. Market rent was reported to have increased significantly in recent years, as an alternative to private sale, and this is considered likely to continue as more institutional investors come into the market.</w:t>
      </w:r>
    </w:p>
    <w:p w14:paraId="6C4254ED" w14:textId="0A36E0A0"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In terms of the key messages relating to housing markets, respondents made the following points:</w:t>
      </w:r>
    </w:p>
    <w:p w14:paraId="47C0E9E1" w14:textId="77777777" w:rsidR="0038038C" w:rsidRPr="0067297E" w:rsidRDefault="0038038C" w:rsidP="00A04CC5">
      <w:pPr>
        <w:pStyle w:val="bullet"/>
        <w:rPr>
          <w:rFonts w:asciiTheme="minorHAnsi" w:hAnsiTheme="minorHAnsi" w:cs="Calibri"/>
          <w:lang w:val="en-US"/>
        </w:rPr>
      </w:pPr>
      <w:r w:rsidRPr="0067297E">
        <w:rPr>
          <w:rFonts w:asciiTheme="minorHAnsi" w:hAnsiTheme="minorHAnsi" w:cs="Calibri"/>
          <w:lang w:val="en-US"/>
        </w:rPr>
        <w:t>Making housing more affordable is a key priority;</w:t>
      </w:r>
    </w:p>
    <w:p w14:paraId="4ED9383A" w14:textId="77777777" w:rsidR="0038038C" w:rsidRPr="0067297E" w:rsidRDefault="0038038C" w:rsidP="007E2C96">
      <w:pPr>
        <w:pStyle w:val="bullet"/>
        <w:rPr>
          <w:rFonts w:asciiTheme="minorHAnsi" w:hAnsiTheme="minorHAnsi" w:cs="Calibri"/>
          <w:lang w:val="en-US"/>
        </w:rPr>
      </w:pPr>
      <w:r w:rsidRPr="0067297E">
        <w:rPr>
          <w:rFonts w:asciiTheme="minorHAnsi" w:hAnsiTheme="minorHAnsi" w:cs="Calibri"/>
          <w:lang w:val="en-US"/>
        </w:rPr>
        <w:t>Tackling undersupply is another key priority;</w:t>
      </w:r>
    </w:p>
    <w:p w14:paraId="7E4EDA97" w14:textId="77777777" w:rsidR="0038038C" w:rsidRPr="0067297E" w:rsidRDefault="0038038C" w:rsidP="00516B53">
      <w:pPr>
        <w:pStyle w:val="bullet"/>
        <w:rPr>
          <w:rFonts w:asciiTheme="minorHAnsi" w:hAnsiTheme="minorHAnsi" w:cs="Calibri"/>
          <w:lang w:val="en-US"/>
        </w:rPr>
      </w:pPr>
      <w:r w:rsidRPr="0067297E">
        <w:rPr>
          <w:rFonts w:asciiTheme="minorHAnsi" w:hAnsiTheme="minorHAnsi" w:cs="Calibri"/>
          <w:lang w:val="en-US"/>
        </w:rPr>
        <w:t>There is a need for genuinely social housing and affordable homes – not at market rents that are unaffordable to those with average incomes;</w:t>
      </w:r>
    </w:p>
    <w:p w14:paraId="3224C4AC" w14:textId="77777777" w:rsidR="0038038C" w:rsidRPr="0067297E" w:rsidRDefault="0038038C" w:rsidP="00516B53">
      <w:pPr>
        <w:pStyle w:val="bullet"/>
        <w:rPr>
          <w:rFonts w:asciiTheme="minorHAnsi" w:hAnsiTheme="minorHAnsi" w:cs="Calibri"/>
          <w:lang w:val="en-US"/>
        </w:rPr>
      </w:pPr>
      <w:r w:rsidRPr="0067297E">
        <w:rPr>
          <w:rFonts w:asciiTheme="minorHAnsi" w:hAnsiTheme="minorHAnsi" w:cs="Calibri"/>
          <w:lang w:val="en-US"/>
        </w:rPr>
        <w:t>There should be a mix of tenures;</w:t>
      </w:r>
    </w:p>
    <w:p w14:paraId="4799D107" w14:textId="77777777" w:rsidR="0038038C" w:rsidRPr="0067297E" w:rsidRDefault="0038038C" w:rsidP="00516B53">
      <w:pPr>
        <w:pStyle w:val="bullet"/>
        <w:rPr>
          <w:rFonts w:asciiTheme="minorHAnsi" w:hAnsiTheme="minorHAnsi" w:cs="Calibri"/>
          <w:lang w:val="en-US"/>
        </w:rPr>
      </w:pPr>
      <w:r w:rsidRPr="0067297E">
        <w:rPr>
          <w:rFonts w:asciiTheme="minorHAnsi" w:hAnsiTheme="minorHAnsi" w:cs="Calibri"/>
          <w:lang w:val="en-US"/>
        </w:rPr>
        <w:t>Older people’s housing needs should be considered; and</w:t>
      </w:r>
    </w:p>
    <w:p w14:paraId="72F4CB83" w14:textId="77777777" w:rsidR="0038038C" w:rsidRPr="0067297E" w:rsidRDefault="0038038C" w:rsidP="00516B53">
      <w:pPr>
        <w:pStyle w:val="bullet"/>
        <w:rPr>
          <w:rFonts w:asciiTheme="minorHAnsi" w:hAnsiTheme="minorHAnsi" w:cs="Calibri"/>
          <w:lang w:val="en-US"/>
        </w:rPr>
      </w:pPr>
      <w:r w:rsidRPr="0067297E">
        <w:rPr>
          <w:rFonts w:asciiTheme="minorHAnsi" w:hAnsiTheme="minorHAnsi" w:cs="Calibri"/>
        </w:rPr>
        <w:t>Do not keep developing at high densities, as general aspirations</w:t>
      </w:r>
      <w:r w:rsidRPr="0067297E">
        <w:rPr>
          <w:rFonts w:asciiTheme="minorHAnsi" w:hAnsiTheme="minorHAnsi" w:cs="Calibri"/>
          <w:lang w:val="en-US"/>
        </w:rPr>
        <w:t xml:space="preserve"> are for a small, traditional house with a garden;</w:t>
      </w:r>
    </w:p>
    <w:p w14:paraId="343055DB" w14:textId="77777777" w:rsidR="0038038C" w:rsidRPr="0067297E" w:rsidRDefault="0038038C" w:rsidP="003F4875">
      <w:pPr>
        <w:pStyle w:val="Maintext"/>
        <w:numPr>
          <w:ilvl w:val="0"/>
          <w:numId w:val="0"/>
        </w:numPr>
        <w:rPr>
          <w:rFonts w:asciiTheme="minorHAnsi" w:hAnsiTheme="minorHAnsi" w:cs="Calibri"/>
        </w:rPr>
      </w:pPr>
    </w:p>
    <w:p w14:paraId="3D5A7060" w14:textId="6A6EACC9" w:rsidR="0038038C" w:rsidRPr="0067297E" w:rsidRDefault="0038038C" w:rsidP="003F4875">
      <w:pPr>
        <w:pStyle w:val="Heading2"/>
        <w:rPr>
          <w:rFonts w:asciiTheme="minorHAnsi" w:hAnsiTheme="minorHAnsi" w:cs="Calibri"/>
        </w:rPr>
      </w:pPr>
      <w:bookmarkStart w:id="658" w:name="_Toc398751117"/>
      <w:bookmarkStart w:id="659" w:name="_Toc529887292"/>
      <w:bookmarkStart w:id="660" w:name="_Toc1385810"/>
      <w:bookmarkStart w:id="661" w:name="_Toc23151127"/>
      <w:r w:rsidRPr="0067297E">
        <w:rPr>
          <w:rFonts w:asciiTheme="minorHAnsi" w:hAnsiTheme="minorHAnsi" w:cs="Calibri"/>
        </w:rPr>
        <w:t>Affordable housing</w:t>
      </w:r>
      <w:bookmarkEnd w:id="658"/>
      <w:bookmarkEnd w:id="659"/>
      <w:bookmarkEnd w:id="660"/>
      <w:bookmarkEnd w:id="661"/>
      <w:r w:rsidRPr="0067297E">
        <w:rPr>
          <w:rFonts w:asciiTheme="minorHAnsi" w:hAnsiTheme="minorHAnsi" w:cs="Calibri"/>
          <w:color w:val="FF0000"/>
        </w:rPr>
        <w:t xml:space="preserve"> </w:t>
      </w:r>
    </w:p>
    <w:p w14:paraId="5195E718"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The stakeholder survey included a number of registered providers and housing associations who work within Lewisham. They reported managing a range of affordable housing accommodation within the Borough, including houses, flats and shared accommodation. Where relevant to the respondent, it was reported that Decent Homes targets have been met. Two stakeholders stated that new schemes are being built to Building Regulations and the London Plan standards, which are considered to represent a good standard of design quality. One housing association set out that they use additional standards within their development, covering space, sound proofing and fire safety measures.</w:t>
      </w:r>
    </w:p>
    <w:p w14:paraId="7ECF63D9" w14:textId="471205D2"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High demand for social rented and affordable housing was reported across the </w:t>
      </w:r>
      <w:r w:rsidR="00B61903" w:rsidRPr="0067297E">
        <w:rPr>
          <w:rFonts w:asciiTheme="minorHAnsi" w:hAnsiTheme="minorHAnsi" w:cs="Calibri"/>
          <w:lang w:val="en-GB"/>
        </w:rPr>
        <w:t>b</w:t>
      </w:r>
      <w:r w:rsidRPr="0067297E">
        <w:rPr>
          <w:rFonts w:asciiTheme="minorHAnsi" w:hAnsiTheme="minorHAnsi" w:cs="Calibri"/>
        </w:rPr>
        <w:t>orough. No areas of particular high or low demand were identified by stakeholders. Three of the respondents identified that their organisations have been involved in building affordable housing within the Borough of Lewisham. However, two of these respondents identified barriers to development, particularly including site availability and costs, the costs of building and financial viability.</w:t>
      </w:r>
    </w:p>
    <w:p w14:paraId="75367DC1"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The survey asked stakeholders whether they felt that the reductions in rental income imposed by the Government in July 2015 have had an effect on the number and type of affordable housing developed since. Three stakeholders reported that this has had an impact upon their development activity, having negatively affected their financial modelling and the investment value of rented stock. One respondent stated that their organisation has had to increase the amount of subsidy they put into their rented developments in order to offset the reductions caused by the policy; another stated that the policy has caused them to build less rented and more shared ownership accommodation.</w:t>
      </w:r>
    </w:p>
    <w:p w14:paraId="4683541E"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When asked whether they consider that the reinstated rent settlement (Consumer Price Index plus 1% from 2020) will encourage organisations to develop further social housing one stakeholder felt that this may be possible, but noted that it would be dependent upon the availability of small sites. Another stakeholder stated that the earlier policy did not deter them from seeking to invest in social rented housing, but this change increases the scope of opportunities to bring schemes forward and the quantum of rented accommodation that is deliverable.</w:t>
      </w:r>
    </w:p>
    <w:p w14:paraId="373ED83E"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Three of the stakeholders reported that their organisation is developing affordable housing products. These include: social rent, affordable rent, London Living Rent and the other GLA products.</w:t>
      </w:r>
    </w:p>
    <w:p w14:paraId="00FA9819"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Two stakeholders identified that their organisation is developing home ownership products; both stated shared ownership. In addition, one of the stakeholders said that they have developed some Help to Buy products and are currently developing some London Living Rent, but only as a minor part of their development programme. Households purchasing affordable home ownership products were identified as predominantly young singles and couples. One respondent reported that across London boroughs, one-bedroom properties always sell the quickest and those with three or more bedrooms take the longest to sell.</w:t>
      </w:r>
    </w:p>
    <w:p w14:paraId="28A994D5"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In terms of household movement within existing affordable housing stock, one stakeholder stated that they have very little movement and when this happens it is usually due to an increase in family size and changed requirements. Another stakeholder reported that for social rented housing the households come from Borough nominations. </w:t>
      </w:r>
    </w:p>
    <w:p w14:paraId="0CBF6721"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Two stakeholders were aware of anti-social behaviour issues within the affordable stock in the Borough of Lewisham. One of the stakeholders noted that these are very localised, with good processes in place and well-trained staff to deal promptly with reports. Stakeholders reported good levels of customer satisfaction.</w:t>
      </w:r>
    </w:p>
    <w:p w14:paraId="25E4215D"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Asked what they considered the key messages should be regarding affordable housing, the following were mentioned:</w:t>
      </w:r>
    </w:p>
    <w:p w14:paraId="3BE0A9BD" w14:textId="77777777" w:rsidR="0038038C" w:rsidRPr="0067297E" w:rsidRDefault="0038038C" w:rsidP="00A04CC5">
      <w:pPr>
        <w:pStyle w:val="bullet"/>
        <w:rPr>
          <w:rFonts w:asciiTheme="minorHAnsi" w:hAnsiTheme="minorHAnsi"/>
        </w:rPr>
      </w:pPr>
      <w:r w:rsidRPr="0067297E">
        <w:rPr>
          <w:rFonts w:asciiTheme="minorHAnsi" w:hAnsiTheme="minorHAnsi"/>
        </w:rPr>
        <w:t>The need for more affordable housing;</w:t>
      </w:r>
    </w:p>
    <w:p w14:paraId="34DC9BA7" w14:textId="77777777" w:rsidR="0038038C" w:rsidRPr="0067297E" w:rsidRDefault="0038038C" w:rsidP="007E2C96">
      <w:pPr>
        <w:pStyle w:val="bullet"/>
        <w:rPr>
          <w:rFonts w:asciiTheme="minorHAnsi" w:hAnsiTheme="minorHAnsi"/>
        </w:rPr>
      </w:pPr>
      <w:r w:rsidRPr="0067297E">
        <w:rPr>
          <w:rFonts w:asciiTheme="minorHAnsi" w:hAnsiTheme="minorHAnsi"/>
        </w:rPr>
        <w:t>Affordable should mean affordable – many of the new-build developments described as affordable are actually not affordable to those in need;</w:t>
      </w:r>
    </w:p>
    <w:p w14:paraId="0E4C2BB0" w14:textId="77777777" w:rsidR="0038038C" w:rsidRPr="0067297E" w:rsidRDefault="0038038C" w:rsidP="007E2C96">
      <w:pPr>
        <w:pStyle w:val="bullet"/>
        <w:rPr>
          <w:rFonts w:asciiTheme="minorHAnsi" w:hAnsiTheme="minorHAnsi"/>
        </w:rPr>
      </w:pPr>
      <w:r w:rsidRPr="0067297E">
        <w:rPr>
          <w:rFonts w:asciiTheme="minorHAnsi" w:hAnsiTheme="minorHAnsi"/>
        </w:rPr>
        <w:t>The need for a mix of tenures;</w:t>
      </w:r>
    </w:p>
    <w:p w14:paraId="1B34C67F" w14:textId="77777777" w:rsidR="0038038C" w:rsidRPr="0067297E" w:rsidRDefault="0038038C" w:rsidP="00516B53">
      <w:pPr>
        <w:pStyle w:val="bullet"/>
        <w:rPr>
          <w:rFonts w:asciiTheme="minorHAnsi" w:hAnsiTheme="minorHAnsi"/>
        </w:rPr>
      </w:pPr>
      <w:r w:rsidRPr="0067297E">
        <w:rPr>
          <w:rFonts w:asciiTheme="minorHAnsi" w:hAnsiTheme="minorHAnsi"/>
        </w:rPr>
        <w:t>The need to build homes that people want to live in, not just homes that will give the highest return on investment for developers – quality of life issues; and</w:t>
      </w:r>
    </w:p>
    <w:p w14:paraId="52AFBB85" w14:textId="77777777" w:rsidR="0038038C" w:rsidRPr="0067297E" w:rsidRDefault="0038038C" w:rsidP="00516B53">
      <w:pPr>
        <w:pStyle w:val="bullet"/>
        <w:rPr>
          <w:rFonts w:asciiTheme="minorHAnsi" w:hAnsiTheme="minorHAnsi"/>
        </w:rPr>
      </w:pPr>
      <w:r w:rsidRPr="0067297E">
        <w:rPr>
          <w:rFonts w:asciiTheme="minorHAnsi" w:hAnsiTheme="minorHAnsi"/>
        </w:rPr>
        <w:t>An acknowledgement of the challenge of developing affordable housing due to the subsidy levels required – a need for higher grant per home.</w:t>
      </w:r>
    </w:p>
    <w:p w14:paraId="3AB9BECC" w14:textId="77777777" w:rsidR="0038038C" w:rsidRPr="0067297E" w:rsidRDefault="0038038C" w:rsidP="00FA273F">
      <w:pPr>
        <w:rPr>
          <w:rFonts w:asciiTheme="minorHAnsi" w:hAnsiTheme="minorHAnsi"/>
          <w:lang w:val="en-US"/>
        </w:rPr>
      </w:pPr>
    </w:p>
    <w:p w14:paraId="02D97E04" w14:textId="67A64BAE" w:rsidR="0038038C" w:rsidRPr="0067297E" w:rsidRDefault="0038038C">
      <w:pPr>
        <w:pStyle w:val="Heading2"/>
        <w:rPr>
          <w:rFonts w:asciiTheme="minorHAnsi" w:hAnsiTheme="minorHAnsi" w:cs="Calibri"/>
          <w:lang w:val="en-US"/>
        </w:rPr>
      </w:pPr>
      <w:bookmarkStart w:id="662" w:name="_Toc398751118"/>
      <w:bookmarkStart w:id="663" w:name="_Toc529887293"/>
      <w:bookmarkStart w:id="664" w:name="_Toc1385811"/>
      <w:bookmarkStart w:id="665" w:name="_Toc23151128"/>
      <w:r w:rsidRPr="0067297E">
        <w:rPr>
          <w:rFonts w:asciiTheme="minorHAnsi" w:hAnsiTheme="minorHAnsi" w:cs="Calibri"/>
          <w:lang w:val="en-US"/>
        </w:rPr>
        <w:t>Specialist Housing</w:t>
      </w:r>
      <w:bookmarkEnd w:id="662"/>
      <w:bookmarkEnd w:id="663"/>
      <w:bookmarkEnd w:id="664"/>
      <w:bookmarkEnd w:id="665"/>
    </w:p>
    <w:p w14:paraId="6CC41420" w14:textId="300A61A1"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Several of the stakeholder survey respondents are directly involved in the </w:t>
      </w:r>
      <w:r w:rsidR="00B61903" w:rsidRPr="0067297E">
        <w:rPr>
          <w:rFonts w:asciiTheme="minorHAnsi" w:hAnsiTheme="minorHAnsi" w:cs="Calibri"/>
          <w:lang w:val="en-GB"/>
        </w:rPr>
        <w:t>s</w:t>
      </w:r>
      <w:r w:rsidRPr="0067297E">
        <w:rPr>
          <w:rFonts w:asciiTheme="minorHAnsi" w:hAnsiTheme="minorHAnsi" w:cs="Calibri"/>
        </w:rPr>
        <w:t xml:space="preserve">pecialist housing sector. They work with a range of client groups including: students, older people, Extra Care, people with physical disabilities, people with learning disabilities and people in temporary housing. In addition, one stakeholder noted that within </w:t>
      </w:r>
      <w:r w:rsidR="00B61903" w:rsidRPr="0067297E">
        <w:rPr>
          <w:rFonts w:asciiTheme="minorHAnsi" w:hAnsiTheme="minorHAnsi" w:cs="Calibri"/>
          <w:lang w:val="en-GB"/>
        </w:rPr>
        <w:t>g</w:t>
      </w:r>
      <w:r w:rsidRPr="0067297E">
        <w:rPr>
          <w:rFonts w:asciiTheme="minorHAnsi" w:hAnsiTheme="minorHAnsi" w:cs="Calibri"/>
        </w:rPr>
        <w:t xml:space="preserve">eneral </w:t>
      </w:r>
      <w:r w:rsidR="00B61903" w:rsidRPr="0067297E">
        <w:rPr>
          <w:rFonts w:asciiTheme="minorHAnsi" w:hAnsiTheme="minorHAnsi" w:cs="Calibri"/>
          <w:lang w:val="en-GB"/>
        </w:rPr>
        <w:t>n</w:t>
      </w:r>
      <w:r w:rsidRPr="0067297E">
        <w:rPr>
          <w:rFonts w:asciiTheme="minorHAnsi" w:hAnsiTheme="minorHAnsi" w:cs="Calibri"/>
        </w:rPr>
        <w:t>eeds homes there are a lot of people with vulnerabilities, disabilities and support needs.</w:t>
      </w:r>
    </w:p>
    <w:p w14:paraId="39450411"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Specialist housing stakeholders were asked to provide information on the accommodation that is currently available to these client groups. The feedback included Extra Care housing and shared houses.</w:t>
      </w:r>
    </w:p>
    <w:p w14:paraId="27B9D512"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Stakeholders were asked how housing policy changes have affected their ability to deliver services to vulnerable groups over recent years. One stakeholder commented that the loss of the ring-fence from Supporting People funding has seen a considerable decrease in the funding of support for customers living in Extra Care. They noted that care hours are generally commissioned for the delivery of care, leaving little or no time for housing-related support to be offered to customers to ensure that this vulnerable group can manage a tenancy. Another stakeholder reported that their organisation pulled out of Supporting People due to viability, and in addition Government changes to LHA caps for supported and sheltered housing have also affected the sector’s appetite to develop.</w:t>
      </w:r>
    </w:p>
    <w:p w14:paraId="1F2FE5AA" w14:textId="5A2578FB"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Asked about areas of high and low demand for </w:t>
      </w:r>
      <w:r w:rsidR="00B61903" w:rsidRPr="0067297E">
        <w:rPr>
          <w:rFonts w:asciiTheme="minorHAnsi" w:hAnsiTheme="minorHAnsi" w:cs="Calibri"/>
          <w:lang w:val="en-GB"/>
        </w:rPr>
        <w:t>s</w:t>
      </w:r>
      <w:r w:rsidRPr="0067297E">
        <w:rPr>
          <w:rFonts w:asciiTheme="minorHAnsi" w:hAnsiTheme="minorHAnsi" w:cs="Calibri"/>
        </w:rPr>
        <w:t xml:space="preserve">pecialist housing, one respondent stated that demand is high </w:t>
      </w:r>
      <w:r w:rsidRPr="0067297E">
        <w:rPr>
          <w:rFonts w:asciiTheme="minorHAnsi" w:hAnsiTheme="minorHAnsi" w:cs="Calibri"/>
          <w:i/>
        </w:rPr>
        <w:t>‘across the board’.</w:t>
      </w:r>
      <w:r w:rsidRPr="0067297E">
        <w:rPr>
          <w:rFonts w:asciiTheme="minorHAnsi" w:hAnsiTheme="minorHAnsi" w:cs="Calibri"/>
        </w:rPr>
        <w:t xml:space="preserve"> Another of the stakeholders reported a huge increase in interest from local authorities across London to develop more Extra Care services. This is predominantly to meet the needs of an increasingly ageing population, together with reducing costs for Adult Social Care (Extra Care offers a less expensive and more enabling environment). In terms of changes in client groups, two respondents commented that there is an increase in the number of vulnerable households. One of these respondents noted that this increasing vulnerability is seen within </w:t>
      </w:r>
      <w:r w:rsidR="00B61903" w:rsidRPr="0067297E">
        <w:rPr>
          <w:rFonts w:asciiTheme="minorHAnsi" w:hAnsiTheme="minorHAnsi" w:cs="Calibri"/>
          <w:lang w:val="en-GB"/>
        </w:rPr>
        <w:t>g</w:t>
      </w:r>
      <w:r w:rsidRPr="0067297E">
        <w:rPr>
          <w:rFonts w:asciiTheme="minorHAnsi" w:hAnsiTheme="minorHAnsi" w:cs="Calibri"/>
        </w:rPr>
        <w:t xml:space="preserve">eneral </w:t>
      </w:r>
      <w:r w:rsidR="00B61903" w:rsidRPr="0067297E">
        <w:rPr>
          <w:rFonts w:asciiTheme="minorHAnsi" w:hAnsiTheme="minorHAnsi" w:cs="Calibri"/>
          <w:lang w:val="en-GB"/>
        </w:rPr>
        <w:t>n</w:t>
      </w:r>
      <w:r w:rsidRPr="0067297E">
        <w:rPr>
          <w:rFonts w:asciiTheme="minorHAnsi" w:hAnsiTheme="minorHAnsi" w:cs="Calibri"/>
        </w:rPr>
        <w:t>eeds housing nominees, many without a diagnosis or care package.</w:t>
      </w:r>
    </w:p>
    <w:p w14:paraId="0B8A613C" w14:textId="726F321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 xml:space="preserve">Barriers to the development of further </w:t>
      </w:r>
      <w:r w:rsidR="00B61903" w:rsidRPr="0067297E">
        <w:rPr>
          <w:rFonts w:asciiTheme="minorHAnsi" w:hAnsiTheme="minorHAnsi" w:cs="Calibri"/>
          <w:lang w:val="en-GB"/>
        </w:rPr>
        <w:t>s</w:t>
      </w:r>
      <w:r w:rsidRPr="0067297E">
        <w:rPr>
          <w:rFonts w:asciiTheme="minorHAnsi" w:hAnsiTheme="minorHAnsi" w:cs="Calibri"/>
        </w:rPr>
        <w:t>upported housing and/or support services were identified as predominantly including viability issues relating to:</w:t>
      </w:r>
    </w:p>
    <w:p w14:paraId="56C0F04B" w14:textId="77777777" w:rsidR="0038038C" w:rsidRPr="0067297E" w:rsidRDefault="0038038C" w:rsidP="00A04CC5">
      <w:pPr>
        <w:pStyle w:val="bullet"/>
        <w:rPr>
          <w:rFonts w:asciiTheme="minorHAnsi" w:hAnsiTheme="minorHAnsi" w:cs="Calibri"/>
        </w:rPr>
      </w:pPr>
      <w:r w:rsidRPr="0067297E">
        <w:rPr>
          <w:rFonts w:asciiTheme="minorHAnsi" w:hAnsiTheme="minorHAnsi" w:cs="Calibri"/>
        </w:rPr>
        <w:t>Uncertainty around revenue funding,</w:t>
      </w:r>
    </w:p>
    <w:p w14:paraId="42CF619C" w14:textId="77777777" w:rsidR="0038038C" w:rsidRPr="0067297E" w:rsidRDefault="0038038C" w:rsidP="007E2C96">
      <w:pPr>
        <w:pStyle w:val="bullet"/>
        <w:rPr>
          <w:rFonts w:asciiTheme="minorHAnsi" w:hAnsiTheme="minorHAnsi" w:cs="Calibri"/>
        </w:rPr>
      </w:pPr>
      <w:r w:rsidRPr="0067297E">
        <w:rPr>
          <w:rFonts w:asciiTheme="minorHAnsi" w:hAnsiTheme="minorHAnsi" w:cs="Calibri"/>
        </w:rPr>
        <w:t>Security of care contracts, and</w:t>
      </w:r>
    </w:p>
    <w:p w14:paraId="28E07AE2" w14:textId="77777777" w:rsidR="0038038C" w:rsidRPr="0067297E" w:rsidRDefault="0038038C" w:rsidP="00516B53">
      <w:pPr>
        <w:pStyle w:val="bullet"/>
        <w:rPr>
          <w:rFonts w:asciiTheme="minorHAnsi" w:hAnsiTheme="minorHAnsi" w:cs="Calibri"/>
        </w:rPr>
      </w:pPr>
      <w:r w:rsidRPr="0067297E">
        <w:rPr>
          <w:rFonts w:asciiTheme="minorHAnsi" w:hAnsiTheme="minorHAnsi" w:cs="Calibri"/>
        </w:rPr>
        <w:t>Welfare policy.</w:t>
      </w:r>
    </w:p>
    <w:p w14:paraId="46D70871"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Stakeholders were asked about their biggest housing stock shortages for Independent Living. One stakeholder noted a shortage of properties for vulnerable groups and those on LHA. Another commented on a shortage of all types of Independent Living stock.</w:t>
      </w:r>
    </w:p>
    <w:p w14:paraId="426BB6CF"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One stakeholder responded to the survey question asking about the key issues regarding the physical adaptation of properties. They stated that the funding of aids and adaptations is the key issue.</w:t>
      </w:r>
    </w:p>
    <w:p w14:paraId="39510249" w14:textId="77777777" w:rsidR="0038038C" w:rsidRPr="0067297E" w:rsidRDefault="0038038C" w:rsidP="002C70BC">
      <w:pPr>
        <w:pStyle w:val="Maintext"/>
        <w:numPr>
          <w:ilvl w:val="1"/>
          <w:numId w:val="38"/>
        </w:numPr>
        <w:rPr>
          <w:rFonts w:asciiTheme="minorHAnsi" w:hAnsiTheme="minorHAnsi" w:cs="Calibri"/>
        </w:rPr>
      </w:pPr>
      <w:r w:rsidRPr="0067297E">
        <w:rPr>
          <w:rFonts w:asciiTheme="minorHAnsi" w:hAnsiTheme="minorHAnsi" w:cs="Calibri"/>
        </w:rPr>
        <w:t>In terms of additional comments and key messages in relation to Supported living, Independent living and older people’s housing, one stakeholder reported that the majority of older people’s housing-with-care provision caters for those eligible for social/affordable rent (housing benefit). However, the majority of the older and ageing population fall into the ‘middle market’ bracket: those owning average sized two or three bedroom houses who would be ineligible for social rented accommodation, and unable to afford accessing high end provision. They expressed concern that this group is therefore particularly under-served, with currently only enough middle market stock to cater for around 0.1% of older people in this income bracket. There is great demand and limited supply. This stakeholder felt that there is a need for a new model of delivery to meet this growing need to deliver supported housing. Another stakeholder suggested that Government should take action, as low-level housing support saves on health and social care costs.</w:t>
      </w:r>
    </w:p>
    <w:p w14:paraId="73D17140" w14:textId="77777777" w:rsidR="00125735" w:rsidRPr="0067297E" w:rsidRDefault="00125735">
      <w:pPr>
        <w:rPr>
          <w:rFonts w:asciiTheme="minorHAnsi" w:hAnsiTheme="minorHAnsi"/>
        </w:rPr>
      </w:pPr>
      <w:r w:rsidRPr="0067297E">
        <w:rPr>
          <w:rFonts w:asciiTheme="minorHAnsi" w:hAnsiTheme="minorHAnsi"/>
        </w:rPr>
        <w:br w:type="page"/>
      </w:r>
    </w:p>
    <w:p w14:paraId="44F29012" w14:textId="51CA665E" w:rsidR="00125735" w:rsidRPr="0067297E" w:rsidRDefault="00125735">
      <w:pPr>
        <w:pStyle w:val="Heading1"/>
        <w:numPr>
          <w:ilvl w:val="0"/>
          <w:numId w:val="0"/>
        </w:numPr>
        <w:rPr>
          <w:rFonts w:asciiTheme="minorHAnsi" w:hAnsiTheme="minorHAnsi" w:cs="Calibri"/>
          <w:lang w:val="en-GB"/>
        </w:rPr>
      </w:pPr>
      <w:bookmarkStart w:id="666" w:name="_Toc1385812"/>
      <w:bookmarkStart w:id="667" w:name="_Toc23151129"/>
      <w:r w:rsidRPr="0067297E">
        <w:rPr>
          <w:rFonts w:asciiTheme="minorHAnsi" w:hAnsiTheme="minorHAnsi" w:cs="Calibri"/>
          <w:lang w:val="en-GB"/>
        </w:rPr>
        <w:t xml:space="preserve">Technical Appendix </w:t>
      </w:r>
      <w:r w:rsidR="00DF121C" w:rsidRPr="0067297E">
        <w:rPr>
          <w:rFonts w:asciiTheme="minorHAnsi" w:hAnsiTheme="minorHAnsi" w:cs="Calibri"/>
          <w:lang w:val="en-GB"/>
        </w:rPr>
        <w:t>D</w:t>
      </w:r>
      <w:r w:rsidRPr="0067297E">
        <w:rPr>
          <w:rFonts w:asciiTheme="minorHAnsi" w:hAnsiTheme="minorHAnsi" w:cs="Calibri"/>
          <w:lang w:val="en-GB"/>
        </w:rPr>
        <w:t xml:space="preserve">:  </w:t>
      </w:r>
      <w:r w:rsidR="00EF04DF" w:rsidRPr="0067297E">
        <w:rPr>
          <w:rFonts w:asciiTheme="minorHAnsi" w:hAnsiTheme="minorHAnsi" w:cs="Calibri"/>
          <w:lang w:val="en-GB"/>
        </w:rPr>
        <w:t>In depth analysis of the private rented sector in Lewisham</w:t>
      </w:r>
      <w:bookmarkEnd w:id="666"/>
      <w:bookmarkEnd w:id="667"/>
    </w:p>
    <w:p w14:paraId="288DEB11" w14:textId="77777777" w:rsidR="00C4521E" w:rsidRPr="0067297E" w:rsidRDefault="00C4521E" w:rsidP="00543A76">
      <w:pPr>
        <w:rPr>
          <w:rFonts w:asciiTheme="minorHAnsi" w:hAnsiTheme="minorHAnsi"/>
        </w:rPr>
      </w:pPr>
      <w:r w:rsidRPr="0067297E">
        <w:rPr>
          <w:rFonts w:asciiTheme="minorHAnsi" w:hAnsiTheme="minorHAnsi"/>
        </w:rPr>
        <w:br w:type="page"/>
      </w:r>
    </w:p>
    <w:p w14:paraId="677FAD8F" w14:textId="77777777" w:rsidR="00C4521E" w:rsidRPr="0067297E" w:rsidRDefault="00C4521E" w:rsidP="00543A76">
      <w:pPr>
        <w:tabs>
          <w:tab w:val="right" w:pos="9214"/>
          <w:tab w:val="right" w:leader="dot" w:pos="9356"/>
        </w:tabs>
        <w:ind w:right="-2"/>
        <w:jc w:val="center"/>
        <w:rPr>
          <w:rFonts w:asciiTheme="minorHAnsi" w:hAnsiTheme="minorHAnsi" w:cstheme="minorHAnsi"/>
          <w:color w:val="009999"/>
        </w:rPr>
      </w:pPr>
      <w:bookmarkStart w:id="668" w:name="_Hlk483291646"/>
      <w:bookmarkEnd w:id="668"/>
      <w:r w:rsidRPr="0067297E">
        <w:rPr>
          <w:rFonts w:asciiTheme="minorHAnsi" w:hAnsiTheme="minorHAnsi" w:cstheme="minorHAnsi"/>
          <w:b/>
          <w:bCs/>
          <w:color w:val="009999"/>
          <w:sz w:val="40"/>
          <w:szCs w:val="40"/>
        </w:rPr>
        <w:t>Private Rented Market in Lewisham</w:t>
      </w:r>
      <w:r w:rsidRPr="0067297E">
        <w:rPr>
          <w:rFonts w:asciiTheme="minorHAnsi" w:hAnsiTheme="minorHAnsi" w:cstheme="minorHAnsi"/>
          <w:b/>
          <w:bCs/>
          <w:color w:val="009999"/>
          <w:sz w:val="40"/>
          <w:szCs w:val="40"/>
        </w:rPr>
        <w:fldChar w:fldCharType="begin"/>
      </w:r>
      <w:r w:rsidRPr="0067297E">
        <w:rPr>
          <w:rFonts w:asciiTheme="minorHAnsi" w:hAnsiTheme="minorHAnsi" w:cstheme="minorHAnsi"/>
          <w:b/>
          <w:bCs/>
          <w:color w:val="009999"/>
          <w:sz w:val="40"/>
          <w:szCs w:val="40"/>
        </w:rPr>
        <w:instrText xml:space="preserve"> </w:instrText>
      </w:r>
      <w:r w:rsidRPr="0067297E">
        <w:rPr>
          <w:rFonts w:asciiTheme="minorHAnsi" w:hAnsiTheme="minorHAnsi" w:cstheme="minorHAnsi"/>
        </w:rPr>
        <w:fldChar w:fldCharType="begin"/>
      </w:r>
      <w:r w:rsidRPr="0067297E">
        <w:rPr>
          <w:rFonts w:asciiTheme="minorHAnsi" w:hAnsiTheme="minorHAnsi" w:cstheme="minorHAnsi"/>
        </w:rPr>
        <w:instrText xml:space="preserve"> FILLIN   \* MERGEFORMAT </w:instrText>
      </w:r>
      <w:r w:rsidRPr="0067297E">
        <w:rPr>
          <w:rFonts w:asciiTheme="minorHAnsi" w:hAnsiTheme="minorHAnsi" w:cstheme="minorHAnsi"/>
        </w:rPr>
        <w:fldChar w:fldCharType="separate"/>
      </w:r>
      <w:r w:rsidRPr="0067297E">
        <w:rPr>
          <w:rFonts w:asciiTheme="minorHAnsi" w:hAnsiTheme="minorHAnsi" w:cstheme="minorHAnsi"/>
          <w:b/>
          <w:bCs/>
          <w:color w:val="009999"/>
          <w:sz w:val="40"/>
          <w:szCs w:val="40"/>
        </w:rPr>
        <w:instrText>year</w:instrText>
      </w:r>
      <w:r w:rsidRPr="0067297E">
        <w:rPr>
          <w:rFonts w:asciiTheme="minorHAnsi" w:hAnsiTheme="minorHAnsi" w:cstheme="minorHAnsi"/>
          <w:b/>
          <w:bCs/>
          <w:color w:val="009999"/>
          <w:sz w:val="40"/>
          <w:szCs w:val="40"/>
        </w:rPr>
        <w:fldChar w:fldCharType="end"/>
      </w:r>
      <w:r w:rsidRPr="0067297E">
        <w:rPr>
          <w:rFonts w:asciiTheme="minorHAnsi" w:hAnsiTheme="minorHAnsi" w:cstheme="minorHAnsi"/>
          <w:b/>
          <w:bCs/>
          <w:color w:val="009999"/>
          <w:sz w:val="40"/>
          <w:szCs w:val="40"/>
        </w:rPr>
        <w:instrText xml:space="preserve"> </w:instrText>
      </w:r>
      <w:r w:rsidRPr="0067297E">
        <w:rPr>
          <w:rFonts w:asciiTheme="minorHAnsi" w:hAnsiTheme="minorHAnsi" w:cstheme="minorHAnsi"/>
          <w:b/>
          <w:bCs/>
          <w:color w:val="009999"/>
          <w:sz w:val="40"/>
          <w:szCs w:val="40"/>
        </w:rPr>
        <w:fldChar w:fldCharType="end"/>
      </w:r>
    </w:p>
    <w:p w14:paraId="2832449B" w14:textId="77777777" w:rsidR="00C4521E" w:rsidRPr="0067297E" w:rsidRDefault="00C4521E" w:rsidP="00543A76">
      <w:pPr>
        <w:pStyle w:val="BodyText"/>
        <w:pBdr>
          <w:top w:val="single" w:sz="18" w:space="1" w:color="0D5F5D"/>
        </w:pBdr>
        <w:jc w:val="center"/>
        <w:rPr>
          <w:rFonts w:asciiTheme="minorHAnsi" w:hAnsiTheme="minorHAnsi" w:cs="Calibri"/>
          <w:bCs/>
          <w:color w:val="009999"/>
          <w:sz w:val="40"/>
          <w:szCs w:val="40"/>
        </w:rPr>
      </w:pPr>
    </w:p>
    <w:p w14:paraId="2B7EB93D" w14:textId="77777777" w:rsidR="00C4521E" w:rsidRPr="0067297E" w:rsidRDefault="00C4521E" w:rsidP="00543A76">
      <w:pPr>
        <w:pStyle w:val="BodyText"/>
        <w:jc w:val="center"/>
        <w:rPr>
          <w:rFonts w:asciiTheme="minorHAnsi" w:hAnsiTheme="minorHAnsi" w:cs="Calibri"/>
          <w:bCs/>
          <w:color w:val="009999"/>
          <w:sz w:val="40"/>
          <w:szCs w:val="40"/>
        </w:rPr>
      </w:pPr>
    </w:p>
    <w:p w14:paraId="37952537" w14:textId="77777777" w:rsidR="00C4521E" w:rsidRPr="0067297E" w:rsidRDefault="00C4521E" w:rsidP="00543A76">
      <w:pPr>
        <w:pStyle w:val="BodyText"/>
        <w:jc w:val="center"/>
        <w:rPr>
          <w:rFonts w:asciiTheme="minorHAnsi" w:hAnsiTheme="minorHAnsi" w:cs="Calibri"/>
          <w:bCs/>
          <w:color w:val="009999"/>
          <w:sz w:val="40"/>
          <w:szCs w:val="40"/>
        </w:rPr>
      </w:pPr>
    </w:p>
    <w:p w14:paraId="6FC17077" w14:textId="77777777" w:rsidR="00C4521E" w:rsidRPr="0067297E" w:rsidRDefault="00C4521E" w:rsidP="00543A76">
      <w:pPr>
        <w:pStyle w:val="BodyText"/>
        <w:jc w:val="center"/>
        <w:rPr>
          <w:rFonts w:asciiTheme="minorHAnsi" w:hAnsiTheme="minorHAnsi" w:cs="Calibri"/>
          <w:bCs/>
          <w:color w:val="009999"/>
          <w:sz w:val="40"/>
          <w:szCs w:val="40"/>
        </w:rPr>
      </w:pPr>
    </w:p>
    <w:p w14:paraId="6B047BFD" w14:textId="77777777" w:rsidR="00C4521E" w:rsidRPr="0067297E" w:rsidRDefault="00C4521E" w:rsidP="000256AC">
      <w:pPr>
        <w:pStyle w:val="BodyText"/>
        <w:jc w:val="center"/>
        <w:rPr>
          <w:rFonts w:asciiTheme="minorHAnsi" w:hAnsiTheme="minorHAnsi" w:cs="Calibri"/>
          <w:bCs/>
          <w:color w:val="009999"/>
          <w:sz w:val="40"/>
          <w:szCs w:val="40"/>
        </w:rPr>
      </w:pPr>
    </w:p>
    <w:p w14:paraId="2615955E" w14:textId="77777777" w:rsidR="00C4521E" w:rsidRPr="0067297E" w:rsidRDefault="00C4521E" w:rsidP="006C722F">
      <w:pPr>
        <w:pStyle w:val="BodyText"/>
        <w:jc w:val="center"/>
        <w:rPr>
          <w:rFonts w:asciiTheme="minorHAnsi" w:hAnsiTheme="minorHAnsi" w:cs="Calibri"/>
          <w:bCs/>
          <w:color w:val="009999"/>
          <w:sz w:val="40"/>
          <w:szCs w:val="40"/>
        </w:rPr>
      </w:pPr>
    </w:p>
    <w:p w14:paraId="251005C0" w14:textId="77777777" w:rsidR="00C4521E" w:rsidRPr="0067297E" w:rsidRDefault="00C4521E" w:rsidP="006C722F">
      <w:pPr>
        <w:pStyle w:val="BodyText"/>
        <w:jc w:val="center"/>
        <w:rPr>
          <w:rFonts w:asciiTheme="minorHAnsi" w:hAnsiTheme="minorHAnsi" w:cs="Calibri"/>
          <w:bCs/>
          <w:color w:val="009999"/>
          <w:sz w:val="40"/>
          <w:szCs w:val="40"/>
        </w:rPr>
      </w:pPr>
      <w:r w:rsidRPr="0067297E">
        <w:rPr>
          <w:rFonts w:asciiTheme="minorHAnsi" w:hAnsiTheme="minorHAnsi" w:cs="Calibri"/>
          <w:bCs/>
          <w:color w:val="009999"/>
          <w:sz w:val="40"/>
          <w:szCs w:val="40"/>
        </w:rPr>
        <w:t>Lewisham Council</w:t>
      </w:r>
    </w:p>
    <w:p w14:paraId="72B95EFA" w14:textId="77777777" w:rsidR="00C4521E" w:rsidRPr="0067297E" w:rsidRDefault="00C4521E" w:rsidP="006C722F">
      <w:pPr>
        <w:pStyle w:val="BodyText"/>
        <w:jc w:val="center"/>
        <w:rPr>
          <w:rFonts w:asciiTheme="minorHAnsi" w:hAnsiTheme="minorHAnsi" w:cs="Calibri"/>
          <w:bCs/>
          <w:color w:val="009999"/>
          <w:sz w:val="40"/>
          <w:szCs w:val="40"/>
        </w:rPr>
      </w:pPr>
    </w:p>
    <w:p w14:paraId="4C7DA0EB" w14:textId="77777777" w:rsidR="00C4521E" w:rsidRPr="0067297E" w:rsidRDefault="00C4521E" w:rsidP="00944242">
      <w:pPr>
        <w:pStyle w:val="BodyText"/>
        <w:jc w:val="center"/>
        <w:rPr>
          <w:rFonts w:asciiTheme="minorHAnsi" w:hAnsiTheme="minorHAnsi" w:cs="Calibri"/>
          <w:bCs/>
          <w:color w:val="009999"/>
          <w:sz w:val="40"/>
          <w:szCs w:val="40"/>
        </w:rPr>
      </w:pPr>
    </w:p>
    <w:p w14:paraId="0A933A35" w14:textId="77777777" w:rsidR="00C4521E" w:rsidRPr="0067297E" w:rsidRDefault="00C4521E" w:rsidP="00944242">
      <w:pPr>
        <w:pStyle w:val="BodyText"/>
        <w:jc w:val="center"/>
        <w:rPr>
          <w:rFonts w:asciiTheme="minorHAnsi" w:hAnsiTheme="minorHAnsi" w:cs="Calibri"/>
          <w:bCs/>
          <w:color w:val="009999"/>
          <w:sz w:val="40"/>
          <w:szCs w:val="40"/>
        </w:rPr>
      </w:pPr>
      <w:r w:rsidRPr="0067297E">
        <w:rPr>
          <w:rFonts w:asciiTheme="minorHAnsi" w:hAnsiTheme="minorHAnsi" w:cs="Calibri"/>
          <w:bCs/>
          <w:color w:val="009999"/>
          <w:sz w:val="40"/>
          <w:szCs w:val="40"/>
        </w:rPr>
        <w:t>July 2018</w:t>
      </w:r>
    </w:p>
    <w:p w14:paraId="4D2CA6C5" w14:textId="77777777" w:rsidR="00C4521E" w:rsidRPr="0067297E" w:rsidRDefault="00C4521E" w:rsidP="006B6473">
      <w:pPr>
        <w:pStyle w:val="BodyText"/>
        <w:jc w:val="center"/>
        <w:rPr>
          <w:rFonts w:asciiTheme="minorHAnsi" w:hAnsiTheme="minorHAnsi" w:cs="Calibri"/>
          <w:bCs/>
          <w:color w:val="009999"/>
          <w:sz w:val="40"/>
          <w:szCs w:val="40"/>
        </w:rPr>
      </w:pPr>
    </w:p>
    <w:p w14:paraId="4506B127" w14:textId="77777777" w:rsidR="00C4521E" w:rsidRPr="0067297E" w:rsidRDefault="00C4521E" w:rsidP="008C3647">
      <w:pPr>
        <w:rPr>
          <w:rFonts w:asciiTheme="minorHAnsi" w:hAnsiTheme="minorHAnsi" w:cs="Calibri"/>
          <w:color w:val="009999"/>
        </w:rPr>
      </w:pPr>
    </w:p>
    <w:p w14:paraId="2CC6F9FD" w14:textId="77777777" w:rsidR="00C4521E" w:rsidRPr="0067297E" w:rsidRDefault="00C4521E" w:rsidP="008C3647">
      <w:pPr>
        <w:rPr>
          <w:rFonts w:asciiTheme="minorHAnsi" w:hAnsiTheme="minorHAnsi" w:cs="Calibri"/>
          <w:color w:val="009999"/>
        </w:rPr>
      </w:pPr>
    </w:p>
    <w:p w14:paraId="68712A10" w14:textId="77777777" w:rsidR="00C4521E" w:rsidRPr="0067297E" w:rsidRDefault="00C4521E" w:rsidP="00C12BC3">
      <w:pPr>
        <w:rPr>
          <w:rFonts w:asciiTheme="minorHAnsi" w:hAnsiTheme="minorHAnsi" w:cs="Calibri"/>
          <w:color w:val="009999"/>
        </w:rPr>
      </w:pPr>
    </w:p>
    <w:p w14:paraId="586788C5" w14:textId="77777777" w:rsidR="00C4521E" w:rsidRPr="0067297E" w:rsidRDefault="00C4521E" w:rsidP="00C12BC3">
      <w:pPr>
        <w:rPr>
          <w:rFonts w:asciiTheme="minorHAnsi" w:hAnsiTheme="minorHAnsi" w:cs="Calibri"/>
          <w:color w:val="009999"/>
        </w:rPr>
      </w:pPr>
    </w:p>
    <w:p w14:paraId="16F6C90F" w14:textId="77777777" w:rsidR="00C4521E" w:rsidRPr="0067297E" w:rsidRDefault="00C4521E" w:rsidP="00C12BC3">
      <w:pPr>
        <w:rPr>
          <w:rFonts w:asciiTheme="minorHAnsi" w:hAnsiTheme="minorHAnsi" w:cs="Calibri"/>
          <w:color w:val="009999"/>
        </w:rPr>
      </w:pPr>
    </w:p>
    <w:p w14:paraId="148BEF9C" w14:textId="77777777" w:rsidR="00C4521E" w:rsidRPr="0067297E" w:rsidRDefault="00C4521E" w:rsidP="00C12BC3">
      <w:pPr>
        <w:rPr>
          <w:rFonts w:asciiTheme="minorHAnsi" w:hAnsiTheme="minorHAnsi" w:cs="Calibri"/>
          <w:color w:val="009999"/>
        </w:rPr>
      </w:pPr>
    </w:p>
    <w:p w14:paraId="5773FF20" w14:textId="28F40FA0" w:rsidR="00C4521E" w:rsidRDefault="00C4521E" w:rsidP="00A04CC5">
      <w:pPr>
        <w:rPr>
          <w:rFonts w:asciiTheme="minorHAnsi" w:hAnsiTheme="minorHAnsi" w:cs="Calibri"/>
          <w:color w:val="009999"/>
        </w:rPr>
      </w:pPr>
    </w:p>
    <w:p w14:paraId="36083A14" w14:textId="74A8D9A5" w:rsidR="0050310B" w:rsidRDefault="0050310B" w:rsidP="00A04CC5">
      <w:pPr>
        <w:rPr>
          <w:rFonts w:asciiTheme="minorHAnsi" w:hAnsiTheme="minorHAnsi" w:cs="Calibri"/>
          <w:color w:val="009999"/>
        </w:rPr>
      </w:pPr>
    </w:p>
    <w:p w14:paraId="0CB27A9E" w14:textId="3616B3A0" w:rsidR="0050310B" w:rsidRDefault="0050310B" w:rsidP="00A04CC5">
      <w:pPr>
        <w:rPr>
          <w:rFonts w:asciiTheme="minorHAnsi" w:hAnsiTheme="minorHAnsi" w:cs="Calibri"/>
          <w:color w:val="009999"/>
        </w:rPr>
      </w:pPr>
    </w:p>
    <w:p w14:paraId="1FF5CBC2" w14:textId="339681A8" w:rsidR="0050310B" w:rsidRDefault="0050310B" w:rsidP="00A04CC5">
      <w:pPr>
        <w:rPr>
          <w:rFonts w:asciiTheme="minorHAnsi" w:hAnsiTheme="minorHAnsi" w:cs="Calibri"/>
          <w:color w:val="009999"/>
        </w:rPr>
      </w:pPr>
    </w:p>
    <w:p w14:paraId="2FF8DC01" w14:textId="77777777" w:rsidR="0050310B" w:rsidRPr="0067297E" w:rsidRDefault="0050310B" w:rsidP="00A04CC5">
      <w:pPr>
        <w:rPr>
          <w:rFonts w:asciiTheme="minorHAnsi" w:hAnsiTheme="minorHAnsi" w:cs="Calibri"/>
          <w:color w:val="009999"/>
        </w:rPr>
      </w:pPr>
    </w:p>
    <w:p w14:paraId="180F4518" w14:textId="77777777" w:rsidR="00C4521E" w:rsidRPr="0067297E" w:rsidRDefault="00C4521E" w:rsidP="007E2C96">
      <w:pPr>
        <w:rPr>
          <w:rFonts w:asciiTheme="minorHAnsi" w:hAnsiTheme="minorHAnsi" w:cs="Calibri"/>
          <w:color w:val="009999"/>
        </w:rPr>
      </w:pPr>
    </w:p>
    <w:p w14:paraId="1CDA74B9" w14:textId="77777777" w:rsidR="00C4521E" w:rsidRPr="0067297E" w:rsidRDefault="00C4521E" w:rsidP="00516B53">
      <w:pPr>
        <w:pBdr>
          <w:bottom w:val="single" w:sz="18" w:space="1" w:color="008080"/>
        </w:pBdr>
        <w:rPr>
          <w:rFonts w:asciiTheme="minorHAnsi" w:hAnsiTheme="minorHAnsi" w:cs="Calibri"/>
          <w:color w:val="009999"/>
        </w:rPr>
      </w:pPr>
    </w:p>
    <w:p w14:paraId="03BCB03B" w14:textId="77777777" w:rsidR="00C4521E" w:rsidRPr="0067297E" w:rsidRDefault="00C4521E" w:rsidP="00516B53">
      <w:pPr>
        <w:tabs>
          <w:tab w:val="left" w:pos="1843"/>
        </w:tabs>
        <w:rPr>
          <w:rFonts w:asciiTheme="minorHAnsi" w:hAnsiTheme="minorHAnsi" w:cs="Calibri"/>
          <w:b/>
          <w:color w:val="009999"/>
        </w:rPr>
      </w:pPr>
      <w:r w:rsidRPr="0067297E">
        <w:rPr>
          <w:rFonts w:asciiTheme="minorHAnsi" w:hAnsiTheme="minorHAnsi" w:cs="Calibri"/>
          <w:noProof/>
          <w:color w:val="009999"/>
          <w:lang w:eastAsia="en-GB"/>
        </w:rPr>
        <w:drawing>
          <wp:anchor distT="0" distB="0" distL="114300" distR="114300" simplePos="0" relativeHeight="251659264" behindDoc="1" locked="1" layoutInCell="0" allowOverlap="1" wp14:anchorId="2398B02A" wp14:editId="25615371">
            <wp:simplePos x="0" y="0"/>
            <wp:positionH relativeFrom="margin">
              <wp:align>right</wp:align>
            </wp:positionH>
            <wp:positionV relativeFrom="page">
              <wp:posOffset>8081010</wp:posOffset>
            </wp:positionV>
            <wp:extent cx="1745615" cy="1011555"/>
            <wp:effectExtent l="0" t="0" r="6985" b="0"/>
            <wp:wrapThrough wrapText="bothSides">
              <wp:wrapPolygon edited="0">
                <wp:start x="12493" y="0"/>
                <wp:lineTo x="9193" y="2034"/>
                <wp:lineTo x="9429" y="3661"/>
                <wp:lineTo x="19801" y="6508"/>
                <wp:lineTo x="0" y="7729"/>
                <wp:lineTo x="0" y="19525"/>
                <wp:lineTo x="18858" y="19525"/>
                <wp:lineTo x="18151" y="21153"/>
                <wp:lineTo x="19329" y="21153"/>
                <wp:lineTo x="20272" y="19525"/>
                <wp:lineTo x="21451" y="15458"/>
                <wp:lineTo x="21451" y="5288"/>
                <wp:lineTo x="18858" y="1220"/>
                <wp:lineTo x="17208" y="0"/>
                <wp:lineTo x="12493" y="0"/>
              </wp:wrapPolygon>
            </wp:wrapThrough>
            <wp:docPr id="30" name="Picture 30" descr="C:\Users\Sandie Brand\Documents\ARC4\Logos\Various File Formats\PNG\Logo.pn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PNG\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615" cy="1011555"/>
                    </a:xfrm>
                    <a:prstGeom prst="rect">
                      <a:avLst/>
                    </a:prstGeom>
                    <a:noFill/>
                    <a:ln>
                      <a:noFill/>
                    </a:ln>
                  </pic:spPr>
                </pic:pic>
              </a:graphicData>
            </a:graphic>
          </wp:anchor>
        </w:drawing>
      </w:r>
      <w:r w:rsidRPr="0067297E">
        <w:rPr>
          <w:rFonts w:asciiTheme="minorHAnsi" w:hAnsiTheme="minorHAnsi" w:cs="Calibri"/>
          <w:b/>
          <w:color w:val="009999"/>
        </w:rPr>
        <w:t>Main Contact:</w:t>
      </w:r>
      <w:r w:rsidRPr="0067297E">
        <w:rPr>
          <w:rFonts w:asciiTheme="minorHAnsi" w:hAnsiTheme="minorHAnsi" w:cs="Calibri"/>
          <w:b/>
          <w:color w:val="009999"/>
        </w:rPr>
        <w:tab/>
        <w:t>Helen Brzozowski</w:t>
      </w:r>
    </w:p>
    <w:p w14:paraId="78C184CC" w14:textId="77777777" w:rsidR="00C4521E" w:rsidRPr="0067297E" w:rsidRDefault="00C4521E" w:rsidP="00516B53">
      <w:pPr>
        <w:tabs>
          <w:tab w:val="left" w:pos="1843"/>
        </w:tabs>
        <w:rPr>
          <w:rFonts w:asciiTheme="minorHAnsi" w:hAnsiTheme="minorHAnsi" w:cs="Calibri"/>
          <w:b/>
          <w:color w:val="009999"/>
        </w:rPr>
      </w:pPr>
      <w:r w:rsidRPr="0067297E">
        <w:rPr>
          <w:rFonts w:asciiTheme="minorHAnsi" w:hAnsiTheme="minorHAnsi" w:cs="Calibri"/>
          <w:b/>
          <w:color w:val="009999"/>
        </w:rPr>
        <w:t xml:space="preserve">Email:  </w:t>
      </w:r>
      <w:r w:rsidRPr="0067297E">
        <w:rPr>
          <w:rFonts w:asciiTheme="minorHAnsi" w:hAnsiTheme="minorHAnsi" w:cs="Calibri"/>
          <w:b/>
          <w:color w:val="009999"/>
        </w:rPr>
        <w:tab/>
        <w:t xml:space="preserve">Helen.brzozowski@arc4.co.uk  </w:t>
      </w:r>
    </w:p>
    <w:p w14:paraId="33107D3F" w14:textId="77777777" w:rsidR="00C4521E" w:rsidRPr="0067297E" w:rsidRDefault="00C4521E" w:rsidP="00516B53">
      <w:pPr>
        <w:tabs>
          <w:tab w:val="left" w:pos="1843"/>
        </w:tabs>
        <w:rPr>
          <w:rFonts w:asciiTheme="minorHAnsi" w:hAnsiTheme="minorHAnsi" w:cs="Calibri"/>
          <w:b/>
          <w:color w:val="009999"/>
        </w:rPr>
      </w:pPr>
      <w:r w:rsidRPr="0067297E">
        <w:rPr>
          <w:rFonts w:asciiTheme="minorHAnsi" w:hAnsiTheme="minorHAnsi" w:cs="Calibri"/>
          <w:b/>
          <w:bCs/>
          <w:color w:val="009999"/>
        </w:rPr>
        <w:t>Telephone:</w:t>
      </w:r>
      <w:r w:rsidRPr="0067297E">
        <w:rPr>
          <w:rFonts w:asciiTheme="minorHAnsi" w:hAnsiTheme="minorHAnsi" w:cs="Calibri"/>
          <w:b/>
          <w:bCs/>
          <w:color w:val="009999"/>
        </w:rPr>
        <w:tab/>
      </w:r>
      <w:r w:rsidRPr="0067297E">
        <w:rPr>
          <w:rFonts w:asciiTheme="minorHAnsi" w:hAnsiTheme="minorHAnsi" w:cs="Calibri"/>
          <w:b/>
          <w:color w:val="009999"/>
        </w:rPr>
        <w:t>07721 011276</w:t>
      </w:r>
    </w:p>
    <w:p w14:paraId="1AA1AC89" w14:textId="77777777" w:rsidR="00C4521E" w:rsidRPr="0067297E" w:rsidRDefault="00C4521E" w:rsidP="003F4875">
      <w:pPr>
        <w:tabs>
          <w:tab w:val="left" w:pos="1843"/>
        </w:tabs>
        <w:rPr>
          <w:rFonts w:asciiTheme="minorHAnsi" w:hAnsiTheme="minorHAnsi" w:cs="Calibri"/>
          <w:b/>
          <w:bCs/>
          <w:color w:val="009999"/>
        </w:rPr>
      </w:pPr>
      <w:r w:rsidRPr="0067297E">
        <w:rPr>
          <w:rFonts w:asciiTheme="minorHAnsi" w:hAnsiTheme="minorHAnsi" w:cs="Calibri"/>
          <w:b/>
          <w:bCs/>
          <w:color w:val="009999"/>
        </w:rPr>
        <w:t xml:space="preserve">Website:  </w:t>
      </w:r>
      <w:r w:rsidRPr="0067297E">
        <w:rPr>
          <w:rFonts w:asciiTheme="minorHAnsi" w:hAnsiTheme="minorHAnsi" w:cs="Calibri"/>
          <w:b/>
          <w:bCs/>
          <w:color w:val="009999"/>
        </w:rPr>
        <w:tab/>
      </w:r>
      <w:hyperlink r:id="rId99" w:history="1">
        <w:r w:rsidRPr="0067297E">
          <w:rPr>
            <w:rStyle w:val="Hyperlink"/>
            <w:rFonts w:asciiTheme="minorHAnsi" w:hAnsiTheme="minorHAnsi" w:cs="Calibri"/>
            <w:b/>
            <w:color w:val="009999"/>
          </w:rPr>
          <w:t>www</w:t>
        </w:r>
        <w:r w:rsidRPr="0067297E">
          <w:rPr>
            <w:rFonts w:asciiTheme="minorHAnsi" w:hAnsiTheme="minorHAnsi" w:cs="Calibri"/>
            <w:b/>
            <w:bCs/>
            <w:color w:val="009999"/>
            <w:u w:val="single"/>
          </w:rPr>
          <w:t>.arc4.co.uk</w:t>
        </w:r>
      </w:hyperlink>
      <w:r w:rsidRPr="0067297E">
        <w:rPr>
          <w:rFonts w:asciiTheme="minorHAnsi" w:hAnsiTheme="minorHAnsi" w:cs="Calibri"/>
          <w:b/>
          <w:bCs/>
          <w:color w:val="009999"/>
        </w:rPr>
        <w:t xml:space="preserve"> </w:t>
      </w:r>
    </w:p>
    <w:p w14:paraId="4764C4A8" w14:textId="77777777" w:rsidR="00C4521E" w:rsidRPr="0067297E" w:rsidRDefault="00C4521E" w:rsidP="00FA273F">
      <w:pPr>
        <w:pStyle w:val="NormalWeb"/>
        <w:shd w:val="clear" w:color="auto" w:fill="FFFFFF"/>
        <w:spacing w:after="120" w:afterAutospacing="0"/>
        <w:rPr>
          <w:rFonts w:asciiTheme="minorHAnsi" w:hAnsiTheme="minorHAnsi" w:cs="Calibri"/>
          <w:i/>
          <w:iCs/>
          <w:color w:val="009999"/>
          <w:sz w:val="18"/>
          <w:szCs w:val="20"/>
        </w:rPr>
      </w:pPr>
      <w:r w:rsidRPr="0067297E">
        <w:rPr>
          <w:rFonts w:asciiTheme="minorHAnsi" w:hAnsiTheme="minorHAnsi" w:cs="Calibri"/>
          <w:i/>
          <w:iCs/>
          <w:color w:val="009999"/>
          <w:sz w:val="18"/>
          <w:szCs w:val="20"/>
        </w:rPr>
        <w:t>© 2018 arc</w:t>
      </w:r>
      <w:r w:rsidRPr="0067297E">
        <w:rPr>
          <w:rFonts w:asciiTheme="minorHAnsi" w:hAnsiTheme="minorHAnsi" w:cs="Calibri"/>
          <w:i/>
          <w:iCs/>
          <w:color w:val="009999"/>
          <w:sz w:val="18"/>
          <w:szCs w:val="20"/>
          <w:vertAlign w:val="superscript"/>
        </w:rPr>
        <w:t>4</w:t>
      </w:r>
      <w:r w:rsidRPr="0067297E">
        <w:rPr>
          <w:rFonts w:asciiTheme="minorHAnsi" w:hAnsiTheme="minorHAnsi" w:cs="Calibri"/>
          <w:i/>
          <w:iCs/>
          <w:color w:val="009999"/>
          <w:sz w:val="18"/>
          <w:szCs w:val="20"/>
        </w:rPr>
        <w:t xml:space="preserve"> Limited (Company No. 06205180)</w:t>
      </w:r>
    </w:p>
    <w:p w14:paraId="7FD94668" w14:textId="77777777" w:rsidR="00C4521E" w:rsidRPr="0067297E" w:rsidRDefault="00C4521E">
      <w:pPr>
        <w:rPr>
          <w:rFonts w:asciiTheme="minorHAnsi" w:hAnsiTheme="minorHAnsi" w:cs="Arial"/>
          <w:i/>
          <w:iCs/>
          <w:color w:val="009999"/>
          <w:sz w:val="18"/>
          <w:szCs w:val="20"/>
          <w:lang w:eastAsia="en-GB"/>
        </w:rPr>
        <w:sectPr w:rsidR="00C4521E" w:rsidRPr="0067297E" w:rsidSect="004A65A7">
          <w:headerReference w:type="even" r:id="rId100"/>
          <w:headerReference w:type="default" r:id="rId101"/>
          <w:footerReference w:type="even" r:id="rId102"/>
          <w:footerReference w:type="default" r:id="rId103"/>
          <w:headerReference w:type="first" r:id="rId104"/>
          <w:footerReference w:type="first" r:id="rId105"/>
          <w:pgSz w:w="11906" w:h="16838"/>
          <w:pgMar w:top="1440" w:right="1440" w:bottom="1134" w:left="1440" w:header="708" w:footer="708" w:gutter="0"/>
          <w:cols w:space="708"/>
          <w:docGrid w:linePitch="360"/>
        </w:sectPr>
      </w:pPr>
    </w:p>
    <w:p w14:paraId="10682ADA" w14:textId="77777777" w:rsidR="00C4521E" w:rsidRPr="0067297E" w:rsidRDefault="00C4521E">
      <w:pPr>
        <w:rPr>
          <w:rFonts w:asciiTheme="minorHAnsi" w:hAnsiTheme="minorHAnsi" w:cs="Arial"/>
          <w:b/>
          <w:iCs/>
          <w:color w:val="008080"/>
          <w:szCs w:val="20"/>
          <w:lang w:eastAsia="en-GB"/>
        </w:rPr>
      </w:pPr>
      <w:r w:rsidRPr="0067297E">
        <w:rPr>
          <w:rFonts w:asciiTheme="minorHAnsi" w:hAnsiTheme="minorHAnsi" w:cs="Arial"/>
          <w:b/>
          <w:iCs/>
          <w:color w:val="008080"/>
          <w:szCs w:val="20"/>
          <w:lang w:eastAsia="en-GB"/>
        </w:rPr>
        <w:t>Please note that in this report some of the tables include rounded figures. This can result in some column or row totals not adding up to 100 or to the anticipated row or column ‘total’ due to the use of rounded decimal figures. We include this description here as it covers all tables and associated textual commentary included. If tables or figures are to be used in-house then we recommend the addition of a similarly worded statement being included as a note to each table used.</w:t>
      </w:r>
    </w:p>
    <w:p w14:paraId="074097D5" w14:textId="77777777" w:rsidR="00C4521E" w:rsidRPr="0067297E" w:rsidRDefault="00C4521E">
      <w:pPr>
        <w:tabs>
          <w:tab w:val="right" w:pos="9214"/>
          <w:tab w:val="right" w:leader="dot" w:pos="9356"/>
        </w:tabs>
        <w:ind w:right="-2"/>
        <w:rPr>
          <w:rFonts w:asciiTheme="minorHAnsi" w:hAnsiTheme="minorHAnsi" w:cs="Arial"/>
        </w:rPr>
      </w:pPr>
    </w:p>
    <w:p w14:paraId="540D876A" w14:textId="77777777" w:rsidR="00C4521E" w:rsidRPr="0067297E" w:rsidRDefault="00C4521E">
      <w:pPr>
        <w:tabs>
          <w:tab w:val="right" w:pos="9214"/>
          <w:tab w:val="right" w:leader="dot" w:pos="9356"/>
        </w:tabs>
        <w:ind w:right="-2"/>
        <w:rPr>
          <w:rFonts w:asciiTheme="minorHAnsi" w:hAnsiTheme="minorHAnsi" w:cs="Arial"/>
        </w:rPr>
      </w:pPr>
    </w:p>
    <w:p w14:paraId="2610E0D3" w14:textId="77777777" w:rsidR="00C4521E" w:rsidRPr="0067297E" w:rsidRDefault="00C4521E">
      <w:pPr>
        <w:tabs>
          <w:tab w:val="right" w:pos="9214"/>
          <w:tab w:val="right" w:leader="dot" w:pos="9356"/>
        </w:tabs>
        <w:ind w:right="-2"/>
        <w:rPr>
          <w:rFonts w:asciiTheme="minorHAnsi" w:hAnsiTheme="minorHAnsi" w:cs="Arial"/>
        </w:rPr>
      </w:pPr>
    </w:p>
    <w:p w14:paraId="708DC708" w14:textId="77777777" w:rsidR="00C4521E" w:rsidRPr="0067297E" w:rsidRDefault="00C4521E">
      <w:pPr>
        <w:tabs>
          <w:tab w:val="right" w:pos="9214"/>
          <w:tab w:val="right" w:leader="dot" w:pos="9356"/>
        </w:tabs>
        <w:ind w:right="-2"/>
        <w:rPr>
          <w:rFonts w:asciiTheme="minorHAnsi" w:hAnsiTheme="minorHAnsi" w:cs="Arial"/>
        </w:rPr>
      </w:pPr>
    </w:p>
    <w:p w14:paraId="0A196995" w14:textId="77777777" w:rsidR="00C4521E" w:rsidRPr="0067297E" w:rsidRDefault="00C4521E">
      <w:pPr>
        <w:tabs>
          <w:tab w:val="right" w:pos="9214"/>
          <w:tab w:val="right" w:leader="dot" w:pos="9356"/>
        </w:tabs>
        <w:ind w:right="-2"/>
        <w:rPr>
          <w:rFonts w:asciiTheme="minorHAnsi" w:hAnsiTheme="minorHAnsi" w:cs="Arial"/>
        </w:rPr>
      </w:pPr>
    </w:p>
    <w:p w14:paraId="0BF42D5C" w14:textId="77777777" w:rsidR="00C4521E" w:rsidRPr="0067297E" w:rsidRDefault="00C4521E">
      <w:pPr>
        <w:tabs>
          <w:tab w:val="right" w:pos="9214"/>
          <w:tab w:val="right" w:leader="dot" w:pos="9356"/>
        </w:tabs>
        <w:ind w:right="-2"/>
        <w:rPr>
          <w:rFonts w:asciiTheme="minorHAnsi" w:hAnsiTheme="minorHAnsi" w:cs="Arial"/>
        </w:rPr>
      </w:pPr>
    </w:p>
    <w:p w14:paraId="317CC6B0" w14:textId="77777777" w:rsidR="00C4521E" w:rsidRPr="0067297E" w:rsidRDefault="00C4521E">
      <w:pPr>
        <w:tabs>
          <w:tab w:val="right" w:pos="9214"/>
          <w:tab w:val="right" w:leader="dot" w:pos="9356"/>
        </w:tabs>
        <w:ind w:right="-2"/>
        <w:rPr>
          <w:rFonts w:asciiTheme="minorHAnsi" w:hAnsiTheme="minorHAnsi" w:cs="Arial"/>
        </w:rPr>
      </w:pPr>
    </w:p>
    <w:p w14:paraId="1ADF247B" w14:textId="77777777" w:rsidR="00C4521E" w:rsidRPr="0067297E" w:rsidRDefault="00C4521E">
      <w:pPr>
        <w:tabs>
          <w:tab w:val="right" w:pos="9214"/>
          <w:tab w:val="right" w:leader="dot" w:pos="9356"/>
        </w:tabs>
        <w:ind w:right="-2"/>
        <w:rPr>
          <w:rFonts w:asciiTheme="minorHAnsi" w:hAnsiTheme="minorHAnsi" w:cs="Arial"/>
        </w:rPr>
      </w:pPr>
    </w:p>
    <w:p w14:paraId="7D8754A7" w14:textId="77777777" w:rsidR="00C4521E" w:rsidRPr="0067297E" w:rsidRDefault="00C4521E">
      <w:pPr>
        <w:tabs>
          <w:tab w:val="right" w:pos="9214"/>
          <w:tab w:val="right" w:leader="dot" w:pos="9356"/>
        </w:tabs>
        <w:ind w:right="-2"/>
        <w:rPr>
          <w:rFonts w:asciiTheme="minorHAnsi" w:hAnsiTheme="minorHAnsi" w:cs="Arial"/>
        </w:rPr>
      </w:pPr>
    </w:p>
    <w:p w14:paraId="4BC77FEE" w14:textId="77777777" w:rsidR="00C4521E" w:rsidRPr="0067297E" w:rsidRDefault="00C4521E">
      <w:pPr>
        <w:tabs>
          <w:tab w:val="right" w:pos="9214"/>
          <w:tab w:val="right" w:leader="dot" w:pos="9356"/>
        </w:tabs>
        <w:ind w:right="-2"/>
        <w:rPr>
          <w:rFonts w:asciiTheme="minorHAnsi" w:hAnsiTheme="minorHAnsi" w:cs="Arial"/>
        </w:rPr>
      </w:pPr>
    </w:p>
    <w:p w14:paraId="3F83B1A4" w14:textId="77777777" w:rsidR="00C4521E" w:rsidRPr="0067297E" w:rsidRDefault="00C4521E">
      <w:pPr>
        <w:tabs>
          <w:tab w:val="right" w:pos="9214"/>
          <w:tab w:val="right" w:leader="dot" w:pos="9356"/>
        </w:tabs>
        <w:ind w:right="-2"/>
        <w:rPr>
          <w:rFonts w:asciiTheme="minorHAnsi" w:hAnsiTheme="minorHAnsi" w:cs="Arial"/>
        </w:rPr>
      </w:pPr>
    </w:p>
    <w:p w14:paraId="3A42B4CC" w14:textId="77777777" w:rsidR="00C4521E" w:rsidRPr="0067297E" w:rsidRDefault="00C4521E">
      <w:pPr>
        <w:tabs>
          <w:tab w:val="right" w:pos="9214"/>
          <w:tab w:val="right" w:leader="dot" w:pos="9356"/>
        </w:tabs>
        <w:ind w:right="-2"/>
        <w:rPr>
          <w:rFonts w:asciiTheme="minorHAnsi" w:hAnsiTheme="minorHAnsi" w:cs="Arial"/>
        </w:rPr>
      </w:pPr>
    </w:p>
    <w:p w14:paraId="2C1ED63E" w14:textId="77777777" w:rsidR="00C4521E" w:rsidRPr="0067297E" w:rsidRDefault="00C4521E">
      <w:pPr>
        <w:tabs>
          <w:tab w:val="right" w:pos="9214"/>
          <w:tab w:val="right" w:leader="dot" w:pos="9356"/>
        </w:tabs>
        <w:ind w:right="-2"/>
        <w:rPr>
          <w:rFonts w:asciiTheme="minorHAnsi" w:hAnsiTheme="minorHAnsi" w:cs="Arial"/>
        </w:rPr>
      </w:pPr>
    </w:p>
    <w:p w14:paraId="360DE416" w14:textId="77777777" w:rsidR="00C4521E" w:rsidRPr="0067297E" w:rsidRDefault="00C4521E">
      <w:pPr>
        <w:tabs>
          <w:tab w:val="right" w:pos="9214"/>
          <w:tab w:val="right" w:leader="dot" w:pos="9356"/>
        </w:tabs>
        <w:ind w:right="-2"/>
        <w:rPr>
          <w:rFonts w:asciiTheme="minorHAnsi" w:hAnsiTheme="minorHAnsi" w:cs="Arial"/>
        </w:rPr>
      </w:pPr>
    </w:p>
    <w:p w14:paraId="4DF3F87B" w14:textId="77777777" w:rsidR="00C4521E" w:rsidRPr="0067297E" w:rsidRDefault="00C4521E">
      <w:pPr>
        <w:tabs>
          <w:tab w:val="right" w:pos="9214"/>
          <w:tab w:val="right" w:leader="dot" w:pos="9356"/>
        </w:tabs>
        <w:ind w:right="-2"/>
        <w:rPr>
          <w:rFonts w:asciiTheme="minorHAnsi" w:hAnsiTheme="minorHAnsi" w:cs="Arial"/>
        </w:rPr>
      </w:pPr>
    </w:p>
    <w:p w14:paraId="23907461" w14:textId="77777777" w:rsidR="00C4521E" w:rsidRPr="0067297E" w:rsidRDefault="00C4521E">
      <w:pPr>
        <w:tabs>
          <w:tab w:val="right" w:pos="9214"/>
          <w:tab w:val="right" w:leader="dot" w:pos="9356"/>
        </w:tabs>
        <w:ind w:right="-2"/>
        <w:rPr>
          <w:rFonts w:asciiTheme="minorHAnsi" w:hAnsiTheme="minorHAnsi" w:cs="Arial"/>
        </w:rPr>
      </w:pPr>
    </w:p>
    <w:p w14:paraId="77CD8414" w14:textId="77777777" w:rsidR="00C4521E" w:rsidRPr="0067297E" w:rsidRDefault="00C4521E">
      <w:pPr>
        <w:tabs>
          <w:tab w:val="right" w:pos="9214"/>
          <w:tab w:val="right" w:leader="dot" w:pos="9356"/>
        </w:tabs>
        <w:ind w:right="-2"/>
        <w:rPr>
          <w:rFonts w:asciiTheme="minorHAnsi" w:hAnsiTheme="minorHAnsi" w:cs="Arial"/>
        </w:rPr>
      </w:pPr>
    </w:p>
    <w:p w14:paraId="2250E11D" w14:textId="77777777" w:rsidR="00C4521E" w:rsidRPr="0067297E" w:rsidRDefault="00C4521E">
      <w:pPr>
        <w:tabs>
          <w:tab w:val="right" w:pos="9214"/>
          <w:tab w:val="right" w:leader="dot" w:pos="9356"/>
        </w:tabs>
        <w:ind w:right="-2"/>
        <w:rPr>
          <w:rFonts w:asciiTheme="minorHAnsi" w:hAnsiTheme="minorHAnsi" w:cs="Arial"/>
        </w:rPr>
      </w:pPr>
    </w:p>
    <w:p w14:paraId="13D8D41A" w14:textId="77777777" w:rsidR="00C4521E" w:rsidRPr="0067297E" w:rsidRDefault="00C4521E">
      <w:pPr>
        <w:tabs>
          <w:tab w:val="right" w:pos="9214"/>
          <w:tab w:val="right" w:leader="dot" w:pos="9356"/>
        </w:tabs>
        <w:ind w:right="-2"/>
        <w:rPr>
          <w:rFonts w:asciiTheme="minorHAnsi" w:hAnsiTheme="minorHAnsi" w:cs="Arial"/>
        </w:rPr>
      </w:pPr>
    </w:p>
    <w:p w14:paraId="004DB6A0" w14:textId="77777777" w:rsidR="00C4521E" w:rsidRPr="0067297E" w:rsidRDefault="00C4521E">
      <w:pPr>
        <w:tabs>
          <w:tab w:val="right" w:pos="9214"/>
          <w:tab w:val="right" w:leader="dot" w:pos="9356"/>
        </w:tabs>
        <w:ind w:right="-2"/>
        <w:rPr>
          <w:rFonts w:asciiTheme="minorHAnsi" w:hAnsiTheme="minorHAnsi" w:cs="Arial"/>
        </w:rPr>
      </w:pPr>
    </w:p>
    <w:p w14:paraId="4063CF0C" w14:textId="77777777" w:rsidR="00C4521E" w:rsidRPr="0067297E" w:rsidRDefault="00C4521E">
      <w:pPr>
        <w:tabs>
          <w:tab w:val="right" w:pos="9214"/>
          <w:tab w:val="right" w:leader="dot" w:pos="9356"/>
        </w:tabs>
        <w:ind w:right="-2"/>
        <w:rPr>
          <w:rFonts w:asciiTheme="minorHAnsi" w:hAnsiTheme="minorHAnsi" w:cs="Arial"/>
        </w:rPr>
      </w:pPr>
    </w:p>
    <w:p w14:paraId="500ADEAB" w14:textId="77777777" w:rsidR="00C4521E" w:rsidRPr="0067297E" w:rsidRDefault="00C4521E">
      <w:pPr>
        <w:tabs>
          <w:tab w:val="right" w:pos="9214"/>
          <w:tab w:val="right" w:leader="dot" w:pos="9356"/>
        </w:tabs>
        <w:ind w:right="-2"/>
        <w:rPr>
          <w:rFonts w:asciiTheme="minorHAnsi" w:hAnsiTheme="minorHAnsi" w:cs="Arial"/>
        </w:rPr>
      </w:pPr>
    </w:p>
    <w:p w14:paraId="4C0D3025" w14:textId="5CBF3D47" w:rsidR="00C4521E" w:rsidRDefault="00C4521E">
      <w:pPr>
        <w:tabs>
          <w:tab w:val="right" w:pos="9214"/>
          <w:tab w:val="right" w:leader="dot" w:pos="9356"/>
        </w:tabs>
        <w:ind w:right="-2"/>
        <w:rPr>
          <w:rFonts w:asciiTheme="minorHAnsi" w:hAnsiTheme="minorHAnsi" w:cs="Arial"/>
        </w:rPr>
      </w:pPr>
    </w:p>
    <w:p w14:paraId="2F9EA8CE" w14:textId="74BEC2C5" w:rsidR="0050310B" w:rsidRDefault="0050310B">
      <w:pPr>
        <w:tabs>
          <w:tab w:val="right" w:pos="9214"/>
          <w:tab w:val="right" w:leader="dot" w:pos="9356"/>
        </w:tabs>
        <w:ind w:right="-2"/>
        <w:rPr>
          <w:rFonts w:asciiTheme="minorHAnsi" w:hAnsiTheme="minorHAnsi" w:cs="Arial"/>
        </w:rPr>
      </w:pPr>
    </w:p>
    <w:p w14:paraId="5542FAE6" w14:textId="05A022CC" w:rsidR="0050310B" w:rsidRDefault="0050310B">
      <w:pPr>
        <w:tabs>
          <w:tab w:val="right" w:pos="9214"/>
          <w:tab w:val="right" w:leader="dot" w:pos="9356"/>
        </w:tabs>
        <w:ind w:right="-2"/>
        <w:rPr>
          <w:rFonts w:asciiTheme="minorHAnsi" w:hAnsiTheme="minorHAnsi" w:cs="Arial"/>
        </w:rPr>
      </w:pPr>
    </w:p>
    <w:p w14:paraId="6B63AC65" w14:textId="69D9990C" w:rsidR="0050310B" w:rsidRDefault="0050310B">
      <w:pPr>
        <w:tabs>
          <w:tab w:val="right" w:pos="9214"/>
          <w:tab w:val="right" w:leader="dot" w:pos="9356"/>
        </w:tabs>
        <w:ind w:right="-2"/>
        <w:rPr>
          <w:rFonts w:asciiTheme="minorHAnsi" w:hAnsiTheme="minorHAnsi" w:cs="Arial"/>
        </w:rPr>
      </w:pPr>
    </w:p>
    <w:p w14:paraId="5BD15306" w14:textId="086AFC14" w:rsidR="0050310B" w:rsidRDefault="0050310B">
      <w:pPr>
        <w:tabs>
          <w:tab w:val="right" w:pos="9214"/>
          <w:tab w:val="right" w:leader="dot" w:pos="9356"/>
        </w:tabs>
        <w:ind w:right="-2"/>
        <w:rPr>
          <w:rFonts w:asciiTheme="minorHAnsi" w:hAnsiTheme="minorHAnsi" w:cs="Arial"/>
        </w:rPr>
      </w:pPr>
    </w:p>
    <w:p w14:paraId="0B553827" w14:textId="5F57DC13" w:rsidR="0050310B" w:rsidRDefault="0050310B">
      <w:pPr>
        <w:tabs>
          <w:tab w:val="right" w:pos="9214"/>
          <w:tab w:val="right" w:leader="dot" w:pos="9356"/>
        </w:tabs>
        <w:ind w:right="-2"/>
        <w:rPr>
          <w:rFonts w:asciiTheme="minorHAnsi" w:hAnsiTheme="minorHAnsi" w:cs="Arial"/>
        </w:rPr>
      </w:pPr>
    </w:p>
    <w:p w14:paraId="48A2AFAD" w14:textId="243A5378" w:rsidR="0050310B" w:rsidRDefault="0050310B">
      <w:pPr>
        <w:tabs>
          <w:tab w:val="right" w:pos="9214"/>
          <w:tab w:val="right" w:leader="dot" w:pos="9356"/>
        </w:tabs>
        <w:ind w:right="-2"/>
        <w:rPr>
          <w:rFonts w:asciiTheme="minorHAnsi" w:hAnsiTheme="minorHAnsi" w:cs="Arial"/>
        </w:rPr>
      </w:pPr>
    </w:p>
    <w:p w14:paraId="6CA0F157" w14:textId="75579322" w:rsidR="0050310B" w:rsidRDefault="0050310B">
      <w:pPr>
        <w:tabs>
          <w:tab w:val="right" w:pos="9214"/>
          <w:tab w:val="right" w:leader="dot" w:pos="9356"/>
        </w:tabs>
        <w:ind w:right="-2"/>
        <w:rPr>
          <w:rFonts w:asciiTheme="minorHAnsi" w:hAnsiTheme="minorHAnsi" w:cs="Arial"/>
        </w:rPr>
      </w:pPr>
    </w:p>
    <w:p w14:paraId="3BB47B5C" w14:textId="15ED4394" w:rsidR="0050310B" w:rsidRDefault="0050310B">
      <w:pPr>
        <w:tabs>
          <w:tab w:val="right" w:pos="9214"/>
          <w:tab w:val="right" w:leader="dot" w:pos="9356"/>
        </w:tabs>
        <w:ind w:right="-2"/>
        <w:rPr>
          <w:rFonts w:asciiTheme="minorHAnsi" w:hAnsiTheme="minorHAnsi" w:cs="Arial"/>
        </w:rPr>
      </w:pPr>
    </w:p>
    <w:p w14:paraId="4A463F5C" w14:textId="77777777" w:rsidR="0050310B" w:rsidRPr="0067297E" w:rsidRDefault="0050310B">
      <w:pPr>
        <w:tabs>
          <w:tab w:val="right" w:pos="9214"/>
          <w:tab w:val="right" w:leader="dot" w:pos="9356"/>
        </w:tabs>
        <w:ind w:right="-2"/>
        <w:rPr>
          <w:rFonts w:asciiTheme="minorHAnsi" w:hAnsiTheme="minorHAnsi" w:cs="Arial"/>
        </w:rPr>
      </w:pPr>
    </w:p>
    <w:p w14:paraId="30FCD61B" w14:textId="77777777" w:rsidR="00C4521E" w:rsidRPr="0067297E" w:rsidRDefault="00C4521E">
      <w:pPr>
        <w:tabs>
          <w:tab w:val="right" w:pos="9214"/>
          <w:tab w:val="right" w:leader="dot" w:pos="9356"/>
        </w:tabs>
        <w:ind w:right="-2"/>
        <w:rPr>
          <w:rFonts w:asciiTheme="minorHAnsi" w:hAnsiTheme="minorHAnsi" w:cs="Arial"/>
        </w:rPr>
      </w:pPr>
    </w:p>
    <w:p w14:paraId="6EAE9B67" w14:textId="77777777" w:rsidR="00C4521E" w:rsidRPr="0067297E" w:rsidRDefault="00C4521E">
      <w:pPr>
        <w:tabs>
          <w:tab w:val="right" w:pos="9214"/>
          <w:tab w:val="right" w:leader="dot" w:pos="9356"/>
        </w:tabs>
        <w:ind w:right="-2"/>
        <w:rPr>
          <w:rFonts w:asciiTheme="minorHAnsi" w:hAnsiTheme="minorHAnsi" w:cs="Arial"/>
        </w:rPr>
      </w:pPr>
    </w:p>
    <w:p w14:paraId="3B8CB734" w14:textId="77777777" w:rsidR="00C4521E" w:rsidRPr="0067297E" w:rsidRDefault="00C4521E">
      <w:pPr>
        <w:tabs>
          <w:tab w:val="right" w:pos="9214"/>
          <w:tab w:val="right" w:leader="dot" w:pos="9356"/>
        </w:tabs>
        <w:ind w:right="-2"/>
        <w:rPr>
          <w:rFonts w:asciiTheme="minorHAnsi" w:hAnsiTheme="minorHAnsi" w:cs="Arial"/>
          <w:i/>
          <w:iCs/>
          <w:color w:val="009999"/>
          <w:sz w:val="20"/>
          <w:szCs w:val="20"/>
        </w:rPr>
      </w:pPr>
      <w:r w:rsidRPr="0067297E">
        <w:rPr>
          <w:rFonts w:asciiTheme="minorHAnsi" w:hAnsiTheme="minorHAnsi" w:cs="Arial"/>
          <w:i/>
          <w:iCs/>
          <w:color w:val="009999"/>
          <w:sz w:val="20"/>
          <w:szCs w:val="20"/>
        </w:rPr>
        <w:t>This report takes into account the particular instructions and requirements of our client. It is not intended for and should not be relied upon by any third party and no responsibility is undertaken to any third party.</w:t>
      </w:r>
    </w:p>
    <w:p w14:paraId="205D183D" w14:textId="77777777" w:rsidR="00C4521E" w:rsidRPr="0067297E" w:rsidRDefault="00C4521E">
      <w:pPr>
        <w:tabs>
          <w:tab w:val="right" w:pos="9214"/>
          <w:tab w:val="right" w:leader="dot" w:pos="9356"/>
        </w:tabs>
        <w:ind w:right="-2"/>
        <w:rPr>
          <w:rFonts w:asciiTheme="minorHAnsi" w:hAnsiTheme="minorHAnsi" w:cs="Arial"/>
          <w:i/>
          <w:iCs/>
          <w:color w:val="009999"/>
          <w:sz w:val="20"/>
          <w:szCs w:val="20"/>
        </w:rPr>
      </w:pPr>
      <w:r w:rsidRPr="0067297E">
        <w:rPr>
          <w:rFonts w:asciiTheme="minorHAnsi" w:hAnsiTheme="minorHAnsi" w:cs="Arial"/>
          <w:i/>
          <w:iCs/>
          <w:color w:val="009999"/>
          <w:sz w:val="20"/>
          <w:szCs w:val="20"/>
        </w:rPr>
        <w:t>arc</w:t>
      </w:r>
      <w:r w:rsidRPr="0067297E">
        <w:rPr>
          <w:rFonts w:asciiTheme="minorHAnsi" w:hAnsiTheme="minorHAnsi" w:cs="Arial"/>
          <w:i/>
          <w:iCs/>
          <w:color w:val="009999"/>
          <w:sz w:val="20"/>
          <w:szCs w:val="20"/>
          <w:vertAlign w:val="superscript"/>
        </w:rPr>
        <w:t xml:space="preserve">4 </w:t>
      </w:r>
      <w:r w:rsidRPr="0067297E">
        <w:rPr>
          <w:rFonts w:asciiTheme="minorHAnsi" w:hAnsiTheme="minorHAnsi" w:cs="Arial"/>
          <w:i/>
          <w:iCs/>
          <w:color w:val="009999"/>
          <w:sz w:val="20"/>
          <w:szCs w:val="20"/>
        </w:rPr>
        <w:t>Limited accepts no responsibility or liability for, and makes no representation or warranty with respect to, the accuracy or completeness of any third party information (including data) that is contained in this document.</w:t>
      </w:r>
    </w:p>
    <w:p w14:paraId="2E77A78A" w14:textId="70072C0B" w:rsidR="00C4521E" w:rsidRPr="0067297E" w:rsidRDefault="00C4521E" w:rsidP="002C70BC">
      <w:pPr>
        <w:pStyle w:val="Heading1"/>
        <w:numPr>
          <w:ilvl w:val="0"/>
          <w:numId w:val="34"/>
        </w:numPr>
        <w:rPr>
          <w:rFonts w:asciiTheme="minorHAnsi" w:hAnsiTheme="minorHAnsi"/>
        </w:rPr>
      </w:pPr>
      <w:r w:rsidRPr="0067297E">
        <w:rPr>
          <w:rFonts w:asciiTheme="minorHAnsi" w:hAnsiTheme="minorHAnsi"/>
        </w:rPr>
        <w:br w:type="page"/>
      </w:r>
      <w:bookmarkStart w:id="669" w:name="_Toc350071212"/>
      <w:bookmarkStart w:id="670" w:name="_Toc400488689"/>
      <w:bookmarkStart w:id="671" w:name="_Toc529887295"/>
      <w:bookmarkStart w:id="672" w:name="_Toc1385813"/>
      <w:bookmarkStart w:id="673" w:name="_Toc23151130"/>
      <w:r w:rsidRPr="0067297E">
        <w:rPr>
          <w:rFonts w:asciiTheme="minorHAnsi" w:hAnsiTheme="minorHAnsi"/>
        </w:rPr>
        <w:t>Introduction</w:t>
      </w:r>
      <w:bookmarkEnd w:id="669"/>
      <w:bookmarkEnd w:id="670"/>
      <w:bookmarkEnd w:id="671"/>
      <w:bookmarkEnd w:id="672"/>
      <w:bookmarkEnd w:id="673"/>
    </w:p>
    <w:p w14:paraId="3F6328A2" w14:textId="38B2C796"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The Government’s Housing Strategy, published in November 2011</w:t>
      </w:r>
      <w:r w:rsidRPr="0067297E">
        <w:rPr>
          <w:rStyle w:val="FootnoteReference"/>
          <w:rFonts w:asciiTheme="minorHAnsi" w:hAnsiTheme="minorHAnsi"/>
        </w:rPr>
        <w:footnoteReference w:id="66"/>
      </w:r>
      <w:r w:rsidRPr="0067297E">
        <w:rPr>
          <w:rFonts w:asciiTheme="minorHAnsi" w:hAnsiTheme="minorHAnsi"/>
        </w:rPr>
        <w:t>, set out the Government’s plans to boost housing supply. It recognised an increasingly important role for the private rented sector, both in meeting people’s housing needs and in supporting economic growth by enabling people to move to take up jobs elsewhere and to respond to changing circumstances. In the most recent Housing White Paper 2017, the private rented sector continues to be an important sector and further growth is expected. The Council of Mortgage Lenders predicts that by 2020 only a quarter of 30 year old</w:t>
      </w:r>
      <w:r w:rsidR="00DA4F9F" w:rsidRPr="0067297E">
        <w:rPr>
          <w:rFonts w:asciiTheme="minorHAnsi" w:hAnsiTheme="minorHAnsi"/>
          <w:lang w:val="en-GB"/>
        </w:rPr>
        <w:t xml:space="preserve"> people</w:t>
      </w:r>
      <w:r w:rsidRPr="0067297E">
        <w:rPr>
          <w:rFonts w:asciiTheme="minorHAnsi" w:hAnsiTheme="minorHAnsi"/>
        </w:rPr>
        <w:t xml:space="preserve"> will own their own home. In contrast, more than half the generation currently approaching retirement were homeowners by their 30th birthday.</w:t>
      </w:r>
      <w:r w:rsidRPr="0067297E">
        <w:rPr>
          <w:rStyle w:val="FootnoteReference"/>
          <w:rFonts w:asciiTheme="minorHAnsi" w:hAnsiTheme="minorHAnsi"/>
        </w:rPr>
        <w:footnoteReference w:id="67"/>
      </w:r>
    </w:p>
    <w:p w14:paraId="001154B5" w14:textId="6783D856" w:rsidR="00A224FF" w:rsidRPr="0067297E" w:rsidRDefault="00A224FF" w:rsidP="002C70BC">
      <w:pPr>
        <w:pStyle w:val="Reporttext"/>
        <w:numPr>
          <w:ilvl w:val="1"/>
          <w:numId w:val="34"/>
        </w:numPr>
        <w:tabs>
          <w:tab w:val="clear" w:pos="709"/>
        </w:tabs>
        <w:rPr>
          <w:rFonts w:asciiTheme="minorHAnsi" w:hAnsiTheme="minorHAnsi"/>
        </w:rPr>
      </w:pPr>
      <w:r w:rsidRPr="0067297E">
        <w:rPr>
          <w:rFonts w:asciiTheme="minorHAnsi" w:hAnsiTheme="minorHAnsi"/>
        </w:rPr>
        <w:t>The Census 2011 confirms that there are 29,375 (25.3%) households living in the private rented sector in Lewisham; this is higher than the national figure of 18.1% recorded in 2011. It is second only to Southwark with 24.9%. Westminster has the largest private rented sector at 42.8%.</w:t>
      </w:r>
    </w:p>
    <w:p w14:paraId="4A2B5277"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shd w:val="clear" w:color="auto" w:fill="FFFFFF"/>
        </w:rPr>
        <w:t>Increasing house prices pre-2007 and the struggling sales market when the down turn came are both factors that have underpinned the growth of</w:t>
      </w:r>
      <w:r w:rsidRPr="0067297E">
        <w:rPr>
          <w:rFonts w:asciiTheme="minorHAnsi" w:hAnsiTheme="minorHAnsi"/>
        </w:rPr>
        <w:t xml:space="preserve"> the rental market for both ‘active choice’ renters and ‘frustrated would be’ homeowners. Tenure reform and less accessible social rented housing are also likely to be an increasing factor to the growth in the private rented sector and the sector clearly now plays a vital role in meeting housing needs as well as providing an alternative to homeownership.</w:t>
      </w:r>
    </w:p>
    <w:p w14:paraId="7B07867A"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Local authorities have an important role in ensuring that the private rented sector meets both these requirements. Balancing good quality supply with demand will help to stabilise rents and encouraging good quality management will improve the reputation of the sector and encourage longer term lets and lower turnover. However, this is a challenging task where existing partners need to be encouraged to participate and new partners and investors need to be identified.</w:t>
      </w:r>
    </w:p>
    <w:p w14:paraId="6ABF020F"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This sector is also of growing interest to housing associations that are looking to diversify their business opportunities, to create ‘revenue and ‘profit’ to support their core business and, for some, also as a way of extending the number of properties that are available within their social letting arm; prioritising properties with rent levels within Local Housing Allowance. For others, the private rented sector offers an alternative market for those properties that are becoming more difficult to let because of the ‘bedroom tax’. However, it is not as straightforward as many believe it is and many early adopters in the private rented sector have now withdrawn as the financial returns have not been delivered, the management is quite different from that of a social housing provider and it can be difficult to enter such a buoyant market with many competitors. That said, it is a massively growing market and forecast to increase further. </w:t>
      </w:r>
    </w:p>
    <w:p w14:paraId="3CBEF083"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For London authorities, the market rented sector already plays a significant role in providing accommodation for economically active younger households in urban locations but it is also an important tenure for families. </w:t>
      </w:r>
    </w:p>
    <w:p w14:paraId="041D9D1F"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One of the weaknesses for local authorities is the lack of good quality information about the activity and performance of different rental markets and therefore the potential yields available. This report provides an evidence base around the scale, growth and performance of the private rented sector in Lewisham since 2015 (a three-year period). It utilises data from a number of secondary sources which are identified in the report. Zoopla data is used extensively in this report and only includes private rented property that has been advertised and/or managed through a letting agent.</w:t>
      </w:r>
    </w:p>
    <w:p w14:paraId="7F216555"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The report validates the data through detailed discussions with letting agents to identify what has been happening in the private rented market.</w:t>
      </w:r>
    </w:p>
    <w:p w14:paraId="3F395B20" w14:textId="77777777" w:rsidR="00C4521E" w:rsidRPr="0067297E" w:rsidRDefault="00C4521E" w:rsidP="00FA273F">
      <w:pPr>
        <w:pStyle w:val="Reporttext"/>
        <w:numPr>
          <w:ilvl w:val="0"/>
          <w:numId w:val="0"/>
        </w:numPr>
        <w:ind w:left="709"/>
        <w:rPr>
          <w:rFonts w:asciiTheme="minorHAnsi" w:hAnsiTheme="minorHAnsi"/>
        </w:rPr>
      </w:pPr>
    </w:p>
    <w:p w14:paraId="1669AE2C" w14:textId="77777777" w:rsidR="00C4521E" w:rsidRPr="0067297E" w:rsidRDefault="00C4521E" w:rsidP="00543A76">
      <w:pPr>
        <w:rPr>
          <w:rFonts w:asciiTheme="minorHAnsi" w:hAnsiTheme="minorHAnsi"/>
        </w:rPr>
      </w:pPr>
    </w:p>
    <w:p w14:paraId="6F4B95C3" w14:textId="77777777" w:rsidR="00C4521E" w:rsidRPr="0067297E" w:rsidRDefault="00C4521E" w:rsidP="00543A76">
      <w:pPr>
        <w:ind w:firstLine="720"/>
        <w:rPr>
          <w:rFonts w:asciiTheme="minorHAnsi" w:hAnsiTheme="minorHAnsi"/>
        </w:rPr>
      </w:pPr>
    </w:p>
    <w:p w14:paraId="41BD5A7E" w14:textId="77777777" w:rsidR="00C4521E" w:rsidRPr="0067297E" w:rsidRDefault="00C4521E">
      <w:pPr>
        <w:rPr>
          <w:rFonts w:asciiTheme="minorHAnsi" w:hAnsiTheme="minorHAnsi"/>
        </w:rPr>
      </w:pPr>
      <w:r w:rsidRPr="0067297E">
        <w:rPr>
          <w:rFonts w:asciiTheme="minorHAnsi" w:hAnsiTheme="minorHAnsi"/>
        </w:rPr>
        <w:br w:type="page"/>
      </w:r>
    </w:p>
    <w:p w14:paraId="184568F8" w14:textId="7A6ADEB3" w:rsidR="00C4521E" w:rsidRPr="0067297E" w:rsidRDefault="00C4521E" w:rsidP="002C70BC">
      <w:pPr>
        <w:pStyle w:val="Heading1"/>
        <w:numPr>
          <w:ilvl w:val="0"/>
          <w:numId w:val="34"/>
        </w:numPr>
        <w:rPr>
          <w:rFonts w:asciiTheme="minorHAnsi" w:hAnsiTheme="minorHAnsi"/>
        </w:rPr>
      </w:pPr>
      <w:bookmarkStart w:id="674" w:name="_Toc350071214"/>
      <w:bookmarkStart w:id="675" w:name="_Toc349636449"/>
      <w:bookmarkStart w:id="676" w:name="_Toc400488691"/>
      <w:bookmarkStart w:id="677" w:name="_Toc529887296"/>
      <w:bookmarkStart w:id="678" w:name="_Toc1385814"/>
      <w:bookmarkStart w:id="679" w:name="_Toc23151131"/>
      <w:r w:rsidRPr="0067297E">
        <w:rPr>
          <w:rFonts w:asciiTheme="minorHAnsi" w:hAnsiTheme="minorHAnsi"/>
        </w:rPr>
        <w:t>The size of the sector</w:t>
      </w:r>
      <w:bookmarkEnd w:id="674"/>
      <w:bookmarkEnd w:id="675"/>
      <w:bookmarkEnd w:id="676"/>
      <w:bookmarkEnd w:id="677"/>
      <w:bookmarkEnd w:id="678"/>
      <w:bookmarkEnd w:id="679"/>
    </w:p>
    <w:p w14:paraId="39D8B9BA" w14:textId="77777777" w:rsidR="00C4521E" w:rsidRPr="0067297E" w:rsidRDefault="00C4521E" w:rsidP="002C70BC">
      <w:pPr>
        <w:pStyle w:val="Reporttext"/>
        <w:numPr>
          <w:ilvl w:val="1"/>
          <w:numId w:val="34"/>
        </w:numPr>
        <w:tabs>
          <w:tab w:val="clear" w:pos="709"/>
        </w:tabs>
        <w:rPr>
          <w:rFonts w:asciiTheme="minorHAnsi" w:hAnsiTheme="minorHAnsi"/>
        </w:rPr>
      </w:pPr>
      <w:bookmarkStart w:id="680" w:name="_Hlk488648847"/>
      <w:r w:rsidRPr="0067297E">
        <w:rPr>
          <w:rFonts w:asciiTheme="minorHAnsi" w:hAnsiTheme="minorHAnsi"/>
        </w:rPr>
        <w:t>The Census 2011 confirms (Table 2.1) that there are 29,375 (25.3%) households living in the private rented sector in Lewisham; this is higher than the national figure of 18.1% recorded in 2011. Lewisham has the second smallest private rented sector market of all the inner London boroughs. It is second only to Southwark with 24.9%. Westminster has the largest private rented sector at 42.8%.</w:t>
      </w:r>
    </w:p>
    <w:p w14:paraId="4A59E0EC"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However, this masks geographical diversity. </w:t>
      </w:r>
    </w:p>
    <w:bookmarkEnd w:id="680"/>
    <w:p w14:paraId="75169B18" w14:textId="1774942C"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In a number of locations </w:t>
      </w:r>
      <w:r w:rsidR="00CA04EE" w:rsidRPr="0067297E">
        <w:rPr>
          <w:rFonts w:asciiTheme="minorHAnsi" w:hAnsiTheme="minorHAnsi"/>
          <w:lang w:val="en-GB"/>
        </w:rPr>
        <w:t xml:space="preserve">the </w:t>
      </w:r>
      <w:r w:rsidRPr="0067297E">
        <w:rPr>
          <w:rFonts w:asciiTheme="minorHAnsi" w:hAnsiTheme="minorHAnsi"/>
        </w:rPr>
        <w:t>percentage of private rented sector increase to over 30%. In Brockley (36.8%) which benefit</w:t>
      </w:r>
      <w:r w:rsidR="00CA04EE" w:rsidRPr="0067297E">
        <w:rPr>
          <w:rFonts w:asciiTheme="minorHAnsi" w:hAnsiTheme="minorHAnsi"/>
          <w:lang w:val="en-GB"/>
        </w:rPr>
        <w:t>s</w:t>
      </w:r>
      <w:r w:rsidRPr="0067297E">
        <w:rPr>
          <w:rFonts w:asciiTheme="minorHAnsi" w:hAnsiTheme="minorHAnsi"/>
        </w:rPr>
        <w:t xml:space="preserve"> from the East London Line to North London, Lewisham town centre (34.7%), New Cross</w:t>
      </w:r>
      <w:r w:rsidR="00CA04EE" w:rsidRPr="0067297E">
        <w:rPr>
          <w:rFonts w:asciiTheme="minorHAnsi" w:hAnsiTheme="minorHAnsi"/>
          <w:lang w:val="en-GB"/>
        </w:rPr>
        <w:t xml:space="preserve"> (32.6%)</w:t>
      </w:r>
      <w:r w:rsidRPr="0067297E">
        <w:rPr>
          <w:rFonts w:asciiTheme="minorHAnsi" w:hAnsiTheme="minorHAnsi"/>
        </w:rPr>
        <w:t>, where there are larger student populations and Rushey Green</w:t>
      </w:r>
      <w:r w:rsidR="00CA04EE" w:rsidRPr="0067297E">
        <w:rPr>
          <w:rFonts w:asciiTheme="minorHAnsi" w:hAnsiTheme="minorHAnsi"/>
          <w:lang w:val="en-GB"/>
        </w:rPr>
        <w:t xml:space="preserve"> (31.2%)</w:t>
      </w:r>
      <w:r w:rsidRPr="0067297E">
        <w:rPr>
          <w:rFonts w:asciiTheme="minorHAnsi" w:hAnsiTheme="minorHAnsi"/>
        </w:rPr>
        <w:t xml:space="preserve"> which focuses around Catford a lower value market with regeneration plans.</w:t>
      </w:r>
    </w:p>
    <w:p w14:paraId="6E651CCB" w14:textId="77777777" w:rsidR="00BA0A2B" w:rsidRPr="0067297E" w:rsidRDefault="00BA0A2B" w:rsidP="00BA0A2B">
      <w:pPr>
        <w:pStyle w:val="Reporttext"/>
        <w:numPr>
          <w:ilvl w:val="0"/>
          <w:numId w:val="0"/>
        </w:numPr>
        <w:tabs>
          <w:tab w:val="clear" w:pos="709"/>
        </w:tabs>
        <w:ind w:left="709"/>
        <w:rPr>
          <w:rFonts w:asciiTheme="minorHAnsi" w:hAnsiTheme="minorHAnsi"/>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1E0" w:firstRow="1" w:lastRow="1" w:firstColumn="1" w:lastColumn="1" w:noHBand="0" w:noVBand="0"/>
      </w:tblPr>
      <w:tblGrid>
        <w:gridCol w:w="1980"/>
        <w:gridCol w:w="1701"/>
        <w:gridCol w:w="1135"/>
        <w:gridCol w:w="848"/>
        <w:gridCol w:w="993"/>
        <w:gridCol w:w="848"/>
        <w:gridCol w:w="852"/>
        <w:gridCol w:w="825"/>
      </w:tblGrid>
      <w:tr w:rsidR="00C4521E" w:rsidRPr="0067297E" w14:paraId="2713873B" w14:textId="77777777" w:rsidTr="00FD050C">
        <w:trPr>
          <w:tblHeader/>
        </w:trPr>
        <w:tc>
          <w:tcPr>
            <w:tcW w:w="5000" w:type="pct"/>
            <w:gridSpan w:val="8"/>
            <w:shd w:val="clear" w:color="auto" w:fill="009999"/>
            <w:noWrap/>
            <w:tcMar>
              <w:left w:w="108" w:type="dxa"/>
              <w:right w:w="108" w:type="dxa"/>
            </w:tcMar>
          </w:tcPr>
          <w:p w14:paraId="7F48CDFE" w14:textId="77777777" w:rsidR="00C4521E" w:rsidRPr="0067297E" w:rsidRDefault="00C4521E" w:rsidP="00FA273F">
            <w:pPr>
              <w:pStyle w:val="tableheading"/>
              <w:rPr>
                <w:rFonts w:asciiTheme="minorHAnsi" w:hAnsiTheme="minorHAnsi"/>
              </w:rPr>
            </w:pPr>
            <w:bookmarkStart w:id="681" w:name="_Toc400488706"/>
            <w:bookmarkStart w:id="682" w:name="_Toc23151207"/>
            <w:r w:rsidRPr="0067297E">
              <w:rPr>
                <w:rFonts w:asciiTheme="minorHAnsi" w:hAnsiTheme="minorHAnsi"/>
              </w:rPr>
              <w:t>Table 2.1</w:t>
            </w:r>
            <w:r w:rsidRPr="0067297E">
              <w:rPr>
                <w:rFonts w:asciiTheme="minorHAnsi" w:hAnsiTheme="minorHAnsi"/>
              </w:rPr>
              <w:tab/>
              <w:t>Size of PRS by ward</w:t>
            </w:r>
            <w:bookmarkEnd w:id="681"/>
            <w:bookmarkEnd w:id="682"/>
          </w:p>
        </w:tc>
      </w:tr>
      <w:tr w:rsidR="00C4521E" w:rsidRPr="0067297E" w14:paraId="40F53F56" w14:textId="77777777" w:rsidTr="00C4521E">
        <w:tc>
          <w:tcPr>
            <w:tcW w:w="1078" w:type="pct"/>
            <w:shd w:val="clear" w:color="auto" w:fill="009999"/>
            <w:noWrap/>
            <w:tcMar>
              <w:left w:w="108" w:type="dxa"/>
              <w:right w:w="108" w:type="dxa"/>
            </w:tcMar>
            <w:vAlign w:val="bottom"/>
          </w:tcPr>
          <w:p w14:paraId="3337A2F3" w14:textId="77777777" w:rsidR="00C4521E" w:rsidRPr="0067297E" w:rsidRDefault="00C4521E" w:rsidP="00A62CB8">
            <w:pPr>
              <w:rPr>
                <w:rFonts w:asciiTheme="minorHAnsi" w:hAnsiTheme="minorHAnsi" w:cstheme="minorHAnsi"/>
                <w:b/>
                <w:bCs/>
                <w:color w:val="FFFFFF"/>
                <w:sz w:val="22"/>
                <w:szCs w:val="22"/>
              </w:rPr>
            </w:pPr>
            <w:bookmarkStart w:id="683" w:name="_Hlk482945644"/>
            <w:r w:rsidRPr="0067297E">
              <w:rPr>
                <w:rFonts w:asciiTheme="minorHAnsi" w:hAnsiTheme="minorHAnsi" w:cstheme="minorHAnsi"/>
                <w:b/>
                <w:bCs/>
                <w:color w:val="FFFFFF"/>
                <w:sz w:val="22"/>
                <w:szCs w:val="22"/>
              </w:rPr>
              <w:t>Ward</w:t>
            </w:r>
          </w:p>
        </w:tc>
        <w:tc>
          <w:tcPr>
            <w:tcW w:w="926" w:type="pct"/>
            <w:shd w:val="clear" w:color="auto" w:fill="009999"/>
            <w:noWrap/>
            <w:tcMar>
              <w:left w:w="108" w:type="dxa"/>
              <w:right w:w="108" w:type="dxa"/>
            </w:tcMar>
            <w:vAlign w:val="bottom"/>
          </w:tcPr>
          <w:p w14:paraId="787306D0" w14:textId="3540143C" w:rsidR="00C4521E" w:rsidRPr="0067297E" w:rsidRDefault="00C4521E" w:rsidP="00A62CB8">
            <w:pPr>
              <w:jc w:val="center"/>
              <w:rPr>
                <w:rFonts w:asciiTheme="minorHAnsi" w:hAnsiTheme="minorHAnsi" w:cstheme="minorHAnsi"/>
                <w:b/>
                <w:bCs/>
                <w:color w:val="FFFFFF"/>
                <w:sz w:val="22"/>
                <w:szCs w:val="22"/>
              </w:rPr>
            </w:pPr>
            <w:r w:rsidRPr="0067297E">
              <w:rPr>
                <w:rFonts w:asciiTheme="minorHAnsi" w:hAnsiTheme="minorHAnsi" w:cstheme="minorHAnsi"/>
                <w:b/>
                <w:bCs/>
                <w:color w:val="FFFFFF"/>
                <w:sz w:val="22"/>
                <w:szCs w:val="22"/>
              </w:rPr>
              <w:t>Owner No. (with and without a mortgage and S</w:t>
            </w:r>
            <w:r w:rsidR="00FA273F" w:rsidRPr="0067297E">
              <w:rPr>
                <w:rFonts w:asciiTheme="minorHAnsi" w:hAnsiTheme="minorHAnsi" w:cstheme="minorHAnsi"/>
                <w:b/>
                <w:bCs/>
                <w:color w:val="FFFFFF"/>
                <w:sz w:val="22"/>
                <w:szCs w:val="22"/>
              </w:rPr>
              <w:t>hared Ownership</w:t>
            </w:r>
          </w:p>
        </w:tc>
        <w:tc>
          <w:tcPr>
            <w:tcW w:w="618" w:type="pct"/>
            <w:shd w:val="clear" w:color="auto" w:fill="009999"/>
            <w:noWrap/>
            <w:tcMar>
              <w:left w:w="108" w:type="dxa"/>
              <w:right w:w="108" w:type="dxa"/>
            </w:tcMar>
            <w:vAlign w:val="bottom"/>
          </w:tcPr>
          <w:p w14:paraId="6FD93ECA" w14:textId="77777777" w:rsidR="00C4521E" w:rsidRPr="0067297E" w:rsidRDefault="00C4521E" w:rsidP="00A62CB8">
            <w:pPr>
              <w:jc w:val="center"/>
              <w:rPr>
                <w:rFonts w:asciiTheme="minorHAnsi" w:hAnsiTheme="minorHAnsi" w:cstheme="minorHAnsi"/>
                <w:b/>
                <w:bCs/>
                <w:color w:val="FFFFFF"/>
                <w:sz w:val="22"/>
                <w:szCs w:val="22"/>
              </w:rPr>
            </w:pPr>
            <w:r w:rsidRPr="0067297E">
              <w:rPr>
                <w:rFonts w:asciiTheme="minorHAnsi" w:hAnsiTheme="minorHAnsi" w:cstheme="minorHAnsi"/>
                <w:b/>
                <w:bCs/>
                <w:color w:val="FFFFFF"/>
                <w:sz w:val="22"/>
                <w:szCs w:val="22"/>
              </w:rPr>
              <w:t>Aff Hsg  rentNo.</w:t>
            </w:r>
          </w:p>
        </w:tc>
        <w:tc>
          <w:tcPr>
            <w:tcW w:w="462" w:type="pct"/>
            <w:shd w:val="clear" w:color="auto" w:fill="009999"/>
            <w:noWrap/>
            <w:tcMar>
              <w:left w:w="108" w:type="dxa"/>
              <w:right w:w="108" w:type="dxa"/>
            </w:tcMar>
            <w:vAlign w:val="bottom"/>
          </w:tcPr>
          <w:p w14:paraId="7C4AB481" w14:textId="77777777" w:rsidR="00C4521E" w:rsidRPr="0067297E" w:rsidRDefault="00C4521E" w:rsidP="00A62CB8">
            <w:pPr>
              <w:jc w:val="center"/>
              <w:rPr>
                <w:rFonts w:asciiTheme="minorHAnsi" w:hAnsiTheme="minorHAnsi" w:cstheme="minorHAnsi"/>
                <w:b/>
                <w:bCs/>
                <w:color w:val="FFFFFF"/>
                <w:sz w:val="22"/>
                <w:szCs w:val="22"/>
              </w:rPr>
            </w:pPr>
            <w:r w:rsidRPr="0067297E">
              <w:rPr>
                <w:rFonts w:asciiTheme="minorHAnsi" w:hAnsiTheme="minorHAnsi" w:cstheme="minorHAnsi"/>
                <w:b/>
                <w:bCs/>
                <w:color w:val="FFFFFF"/>
                <w:sz w:val="22"/>
                <w:szCs w:val="22"/>
              </w:rPr>
              <w:t>PRS No.</w:t>
            </w:r>
          </w:p>
        </w:tc>
        <w:tc>
          <w:tcPr>
            <w:tcW w:w="541" w:type="pct"/>
            <w:shd w:val="clear" w:color="auto" w:fill="009999"/>
            <w:noWrap/>
            <w:tcMar>
              <w:left w:w="108" w:type="dxa"/>
              <w:right w:w="108" w:type="dxa"/>
            </w:tcMar>
            <w:vAlign w:val="bottom"/>
          </w:tcPr>
          <w:p w14:paraId="58FBB312" w14:textId="77777777" w:rsidR="00C4521E" w:rsidRPr="0067297E" w:rsidRDefault="00C4521E" w:rsidP="00A62CB8">
            <w:pPr>
              <w:jc w:val="center"/>
              <w:rPr>
                <w:rFonts w:asciiTheme="minorHAnsi" w:hAnsiTheme="minorHAnsi" w:cstheme="minorHAnsi"/>
                <w:b/>
                <w:bCs/>
                <w:color w:val="FFFFFF"/>
                <w:sz w:val="22"/>
                <w:szCs w:val="22"/>
              </w:rPr>
            </w:pPr>
            <w:r w:rsidRPr="0067297E">
              <w:rPr>
                <w:rFonts w:asciiTheme="minorHAnsi" w:hAnsiTheme="minorHAnsi" w:cstheme="minorHAnsi"/>
                <w:b/>
                <w:bCs/>
                <w:color w:val="FFFFFF"/>
                <w:sz w:val="22"/>
                <w:szCs w:val="22"/>
              </w:rPr>
              <w:t>Total</w:t>
            </w:r>
          </w:p>
        </w:tc>
        <w:tc>
          <w:tcPr>
            <w:tcW w:w="462" w:type="pct"/>
            <w:shd w:val="clear" w:color="auto" w:fill="009999"/>
            <w:tcMar>
              <w:left w:w="108" w:type="dxa"/>
              <w:right w:w="108" w:type="dxa"/>
            </w:tcMar>
            <w:vAlign w:val="bottom"/>
          </w:tcPr>
          <w:p w14:paraId="4B119D45" w14:textId="77777777" w:rsidR="00C4521E" w:rsidRPr="0067297E" w:rsidRDefault="00C4521E" w:rsidP="00A62CB8">
            <w:pPr>
              <w:jc w:val="center"/>
              <w:rPr>
                <w:rFonts w:asciiTheme="minorHAnsi" w:hAnsiTheme="minorHAnsi" w:cstheme="minorHAnsi"/>
                <w:b/>
                <w:bCs/>
                <w:color w:val="FFFFFF"/>
                <w:sz w:val="22"/>
                <w:szCs w:val="22"/>
              </w:rPr>
            </w:pPr>
            <w:r w:rsidRPr="0067297E">
              <w:rPr>
                <w:rFonts w:asciiTheme="minorHAnsi" w:hAnsiTheme="minorHAnsi" w:cstheme="minorHAnsi"/>
                <w:b/>
                <w:bCs/>
                <w:color w:val="FFFFFF"/>
                <w:sz w:val="22"/>
                <w:szCs w:val="22"/>
              </w:rPr>
              <w:t>Owner%</w:t>
            </w:r>
          </w:p>
        </w:tc>
        <w:tc>
          <w:tcPr>
            <w:tcW w:w="464" w:type="pct"/>
            <w:shd w:val="clear" w:color="auto" w:fill="009999"/>
            <w:tcMar>
              <w:left w:w="108" w:type="dxa"/>
              <w:right w:w="108" w:type="dxa"/>
            </w:tcMar>
            <w:vAlign w:val="bottom"/>
          </w:tcPr>
          <w:p w14:paraId="7DCB30D6" w14:textId="1F5B2EC7" w:rsidR="00C4521E" w:rsidRPr="0067297E" w:rsidRDefault="00C4521E" w:rsidP="00A62CB8">
            <w:pPr>
              <w:jc w:val="center"/>
              <w:rPr>
                <w:rFonts w:asciiTheme="minorHAnsi" w:hAnsiTheme="minorHAnsi" w:cstheme="minorHAnsi"/>
                <w:b/>
                <w:bCs/>
                <w:color w:val="FFFFFF"/>
                <w:sz w:val="22"/>
                <w:szCs w:val="22"/>
              </w:rPr>
            </w:pPr>
            <w:r w:rsidRPr="0067297E">
              <w:rPr>
                <w:rFonts w:asciiTheme="minorHAnsi" w:hAnsiTheme="minorHAnsi" w:cstheme="minorHAnsi"/>
                <w:b/>
                <w:bCs/>
                <w:color w:val="FFFFFF"/>
                <w:sz w:val="22"/>
                <w:szCs w:val="22"/>
              </w:rPr>
              <w:t xml:space="preserve">Aff Hsg </w:t>
            </w:r>
            <w:r w:rsidR="00FA273F" w:rsidRPr="0067297E">
              <w:rPr>
                <w:rFonts w:asciiTheme="minorHAnsi" w:hAnsiTheme="minorHAnsi" w:cstheme="minorHAnsi"/>
                <w:b/>
                <w:bCs/>
                <w:color w:val="FFFFFF"/>
                <w:sz w:val="22"/>
                <w:szCs w:val="22"/>
              </w:rPr>
              <w:t xml:space="preserve"> </w:t>
            </w:r>
            <w:r w:rsidRPr="0067297E">
              <w:rPr>
                <w:rFonts w:asciiTheme="minorHAnsi" w:hAnsiTheme="minorHAnsi" w:cstheme="minorHAnsi"/>
                <w:b/>
                <w:bCs/>
                <w:color w:val="FFFFFF"/>
                <w:sz w:val="22"/>
                <w:szCs w:val="22"/>
              </w:rPr>
              <w:t>%</w:t>
            </w:r>
          </w:p>
        </w:tc>
        <w:tc>
          <w:tcPr>
            <w:tcW w:w="449" w:type="pct"/>
            <w:shd w:val="clear" w:color="auto" w:fill="009999"/>
            <w:tcMar>
              <w:left w:w="108" w:type="dxa"/>
              <w:right w:w="108" w:type="dxa"/>
            </w:tcMar>
            <w:vAlign w:val="bottom"/>
          </w:tcPr>
          <w:p w14:paraId="771D7A99" w14:textId="77777777" w:rsidR="00C4521E" w:rsidRPr="0067297E" w:rsidRDefault="00C4521E" w:rsidP="00A62CB8">
            <w:pPr>
              <w:jc w:val="center"/>
              <w:rPr>
                <w:rFonts w:asciiTheme="minorHAnsi" w:hAnsiTheme="minorHAnsi" w:cstheme="minorHAnsi"/>
                <w:b/>
                <w:bCs/>
                <w:color w:val="FFFFFF"/>
                <w:sz w:val="22"/>
                <w:szCs w:val="22"/>
              </w:rPr>
            </w:pPr>
            <w:r w:rsidRPr="0067297E">
              <w:rPr>
                <w:rFonts w:asciiTheme="minorHAnsi" w:hAnsiTheme="minorHAnsi" w:cstheme="minorHAnsi"/>
                <w:b/>
                <w:bCs/>
                <w:color w:val="FFFFFF"/>
                <w:sz w:val="22"/>
                <w:szCs w:val="22"/>
              </w:rPr>
              <w:t>PRS %</w:t>
            </w:r>
          </w:p>
        </w:tc>
      </w:tr>
      <w:tr w:rsidR="00C4521E" w:rsidRPr="0067297E" w14:paraId="1A59CCA4" w14:textId="77777777" w:rsidTr="00C4521E">
        <w:tc>
          <w:tcPr>
            <w:tcW w:w="1078" w:type="pct"/>
            <w:noWrap/>
            <w:tcMar>
              <w:left w:w="108" w:type="dxa"/>
              <w:right w:w="108" w:type="dxa"/>
            </w:tcMar>
            <w:vAlign w:val="bottom"/>
          </w:tcPr>
          <w:p w14:paraId="1B8B948B" w14:textId="77777777" w:rsidR="00C4521E" w:rsidRPr="0067297E" w:rsidRDefault="00C4521E" w:rsidP="00A62CB8">
            <w:pPr>
              <w:rPr>
                <w:rFonts w:asciiTheme="minorHAnsi" w:hAnsiTheme="minorHAnsi" w:cstheme="minorHAnsi"/>
                <w:color w:val="000000"/>
                <w:sz w:val="22"/>
                <w:szCs w:val="22"/>
              </w:rPr>
            </w:pPr>
            <w:bookmarkStart w:id="684" w:name="_Hlk518458438"/>
            <w:bookmarkStart w:id="685" w:name="_Hlk518458505"/>
            <w:r w:rsidRPr="0067297E">
              <w:rPr>
                <w:rFonts w:asciiTheme="minorHAnsi" w:hAnsiTheme="minorHAnsi" w:cstheme="minorHAnsi"/>
                <w:color w:val="000000"/>
                <w:sz w:val="22"/>
                <w:szCs w:val="22"/>
              </w:rPr>
              <w:t>Bellingham</w:t>
            </w:r>
          </w:p>
        </w:tc>
        <w:tc>
          <w:tcPr>
            <w:tcW w:w="926" w:type="pct"/>
            <w:noWrap/>
            <w:tcMar>
              <w:left w:w="108" w:type="dxa"/>
              <w:right w:w="108" w:type="dxa"/>
            </w:tcMar>
            <w:vAlign w:val="bottom"/>
          </w:tcPr>
          <w:p w14:paraId="54CE6B37"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2523</w:t>
            </w:r>
          </w:p>
        </w:tc>
        <w:tc>
          <w:tcPr>
            <w:tcW w:w="618" w:type="pct"/>
            <w:noWrap/>
            <w:tcMar>
              <w:left w:w="108" w:type="dxa"/>
              <w:right w:w="108" w:type="dxa"/>
            </w:tcMar>
            <w:vAlign w:val="bottom"/>
          </w:tcPr>
          <w:p w14:paraId="0DF40B34"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2689</w:t>
            </w:r>
          </w:p>
        </w:tc>
        <w:tc>
          <w:tcPr>
            <w:tcW w:w="462" w:type="pct"/>
            <w:noWrap/>
            <w:tcMar>
              <w:left w:w="108" w:type="dxa"/>
              <w:right w:w="108" w:type="dxa"/>
            </w:tcMar>
            <w:vAlign w:val="bottom"/>
          </w:tcPr>
          <w:p w14:paraId="665E84C8"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895</w:t>
            </w:r>
          </w:p>
        </w:tc>
        <w:tc>
          <w:tcPr>
            <w:tcW w:w="541" w:type="pct"/>
            <w:noWrap/>
            <w:tcMar>
              <w:left w:w="108" w:type="dxa"/>
              <w:right w:w="108" w:type="dxa"/>
            </w:tcMar>
            <w:vAlign w:val="bottom"/>
          </w:tcPr>
          <w:p w14:paraId="5318E404"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6107</w:t>
            </w:r>
          </w:p>
        </w:tc>
        <w:tc>
          <w:tcPr>
            <w:tcW w:w="462" w:type="pct"/>
            <w:tcMar>
              <w:left w:w="108" w:type="dxa"/>
              <w:right w:w="108" w:type="dxa"/>
            </w:tcMar>
            <w:vAlign w:val="bottom"/>
          </w:tcPr>
          <w:p w14:paraId="7CF054DA"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41.3</w:t>
            </w:r>
          </w:p>
        </w:tc>
        <w:tc>
          <w:tcPr>
            <w:tcW w:w="464" w:type="pct"/>
            <w:tcMar>
              <w:left w:w="108" w:type="dxa"/>
              <w:right w:w="108" w:type="dxa"/>
            </w:tcMar>
            <w:vAlign w:val="bottom"/>
          </w:tcPr>
          <w:p w14:paraId="2AF42283"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44.0</w:t>
            </w:r>
          </w:p>
        </w:tc>
        <w:tc>
          <w:tcPr>
            <w:tcW w:w="449" w:type="pct"/>
            <w:tcMar>
              <w:left w:w="108" w:type="dxa"/>
              <w:right w:w="108" w:type="dxa"/>
            </w:tcMar>
            <w:vAlign w:val="bottom"/>
          </w:tcPr>
          <w:p w14:paraId="72DCC40B"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14.7</w:t>
            </w:r>
          </w:p>
        </w:tc>
      </w:tr>
      <w:tr w:rsidR="00C4521E" w:rsidRPr="0067297E" w14:paraId="6FF19D66" w14:textId="77777777" w:rsidTr="00C4521E">
        <w:tc>
          <w:tcPr>
            <w:tcW w:w="1078" w:type="pct"/>
            <w:noWrap/>
            <w:tcMar>
              <w:left w:w="108" w:type="dxa"/>
              <w:right w:w="108" w:type="dxa"/>
            </w:tcMar>
            <w:vAlign w:val="bottom"/>
          </w:tcPr>
          <w:p w14:paraId="020C5FC3"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Blackheath</w:t>
            </w:r>
          </w:p>
        </w:tc>
        <w:tc>
          <w:tcPr>
            <w:tcW w:w="926" w:type="pct"/>
            <w:noWrap/>
            <w:tcMar>
              <w:left w:w="108" w:type="dxa"/>
              <w:right w:w="108" w:type="dxa"/>
            </w:tcMar>
            <w:vAlign w:val="bottom"/>
          </w:tcPr>
          <w:p w14:paraId="2FC26773"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2790</w:t>
            </w:r>
          </w:p>
        </w:tc>
        <w:tc>
          <w:tcPr>
            <w:tcW w:w="618" w:type="pct"/>
            <w:noWrap/>
            <w:tcMar>
              <w:left w:w="108" w:type="dxa"/>
              <w:right w:w="108" w:type="dxa"/>
            </w:tcMar>
            <w:vAlign w:val="bottom"/>
          </w:tcPr>
          <w:p w14:paraId="500775AE"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1850</w:t>
            </w:r>
          </w:p>
        </w:tc>
        <w:tc>
          <w:tcPr>
            <w:tcW w:w="462" w:type="pct"/>
            <w:noWrap/>
            <w:tcMar>
              <w:left w:w="108" w:type="dxa"/>
              <w:right w:w="108" w:type="dxa"/>
            </w:tcMar>
            <w:vAlign w:val="bottom"/>
          </w:tcPr>
          <w:p w14:paraId="493A68F4"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1783</w:t>
            </w:r>
          </w:p>
        </w:tc>
        <w:tc>
          <w:tcPr>
            <w:tcW w:w="541" w:type="pct"/>
            <w:noWrap/>
            <w:tcMar>
              <w:left w:w="108" w:type="dxa"/>
              <w:right w:w="108" w:type="dxa"/>
            </w:tcMar>
            <w:vAlign w:val="bottom"/>
          </w:tcPr>
          <w:p w14:paraId="60D94330"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6423</w:t>
            </w:r>
          </w:p>
        </w:tc>
        <w:tc>
          <w:tcPr>
            <w:tcW w:w="462" w:type="pct"/>
            <w:tcMar>
              <w:left w:w="108" w:type="dxa"/>
              <w:right w:w="108" w:type="dxa"/>
            </w:tcMar>
            <w:vAlign w:val="bottom"/>
          </w:tcPr>
          <w:p w14:paraId="09F36D85"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43.4</w:t>
            </w:r>
          </w:p>
        </w:tc>
        <w:tc>
          <w:tcPr>
            <w:tcW w:w="464" w:type="pct"/>
            <w:tcMar>
              <w:left w:w="108" w:type="dxa"/>
              <w:right w:w="108" w:type="dxa"/>
            </w:tcMar>
            <w:vAlign w:val="bottom"/>
          </w:tcPr>
          <w:p w14:paraId="5ABD3C11"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28.8</w:t>
            </w:r>
          </w:p>
        </w:tc>
        <w:tc>
          <w:tcPr>
            <w:tcW w:w="449" w:type="pct"/>
            <w:tcMar>
              <w:left w:w="108" w:type="dxa"/>
              <w:right w:w="108" w:type="dxa"/>
            </w:tcMar>
            <w:vAlign w:val="bottom"/>
          </w:tcPr>
          <w:p w14:paraId="28B62D39"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27.8</w:t>
            </w:r>
          </w:p>
        </w:tc>
      </w:tr>
      <w:tr w:rsidR="00C4521E" w:rsidRPr="0067297E" w14:paraId="0D710703" w14:textId="77777777" w:rsidTr="00C4521E">
        <w:tc>
          <w:tcPr>
            <w:tcW w:w="1078" w:type="pct"/>
            <w:noWrap/>
            <w:tcMar>
              <w:left w:w="108" w:type="dxa"/>
              <w:right w:w="108" w:type="dxa"/>
            </w:tcMar>
            <w:vAlign w:val="bottom"/>
          </w:tcPr>
          <w:p w14:paraId="23304D04"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Brockley</w:t>
            </w:r>
          </w:p>
        </w:tc>
        <w:tc>
          <w:tcPr>
            <w:tcW w:w="926" w:type="pct"/>
            <w:noWrap/>
            <w:tcMar>
              <w:left w:w="108" w:type="dxa"/>
              <w:right w:w="108" w:type="dxa"/>
            </w:tcMar>
            <w:vAlign w:val="bottom"/>
          </w:tcPr>
          <w:p w14:paraId="0F0748C8"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2461</w:t>
            </w:r>
          </w:p>
        </w:tc>
        <w:tc>
          <w:tcPr>
            <w:tcW w:w="618" w:type="pct"/>
            <w:noWrap/>
            <w:tcMar>
              <w:left w:w="108" w:type="dxa"/>
              <w:right w:w="108" w:type="dxa"/>
            </w:tcMar>
            <w:vAlign w:val="bottom"/>
          </w:tcPr>
          <w:p w14:paraId="257FC838"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2237</w:t>
            </w:r>
          </w:p>
        </w:tc>
        <w:tc>
          <w:tcPr>
            <w:tcW w:w="462" w:type="pct"/>
            <w:noWrap/>
            <w:tcMar>
              <w:left w:w="108" w:type="dxa"/>
              <w:right w:w="108" w:type="dxa"/>
            </w:tcMar>
            <w:vAlign w:val="bottom"/>
          </w:tcPr>
          <w:p w14:paraId="3230E296"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2737</w:t>
            </w:r>
          </w:p>
        </w:tc>
        <w:tc>
          <w:tcPr>
            <w:tcW w:w="541" w:type="pct"/>
            <w:noWrap/>
            <w:tcMar>
              <w:left w:w="108" w:type="dxa"/>
              <w:right w:w="108" w:type="dxa"/>
            </w:tcMar>
            <w:vAlign w:val="bottom"/>
          </w:tcPr>
          <w:p w14:paraId="187170F5"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7435</w:t>
            </w:r>
          </w:p>
        </w:tc>
        <w:tc>
          <w:tcPr>
            <w:tcW w:w="462" w:type="pct"/>
            <w:tcMar>
              <w:left w:w="108" w:type="dxa"/>
              <w:right w:w="108" w:type="dxa"/>
            </w:tcMar>
            <w:vAlign w:val="bottom"/>
          </w:tcPr>
          <w:p w14:paraId="53072006"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33.1</w:t>
            </w:r>
          </w:p>
        </w:tc>
        <w:tc>
          <w:tcPr>
            <w:tcW w:w="464" w:type="pct"/>
            <w:tcMar>
              <w:left w:w="108" w:type="dxa"/>
              <w:right w:w="108" w:type="dxa"/>
            </w:tcMar>
            <w:vAlign w:val="bottom"/>
          </w:tcPr>
          <w:p w14:paraId="536468C9"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30.1</w:t>
            </w:r>
          </w:p>
        </w:tc>
        <w:tc>
          <w:tcPr>
            <w:tcW w:w="449" w:type="pct"/>
            <w:tcMar>
              <w:left w:w="108" w:type="dxa"/>
              <w:right w:w="108" w:type="dxa"/>
            </w:tcMar>
            <w:vAlign w:val="bottom"/>
          </w:tcPr>
          <w:p w14:paraId="4E14C25B"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36.8</w:t>
            </w:r>
          </w:p>
        </w:tc>
      </w:tr>
      <w:tr w:rsidR="00C4521E" w:rsidRPr="0067297E" w14:paraId="70267D65" w14:textId="77777777" w:rsidTr="00C4521E">
        <w:tc>
          <w:tcPr>
            <w:tcW w:w="1078" w:type="pct"/>
            <w:noWrap/>
            <w:tcMar>
              <w:left w:w="108" w:type="dxa"/>
              <w:right w:w="108" w:type="dxa"/>
            </w:tcMar>
            <w:vAlign w:val="bottom"/>
          </w:tcPr>
          <w:p w14:paraId="4426AB6C"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Catford South</w:t>
            </w:r>
          </w:p>
        </w:tc>
        <w:tc>
          <w:tcPr>
            <w:tcW w:w="926" w:type="pct"/>
            <w:noWrap/>
            <w:tcMar>
              <w:left w:w="108" w:type="dxa"/>
              <w:right w:w="108" w:type="dxa"/>
            </w:tcMar>
            <w:vAlign w:val="bottom"/>
          </w:tcPr>
          <w:p w14:paraId="1A8B23F4"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3794</w:t>
            </w:r>
          </w:p>
        </w:tc>
        <w:tc>
          <w:tcPr>
            <w:tcW w:w="618" w:type="pct"/>
            <w:noWrap/>
            <w:tcMar>
              <w:left w:w="108" w:type="dxa"/>
              <w:right w:w="108" w:type="dxa"/>
            </w:tcMar>
            <w:vAlign w:val="bottom"/>
          </w:tcPr>
          <w:p w14:paraId="66EF19AF"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718</w:t>
            </w:r>
          </w:p>
        </w:tc>
        <w:tc>
          <w:tcPr>
            <w:tcW w:w="462" w:type="pct"/>
            <w:noWrap/>
            <w:tcMar>
              <w:left w:w="108" w:type="dxa"/>
              <w:right w:w="108" w:type="dxa"/>
            </w:tcMar>
            <w:vAlign w:val="bottom"/>
          </w:tcPr>
          <w:p w14:paraId="7DB94ACD"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1200</w:t>
            </w:r>
          </w:p>
        </w:tc>
        <w:tc>
          <w:tcPr>
            <w:tcW w:w="541" w:type="pct"/>
            <w:noWrap/>
            <w:tcMar>
              <w:left w:w="108" w:type="dxa"/>
              <w:right w:w="108" w:type="dxa"/>
            </w:tcMar>
            <w:vAlign w:val="bottom"/>
          </w:tcPr>
          <w:p w14:paraId="4877A0D2"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5712</w:t>
            </w:r>
          </w:p>
        </w:tc>
        <w:tc>
          <w:tcPr>
            <w:tcW w:w="462" w:type="pct"/>
            <w:tcMar>
              <w:left w:w="108" w:type="dxa"/>
              <w:right w:w="108" w:type="dxa"/>
            </w:tcMar>
            <w:vAlign w:val="bottom"/>
          </w:tcPr>
          <w:p w14:paraId="306165FE"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66.4</w:t>
            </w:r>
          </w:p>
        </w:tc>
        <w:tc>
          <w:tcPr>
            <w:tcW w:w="464" w:type="pct"/>
            <w:tcMar>
              <w:left w:w="108" w:type="dxa"/>
              <w:right w:w="108" w:type="dxa"/>
            </w:tcMar>
            <w:vAlign w:val="bottom"/>
          </w:tcPr>
          <w:p w14:paraId="2392829D"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12.6</w:t>
            </w:r>
          </w:p>
        </w:tc>
        <w:tc>
          <w:tcPr>
            <w:tcW w:w="449" w:type="pct"/>
            <w:tcMar>
              <w:left w:w="108" w:type="dxa"/>
              <w:right w:w="108" w:type="dxa"/>
            </w:tcMar>
            <w:vAlign w:val="bottom"/>
          </w:tcPr>
          <w:p w14:paraId="46A9837F"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21.0</w:t>
            </w:r>
          </w:p>
        </w:tc>
      </w:tr>
      <w:tr w:rsidR="00C4521E" w:rsidRPr="0067297E" w14:paraId="6FB1A3B7" w14:textId="77777777" w:rsidTr="00C4521E">
        <w:tc>
          <w:tcPr>
            <w:tcW w:w="1078" w:type="pct"/>
            <w:noWrap/>
            <w:tcMar>
              <w:left w:w="108" w:type="dxa"/>
              <w:right w:w="108" w:type="dxa"/>
            </w:tcMar>
            <w:vAlign w:val="bottom"/>
          </w:tcPr>
          <w:p w14:paraId="0FA578DD"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Crofton Park</w:t>
            </w:r>
          </w:p>
        </w:tc>
        <w:tc>
          <w:tcPr>
            <w:tcW w:w="926" w:type="pct"/>
            <w:noWrap/>
            <w:tcMar>
              <w:left w:w="108" w:type="dxa"/>
              <w:right w:w="108" w:type="dxa"/>
            </w:tcMar>
            <w:vAlign w:val="bottom"/>
          </w:tcPr>
          <w:p w14:paraId="5A1A82C9"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3538</w:t>
            </w:r>
          </w:p>
        </w:tc>
        <w:tc>
          <w:tcPr>
            <w:tcW w:w="618" w:type="pct"/>
            <w:noWrap/>
            <w:tcMar>
              <w:left w:w="108" w:type="dxa"/>
              <w:right w:w="108" w:type="dxa"/>
            </w:tcMar>
            <w:vAlign w:val="bottom"/>
          </w:tcPr>
          <w:p w14:paraId="46184451"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1055</w:t>
            </w:r>
          </w:p>
        </w:tc>
        <w:tc>
          <w:tcPr>
            <w:tcW w:w="462" w:type="pct"/>
            <w:noWrap/>
            <w:tcMar>
              <w:left w:w="108" w:type="dxa"/>
              <w:right w:w="108" w:type="dxa"/>
            </w:tcMar>
            <w:vAlign w:val="bottom"/>
          </w:tcPr>
          <w:p w14:paraId="2C01B576"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1670</w:t>
            </w:r>
          </w:p>
        </w:tc>
        <w:tc>
          <w:tcPr>
            <w:tcW w:w="541" w:type="pct"/>
            <w:noWrap/>
            <w:tcMar>
              <w:left w:w="108" w:type="dxa"/>
              <w:right w:w="108" w:type="dxa"/>
            </w:tcMar>
            <w:vAlign w:val="bottom"/>
          </w:tcPr>
          <w:p w14:paraId="589B4822"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6263</w:t>
            </w:r>
          </w:p>
        </w:tc>
        <w:tc>
          <w:tcPr>
            <w:tcW w:w="462" w:type="pct"/>
            <w:tcMar>
              <w:left w:w="108" w:type="dxa"/>
              <w:right w:w="108" w:type="dxa"/>
            </w:tcMar>
            <w:vAlign w:val="bottom"/>
          </w:tcPr>
          <w:p w14:paraId="582B1924"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56.5</w:t>
            </w:r>
          </w:p>
        </w:tc>
        <w:tc>
          <w:tcPr>
            <w:tcW w:w="464" w:type="pct"/>
            <w:tcMar>
              <w:left w:w="108" w:type="dxa"/>
              <w:right w:w="108" w:type="dxa"/>
            </w:tcMar>
            <w:vAlign w:val="bottom"/>
          </w:tcPr>
          <w:p w14:paraId="08705D49"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16.8</w:t>
            </w:r>
          </w:p>
        </w:tc>
        <w:tc>
          <w:tcPr>
            <w:tcW w:w="449" w:type="pct"/>
            <w:tcMar>
              <w:left w:w="108" w:type="dxa"/>
              <w:right w:w="108" w:type="dxa"/>
            </w:tcMar>
            <w:vAlign w:val="bottom"/>
          </w:tcPr>
          <w:p w14:paraId="59B77FE0"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26.7</w:t>
            </w:r>
          </w:p>
        </w:tc>
      </w:tr>
      <w:tr w:rsidR="00C4521E" w:rsidRPr="0067297E" w14:paraId="159EC0CA" w14:textId="77777777" w:rsidTr="00C4521E">
        <w:tc>
          <w:tcPr>
            <w:tcW w:w="1078" w:type="pct"/>
            <w:noWrap/>
            <w:tcMar>
              <w:left w:w="108" w:type="dxa"/>
              <w:right w:w="108" w:type="dxa"/>
            </w:tcMar>
            <w:vAlign w:val="bottom"/>
          </w:tcPr>
          <w:p w14:paraId="0CE2A08A"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Downham</w:t>
            </w:r>
          </w:p>
        </w:tc>
        <w:tc>
          <w:tcPr>
            <w:tcW w:w="926" w:type="pct"/>
            <w:noWrap/>
            <w:tcMar>
              <w:left w:w="108" w:type="dxa"/>
              <w:right w:w="108" w:type="dxa"/>
            </w:tcMar>
            <w:vAlign w:val="bottom"/>
          </w:tcPr>
          <w:p w14:paraId="6D3587C0"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2729</w:t>
            </w:r>
          </w:p>
        </w:tc>
        <w:tc>
          <w:tcPr>
            <w:tcW w:w="618" w:type="pct"/>
            <w:noWrap/>
            <w:tcMar>
              <w:left w:w="108" w:type="dxa"/>
              <w:right w:w="108" w:type="dxa"/>
            </w:tcMar>
            <w:vAlign w:val="bottom"/>
          </w:tcPr>
          <w:p w14:paraId="39A5C4BD"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2476</w:t>
            </w:r>
          </w:p>
        </w:tc>
        <w:tc>
          <w:tcPr>
            <w:tcW w:w="462" w:type="pct"/>
            <w:noWrap/>
            <w:tcMar>
              <w:left w:w="108" w:type="dxa"/>
              <w:right w:w="108" w:type="dxa"/>
            </w:tcMar>
            <w:vAlign w:val="bottom"/>
          </w:tcPr>
          <w:p w14:paraId="27796765" w14:textId="1D3CE329" w:rsidR="002A26AE" w:rsidRPr="0067297E" w:rsidRDefault="00C4521E">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856</w:t>
            </w:r>
          </w:p>
        </w:tc>
        <w:tc>
          <w:tcPr>
            <w:tcW w:w="541" w:type="pct"/>
            <w:noWrap/>
            <w:tcMar>
              <w:left w:w="108" w:type="dxa"/>
              <w:right w:w="108" w:type="dxa"/>
            </w:tcMar>
            <w:vAlign w:val="bottom"/>
          </w:tcPr>
          <w:p w14:paraId="77805445"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6061</w:t>
            </w:r>
          </w:p>
        </w:tc>
        <w:tc>
          <w:tcPr>
            <w:tcW w:w="462" w:type="pct"/>
            <w:tcMar>
              <w:left w:w="108" w:type="dxa"/>
              <w:right w:w="108" w:type="dxa"/>
            </w:tcMar>
            <w:vAlign w:val="bottom"/>
          </w:tcPr>
          <w:p w14:paraId="112DDF51"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45.0</w:t>
            </w:r>
          </w:p>
        </w:tc>
        <w:tc>
          <w:tcPr>
            <w:tcW w:w="464" w:type="pct"/>
            <w:tcMar>
              <w:left w:w="108" w:type="dxa"/>
              <w:right w:w="108" w:type="dxa"/>
            </w:tcMar>
            <w:vAlign w:val="bottom"/>
          </w:tcPr>
          <w:p w14:paraId="27DCF0D5"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40.9</w:t>
            </w:r>
          </w:p>
        </w:tc>
        <w:tc>
          <w:tcPr>
            <w:tcW w:w="449" w:type="pct"/>
            <w:tcMar>
              <w:left w:w="108" w:type="dxa"/>
              <w:right w:w="108" w:type="dxa"/>
            </w:tcMar>
            <w:vAlign w:val="bottom"/>
          </w:tcPr>
          <w:p w14:paraId="620FDD04"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14.1</w:t>
            </w:r>
          </w:p>
        </w:tc>
      </w:tr>
      <w:tr w:rsidR="00C4521E" w:rsidRPr="0067297E" w14:paraId="54B023B6" w14:textId="77777777" w:rsidTr="00C4521E">
        <w:tc>
          <w:tcPr>
            <w:tcW w:w="1078" w:type="pct"/>
            <w:noWrap/>
            <w:tcMar>
              <w:left w:w="108" w:type="dxa"/>
              <w:right w:w="108" w:type="dxa"/>
            </w:tcMar>
            <w:vAlign w:val="bottom"/>
          </w:tcPr>
          <w:p w14:paraId="0656D32A"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Evelyn</w:t>
            </w:r>
          </w:p>
        </w:tc>
        <w:tc>
          <w:tcPr>
            <w:tcW w:w="926" w:type="pct"/>
            <w:noWrap/>
            <w:tcMar>
              <w:left w:w="108" w:type="dxa"/>
              <w:right w:w="108" w:type="dxa"/>
            </w:tcMar>
            <w:vAlign w:val="bottom"/>
          </w:tcPr>
          <w:p w14:paraId="4BEF9433"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1390</w:t>
            </w:r>
          </w:p>
        </w:tc>
        <w:tc>
          <w:tcPr>
            <w:tcW w:w="618" w:type="pct"/>
            <w:noWrap/>
            <w:tcMar>
              <w:left w:w="108" w:type="dxa"/>
              <w:right w:w="108" w:type="dxa"/>
            </w:tcMar>
            <w:vAlign w:val="bottom"/>
          </w:tcPr>
          <w:p w14:paraId="41154D3B"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3943</w:t>
            </w:r>
          </w:p>
        </w:tc>
        <w:tc>
          <w:tcPr>
            <w:tcW w:w="462" w:type="pct"/>
            <w:noWrap/>
            <w:tcMar>
              <w:left w:w="108" w:type="dxa"/>
              <w:right w:w="108" w:type="dxa"/>
            </w:tcMar>
            <w:vAlign w:val="bottom"/>
          </w:tcPr>
          <w:p w14:paraId="6940AF11"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1550</w:t>
            </w:r>
          </w:p>
        </w:tc>
        <w:tc>
          <w:tcPr>
            <w:tcW w:w="541" w:type="pct"/>
            <w:noWrap/>
            <w:tcMar>
              <w:left w:w="108" w:type="dxa"/>
              <w:right w:w="108" w:type="dxa"/>
            </w:tcMar>
            <w:vAlign w:val="bottom"/>
          </w:tcPr>
          <w:p w14:paraId="718908D2"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6883</w:t>
            </w:r>
          </w:p>
        </w:tc>
        <w:tc>
          <w:tcPr>
            <w:tcW w:w="462" w:type="pct"/>
            <w:tcMar>
              <w:left w:w="108" w:type="dxa"/>
              <w:right w:w="108" w:type="dxa"/>
            </w:tcMar>
            <w:vAlign w:val="bottom"/>
          </w:tcPr>
          <w:p w14:paraId="312464D7"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20.2</w:t>
            </w:r>
          </w:p>
        </w:tc>
        <w:tc>
          <w:tcPr>
            <w:tcW w:w="464" w:type="pct"/>
            <w:tcMar>
              <w:left w:w="108" w:type="dxa"/>
              <w:right w:w="108" w:type="dxa"/>
            </w:tcMar>
            <w:vAlign w:val="bottom"/>
          </w:tcPr>
          <w:p w14:paraId="5C3D4C05"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57.3</w:t>
            </w:r>
          </w:p>
        </w:tc>
        <w:tc>
          <w:tcPr>
            <w:tcW w:w="449" w:type="pct"/>
            <w:tcMar>
              <w:left w:w="108" w:type="dxa"/>
              <w:right w:w="108" w:type="dxa"/>
            </w:tcMar>
            <w:vAlign w:val="bottom"/>
          </w:tcPr>
          <w:p w14:paraId="369A3355"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22.5</w:t>
            </w:r>
          </w:p>
        </w:tc>
      </w:tr>
      <w:tr w:rsidR="00C4521E" w:rsidRPr="0067297E" w14:paraId="5759FDA0" w14:textId="77777777" w:rsidTr="00C4521E">
        <w:tc>
          <w:tcPr>
            <w:tcW w:w="1078" w:type="pct"/>
            <w:noWrap/>
            <w:tcMar>
              <w:left w:w="108" w:type="dxa"/>
              <w:right w:w="108" w:type="dxa"/>
            </w:tcMar>
            <w:vAlign w:val="bottom"/>
          </w:tcPr>
          <w:p w14:paraId="0456E32C"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Forest Hill</w:t>
            </w:r>
          </w:p>
        </w:tc>
        <w:tc>
          <w:tcPr>
            <w:tcW w:w="926" w:type="pct"/>
            <w:noWrap/>
            <w:tcMar>
              <w:left w:w="108" w:type="dxa"/>
              <w:right w:w="108" w:type="dxa"/>
            </w:tcMar>
            <w:vAlign w:val="bottom"/>
          </w:tcPr>
          <w:p w14:paraId="1455D199"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3130</w:t>
            </w:r>
          </w:p>
        </w:tc>
        <w:tc>
          <w:tcPr>
            <w:tcW w:w="618" w:type="pct"/>
            <w:noWrap/>
            <w:tcMar>
              <w:left w:w="108" w:type="dxa"/>
              <w:right w:w="108" w:type="dxa"/>
            </w:tcMar>
            <w:vAlign w:val="bottom"/>
          </w:tcPr>
          <w:p w14:paraId="3B56A06A"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1715</w:t>
            </w:r>
          </w:p>
        </w:tc>
        <w:tc>
          <w:tcPr>
            <w:tcW w:w="462" w:type="pct"/>
            <w:noWrap/>
            <w:tcMar>
              <w:left w:w="108" w:type="dxa"/>
              <w:right w:w="108" w:type="dxa"/>
            </w:tcMar>
            <w:vAlign w:val="bottom"/>
          </w:tcPr>
          <w:p w14:paraId="0554E771"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1661</w:t>
            </w:r>
          </w:p>
        </w:tc>
        <w:tc>
          <w:tcPr>
            <w:tcW w:w="541" w:type="pct"/>
            <w:noWrap/>
            <w:tcMar>
              <w:left w:w="108" w:type="dxa"/>
              <w:right w:w="108" w:type="dxa"/>
            </w:tcMar>
            <w:vAlign w:val="bottom"/>
          </w:tcPr>
          <w:p w14:paraId="253F80DE"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6506</w:t>
            </w:r>
          </w:p>
        </w:tc>
        <w:tc>
          <w:tcPr>
            <w:tcW w:w="462" w:type="pct"/>
            <w:tcMar>
              <w:left w:w="108" w:type="dxa"/>
              <w:right w:w="108" w:type="dxa"/>
            </w:tcMar>
            <w:vAlign w:val="bottom"/>
          </w:tcPr>
          <w:p w14:paraId="103F7B93"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48.1</w:t>
            </w:r>
          </w:p>
        </w:tc>
        <w:tc>
          <w:tcPr>
            <w:tcW w:w="464" w:type="pct"/>
            <w:tcMar>
              <w:left w:w="108" w:type="dxa"/>
              <w:right w:w="108" w:type="dxa"/>
            </w:tcMar>
            <w:vAlign w:val="bottom"/>
          </w:tcPr>
          <w:p w14:paraId="6E746F58"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26.4</w:t>
            </w:r>
          </w:p>
        </w:tc>
        <w:tc>
          <w:tcPr>
            <w:tcW w:w="449" w:type="pct"/>
            <w:tcMar>
              <w:left w:w="108" w:type="dxa"/>
              <w:right w:w="108" w:type="dxa"/>
            </w:tcMar>
            <w:vAlign w:val="bottom"/>
          </w:tcPr>
          <w:p w14:paraId="03E084F9"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25.5</w:t>
            </w:r>
          </w:p>
        </w:tc>
      </w:tr>
      <w:tr w:rsidR="00C4521E" w:rsidRPr="0067297E" w14:paraId="2BE70ACE" w14:textId="77777777" w:rsidTr="00C4521E">
        <w:tc>
          <w:tcPr>
            <w:tcW w:w="1078" w:type="pct"/>
            <w:noWrap/>
            <w:tcMar>
              <w:left w:w="108" w:type="dxa"/>
              <w:right w:w="108" w:type="dxa"/>
            </w:tcMar>
            <w:vAlign w:val="bottom"/>
          </w:tcPr>
          <w:p w14:paraId="3263D3AB"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Grove Park</w:t>
            </w:r>
          </w:p>
        </w:tc>
        <w:tc>
          <w:tcPr>
            <w:tcW w:w="926" w:type="pct"/>
            <w:noWrap/>
            <w:tcMar>
              <w:left w:w="108" w:type="dxa"/>
              <w:right w:w="108" w:type="dxa"/>
            </w:tcMar>
            <w:vAlign w:val="bottom"/>
          </w:tcPr>
          <w:p w14:paraId="3ABC1A38"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3373</w:t>
            </w:r>
          </w:p>
        </w:tc>
        <w:tc>
          <w:tcPr>
            <w:tcW w:w="618" w:type="pct"/>
            <w:noWrap/>
            <w:tcMar>
              <w:left w:w="108" w:type="dxa"/>
              <w:right w:w="108" w:type="dxa"/>
            </w:tcMar>
            <w:vAlign w:val="bottom"/>
          </w:tcPr>
          <w:p w14:paraId="5D469AAD"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1650</w:t>
            </w:r>
          </w:p>
        </w:tc>
        <w:tc>
          <w:tcPr>
            <w:tcW w:w="462" w:type="pct"/>
            <w:noWrap/>
            <w:tcMar>
              <w:left w:w="108" w:type="dxa"/>
              <w:right w:w="108" w:type="dxa"/>
            </w:tcMar>
            <w:vAlign w:val="bottom"/>
          </w:tcPr>
          <w:p w14:paraId="78A8D1DC"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1159</w:t>
            </w:r>
          </w:p>
        </w:tc>
        <w:tc>
          <w:tcPr>
            <w:tcW w:w="541" w:type="pct"/>
            <w:noWrap/>
            <w:tcMar>
              <w:left w:w="108" w:type="dxa"/>
              <w:right w:w="108" w:type="dxa"/>
            </w:tcMar>
            <w:vAlign w:val="bottom"/>
          </w:tcPr>
          <w:p w14:paraId="7F87DE27"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6182</w:t>
            </w:r>
          </w:p>
        </w:tc>
        <w:tc>
          <w:tcPr>
            <w:tcW w:w="462" w:type="pct"/>
            <w:tcMar>
              <w:left w:w="108" w:type="dxa"/>
              <w:right w:w="108" w:type="dxa"/>
            </w:tcMar>
            <w:vAlign w:val="bottom"/>
          </w:tcPr>
          <w:p w14:paraId="1A627A7A"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54.6</w:t>
            </w:r>
          </w:p>
        </w:tc>
        <w:tc>
          <w:tcPr>
            <w:tcW w:w="464" w:type="pct"/>
            <w:tcMar>
              <w:left w:w="108" w:type="dxa"/>
              <w:right w:w="108" w:type="dxa"/>
            </w:tcMar>
            <w:vAlign w:val="bottom"/>
          </w:tcPr>
          <w:p w14:paraId="4F015AFC"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26.7</w:t>
            </w:r>
          </w:p>
        </w:tc>
        <w:tc>
          <w:tcPr>
            <w:tcW w:w="449" w:type="pct"/>
            <w:tcMar>
              <w:left w:w="108" w:type="dxa"/>
              <w:right w:w="108" w:type="dxa"/>
            </w:tcMar>
            <w:vAlign w:val="bottom"/>
          </w:tcPr>
          <w:p w14:paraId="020C4606"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18.7</w:t>
            </w:r>
          </w:p>
        </w:tc>
      </w:tr>
      <w:tr w:rsidR="00C4521E" w:rsidRPr="0067297E" w14:paraId="7993D757" w14:textId="77777777" w:rsidTr="00C4521E">
        <w:tc>
          <w:tcPr>
            <w:tcW w:w="1078" w:type="pct"/>
            <w:noWrap/>
            <w:tcMar>
              <w:left w:w="108" w:type="dxa"/>
              <w:right w:w="108" w:type="dxa"/>
            </w:tcMar>
            <w:vAlign w:val="bottom"/>
          </w:tcPr>
          <w:p w14:paraId="59964446"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Ladywell</w:t>
            </w:r>
          </w:p>
        </w:tc>
        <w:tc>
          <w:tcPr>
            <w:tcW w:w="926" w:type="pct"/>
            <w:noWrap/>
            <w:tcMar>
              <w:left w:w="108" w:type="dxa"/>
              <w:right w:w="108" w:type="dxa"/>
            </w:tcMar>
            <w:vAlign w:val="bottom"/>
          </w:tcPr>
          <w:p w14:paraId="74C60E30"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2864</w:t>
            </w:r>
          </w:p>
        </w:tc>
        <w:tc>
          <w:tcPr>
            <w:tcW w:w="618" w:type="pct"/>
            <w:noWrap/>
            <w:tcMar>
              <w:left w:w="108" w:type="dxa"/>
              <w:right w:w="108" w:type="dxa"/>
            </w:tcMar>
            <w:vAlign w:val="bottom"/>
          </w:tcPr>
          <w:p w14:paraId="6D1B42B1"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1362</w:t>
            </w:r>
          </w:p>
        </w:tc>
        <w:tc>
          <w:tcPr>
            <w:tcW w:w="462" w:type="pct"/>
            <w:noWrap/>
            <w:tcMar>
              <w:left w:w="108" w:type="dxa"/>
              <w:right w:w="108" w:type="dxa"/>
            </w:tcMar>
            <w:vAlign w:val="bottom"/>
          </w:tcPr>
          <w:p w14:paraId="49DA78DC"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1536</w:t>
            </w:r>
          </w:p>
        </w:tc>
        <w:tc>
          <w:tcPr>
            <w:tcW w:w="541" w:type="pct"/>
            <w:noWrap/>
            <w:tcMar>
              <w:left w:w="108" w:type="dxa"/>
              <w:right w:w="108" w:type="dxa"/>
            </w:tcMar>
            <w:vAlign w:val="bottom"/>
          </w:tcPr>
          <w:p w14:paraId="5D5B73CD"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5762</w:t>
            </w:r>
          </w:p>
        </w:tc>
        <w:tc>
          <w:tcPr>
            <w:tcW w:w="462" w:type="pct"/>
            <w:tcMar>
              <w:left w:w="108" w:type="dxa"/>
              <w:right w:w="108" w:type="dxa"/>
            </w:tcMar>
            <w:vAlign w:val="bottom"/>
          </w:tcPr>
          <w:p w14:paraId="18765E2F"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49.7</w:t>
            </w:r>
          </w:p>
        </w:tc>
        <w:tc>
          <w:tcPr>
            <w:tcW w:w="464" w:type="pct"/>
            <w:tcMar>
              <w:left w:w="108" w:type="dxa"/>
              <w:right w:w="108" w:type="dxa"/>
            </w:tcMar>
            <w:vAlign w:val="bottom"/>
          </w:tcPr>
          <w:p w14:paraId="1007FB55"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23.6</w:t>
            </w:r>
          </w:p>
        </w:tc>
        <w:tc>
          <w:tcPr>
            <w:tcW w:w="449" w:type="pct"/>
            <w:tcMar>
              <w:left w:w="108" w:type="dxa"/>
              <w:right w:w="108" w:type="dxa"/>
            </w:tcMar>
            <w:vAlign w:val="bottom"/>
          </w:tcPr>
          <w:p w14:paraId="1D419F95"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26.7</w:t>
            </w:r>
          </w:p>
        </w:tc>
      </w:tr>
      <w:tr w:rsidR="00C4521E" w:rsidRPr="0067297E" w14:paraId="4773132E" w14:textId="77777777" w:rsidTr="00C4521E">
        <w:tc>
          <w:tcPr>
            <w:tcW w:w="1078" w:type="pct"/>
            <w:tcMar>
              <w:left w:w="108" w:type="dxa"/>
              <w:right w:w="108" w:type="dxa"/>
            </w:tcMar>
            <w:vAlign w:val="bottom"/>
          </w:tcPr>
          <w:p w14:paraId="37B917FF"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Lee Green</w:t>
            </w:r>
          </w:p>
        </w:tc>
        <w:tc>
          <w:tcPr>
            <w:tcW w:w="926" w:type="pct"/>
            <w:tcMar>
              <w:left w:w="108" w:type="dxa"/>
              <w:right w:w="108" w:type="dxa"/>
            </w:tcMar>
            <w:vAlign w:val="bottom"/>
          </w:tcPr>
          <w:p w14:paraId="52DA60FC"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3453</w:t>
            </w:r>
          </w:p>
        </w:tc>
        <w:tc>
          <w:tcPr>
            <w:tcW w:w="618" w:type="pct"/>
            <w:tcMar>
              <w:left w:w="108" w:type="dxa"/>
              <w:right w:w="108" w:type="dxa"/>
            </w:tcMar>
            <w:vAlign w:val="bottom"/>
          </w:tcPr>
          <w:p w14:paraId="1EC78B1A"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1342</w:t>
            </w:r>
          </w:p>
        </w:tc>
        <w:tc>
          <w:tcPr>
            <w:tcW w:w="462" w:type="pct"/>
            <w:tcMar>
              <w:left w:w="108" w:type="dxa"/>
              <w:right w:w="108" w:type="dxa"/>
            </w:tcMar>
            <w:vAlign w:val="bottom"/>
          </w:tcPr>
          <w:p w14:paraId="683018F8"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1525</w:t>
            </w:r>
          </w:p>
        </w:tc>
        <w:tc>
          <w:tcPr>
            <w:tcW w:w="541" w:type="pct"/>
            <w:tcMar>
              <w:left w:w="108" w:type="dxa"/>
              <w:right w:w="108" w:type="dxa"/>
            </w:tcMar>
            <w:vAlign w:val="bottom"/>
          </w:tcPr>
          <w:p w14:paraId="183AC899"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6320</w:t>
            </w:r>
          </w:p>
        </w:tc>
        <w:tc>
          <w:tcPr>
            <w:tcW w:w="462" w:type="pct"/>
            <w:tcMar>
              <w:left w:w="108" w:type="dxa"/>
              <w:right w:w="108" w:type="dxa"/>
            </w:tcMar>
            <w:vAlign w:val="bottom"/>
          </w:tcPr>
          <w:p w14:paraId="222E5BA4"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54.6</w:t>
            </w:r>
          </w:p>
        </w:tc>
        <w:tc>
          <w:tcPr>
            <w:tcW w:w="464" w:type="pct"/>
            <w:tcMar>
              <w:left w:w="108" w:type="dxa"/>
              <w:right w:w="108" w:type="dxa"/>
            </w:tcMar>
            <w:vAlign w:val="bottom"/>
          </w:tcPr>
          <w:p w14:paraId="677E760C"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21.2</w:t>
            </w:r>
          </w:p>
        </w:tc>
        <w:tc>
          <w:tcPr>
            <w:tcW w:w="449" w:type="pct"/>
            <w:tcMar>
              <w:left w:w="108" w:type="dxa"/>
              <w:right w:w="108" w:type="dxa"/>
            </w:tcMar>
            <w:vAlign w:val="bottom"/>
          </w:tcPr>
          <w:p w14:paraId="79839188"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24.1</w:t>
            </w:r>
          </w:p>
        </w:tc>
      </w:tr>
      <w:tr w:rsidR="00C4521E" w:rsidRPr="0067297E" w14:paraId="3F0CCFD9" w14:textId="77777777" w:rsidTr="00C4521E">
        <w:tc>
          <w:tcPr>
            <w:tcW w:w="1078" w:type="pct"/>
            <w:tcMar>
              <w:left w:w="108" w:type="dxa"/>
              <w:right w:w="108" w:type="dxa"/>
            </w:tcMar>
            <w:vAlign w:val="bottom"/>
          </w:tcPr>
          <w:p w14:paraId="24B3A075"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Lewisham Central</w:t>
            </w:r>
          </w:p>
        </w:tc>
        <w:tc>
          <w:tcPr>
            <w:tcW w:w="926" w:type="pct"/>
            <w:tcMar>
              <w:left w:w="108" w:type="dxa"/>
              <w:right w:w="108" w:type="dxa"/>
            </w:tcMar>
            <w:vAlign w:val="bottom"/>
          </w:tcPr>
          <w:p w14:paraId="1A1F6CB1"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2928</w:t>
            </w:r>
          </w:p>
        </w:tc>
        <w:tc>
          <w:tcPr>
            <w:tcW w:w="618" w:type="pct"/>
            <w:tcMar>
              <w:left w:w="108" w:type="dxa"/>
              <w:right w:w="108" w:type="dxa"/>
            </w:tcMar>
            <w:vAlign w:val="bottom"/>
          </w:tcPr>
          <w:p w14:paraId="42998104"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2116</w:t>
            </w:r>
          </w:p>
        </w:tc>
        <w:tc>
          <w:tcPr>
            <w:tcW w:w="462" w:type="pct"/>
            <w:tcMar>
              <w:left w:w="108" w:type="dxa"/>
              <w:right w:w="108" w:type="dxa"/>
            </w:tcMar>
            <w:vAlign w:val="bottom"/>
          </w:tcPr>
          <w:p w14:paraId="15F75192"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2678</w:t>
            </w:r>
          </w:p>
        </w:tc>
        <w:tc>
          <w:tcPr>
            <w:tcW w:w="541" w:type="pct"/>
            <w:tcMar>
              <w:left w:w="108" w:type="dxa"/>
              <w:right w:w="108" w:type="dxa"/>
            </w:tcMar>
            <w:vAlign w:val="bottom"/>
          </w:tcPr>
          <w:p w14:paraId="4C00FCB8"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7722</w:t>
            </w:r>
          </w:p>
        </w:tc>
        <w:tc>
          <w:tcPr>
            <w:tcW w:w="462" w:type="pct"/>
            <w:tcMar>
              <w:left w:w="108" w:type="dxa"/>
              <w:right w:w="108" w:type="dxa"/>
            </w:tcMar>
            <w:vAlign w:val="bottom"/>
          </w:tcPr>
          <w:p w14:paraId="5CEBFEE6"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37.9</w:t>
            </w:r>
          </w:p>
        </w:tc>
        <w:tc>
          <w:tcPr>
            <w:tcW w:w="464" w:type="pct"/>
            <w:tcMar>
              <w:left w:w="108" w:type="dxa"/>
              <w:right w:w="108" w:type="dxa"/>
            </w:tcMar>
            <w:vAlign w:val="bottom"/>
          </w:tcPr>
          <w:p w14:paraId="649EB883"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27.4</w:t>
            </w:r>
          </w:p>
        </w:tc>
        <w:tc>
          <w:tcPr>
            <w:tcW w:w="449" w:type="pct"/>
            <w:tcMar>
              <w:left w:w="108" w:type="dxa"/>
              <w:right w:w="108" w:type="dxa"/>
            </w:tcMar>
            <w:vAlign w:val="bottom"/>
          </w:tcPr>
          <w:p w14:paraId="38195634"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34.7</w:t>
            </w:r>
          </w:p>
        </w:tc>
      </w:tr>
      <w:tr w:rsidR="00C4521E" w:rsidRPr="0067297E" w14:paraId="45922A67" w14:textId="77777777" w:rsidTr="00C4521E">
        <w:tc>
          <w:tcPr>
            <w:tcW w:w="1078" w:type="pct"/>
            <w:tcMar>
              <w:left w:w="108" w:type="dxa"/>
              <w:right w:w="108" w:type="dxa"/>
            </w:tcMar>
            <w:vAlign w:val="bottom"/>
          </w:tcPr>
          <w:p w14:paraId="698E9231"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New Cross</w:t>
            </w:r>
          </w:p>
        </w:tc>
        <w:tc>
          <w:tcPr>
            <w:tcW w:w="926" w:type="pct"/>
            <w:tcMar>
              <w:left w:w="108" w:type="dxa"/>
              <w:right w:w="108" w:type="dxa"/>
            </w:tcMar>
            <w:vAlign w:val="bottom"/>
          </w:tcPr>
          <w:p w14:paraId="1D8B6441"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1768</w:t>
            </w:r>
          </w:p>
        </w:tc>
        <w:tc>
          <w:tcPr>
            <w:tcW w:w="618" w:type="pct"/>
            <w:tcMar>
              <w:left w:w="108" w:type="dxa"/>
              <w:right w:w="108" w:type="dxa"/>
            </w:tcMar>
            <w:vAlign w:val="bottom"/>
          </w:tcPr>
          <w:p w14:paraId="0791CE29"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2662</w:t>
            </w:r>
          </w:p>
        </w:tc>
        <w:tc>
          <w:tcPr>
            <w:tcW w:w="462" w:type="pct"/>
            <w:tcMar>
              <w:left w:w="108" w:type="dxa"/>
              <w:right w:w="108" w:type="dxa"/>
            </w:tcMar>
            <w:vAlign w:val="bottom"/>
          </w:tcPr>
          <w:p w14:paraId="7F9EA560"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2146</w:t>
            </w:r>
          </w:p>
        </w:tc>
        <w:tc>
          <w:tcPr>
            <w:tcW w:w="541" w:type="pct"/>
            <w:tcMar>
              <w:left w:w="108" w:type="dxa"/>
              <w:right w:w="108" w:type="dxa"/>
            </w:tcMar>
            <w:vAlign w:val="bottom"/>
          </w:tcPr>
          <w:p w14:paraId="043B53B5"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6576</w:t>
            </w:r>
          </w:p>
        </w:tc>
        <w:tc>
          <w:tcPr>
            <w:tcW w:w="462" w:type="pct"/>
            <w:tcMar>
              <w:left w:w="108" w:type="dxa"/>
              <w:right w:w="108" w:type="dxa"/>
            </w:tcMar>
            <w:vAlign w:val="bottom"/>
          </w:tcPr>
          <w:p w14:paraId="7306F5BB"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26.9</w:t>
            </w:r>
          </w:p>
        </w:tc>
        <w:tc>
          <w:tcPr>
            <w:tcW w:w="464" w:type="pct"/>
            <w:tcMar>
              <w:left w:w="108" w:type="dxa"/>
              <w:right w:w="108" w:type="dxa"/>
            </w:tcMar>
            <w:vAlign w:val="bottom"/>
          </w:tcPr>
          <w:p w14:paraId="6D0E02DD"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40.5</w:t>
            </w:r>
          </w:p>
        </w:tc>
        <w:tc>
          <w:tcPr>
            <w:tcW w:w="449" w:type="pct"/>
            <w:tcMar>
              <w:left w:w="108" w:type="dxa"/>
              <w:right w:w="108" w:type="dxa"/>
            </w:tcMar>
            <w:vAlign w:val="bottom"/>
          </w:tcPr>
          <w:p w14:paraId="4D90C2E8"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32.6</w:t>
            </w:r>
          </w:p>
        </w:tc>
      </w:tr>
      <w:tr w:rsidR="00C4521E" w:rsidRPr="0067297E" w14:paraId="01EFB117" w14:textId="77777777" w:rsidTr="00C4521E">
        <w:tc>
          <w:tcPr>
            <w:tcW w:w="1078" w:type="pct"/>
            <w:tcMar>
              <w:left w:w="108" w:type="dxa"/>
              <w:right w:w="108" w:type="dxa"/>
            </w:tcMar>
            <w:vAlign w:val="bottom"/>
          </w:tcPr>
          <w:p w14:paraId="13718F62"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Perry Vale</w:t>
            </w:r>
          </w:p>
        </w:tc>
        <w:tc>
          <w:tcPr>
            <w:tcW w:w="926" w:type="pct"/>
            <w:tcMar>
              <w:left w:w="108" w:type="dxa"/>
              <w:right w:w="108" w:type="dxa"/>
            </w:tcMar>
            <w:vAlign w:val="bottom"/>
          </w:tcPr>
          <w:p w14:paraId="06964D8A"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3321</w:t>
            </w:r>
          </w:p>
        </w:tc>
        <w:tc>
          <w:tcPr>
            <w:tcW w:w="618" w:type="pct"/>
            <w:tcMar>
              <w:left w:w="108" w:type="dxa"/>
              <w:right w:w="108" w:type="dxa"/>
            </w:tcMar>
            <w:vAlign w:val="bottom"/>
          </w:tcPr>
          <w:p w14:paraId="4F295DAE"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1780</w:t>
            </w:r>
          </w:p>
        </w:tc>
        <w:tc>
          <w:tcPr>
            <w:tcW w:w="462" w:type="pct"/>
            <w:tcMar>
              <w:left w:w="108" w:type="dxa"/>
              <w:right w:w="108" w:type="dxa"/>
            </w:tcMar>
            <w:vAlign w:val="bottom"/>
          </w:tcPr>
          <w:p w14:paraId="00FBBF0C"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1606</w:t>
            </w:r>
          </w:p>
        </w:tc>
        <w:tc>
          <w:tcPr>
            <w:tcW w:w="541" w:type="pct"/>
            <w:tcMar>
              <w:left w:w="108" w:type="dxa"/>
              <w:right w:w="108" w:type="dxa"/>
            </w:tcMar>
            <w:vAlign w:val="bottom"/>
          </w:tcPr>
          <w:p w14:paraId="54DCD2E0"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6707</w:t>
            </w:r>
          </w:p>
        </w:tc>
        <w:tc>
          <w:tcPr>
            <w:tcW w:w="462" w:type="pct"/>
            <w:tcMar>
              <w:left w:w="108" w:type="dxa"/>
              <w:right w:w="108" w:type="dxa"/>
            </w:tcMar>
            <w:vAlign w:val="bottom"/>
          </w:tcPr>
          <w:p w14:paraId="3692B8F6"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49.5</w:t>
            </w:r>
          </w:p>
        </w:tc>
        <w:tc>
          <w:tcPr>
            <w:tcW w:w="464" w:type="pct"/>
            <w:tcMar>
              <w:left w:w="108" w:type="dxa"/>
              <w:right w:w="108" w:type="dxa"/>
            </w:tcMar>
            <w:vAlign w:val="bottom"/>
          </w:tcPr>
          <w:p w14:paraId="35CE95A7"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26.5</w:t>
            </w:r>
          </w:p>
        </w:tc>
        <w:tc>
          <w:tcPr>
            <w:tcW w:w="449" w:type="pct"/>
            <w:tcMar>
              <w:left w:w="108" w:type="dxa"/>
              <w:right w:w="108" w:type="dxa"/>
            </w:tcMar>
            <w:vAlign w:val="bottom"/>
          </w:tcPr>
          <w:p w14:paraId="514FEACE"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23.9</w:t>
            </w:r>
          </w:p>
        </w:tc>
      </w:tr>
      <w:tr w:rsidR="00C4521E" w:rsidRPr="0067297E" w14:paraId="3C701474" w14:textId="77777777" w:rsidTr="00C4521E">
        <w:tc>
          <w:tcPr>
            <w:tcW w:w="1078" w:type="pct"/>
            <w:tcMar>
              <w:left w:w="108" w:type="dxa"/>
              <w:right w:w="108" w:type="dxa"/>
            </w:tcMar>
            <w:vAlign w:val="bottom"/>
          </w:tcPr>
          <w:p w14:paraId="63696112"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Rushey Green</w:t>
            </w:r>
          </w:p>
        </w:tc>
        <w:tc>
          <w:tcPr>
            <w:tcW w:w="926" w:type="pct"/>
            <w:tcMar>
              <w:left w:w="108" w:type="dxa"/>
              <w:right w:w="108" w:type="dxa"/>
            </w:tcMar>
            <w:vAlign w:val="bottom"/>
          </w:tcPr>
          <w:p w14:paraId="5CBDE5B4"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2620</w:t>
            </w:r>
          </w:p>
        </w:tc>
        <w:tc>
          <w:tcPr>
            <w:tcW w:w="618" w:type="pct"/>
            <w:tcMar>
              <w:left w:w="108" w:type="dxa"/>
              <w:right w:w="108" w:type="dxa"/>
            </w:tcMar>
            <w:vAlign w:val="bottom"/>
          </w:tcPr>
          <w:p w14:paraId="7C220606"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1683</w:t>
            </w:r>
          </w:p>
        </w:tc>
        <w:tc>
          <w:tcPr>
            <w:tcW w:w="462" w:type="pct"/>
            <w:tcMar>
              <w:left w:w="108" w:type="dxa"/>
              <w:right w:w="108" w:type="dxa"/>
            </w:tcMar>
            <w:vAlign w:val="bottom"/>
          </w:tcPr>
          <w:p w14:paraId="404E1A00"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1954</w:t>
            </w:r>
          </w:p>
        </w:tc>
        <w:tc>
          <w:tcPr>
            <w:tcW w:w="541" w:type="pct"/>
            <w:tcMar>
              <w:left w:w="108" w:type="dxa"/>
              <w:right w:w="108" w:type="dxa"/>
            </w:tcMar>
            <w:vAlign w:val="bottom"/>
          </w:tcPr>
          <w:p w14:paraId="0F485BBA"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6257</w:t>
            </w:r>
          </w:p>
        </w:tc>
        <w:tc>
          <w:tcPr>
            <w:tcW w:w="462" w:type="pct"/>
            <w:tcMar>
              <w:left w:w="108" w:type="dxa"/>
              <w:right w:w="108" w:type="dxa"/>
            </w:tcMar>
            <w:vAlign w:val="bottom"/>
          </w:tcPr>
          <w:p w14:paraId="65F3AD5C"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41.9</w:t>
            </w:r>
          </w:p>
        </w:tc>
        <w:tc>
          <w:tcPr>
            <w:tcW w:w="464" w:type="pct"/>
            <w:tcMar>
              <w:left w:w="108" w:type="dxa"/>
              <w:right w:w="108" w:type="dxa"/>
            </w:tcMar>
            <w:vAlign w:val="bottom"/>
          </w:tcPr>
          <w:p w14:paraId="504E8481"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26.9</w:t>
            </w:r>
          </w:p>
        </w:tc>
        <w:tc>
          <w:tcPr>
            <w:tcW w:w="449" w:type="pct"/>
            <w:tcMar>
              <w:left w:w="108" w:type="dxa"/>
              <w:right w:w="108" w:type="dxa"/>
            </w:tcMar>
            <w:vAlign w:val="bottom"/>
          </w:tcPr>
          <w:p w14:paraId="6F3E19C9"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31.2</w:t>
            </w:r>
          </w:p>
        </w:tc>
      </w:tr>
      <w:tr w:rsidR="00C4521E" w:rsidRPr="0067297E" w14:paraId="1E6EE8BC" w14:textId="77777777" w:rsidTr="00C4521E">
        <w:tc>
          <w:tcPr>
            <w:tcW w:w="1078" w:type="pct"/>
            <w:tcMar>
              <w:left w:w="108" w:type="dxa"/>
              <w:right w:w="108" w:type="dxa"/>
            </w:tcMar>
            <w:vAlign w:val="bottom"/>
          </w:tcPr>
          <w:p w14:paraId="32CD774A"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Sydenham</w:t>
            </w:r>
          </w:p>
        </w:tc>
        <w:tc>
          <w:tcPr>
            <w:tcW w:w="926" w:type="pct"/>
            <w:tcMar>
              <w:left w:w="108" w:type="dxa"/>
              <w:right w:w="108" w:type="dxa"/>
            </w:tcMar>
            <w:vAlign w:val="bottom"/>
          </w:tcPr>
          <w:p w14:paraId="0F6620DC"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2952</w:t>
            </w:r>
          </w:p>
        </w:tc>
        <w:tc>
          <w:tcPr>
            <w:tcW w:w="618" w:type="pct"/>
            <w:tcMar>
              <w:left w:w="108" w:type="dxa"/>
              <w:right w:w="108" w:type="dxa"/>
            </w:tcMar>
            <w:vAlign w:val="bottom"/>
          </w:tcPr>
          <w:p w14:paraId="5C075CA1"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2360</w:t>
            </w:r>
          </w:p>
        </w:tc>
        <w:tc>
          <w:tcPr>
            <w:tcW w:w="462" w:type="pct"/>
            <w:tcMar>
              <w:left w:w="108" w:type="dxa"/>
              <w:right w:w="108" w:type="dxa"/>
            </w:tcMar>
            <w:vAlign w:val="bottom"/>
          </w:tcPr>
          <w:p w14:paraId="21797BFC"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1481</w:t>
            </w:r>
          </w:p>
        </w:tc>
        <w:tc>
          <w:tcPr>
            <w:tcW w:w="541" w:type="pct"/>
            <w:tcMar>
              <w:left w:w="108" w:type="dxa"/>
              <w:right w:w="108" w:type="dxa"/>
            </w:tcMar>
            <w:vAlign w:val="bottom"/>
          </w:tcPr>
          <w:p w14:paraId="4C9630D0"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6793</w:t>
            </w:r>
          </w:p>
        </w:tc>
        <w:tc>
          <w:tcPr>
            <w:tcW w:w="462" w:type="pct"/>
            <w:tcMar>
              <w:left w:w="108" w:type="dxa"/>
              <w:right w:w="108" w:type="dxa"/>
            </w:tcMar>
            <w:vAlign w:val="bottom"/>
          </w:tcPr>
          <w:p w14:paraId="38DB733B"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43.5</w:t>
            </w:r>
          </w:p>
        </w:tc>
        <w:tc>
          <w:tcPr>
            <w:tcW w:w="464" w:type="pct"/>
            <w:tcMar>
              <w:left w:w="108" w:type="dxa"/>
              <w:right w:w="108" w:type="dxa"/>
            </w:tcMar>
            <w:vAlign w:val="bottom"/>
          </w:tcPr>
          <w:p w14:paraId="55E065D7"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34.7</w:t>
            </w:r>
          </w:p>
        </w:tc>
        <w:tc>
          <w:tcPr>
            <w:tcW w:w="449" w:type="pct"/>
            <w:tcMar>
              <w:left w:w="108" w:type="dxa"/>
              <w:right w:w="108" w:type="dxa"/>
            </w:tcMar>
            <w:vAlign w:val="bottom"/>
          </w:tcPr>
          <w:p w14:paraId="1CAFC6EB"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21.8</w:t>
            </w:r>
          </w:p>
        </w:tc>
      </w:tr>
      <w:tr w:rsidR="00C4521E" w:rsidRPr="0067297E" w14:paraId="58B003D3" w14:textId="77777777" w:rsidTr="00C4521E">
        <w:tc>
          <w:tcPr>
            <w:tcW w:w="1078" w:type="pct"/>
            <w:tcMar>
              <w:left w:w="108" w:type="dxa"/>
              <w:right w:w="108" w:type="dxa"/>
            </w:tcMar>
            <w:vAlign w:val="bottom"/>
          </w:tcPr>
          <w:p w14:paraId="1FE33317"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Telegraph Hill</w:t>
            </w:r>
          </w:p>
        </w:tc>
        <w:tc>
          <w:tcPr>
            <w:tcW w:w="926" w:type="pct"/>
            <w:tcMar>
              <w:left w:w="108" w:type="dxa"/>
              <w:right w:w="108" w:type="dxa"/>
            </w:tcMar>
            <w:vAlign w:val="bottom"/>
          </w:tcPr>
          <w:p w14:paraId="6A2BB512"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2277</w:t>
            </w:r>
          </w:p>
        </w:tc>
        <w:tc>
          <w:tcPr>
            <w:tcW w:w="618" w:type="pct"/>
            <w:tcMar>
              <w:left w:w="108" w:type="dxa"/>
              <w:right w:w="108" w:type="dxa"/>
            </w:tcMar>
            <w:vAlign w:val="bottom"/>
          </w:tcPr>
          <w:p w14:paraId="29CE6AD4"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2508</w:t>
            </w:r>
          </w:p>
        </w:tc>
        <w:tc>
          <w:tcPr>
            <w:tcW w:w="462" w:type="pct"/>
            <w:tcMar>
              <w:left w:w="108" w:type="dxa"/>
              <w:right w:w="108" w:type="dxa"/>
            </w:tcMar>
            <w:vAlign w:val="bottom"/>
          </w:tcPr>
          <w:p w14:paraId="6EE50115"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2070</w:t>
            </w:r>
          </w:p>
        </w:tc>
        <w:tc>
          <w:tcPr>
            <w:tcW w:w="541" w:type="pct"/>
            <w:tcMar>
              <w:left w:w="108" w:type="dxa"/>
              <w:right w:w="108" w:type="dxa"/>
            </w:tcMar>
            <w:vAlign w:val="bottom"/>
          </w:tcPr>
          <w:p w14:paraId="62677A10"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6855</w:t>
            </w:r>
          </w:p>
        </w:tc>
        <w:tc>
          <w:tcPr>
            <w:tcW w:w="462" w:type="pct"/>
            <w:tcMar>
              <w:left w:w="108" w:type="dxa"/>
              <w:right w:w="108" w:type="dxa"/>
            </w:tcMar>
            <w:vAlign w:val="bottom"/>
          </w:tcPr>
          <w:p w14:paraId="36C2A655"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33.2</w:t>
            </w:r>
          </w:p>
        </w:tc>
        <w:tc>
          <w:tcPr>
            <w:tcW w:w="464" w:type="pct"/>
            <w:tcMar>
              <w:left w:w="108" w:type="dxa"/>
              <w:right w:w="108" w:type="dxa"/>
            </w:tcMar>
            <w:vAlign w:val="bottom"/>
          </w:tcPr>
          <w:p w14:paraId="6473E1A5"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36.6</w:t>
            </w:r>
          </w:p>
        </w:tc>
        <w:tc>
          <w:tcPr>
            <w:tcW w:w="449" w:type="pct"/>
            <w:tcMar>
              <w:left w:w="108" w:type="dxa"/>
              <w:right w:w="108" w:type="dxa"/>
            </w:tcMar>
            <w:vAlign w:val="bottom"/>
          </w:tcPr>
          <w:p w14:paraId="4CA45DD1"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30.2</w:t>
            </w:r>
          </w:p>
        </w:tc>
      </w:tr>
      <w:tr w:rsidR="00C4521E" w:rsidRPr="0067297E" w14:paraId="4E86443F" w14:textId="77777777" w:rsidTr="00C4521E">
        <w:tc>
          <w:tcPr>
            <w:tcW w:w="1078" w:type="pct"/>
            <w:tcMar>
              <w:left w:w="108" w:type="dxa"/>
              <w:right w:w="108" w:type="dxa"/>
            </w:tcMar>
            <w:vAlign w:val="bottom"/>
          </w:tcPr>
          <w:p w14:paraId="738F9AE1"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Whitefoot</w:t>
            </w:r>
          </w:p>
        </w:tc>
        <w:tc>
          <w:tcPr>
            <w:tcW w:w="926" w:type="pct"/>
            <w:tcMar>
              <w:left w:w="108" w:type="dxa"/>
              <w:right w:w="108" w:type="dxa"/>
            </w:tcMar>
            <w:vAlign w:val="bottom"/>
          </w:tcPr>
          <w:p w14:paraId="673592C9"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2753</w:t>
            </w:r>
          </w:p>
        </w:tc>
        <w:tc>
          <w:tcPr>
            <w:tcW w:w="618" w:type="pct"/>
            <w:tcMar>
              <w:left w:w="108" w:type="dxa"/>
              <w:right w:w="108" w:type="dxa"/>
            </w:tcMar>
            <w:vAlign w:val="bottom"/>
          </w:tcPr>
          <w:p w14:paraId="0D4D1C56"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1906</w:t>
            </w:r>
          </w:p>
        </w:tc>
        <w:tc>
          <w:tcPr>
            <w:tcW w:w="462" w:type="pct"/>
            <w:tcMar>
              <w:left w:w="108" w:type="dxa"/>
              <w:right w:w="108" w:type="dxa"/>
            </w:tcMar>
            <w:vAlign w:val="bottom"/>
          </w:tcPr>
          <w:p w14:paraId="6244D79F"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868</w:t>
            </w:r>
          </w:p>
        </w:tc>
        <w:tc>
          <w:tcPr>
            <w:tcW w:w="541" w:type="pct"/>
            <w:tcMar>
              <w:left w:w="108" w:type="dxa"/>
              <w:right w:w="108" w:type="dxa"/>
            </w:tcMar>
            <w:vAlign w:val="bottom"/>
          </w:tcPr>
          <w:p w14:paraId="0610DA70"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5527</w:t>
            </w:r>
          </w:p>
        </w:tc>
        <w:tc>
          <w:tcPr>
            <w:tcW w:w="462" w:type="pct"/>
            <w:tcMar>
              <w:left w:w="108" w:type="dxa"/>
              <w:right w:w="108" w:type="dxa"/>
            </w:tcMar>
            <w:vAlign w:val="bottom"/>
          </w:tcPr>
          <w:p w14:paraId="4F98AED6"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49.8</w:t>
            </w:r>
          </w:p>
        </w:tc>
        <w:tc>
          <w:tcPr>
            <w:tcW w:w="464" w:type="pct"/>
            <w:tcMar>
              <w:left w:w="108" w:type="dxa"/>
              <w:right w:w="108" w:type="dxa"/>
            </w:tcMar>
            <w:vAlign w:val="bottom"/>
          </w:tcPr>
          <w:p w14:paraId="2F7831C4"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34.5</w:t>
            </w:r>
          </w:p>
        </w:tc>
        <w:tc>
          <w:tcPr>
            <w:tcW w:w="449" w:type="pct"/>
            <w:tcMar>
              <w:left w:w="108" w:type="dxa"/>
              <w:right w:w="108" w:type="dxa"/>
            </w:tcMar>
            <w:vAlign w:val="bottom"/>
          </w:tcPr>
          <w:p w14:paraId="311A06DE"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15.7</w:t>
            </w:r>
          </w:p>
        </w:tc>
      </w:tr>
      <w:bookmarkEnd w:id="684"/>
      <w:tr w:rsidR="00C4521E" w:rsidRPr="0067297E" w14:paraId="56CEC928" w14:textId="77777777" w:rsidTr="00C4521E">
        <w:tc>
          <w:tcPr>
            <w:tcW w:w="1078" w:type="pct"/>
            <w:tcMar>
              <w:left w:w="108" w:type="dxa"/>
              <w:right w:w="108" w:type="dxa"/>
            </w:tcMar>
            <w:vAlign w:val="bottom"/>
          </w:tcPr>
          <w:p w14:paraId="0FF4F750" w14:textId="77777777" w:rsidR="00C4521E" w:rsidRPr="0067297E" w:rsidRDefault="00C4521E" w:rsidP="00A62CB8">
            <w:pPr>
              <w:rPr>
                <w:rFonts w:asciiTheme="minorHAnsi" w:hAnsiTheme="minorHAnsi" w:cstheme="minorHAnsi"/>
                <w:b/>
                <w:color w:val="000000"/>
                <w:sz w:val="22"/>
                <w:szCs w:val="22"/>
              </w:rPr>
            </w:pPr>
            <w:r w:rsidRPr="0067297E">
              <w:rPr>
                <w:rFonts w:asciiTheme="minorHAnsi" w:hAnsiTheme="minorHAnsi" w:cstheme="minorHAnsi"/>
                <w:b/>
                <w:color w:val="000000"/>
                <w:sz w:val="22"/>
                <w:szCs w:val="22"/>
              </w:rPr>
              <w:t>Lewisham</w:t>
            </w:r>
          </w:p>
        </w:tc>
        <w:tc>
          <w:tcPr>
            <w:tcW w:w="926" w:type="pct"/>
            <w:tcMar>
              <w:left w:w="108" w:type="dxa"/>
              <w:right w:w="108" w:type="dxa"/>
            </w:tcMar>
            <w:vAlign w:val="center"/>
          </w:tcPr>
          <w:p w14:paraId="43C0640C" w14:textId="77777777" w:rsidR="00C4521E" w:rsidRPr="0067297E" w:rsidRDefault="00C4521E" w:rsidP="00A62CB8">
            <w:pPr>
              <w:jc w:val="center"/>
              <w:rPr>
                <w:rFonts w:asciiTheme="minorHAnsi" w:hAnsiTheme="minorHAnsi" w:cstheme="minorHAnsi"/>
                <w:b/>
                <w:color w:val="000000"/>
                <w:sz w:val="22"/>
                <w:szCs w:val="22"/>
                <w:lang w:eastAsia="en-GB"/>
              </w:rPr>
            </w:pPr>
            <w:r w:rsidRPr="0067297E">
              <w:rPr>
                <w:rFonts w:asciiTheme="minorHAnsi" w:hAnsiTheme="minorHAnsi" w:cstheme="minorHAnsi"/>
                <w:b/>
                <w:color w:val="000000"/>
                <w:sz w:val="22"/>
                <w:szCs w:val="22"/>
              </w:rPr>
              <w:t>50664</w:t>
            </w:r>
          </w:p>
        </w:tc>
        <w:tc>
          <w:tcPr>
            <w:tcW w:w="618" w:type="pct"/>
            <w:tcMar>
              <w:left w:w="108" w:type="dxa"/>
              <w:right w:w="108" w:type="dxa"/>
            </w:tcMar>
            <w:vAlign w:val="center"/>
          </w:tcPr>
          <w:p w14:paraId="46CAEBBD"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b/>
                <w:color w:val="000000"/>
                <w:sz w:val="22"/>
                <w:szCs w:val="22"/>
              </w:rPr>
              <w:t>36052</w:t>
            </w:r>
          </w:p>
        </w:tc>
        <w:tc>
          <w:tcPr>
            <w:tcW w:w="462" w:type="pct"/>
            <w:tcMar>
              <w:left w:w="108" w:type="dxa"/>
              <w:right w:w="108" w:type="dxa"/>
            </w:tcMar>
            <w:vAlign w:val="bottom"/>
          </w:tcPr>
          <w:p w14:paraId="71C28128"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b/>
                <w:color w:val="000000"/>
                <w:sz w:val="22"/>
                <w:szCs w:val="22"/>
              </w:rPr>
              <w:t>29375</w:t>
            </w:r>
          </w:p>
        </w:tc>
        <w:tc>
          <w:tcPr>
            <w:tcW w:w="541" w:type="pct"/>
            <w:tcMar>
              <w:left w:w="108" w:type="dxa"/>
              <w:right w:w="108" w:type="dxa"/>
            </w:tcMar>
            <w:vAlign w:val="bottom"/>
          </w:tcPr>
          <w:p w14:paraId="4DE1D105"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b/>
                <w:color w:val="000000"/>
                <w:sz w:val="22"/>
                <w:szCs w:val="22"/>
              </w:rPr>
              <w:t>116091</w:t>
            </w:r>
          </w:p>
        </w:tc>
        <w:tc>
          <w:tcPr>
            <w:tcW w:w="462" w:type="pct"/>
            <w:tcMar>
              <w:left w:w="108" w:type="dxa"/>
              <w:right w:w="108" w:type="dxa"/>
            </w:tcMar>
            <w:vAlign w:val="center"/>
          </w:tcPr>
          <w:p w14:paraId="6B1C7F76"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b/>
                <w:color w:val="000000"/>
                <w:sz w:val="22"/>
                <w:szCs w:val="22"/>
              </w:rPr>
              <w:t>43.6</w:t>
            </w:r>
          </w:p>
        </w:tc>
        <w:tc>
          <w:tcPr>
            <w:tcW w:w="464" w:type="pct"/>
            <w:tcMar>
              <w:left w:w="108" w:type="dxa"/>
              <w:right w:w="108" w:type="dxa"/>
            </w:tcMar>
            <w:vAlign w:val="center"/>
          </w:tcPr>
          <w:p w14:paraId="3F52B91E"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b/>
                <w:color w:val="000000"/>
                <w:sz w:val="22"/>
                <w:szCs w:val="22"/>
              </w:rPr>
              <w:t>31.0</w:t>
            </w:r>
          </w:p>
        </w:tc>
        <w:tc>
          <w:tcPr>
            <w:tcW w:w="449" w:type="pct"/>
            <w:tcMar>
              <w:left w:w="108" w:type="dxa"/>
              <w:right w:w="108" w:type="dxa"/>
            </w:tcMar>
            <w:vAlign w:val="center"/>
          </w:tcPr>
          <w:p w14:paraId="6394996D"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b/>
                <w:color w:val="000000"/>
                <w:sz w:val="22"/>
                <w:szCs w:val="22"/>
              </w:rPr>
              <w:t>25.3</w:t>
            </w:r>
          </w:p>
        </w:tc>
      </w:tr>
    </w:tbl>
    <w:bookmarkEnd w:id="683"/>
    <w:bookmarkEnd w:id="685"/>
    <w:p w14:paraId="5607E636" w14:textId="77777777" w:rsidR="00C4521E" w:rsidRPr="0067297E" w:rsidRDefault="00C4521E" w:rsidP="00543A76">
      <w:pPr>
        <w:rPr>
          <w:rFonts w:asciiTheme="minorHAnsi" w:hAnsiTheme="minorHAnsi"/>
          <w:sz w:val="20"/>
          <w:szCs w:val="20"/>
        </w:rPr>
      </w:pPr>
      <w:r w:rsidRPr="0067297E">
        <w:rPr>
          <w:rFonts w:asciiTheme="minorHAnsi" w:hAnsiTheme="minorHAnsi"/>
          <w:sz w:val="20"/>
          <w:szCs w:val="20"/>
        </w:rPr>
        <w:t>Source: Census 2011</w:t>
      </w:r>
    </w:p>
    <w:p w14:paraId="081787ED" w14:textId="77777777" w:rsidR="00C4521E" w:rsidRPr="0067297E" w:rsidRDefault="00C4521E" w:rsidP="00543A76">
      <w:pPr>
        <w:rPr>
          <w:rFonts w:asciiTheme="minorHAnsi" w:hAnsiTheme="minorHAnsi"/>
        </w:rPr>
      </w:pPr>
      <w:r w:rsidRPr="0067297E">
        <w:rPr>
          <w:rFonts w:asciiTheme="minorHAnsi" w:hAnsiTheme="minorHAnsi"/>
          <w:sz w:val="20"/>
          <w:szCs w:val="20"/>
        </w:rPr>
        <w:t>PRS includes those living rent free</w:t>
      </w:r>
      <w:bookmarkStart w:id="686" w:name="_Toc349735667"/>
      <w:bookmarkStart w:id="687" w:name="_Toc349730854"/>
      <w:bookmarkStart w:id="688" w:name="_Toc349720511"/>
      <w:bookmarkStart w:id="689" w:name="_Toc349713432"/>
      <w:bookmarkStart w:id="690" w:name="_Toc349636450"/>
      <w:r w:rsidRPr="0067297E">
        <w:rPr>
          <w:rFonts w:asciiTheme="minorHAnsi" w:hAnsiTheme="minorHAnsi"/>
        </w:rPr>
        <w:br w:type="page"/>
      </w:r>
    </w:p>
    <w:p w14:paraId="09C64E91" w14:textId="78659CD6"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Map 2.1 illustrates the location of the private rented sector. It shows where the private rented sector is most significant as a sector compared to other tenures. </w:t>
      </w:r>
      <w:bookmarkStart w:id="691" w:name="_Hlk488648926"/>
      <w:r w:rsidRPr="0067297E">
        <w:rPr>
          <w:rFonts w:asciiTheme="minorHAnsi" w:hAnsiTheme="minorHAnsi"/>
        </w:rPr>
        <w:t xml:space="preserve">As well as having very focused markets within Lewisham </w:t>
      </w:r>
      <w:r w:rsidR="00CA04EE" w:rsidRPr="0067297E">
        <w:rPr>
          <w:rFonts w:asciiTheme="minorHAnsi" w:hAnsiTheme="minorHAnsi"/>
          <w:lang w:val="en-GB"/>
        </w:rPr>
        <w:t xml:space="preserve">and Catford </w:t>
      </w:r>
      <w:r w:rsidRPr="0067297E">
        <w:rPr>
          <w:rFonts w:asciiTheme="minorHAnsi" w:hAnsiTheme="minorHAnsi"/>
        </w:rPr>
        <w:t>town centre</w:t>
      </w:r>
      <w:r w:rsidR="00CA04EE" w:rsidRPr="0067297E">
        <w:rPr>
          <w:rFonts w:asciiTheme="minorHAnsi" w:hAnsiTheme="minorHAnsi"/>
          <w:lang w:val="en-GB"/>
        </w:rPr>
        <w:t>s</w:t>
      </w:r>
      <w:r w:rsidRPr="0067297E">
        <w:rPr>
          <w:rFonts w:asciiTheme="minorHAnsi" w:hAnsiTheme="minorHAnsi"/>
        </w:rPr>
        <w:t>, it is at scale toward the north of the borough focusing on Deptford, New Cross and Brockley.</w:t>
      </w:r>
    </w:p>
    <w:p w14:paraId="17C0BE63" w14:textId="2045AB71"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To the </w:t>
      </w:r>
      <w:r w:rsidR="00B61903" w:rsidRPr="0067297E">
        <w:rPr>
          <w:rFonts w:asciiTheme="minorHAnsi" w:hAnsiTheme="minorHAnsi"/>
          <w:lang w:val="en-GB"/>
        </w:rPr>
        <w:t>s</w:t>
      </w:r>
      <w:r w:rsidRPr="0067297E">
        <w:rPr>
          <w:rFonts w:asciiTheme="minorHAnsi" w:hAnsiTheme="minorHAnsi"/>
        </w:rPr>
        <w:t>outh</w:t>
      </w:r>
      <w:r w:rsidR="00D67941" w:rsidRPr="0067297E">
        <w:rPr>
          <w:rFonts w:asciiTheme="minorHAnsi" w:hAnsiTheme="minorHAnsi"/>
          <w:lang w:val="en-GB"/>
        </w:rPr>
        <w:t>,</w:t>
      </w:r>
      <w:r w:rsidRPr="0067297E">
        <w:rPr>
          <w:rFonts w:asciiTheme="minorHAnsi" w:hAnsiTheme="minorHAnsi"/>
        </w:rPr>
        <w:t xml:space="preserve"> levels are lower in terms of percentage of PRS</w:t>
      </w:r>
      <w:r w:rsidR="00D67941" w:rsidRPr="0067297E">
        <w:rPr>
          <w:rFonts w:asciiTheme="minorHAnsi" w:hAnsiTheme="minorHAnsi"/>
          <w:lang w:val="en-GB"/>
        </w:rPr>
        <w:t>.</w:t>
      </w:r>
    </w:p>
    <w:bookmarkEnd w:id="691"/>
    <w:p w14:paraId="585487CC" w14:textId="2BCEBFCE"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Map 2.2 shows the actual distribution of the numbers of PRS within Lewisham</w:t>
      </w:r>
      <w:r w:rsidR="00B61903" w:rsidRPr="0067297E">
        <w:rPr>
          <w:rFonts w:asciiTheme="minorHAnsi" w:hAnsiTheme="minorHAnsi"/>
          <w:lang w:val="en-GB"/>
        </w:rPr>
        <w:t>.</w:t>
      </w:r>
    </w:p>
    <w:p w14:paraId="3DEA80EA" w14:textId="77777777" w:rsidR="00C4521E" w:rsidRPr="0067297E" w:rsidRDefault="00C4521E" w:rsidP="00543A76">
      <w:pPr>
        <w:pStyle w:val="Reporttext"/>
        <w:numPr>
          <w:ilvl w:val="0"/>
          <w:numId w:val="0"/>
        </w:numPr>
        <w:rPr>
          <w:rFonts w:asciiTheme="minorHAnsi" w:hAnsiTheme="minorHAnsi"/>
        </w:rPr>
      </w:pPr>
    </w:p>
    <w:p w14:paraId="686068BF" w14:textId="7266FE82" w:rsidR="00C4521E" w:rsidRPr="0067297E" w:rsidRDefault="00C4521E" w:rsidP="00A62CB8">
      <w:pPr>
        <w:pStyle w:val="mapheading"/>
        <w:rPr>
          <w:rFonts w:asciiTheme="minorHAnsi" w:hAnsiTheme="minorHAnsi"/>
        </w:rPr>
      </w:pPr>
      <w:bookmarkStart w:id="692" w:name="_Toc23151246"/>
      <w:r w:rsidRPr="0067297E">
        <w:rPr>
          <w:rFonts w:asciiTheme="minorHAnsi" w:hAnsiTheme="minorHAnsi"/>
        </w:rPr>
        <w:t xml:space="preserve">Map 2.1  </w:t>
      </w:r>
      <w:r w:rsidRPr="0067297E">
        <w:rPr>
          <w:rFonts w:asciiTheme="minorHAnsi" w:hAnsiTheme="minorHAnsi"/>
        </w:rPr>
        <w:tab/>
        <w:t>The percentage of PRS in each ward</w:t>
      </w:r>
      <w:bookmarkEnd w:id="692"/>
    </w:p>
    <w:p w14:paraId="559F5C20" w14:textId="77777777" w:rsidR="00C4521E" w:rsidRPr="0067297E" w:rsidRDefault="00C4521E" w:rsidP="00BA0A2B">
      <w:pPr>
        <w:rPr>
          <w:rFonts w:asciiTheme="minorHAnsi" w:hAnsiTheme="minorHAnsi"/>
        </w:rPr>
      </w:pPr>
      <w:bookmarkStart w:id="693" w:name="_Toc519477575"/>
      <w:bookmarkStart w:id="694" w:name="_Toc519477587"/>
      <w:r w:rsidRPr="0067297E">
        <w:rPr>
          <w:rFonts w:asciiTheme="minorHAnsi" w:hAnsiTheme="minorHAnsi"/>
          <w:noProof/>
          <w:lang w:eastAsia="en-GB"/>
        </w:rPr>
        <w:drawing>
          <wp:inline distT="0" distB="0" distL="0" distR="0" wp14:anchorId="3FD4B120" wp14:editId="060EBF1E">
            <wp:extent cx="5349600" cy="6174000"/>
            <wp:effectExtent l="0" t="0" r="0" b="0"/>
            <wp:docPr id="31" name="Picture 31" descr="Map showing PRS% across wards in Lewisham (labeled). " title="Map 2.1 The percentage of PRS in each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wisham_b.png"/>
                    <pic:cNvPicPr/>
                  </pic:nvPicPr>
                  <pic:blipFill rotWithShape="1">
                    <a:blip r:embed="rId106">
                      <a:extLst>
                        <a:ext uri="{28A0092B-C50C-407E-A947-70E740481C1C}">
                          <a14:useLocalDpi xmlns:a14="http://schemas.microsoft.com/office/drawing/2010/main" val="0"/>
                        </a:ext>
                      </a:extLst>
                    </a:blip>
                    <a:srcRect l="10969" t="13505" r="9262" b="21436"/>
                    <a:stretch/>
                  </pic:blipFill>
                  <pic:spPr bwMode="auto">
                    <a:xfrm>
                      <a:off x="0" y="0"/>
                      <a:ext cx="5349600" cy="6174000"/>
                    </a:xfrm>
                    <a:prstGeom prst="rect">
                      <a:avLst/>
                    </a:prstGeom>
                    <a:ln>
                      <a:noFill/>
                    </a:ln>
                    <a:extLst>
                      <a:ext uri="{53640926-AAD7-44D8-BBD7-CCE9431645EC}">
                        <a14:shadowObscured xmlns:a14="http://schemas.microsoft.com/office/drawing/2010/main"/>
                      </a:ext>
                    </a:extLst>
                  </pic:spPr>
                </pic:pic>
              </a:graphicData>
            </a:graphic>
          </wp:inline>
        </w:drawing>
      </w:r>
      <w:bookmarkEnd w:id="693"/>
      <w:bookmarkEnd w:id="694"/>
    </w:p>
    <w:p w14:paraId="5D9E1150" w14:textId="77777777" w:rsidR="00C4521E" w:rsidRPr="0067297E" w:rsidRDefault="00C4521E" w:rsidP="006C722F">
      <w:pPr>
        <w:jc w:val="center"/>
        <w:rPr>
          <w:rFonts w:asciiTheme="minorHAnsi" w:hAnsiTheme="minorHAnsi"/>
          <w:sz w:val="20"/>
          <w:szCs w:val="20"/>
        </w:rPr>
      </w:pPr>
    </w:p>
    <w:p w14:paraId="140B142A" w14:textId="78B997B0" w:rsidR="00C4521E" w:rsidRPr="0067297E" w:rsidRDefault="00C4521E" w:rsidP="002C70BC">
      <w:pPr>
        <w:pStyle w:val="Reporttext"/>
        <w:numPr>
          <w:ilvl w:val="1"/>
          <w:numId w:val="34"/>
        </w:numPr>
        <w:tabs>
          <w:tab w:val="clear" w:pos="709"/>
        </w:tabs>
        <w:rPr>
          <w:rFonts w:asciiTheme="minorHAnsi" w:hAnsiTheme="minorHAnsi" w:cs="Arial"/>
          <w:color w:val="009999"/>
          <w:sz w:val="22"/>
        </w:rPr>
      </w:pPr>
      <w:bookmarkStart w:id="695" w:name="_Toc400488730"/>
      <w:r w:rsidRPr="0067297E">
        <w:rPr>
          <w:rFonts w:asciiTheme="minorHAnsi" w:hAnsiTheme="minorHAnsi"/>
        </w:rPr>
        <w:br w:type="page"/>
        <w:t>In terms of numbers of units, the areas of focus are linked to those with the largest percentage of PRS.</w:t>
      </w:r>
    </w:p>
    <w:p w14:paraId="02FD2770" w14:textId="77777777" w:rsidR="00A62CB8" w:rsidRPr="0067297E" w:rsidRDefault="00A62CB8" w:rsidP="00A62CB8">
      <w:pPr>
        <w:pStyle w:val="Reporttext"/>
        <w:numPr>
          <w:ilvl w:val="0"/>
          <w:numId w:val="0"/>
        </w:numPr>
        <w:tabs>
          <w:tab w:val="clear" w:pos="709"/>
        </w:tabs>
        <w:ind w:left="709"/>
        <w:rPr>
          <w:rFonts w:asciiTheme="minorHAnsi" w:hAnsiTheme="minorHAnsi" w:cs="Arial"/>
          <w:color w:val="009999"/>
          <w:sz w:val="22"/>
        </w:rPr>
      </w:pPr>
    </w:p>
    <w:p w14:paraId="08114A88" w14:textId="743EAEFE" w:rsidR="00C4521E" w:rsidRPr="0067297E" w:rsidRDefault="00C4521E" w:rsidP="00FA273F">
      <w:pPr>
        <w:pStyle w:val="mapheading"/>
        <w:rPr>
          <w:rFonts w:asciiTheme="minorHAnsi" w:hAnsiTheme="minorHAnsi"/>
        </w:rPr>
      </w:pPr>
      <w:bookmarkStart w:id="696" w:name="_Toc23151247"/>
      <w:r w:rsidRPr="0067297E">
        <w:rPr>
          <w:rFonts w:asciiTheme="minorHAnsi" w:hAnsiTheme="minorHAnsi"/>
        </w:rPr>
        <w:t>Map 2.2</w:t>
      </w:r>
      <w:bookmarkEnd w:id="686"/>
      <w:bookmarkEnd w:id="687"/>
      <w:bookmarkEnd w:id="688"/>
      <w:bookmarkEnd w:id="689"/>
      <w:bookmarkEnd w:id="690"/>
      <w:r w:rsidRPr="0067297E">
        <w:rPr>
          <w:rFonts w:asciiTheme="minorHAnsi" w:hAnsiTheme="minorHAnsi"/>
        </w:rPr>
        <w:t xml:space="preserve">  </w:t>
      </w:r>
      <w:r w:rsidRPr="0067297E">
        <w:rPr>
          <w:rFonts w:asciiTheme="minorHAnsi" w:hAnsiTheme="minorHAnsi"/>
        </w:rPr>
        <w:tab/>
        <w:t xml:space="preserve">The location </w:t>
      </w:r>
      <w:bookmarkEnd w:id="695"/>
      <w:r w:rsidRPr="0067297E">
        <w:rPr>
          <w:rFonts w:asciiTheme="minorHAnsi" w:hAnsiTheme="minorHAnsi"/>
        </w:rPr>
        <w:t>of PRS in each ward</w:t>
      </w:r>
      <w:bookmarkEnd w:id="696"/>
    </w:p>
    <w:p w14:paraId="1A64EA85" w14:textId="77777777" w:rsidR="00C4521E" w:rsidRPr="0067297E" w:rsidRDefault="00C4521E" w:rsidP="00BA0A2B">
      <w:pPr>
        <w:rPr>
          <w:rFonts w:asciiTheme="minorHAnsi" w:hAnsiTheme="minorHAnsi"/>
        </w:rPr>
      </w:pPr>
      <w:bookmarkStart w:id="697" w:name="_Toc519477589"/>
      <w:r w:rsidRPr="0067297E">
        <w:rPr>
          <w:rFonts w:asciiTheme="minorHAnsi" w:hAnsiTheme="minorHAnsi"/>
          <w:noProof/>
          <w:lang w:eastAsia="en-GB"/>
        </w:rPr>
        <w:drawing>
          <wp:inline distT="0" distB="0" distL="0" distR="0" wp14:anchorId="4089A9BC" wp14:editId="7160AE9B">
            <wp:extent cx="5306400" cy="6051600"/>
            <wp:effectExtent l="0" t="0" r="0" b="0"/>
            <wp:docPr id="32" name="Picture 32" descr="Map showing the number of PRS locations across wards in Lewisham (labeled). " title="Map 2.2 The location of PRS in each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wisham_prs.png"/>
                    <pic:cNvPicPr/>
                  </pic:nvPicPr>
                  <pic:blipFill rotWithShape="1">
                    <a:blip r:embed="rId107">
                      <a:extLst>
                        <a:ext uri="{28A0092B-C50C-407E-A947-70E740481C1C}">
                          <a14:useLocalDpi xmlns:a14="http://schemas.microsoft.com/office/drawing/2010/main" val="0"/>
                        </a:ext>
                      </a:extLst>
                    </a:blip>
                    <a:srcRect l="11632" t="13974" r="9262" b="22258"/>
                    <a:stretch/>
                  </pic:blipFill>
                  <pic:spPr bwMode="auto">
                    <a:xfrm>
                      <a:off x="0" y="0"/>
                      <a:ext cx="5306400" cy="6051600"/>
                    </a:xfrm>
                    <a:prstGeom prst="rect">
                      <a:avLst/>
                    </a:prstGeom>
                    <a:ln>
                      <a:noFill/>
                    </a:ln>
                    <a:extLst>
                      <a:ext uri="{53640926-AAD7-44D8-BBD7-CCE9431645EC}">
                        <a14:shadowObscured xmlns:a14="http://schemas.microsoft.com/office/drawing/2010/main"/>
                      </a:ext>
                    </a:extLst>
                  </pic:spPr>
                </pic:pic>
              </a:graphicData>
            </a:graphic>
          </wp:inline>
        </w:drawing>
      </w:r>
      <w:bookmarkEnd w:id="697"/>
    </w:p>
    <w:p w14:paraId="2F1CEC8F" w14:textId="35A10CB1"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In Table 2.2 median property values in 2017 have been compared in each ward with the size of the private rented sector. The value of median property in wards with levels of market rented levels above the Lewisham average of 25.3% are illustrated in Chart 2.1. This confirms that 6 of the 18 wards</w:t>
      </w:r>
      <w:r w:rsidR="00CA04EE" w:rsidRPr="0067297E">
        <w:rPr>
          <w:rFonts w:asciiTheme="minorHAnsi" w:hAnsiTheme="minorHAnsi"/>
          <w:lang w:val="en-GB"/>
        </w:rPr>
        <w:t xml:space="preserve"> have</w:t>
      </w:r>
      <w:r w:rsidRPr="0067297E">
        <w:rPr>
          <w:rFonts w:asciiTheme="minorHAnsi" w:hAnsiTheme="minorHAnsi"/>
        </w:rPr>
        <w:t xml:space="preserve"> values higher than the median value for Lewisham. However, there are also 3 wards where values are below the Lewisham Median. This would suggest that </w:t>
      </w:r>
      <w:bookmarkStart w:id="698" w:name="_Hlk488648982"/>
      <w:r w:rsidRPr="0067297E">
        <w:rPr>
          <w:rFonts w:asciiTheme="minorHAnsi" w:hAnsiTheme="minorHAnsi"/>
        </w:rPr>
        <w:t>the sector is providing an offer as an extension of the social rented sector and supporting those on lower income as well as providing an offer to economically active, higher income households</w:t>
      </w:r>
      <w:bookmarkEnd w:id="698"/>
      <w:r w:rsidR="00B61903" w:rsidRPr="0067297E">
        <w:rPr>
          <w:rFonts w:asciiTheme="minorHAnsi" w:hAnsiTheme="minorHAnsi"/>
          <w:lang w:val="en-GB"/>
        </w:rPr>
        <w:t>.</w:t>
      </w:r>
      <w:r w:rsidRPr="0067297E">
        <w:rPr>
          <w:rFonts w:asciiTheme="minorHAnsi" w:hAnsiTheme="minorHAnsi"/>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1E0" w:firstRow="1" w:lastRow="1" w:firstColumn="1" w:lastColumn="1" w:noHBand="0" w:noVBand="0"/>
      </w:tblPr>
      <w:tblGrid>
        <w:gridCol w:w="3019"/>
        <w:gridCol w:w="3430"/>
        <w:gridCol w:w="2733"/>
      </w:tblGrid>
      <w:tr w:rsidR="00C4521E" w:rsidRPr="0067297E" w14:paraId="77D55CAA" w14:textId="77777777" w:rsidTr="00FD050C">
        <w:trPr>
          <w:trHeight w:val="300"/>
          <w:tblHeader/>
        </w:trPr>
        <w:tc>
          <w:tcPr>
            <w:tcW w:w="5000" w:type="pct"/>
            <w:gridSpan w:val="3"/>
            <w:shd w:val="clear" w:color="auto" w:fill="009999"/>
            <w:noWrap/>
          </w:tcPr>
          <w:p w14:paraId="03ABFB53" w14:textId="77777777" w:rsidR="00C4521E" w:rsidRPr="0067297E" w:rsidRDefault="00C4521E" w:rsidP="00FA273F">
            <w:pPr>
              <w:pStyle w:val="tableheading"/>
              <w:rPr>
                <w:rFonts w:asciiTheme="minorHAnsi" w:hAnsiTheme="minorHAnsi"/>
              </w:rPr>
            </w:pPr>
            <w:bookmarkStart w:id="699" w:name="_Toc400488708"/>
            <w:bookmarkStart w:id="700" w:name="_Toc23151208"/>
            <w:r w:rsidRPr="0067297E">
              <w:rPr>
                <w:rFonts w:asciiTheme="minorHAnsi" w:hAnsiTheme="minorHAnsi"/>
              </w:rPr>
              <w:t>Table 2.2</w:t>
            </w:r>
            <w:r w:rsidRPr="0067297E">
              <w:rPr>
                <w:rFonts w:asciiTheme="minorHAnsi" w:hAnsiTheme="minorHAnsi"/>
              </w:rPr>
              <w:tab/>
              <w:t>Median sales price in 2017 by ward</w:t>
            </w:r>
            <w:bookmarkEnd w:id="699"/>
            <w:bookmarkEnd w:id="700"/>
          </w:p>
        </w:tc>
      </w:tr>
      <w:tr w:rsidR="00C4521E" w:rsidRPr="0067297E" w14:paraId="7E8C46BB" w14:textId="77777777" w:rsidTr="00C4521E">
        <w:tc>
          <w:tcPr>
            <w:tcW w:w="1644" w:type="pct"/>
            <w:shd w:val="clear" w:color="auto" w:fill="009999"/>
            <w:noWrap/>
          </w:tcPr>
          <w:p w14:paraId="4F50EAD4" w14:textId="77777777" w:rsidR="00C4521E" w:rsidRPr="0067297E" w:rsidRDefault="00C4521E" w:rsidP="00FA273F">
            <w:pPr>
              <w:rPr>
                <w:rFonts w:asciiTheme="minorHAnsi" w:hAnsiTheme="minorHAnsi" w:cs="Calibri"/>
                <w:b/>
                <w:bCs/>
                <w:color w:val="FFFFFF"/>
                <w:sz w:val="22"/>
                <w:szCs w:val="22"/>
              </w:rPr>
            </w:pPr>
            <w:r w:rsidRPr="0067297E">
              <w:rPr>
                <w:rFonts w:asciiTheme="minorHAnsi" w:hAnsiTheme="minorHAnsi" w:cs="Calibri"/>
                <w:b/>
                <w:bCs/>
                <w:color w:val="FFFFFF"/>
                <w:sz w:val="22"/>
                <w:szCs w:val="22"/>
              </w:rPr>
              <w:t>Ward</w:t>
            </w:r>
          </w:p>
        </w:tc>
        <w:tc>
          <w:tcPr>
            <w:tcW w:w="1868" w:type="pct"/>
            <w:shd w:val="clear" w:color="auto" w:fill="009999"/>
            <w:noWrap/>
          </w:tcPr>
          <w:p w14:paraId="6E4DB7A1" w14:textId="77777777" w:rsidR="00C4521E" w:rsidRPr="0067297E" w:rsidRDefault="00C4521E" w:rsidP="00FA273F">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Median sales values 2017</w:t>
            </w:r>
          </w:p>
        </w:tc>
        <w:tc>
          <w:tcPr>
            <w:tcW w:w="1488" w:type="pct"/>
            <w:shd w:val="clear" w:color="auto" w:fill="009999"/>
          </w:tcPr>
          <w:p w14:paraId="368A9BEB" w14:textId="77777777" w:rsidR="00C4521E" w:rsidRPr="0067297E" w:rsidRDefault="00C4521E" w:rsidP="00FA273F">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Total % of the PRS Census 2011</w:t>
            </w:r>
          </w:p>
        </w:tc>
      </w:tr>
      <w:tr w:rsidR="00C4521E" w:rsidRPr="0067297E" w14:paraId="2C535F1C" w14:textId="77777777" w:rsidTr="00C4521E">
        <w:trPr>
          <w:trHeight w:val="300"/>
        </w:trPr>
        <w:tc>
          <w:tcPr>
            <w:tcW w:w="1644" w:type="pct"/>
            <w:noWrap/>
            <w:vAlign w:val="bottom"/>
          </w:tcPr>
          <w:p w14:paraId="66827542"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Bellingham</w:t>
            </w:r>
          </w:p>
        </w:tc>
        <w:tc>
          <w:tcPr>
            <w:tcW w:w="1868" w:type="pct"/>
            <w:noWrap/>
            <w:vAlign w:val="center"/>
          </w:tcPr>
          <w:p w14:paraId="35D95299" w14:textId="77777777" w:rsidR="00C4521E" w:rsidRPr="0067297E" w:rsidRDefault="00C4521E" w:rsidP="00FA273F">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342000</w:t>
            </w:r>
          </w:p>
        </w:tc>
        <w:tc>
          <w:tcPr>
            <w:tcW w:w="1488" w:type="pct"/>
            <w:vAlign w:val="bottom"/>
          </w:tcPr>
          <w:p w14:paraId="6D42877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14.7</w:t>
            </w:r>
          </w:p>
        </w:tc>
      </w:tr>
      <w:tr w:rsidR="00C4521E" w:rsidRPr="0067297E" w14:paraId="105B73A3" w14:textId="77777777" w:rsidTr="00C4521E">
        <w:trPr>
          <w:trHeight w:val="300"/>
        </w:trPr>
        <w:tc>
          <w:tcPr>
            <w:tcW w:w="1644" w:type="pct"/>
            <w:noWrap/>
            <w:vAlign w:val="bottom"/>
          </w:tcPr>
          <w:p w14:paraId="1574734A"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Blackheath</w:t>
            </w:r>
          </w:p>
        </w:tc>
        <w:tc>
          <w:tcPr>
            <w:tcW w:w="1868" w:type="pct"/>
            <w:noWrap/>
            <w:vAlign w:val="center"/>
          </w:tcPr>
          <w:p w14:paraId="2F77A79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434460</w:t>
            </w:r>
          </w:p>
        </w:tc>
        <w:tc>
          <w:tcPr>
            <w:tcW w:w="1488" w:type="pct"/>
            <w:vAlign w:val="bottom"/>
          </w:tcPr>
          <w:p w14:paraId="1C6601B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27.8</w:t>
            </w:r>
          </w:p>
        </w:tc>
      </w:tr>
      <w:tr w:rsidR="00C4521E" w:rsidRPr="0067297E" w14:paraId="1479E81B" w14:textId="77777777" w:rsidTr="00C4521E">
        <w:trPr>
          <w:trHeight w:val="300"/>
        </w:trPr>
        <w:tc>
          <w:tcPr>
            <w:tcW w:w="1644" w:type="pct"/>
            <w:noWrap/>
            <w:vAlign w:val="bottom"/>
          </w:tcPr>
          <w:p w14:paraId="1F6FFE9F"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Brockley</w:t>
            </w:r>
          </w:p>
        </w:tc>
        <w:tc>
          <w:tcPr>
            <w:tcW w:w="1868" w:type="pct"/>
            <w:noWrap/>
            <w:vAlign w:val="center"/>
          </w:tcPr>
          <w:p w14:paraId="2687DB6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420000</w:t>
            </w:r>
          </w:p>
        </w:tc>
        <w:tc>
          <w:tcPr>
            <w:tcW w:w="1488" w:type="pct"/>
            <w:vAlign w:val="bottom"/>
          </w:tcPr>
          <w:p w14:paraId="44F8B66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36.8</w:t>
            </w:r>
          </w:p>
        </w:tc>
      </w:tr>
      <w:tr w:rsidR="00C4521E" w:rsidRPr="0067297E" w14:paraId="60DA8065" w14:textId="77777777" w:rsidTr="00C4521E">
        <w:trPr>
          <w:trHeight w:val="300"/>
        </w:trPr>
        <w:tc>
          <w:tcPr>
            <w:tcW w:w="1644" w:type="pct"/>
            <w:noWrap/>
            <w:vAlign w:val="bottom"/>
          </w:tcPr>
          <w:p w14:paraId="23CA1C1E"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Catford South</w:t>
            </w:r>
          </w:p>
        </w:tc>
        <w:tc>
          <w:tcPr>
            <w:tcW w:w="1868" w:type="pct"/>
            <w:noWrap/>
            <w:vAlign w:val="center"/>
          </w:tcPr>
          <w:p w14:paraId="1BA5693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470250</w:t>
            </w:r>
          </w:p>
        </w:tc>
        <w:tc>
          <w:tcPr>
            <w:tcW w:w="1488" w:type="pct"/>
            <w:vAlign w:val="bottom"/>
          </w:tcPr>
          <w:p w14:paraId="33C327C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21.0</w:t>
            </w:r>
          </w:p>
        </w:tc>
      </w:tr>
      <w:tr w:rsidR="00C4521E" w:rsidRPr="0067297E" w14:paraId="7A481617" w14:textId="77777777" w:rsidTr="00C4521E">
        <w:trPr>
          <w:trHeight w:val="300"/>
        </w:trPr>
        <w:tc>
          <w:tcPr>
            <w:tcW w:w="1644" w:type="pct"/>
            <w:noWrap/>
            <w:vAlign w:val="bottom"/>
          </w:tcPr>
          <w:p w14:paraId="397C80E1"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Crofton Park</w:t>
            </w:r>
          </w:p>
        </w:tc>
        <w:tc>
          <w:tcPr>
            <w:tcW w:w="1868" w:type="pct"/>
            <w:noWrap/>
            <w:vAlign w:val="center"/>
          </w:tcPr>
          <w:p w14:paraId="7868F79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500000</w:t>
            </w:r>
          </w:p>
        </w:tc>
        <w:tc>
          <w:tcPr>
            <w:tcW w:w="1488" w:type="pct"/>
            <w:vAlign w:val="bottom"/>
          </w:tcPr>
          <w:p w14:paraId="6DEEB95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26.7</w:t>
            </w:r>
          </w:p>
        </w:tc>
      </w:tr>
      <w:tr w:rsidR="00C4521E" w:rsidRPr="0067297E" w14:paraId="01551B92" w14:textId="77777777" w:rsidTr="00C4521E">
        <w:trPr>
          <w:trHeight w:val="300"/>
        </w:trPr>
        <w:tc>
          <w:tcPr>
            <w:tcW w:w="1644" w:type="pct"/>
            <w:noWrap/>
            <w:vAlign w:val="bottom"/>
          </w:tcPr>
          <w:p w14:paraId="3A845D14"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Downham</w:t>
            </w:r>
          </w:p>
        </w:tc>
        <w:tc>
          <w:tcPr>
            <w:tcW w:w="1868" w:type="pct"/>
            <w:noWrap/>
            <w:vAlign w:val="center"/>
          </w:tcPr>
          <w:p w14:paraId="02F3915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328500</w:t>
            </w:r>
          </w:p>
        </w:tc>
        <w:tc>
          <w:tcPr>
            <w:tcW w:w="1488" w:type="pct"/>
            <w:vAlign w:val="bottom"/>
          </w:tcPr>
          <w:p w14:paraId="551AD47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14.1</w:t>
            </w:r>
          </w:p>
        </w:tc>
      </w:tr>
      <w:tr w:rsidR="00C4521E" w:rsidRPr="0067297E" w14:paraId="696EA4BE" w14:textId="77777777" w:rsidTr="00C4521E">
        <w:trPr>
          <w:trHeight w:val="300"/>
        </w:trPr>
        <w:tc>
          <w:tcPr>
            <w:tcW w:w="1644" w:type="pct"/>
            <w:noWrap/>
            <w:vAlign w:val="bottom"/>
          </w:tcPr>
          <w:p w14:paraId="390F67B6"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Evelyn</w:t>
            </w:r>
          </w:p>
        </w:tc>
        <w:tc>
          <w:tcPr>
            <w:tcW w:w="1868" w:type="pct"/>
            <w:noWrap/>
            <w:vAlign w:val="center"/>
          </w:tcPr>
          <w:p w14:paraId="1F0A896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520000</w:t>
            </w:r>
          </w:p>
        </w:tc>
        <w:tc>
          <w:tcPr>
            <w:tcW w:w="1488" w:type="pct"/>
            <w:vAlign w:val="bottom"/>
          </w:tcPr>
          <w:p w14:paraId="724558D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22.5</w:t>
            </w:r>
          </w:p>
        </w:tc>
      </w:tr>
      <w:tr w:rsidR="00C4521E" w:rsidRPr="0067297E" w14:paraId="61C133E4" w14:textId="77777777" w:rsidTr="00C4521E">
        <w:trPr>
          <w:trHeight w:val="300"/>
        </w:trPr>
        <w:tc>
          <w:tcPr>
            <w:tcW w:w="1644" w:type="pct"/>
            <w:noWrap/>
            <w:vAlign w:val="bottom"/>
          </w:tcPr>
          <w:p w14:paraId="54B30F79"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Forest Hill</w:t>
            </w:r>
          </w:p>
        </w:tc>
        <w:tc>
          <w:tcPr>
            <w:tcW w:w="1868" w:type="pct"/>
            <w:noWrap/>
            <w:vAlign w:val="center"/>
          </w:tcPr>
          <w:p w14:paraId="746577D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425000</w:t>
            </w:r>
          </w:p>
        </w:tc>
        <w:tc>
          <w:tcPr>
            <w:tcW w:w="1488" w:type="pct"/>
            <w:vAlign w:val="bottom"/>
          </w:tcPr>
          <w:p w14:paraId="73B42A2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25.5</w:t>
            </w:r>
          </w:p>
        </w:tc>
      </w:tr>
      <w:tr w:rsidR="00C4521E" w:rsidRPr="0067297E" w14:paraId="4A78946E" w14:textId="77777777" w:rsidTr="00C4521E">
        <w:trPr>
          <w:trHeight w:val="300"/>
        </w:trPr>
        <w:tc>
          <w:tcPr>
            <w:tcW w:w="1644" w:type="pct"/>
            <w:noWrap/>
            <w:vAlign w:val="bottom"/>
          </w:tcPr>
          <w:p w14:paraId="4BF08E10"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Grove Park</w:t>
            </w:r>
          </w:p>
        </w:tc>
        <w:tc>
          <w:tcPr>
            <w:tcW w:w="1868" w:type="pct"/>
            <w:noWrap/>
            <w:vAlign w:val="center"/>
          </w:tcPr>
          <w:p w14:paraId="6686ECA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330000</w:t>
            </w:r>
          </w:p>
        </w:tc>
        <w:tc>
          <w:tcPr>
            <w:tcW w:w="1488" w:type="pct"/>
            <w:vAlign w:val="bottom"/>
          </w:tcPr>
          <w:p w14:paraId="6131B1A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18.7</w:t>
            </w:r>
          </w:p>
        </w:tc>
      </w:tr>
      <w:tr w:rsidR="00C4521E" w:rsidRPr="0067297E" w14:paraId="6A3B04F8" w14:textId="77777777" w:rsidTr="00C4521E">
        <w:trPr>
          <w:trHeight w:val="300"/>
        </w:trPr>
        <w:tc>
          <w:tcPr>
            <w:tcW w:w="1644" w:type="pct"/>
            <w:noWrap/>
            <w:vAlign w:val="bottom"/>
          </w:tcPr>
          <w:p w14:paraId="0EE30E1D"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Ladywell</w:t>
            </w:r>
          </w:p>
        </w:tc>
        <w:tc>
          <w:tcPr>
            <w:tcW w:w="1868" w:type="pct"/>
            <w:noWrap/>
            <w:vAlign w:val="center"/>
          </w:tcPr>
          <w:p w14:paraId="37A1335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529400</w:t>
            </w:r>
          </w:p>
        </w:tc>
        <w:tc>
          <w:tcPr>
            <w:tcW w:w="1488" w:type="pct"/>
            <w:vAlign w:val="bottom"/>
          </w:tcPr>
          <w:p w14:paraId="3E3AA0E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26.7</w:t>
            </w:r>
          </w:p>
        </w:tc>
      </w:tr>
      <w:tr w:rsidR="00C4521E" w:rsidRPr="0067297E" w14:paraId="257FEDF6" w14:textId="77777777" w:rsidTr="00C4521E">
        <w:trPr>
          <w:trHeight w:val="300"/>
        </w:trPr>
        <w:tc>
          <w:tcPr>
            <w:tcW w:w="1644" w:type="pct"/>
            <w:noWrap/>
            <w:vAlign w:val="bottom"/>
          </w:tcPr>
          <w:p w14:paraId="753A9C7F"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Lee Green</w:t>
            </w:r>
          </w:p>
        </w:tc>
        <w:tc>
          <w:tcPr>
            <w:tcW w:w="1868" w:type="pct"/>
            <w:noWrap/>
            <w:vAlign w:val="center"/>
          </w:tcPr>
          <w:p w14:paraId="64929E6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520000</w:t>
            </w:r>
          </w:p>
        </w:tc>
        <w:tc>
          <w:tcPr>
            <w:tcW w:w="1488" w:type="pct"/>
            <w:vAlign w:val="bottom"/>
          </w:tcPr>
          <w:p w14:paraId="67D3055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24.1</w:t>
            </w:r>
          </w:p>
        </w:tc>
      </w:tr>
      <w:tr w:rsidR="00C4521E" w:rsidRPr="0067297E" w14:paraId="67ECED4C" w14:textId="77777777" w:rsidTr="00C4521E">
        <w:trPr>
          <w:trHeight w:val="300"/>
        </w:trPr>
        <w:tc>
          <w:tcPr>
            <w:tcW w:w="1644" w:type="pct"/>
            <w:noWrap/>
            <w:vAlign w:val="bottom"/>
          </w:tcPr>
          <w:p w14:paraId="37D8C1AC"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Lewisham Central</w:t>
            </w:r>
          </w:p>
        </w:tc>
        <w:tc>
          <w:tcPr>
            <w:tcW w:w="1868" w:type="pct"/>
            <w:noWrap/>
            <w:vAlign w:val="center"/>
          </w:tcPr>
          <w:p w14:paraId="118AAC0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369000</w:t>
            </w:r>
          </w:p>
        </w:tc>
        <w:tc>
          <w:tcPr>
            <w:tcW w:w="1488" w:type="pct"/>
            <w:vAlign w:val="bottom"/>
          </w:tcPr>
          <w:p w14:paraId="0FF5E8B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34.7</w:t>
            </w:r>
          </w:p>
        </w:tc>
      </w:tr>
      <w:tr w:rsidR="00C4521E" w:rsidRPr="0067297E" w14:paraId="0C9891AD" w14:textId="77777777" w:rsidTr="00C4521E">
        <w:trPr>
          <w:trHeight w:val="300"/>
        </w:trPr>
        <w:tc>
          <w:tcPr>
            <w:tcW w:w="1644" w:type="pct"/>
            <w:noWrap/>
            <w:vAlign w:val="bottom"/>
          </w:tcPr>
          <w:p w14:paraId="07586763"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New Cross</w:t>
            </w:r>
          </w:p>
        </w:tc>
        <w:tc>
          <w:tcPr>
            <w:tcW w:w="1868" w:type="pct"/>
            <w:noWrap/>
            <w:vAlign w:val="center"/>
          </w:tcPr>
          <w:p w14:paraId="6582EE3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348750</w:t>
            </w:r>
          </w:p>
        </w:tc>
        <w:tc>
          <w:tcPr>
            <w:tcW w:w="1488" w:type="pct"/>
            <w:vAlign w:val="bottom"/>
          </w:tcPr>
          <w:p w14:paraId="6AF9CF7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32.6</w:t>
            </w:r>
          </w:p>
        </w:tc>
      </w:tr>
      <w:tr w:rsidR="00C4521E" w:rsidRPr="0067297E" w14:paraId="25CC0ADE" w14:textId="77777777" w:rsidTr="00C4521E">
        <w:trPr>
          <w:trHeight w:val="300"/>
        </w:trPr>
        <w:tc>
          <w:tcPr>
            <w:tcW w:w="1644" w:type="pct"/>
            <w:noWrap/>
            <w:vAlign w:val="bottom"/>
          </w:tcPr>
          <w:p w14:paraId="54194920"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Perry Vale</w:t>
            </w:r>
          </w:p>
        </w:tc>
        <w:tc>
          <w:tcPr>
            <w:tcW w:w="1868" w:type="pct"/>
            <w:noWrap/>
            <w:vAlign w:val="center"/>
          </w:tcPr>
          <w:p w14:paraId="6917421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444328</w:t>
            </w:r>
          </w:p>
        </w:tc>
        <w:tc>
          <w:tcPr>
            <w:tcW w:w="1488" w:type="pct"/>
            <w:vAlign w:val="bottom"/>
          </w:tcPr>
          <w:p w14:paraId="3C4E602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23.9</w:t>
            </w:r>
          </w:p>
        </w:tc>
      </w:tr>
      <w:tr w:rsidR="00C4521E" w:rsidRPr="0067297E" w14:paraId="17F24E86" w14:textId="77777777" w:rsidTr="00C4521E">
        <w:trPr>
          <w:trHeight w:val="300"/>
        </w:trPr>
        <w:tc>
          <w:tcPr>
            <w:tcW w:w="1644" w:type="pct"/>
            <w:noWrap/>
            <w:vAlign w:val="bottom"/>
          </w:tcPr>
          <w:p w14:paraId="1FC9B7CC"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Rushey Green</w:t>
            </w:r>
          </w:p>
        </w:tc>
        <w:tc>
          <w:tcPr>
            <w:tcW w:w="1868" w:type="pct"/>
            <w:noWrap/>
            <w:vAlign w:val="center"/>
          </w:tcPr>
          <w:p w14:paraId="189CDC1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410000</w:t>
            </w:r>
          </w:p>
        </w:tc>
        <w:tc>
          <w:tcPr>
            <w:tcW w:w="1488" w:type="pct"/>
            <w:vAlign w:val="bottom"/>
          </w:tcPr>
          <w:p w14:paraId="54B3FCB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31.2</w:t>
            </w:r>
          </w:p>
        </w:tc>
      </w:tr>
      <w:tr w:rsidR="00C4521E" w:rsidRPr="0067297E" w14:paraId="78492F94" w14:textId="77777777" w:rsidTr="00C4521E">
        <w:trPr>
          <w:trHeight w:val="300"/>
        </w:trPr>
        <w:tc>
          <w:tcPr>
            <w:tcW w:w="1644" w:type="pct"/>
            <w:noWrap/>
            <w:vAlign w:val="bottom"/>
          </w:tcPr>
          <w:p w14:paraId="45BB28F2"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Sydenham</w:t>
            </w:r>
          </w:p>
        </w:tc>
        <w:tc>
          <w:tcPr>
            <w:tcW w:w="1868" w:type="pct"/>
            <w:noWrap/>
            <w:vAlign w:val="center"/>
          </w:tcPr>
          <w:p w14:paraId="381EA39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415000</w:t>
            </w:r>
          </w:p>
        </w:tc>
        <w:tc>
          <w:tcPr>
            <w:tcW w:w="1488" w:type="pct"/>
            <w:vAlign w:val="bottom"/>
          </w:tcPr>
          <w:p w14:paraId="0A76528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21.8</w:t>
            </w:r>
          </w:p>
        </w:tc>
      </w:tr>
      <w:tr w:rsidR="00C4521E" w:rsidRPr="0067297E" w14:paraId="73AFAD80" w14:textId="77777777" w:rsidTr="00C4521E">
        <w:trPr>
          <w:trHeight w:val="300"/>
        </w:trPr>
        <w:tc>
          <w:tcPr>
            <w:tcW w:w="1644" w:type="pct"/>
            <w:noWrap/>
            <w:vAlign w:val="bottom"/>
          </w:tcPr>
          <w:p w14:paraId="2AB32A7E"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Telegraph Hill</w:t>
            </w:r>
          </w:p>
        </w:tc>
        <w:tc>
          <w:tcPr>
            <w:tcW w:w="1868" w:type="pct"/>
            <w:noWrap/>
            <w:vAlign w:val="center"/>
          </w:tcPr>
          <w:p w14:paraId="3671E2A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457500</w:t>
            </w:r>
          </w:p>
        </w:tc>
        <w:tc>
          <w:tcPr>
            <w:tcW w:w="1488" w:type="pct"/>
            <w:vAlign w:val="bottom"/>
          </w:tcPr>
          <w:p w14:paraId="4A10704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30.2</w:t>
            </w:r>
          </w:p>
        </w:tc>
      </w:tr>
      <w:tr w:rsidR="00C4521E" w:rsidRPr="0067297E" w14:paraId="646724F9" w14:textId="77777777" w:rsidTr="00C4521E">
        <w:trPr>
          <w:trHeight w:val="300"/>
        </w:trPr>
        <w:tc>
          <w:tcPr>
            <w:tcW w:w="1644" w:type="pct"/>
            <w:noWrap/>
            <w:vAlign w:val="bottom"/>
          </w:tcPr>
          <w:p w14:paraId="35A00EAC"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Whitefoot</w:t>
            </w:r>
          </w:p>
        </w:tc>
        <w:tc>
          <w:tcPr>
            <w:tcW w:w="1868" w:type="pct"/>
            <w:noWrap/>
            <w:vAlign w:val="center"/>
          </w:tcPr>
          <w:p w14:paraId="585FAA0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330000</w:t>
            </w:r>
          </w:p>
        </w:tc>
        <w:tc>
          <w:tcPr>
            <w:tcW w:w="1488" w:type="pct"/>
            <w:vAlign w:val="bottom"/>
          </w:tcPr>
          <w:p w14:paraId="690AF50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15.7</w:t>
            </w:r>
          </w:p>
        </w:tc>
      </w:tr>
      <w:tr w:rsidR="00C4521E" w:rsidRPr="0067297E" w14:paraId="15232D06" w14:textId="77777777" w:rsidTr="00C4521E">
        <w:trPr>
          <w:trHeight w:val="300"/>
        </w:trPr>
        <w:tc>
          <w:tcPr>
            <w:tcW w:w="1644" w:type="pct"/>
            <w:noWrap/>
            <w:vAlign w:val="bottom"/>
          </w:tcPr>
          <w:p w14:paraId="640241F7" w14:textId="77777777" w:rsidR="00C4521E" w:rsidRPr="0067297E" w:rsidRDefault="00C4521E" w:rsidP="00FA273F">
            <w:pPr>
              <w:rPr>
                <w:rFonts w:asciiTheme="minorHAnsi" w:hAnsiTheme="minorHAnsi" w:cs="Calibri"/>
                <w:b/>
                <w:color w:val="000000"/>
                <w:sz w:val="22"/>
                <w:szCs w:val="22"/>
              </w:rPr>
            </w:pPr>
            <w:r w:rsidRPr="0067297E">
              <w:rPr>
                <w:rFonts w:asciiTheme="minorHAnsi" w:hAnsiTheme="minorHAnsi" w:cs="Calibri"/>
                <w:b/>
                <w:color w:val="000000"/>
                <w:sz w:val="22"/>
                <w:szCs w:val="22"/>
              </w:rPr>
              <w:t>Lewisham</w:t>
            </w:r>
          </w:p>
        </w:tc>
        <w:tc>
          <w:tcPr>
            <w:tcW w:w="1868" w:type="pct"/>
            <w:noWrap/>
            <w:vAlign w:val="center"/>
          </w:tcPr>
          <w:p w14:paraId="45A994F2"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412000</w:t>
            </w:r>
          </w:p>
        </w:tc>
        <w:tc>
          <w:tcPr>
            <w:tcW w:w="1488" w:type="pct"/>
            <w:vAlign w:val="center"/>
          </w:tcPr>
          <w:p w14:paraId="15C3D731"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b/>
                <w:color w:val="000000"/>
                <w:sz w:val="22"/>
                <w:szCs w:val="22"/>
              </w:rPr>
              <w:t>25.3</w:t>
            </w:r>
          </w:p>
        </w:tc>
      </w:tr>
    </w:tbl>
    <w:p w14:paraId="0182F7D4" w14:textId="77777777" w:rsidR="00C4521E" w:rsidRPr="0067297E" w:rsidRDefault="00C4521E" w:rsidP="00543A76">
      <w:pPr>
        <w:rPr>
          <w:rFonts w:asciiTheme="minorHAnsi" w:hAnsiTheme="minorHAnsi"/>
        </w:rPr>
      </w:pPr>
      <w:bookmarkStart w:id="701" w:name="_Toc349636453"/>
      <w:bookmarkStart w:id="702" w:name="_Toc350071217"/>
      <w:bookmarkStart w:id="703" w:name="_Toc400488693"/>
    </w:p>
    <w:p w14:paraId="186A3FC8" w14:textId="77777777" w:rsidR="00C4521E" w:rsidRPr="0067297E" w:rsidRDefault="00C4521E" w:rsidP="00A62CB8">
      <w:pPr>
        <w:pStyle w:val="figureheading"/>
        <w:rPr>
          <w:rFonts w:asciiTheme="minorHAnsi" w:hAnsiTheme="minorHAnsi"/>
        </w:rPr>
      </w:pPr>
      <w:bookmarkStart w:id="704" w:name="_Toc23151234"/>
      <w:r w:rsidRPr="0067297E">
        <w:rPr>
          <w:rFonts w:asciiTheme="minorHAnsi" w:hAnsiTheme="minorHAnsi"/>
        </w:rPr>
        <w:t>Chart 2.1</w:t>
      </w:r>
      <w:r w:rsidRPr="0067297E">
        <w:rPr>
          <w:rFonts w:asciiTheme="minorHAnsi" w:hAnsiTheme="minorHAnsi"/>
        </w:rPr>
        <w:tab/>
        <w:t>Median property values in wards with higher than average levels of PRS compared to the median in Lewisham 2017</w:t>
      </w:r>
      <w:bookmarkEnd w:id="704"/>
    </w:p>
    <w:p w14:paraId="3F1DA53D" w14:textId="77777777" w:rsidR="00C4521E" w:rsidRPr="0067297E" w:rsidRDefault="00C4521E" w:rsidP="00543A76">
      <w:pPr>
        <w:rPr>
          <w:rFonts w:asciiTheme="minorHAnsi" w:hAnsiTheme="minorHAnsi"/>
        </w:rPr>
      </w:pPr>
      <w:r w:rsidRPr="0067297E">
        <w:rPr>
          <w:rFonts w:asciiTheme="minorHAnsi" w:hAnsiTheme="minorHAnsi"/>
          <w:noProof/>
          <w:lang w:eastAsia="en-GB"/>
        </w:rPr>
        <w:drawing>
          <wp:inline distT="0" distB="0" distL="0" distR="0" wp14:anchorId="727EC8FE" wp14:editId="4869FB34">
            <wp:extent cx="4572000" cy="2743200"/>
            <wp:effectExtent l="0" t="0" r="0" b="0"/>
            <wp:docPr id="33" name="Chart 33" descr="Chart showing median property values in wards " title="Chart 2.1 Median property values in wards with higher than average levels of PRS compared to the median in Lewisham 20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70B1C6-B57C-4A3D-AA83-12B845C79D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F58E25F" w14:textId="77777777" w:rsidR="00C4521E" w:rsidRPr="0067297E" w:rsidRDefault="00C4521E" w:rsidP="00543A76">
      <w:pPr>
        <w:rPr>
          <w:rFonts w:asciiTheme="minorHAnsi" w:hAnsiTheme="minorHAnsi"/>
          <w:sz w:val="20"/>
          <w:szCs w:val="20"/>
        </w:rPr>
      </w:pPr>
      <w:r w:rsidRPr="0067297E">
        <w:rPr>
          <w:rFonts w:asciiTheme="minorHAnsi" w:hAnsiTheme="minorHAnsi"/>
          <w:sz w:val="20"/>
          <w:szCs w:val="20"/>
        </w:rPr>
        <w:t>Source Census 2011 and Land Registry</w:t>
      </w:r>
    </w:p>
    <w:p w14:paraId="3FF14A80" w14:textId="77777777" w:rsidR="00C4521E" w:rsidRPr="0067297E" w:rsidRDefault="00C4521E">
      <w:pPr>
        <w:rPr>
          <w:rFonts w:asciiTheme="minorHAnsi" w:hAnsiTheme="minorHAnsi" w:cs="Arial"/>
          <w:b/>
          <w:color w:val="009999"/>
          <w:sz w:val="22"/>
        </w:rPr>
      </w:pPr>
      <w:r w:rsidRPr="0067297E">
        <w:rPr>
          <w:rFonts w:asciiTheme="minorHAnsi" w:hAnsiTheme="minorHAnsi"/>
        </w:rPr>
        <w:br w:type="page"/>
      </w:r>
    </w:p>
    <w:p w14:paraId="26C3F13C" w14:textId="77777777" w:rsidR="00C4521E" w:rsidRPr="0067297E" w:rsidRDefault="00C4521E" w:rsidP="002C70BC">
      <w:pPr>
        <w:pStyle w:val="Heading1"/>
        <w:numPr>
          <w:ilvl w:val="0"/>
          <w:numId w:val="34"/>
        </w:numPr>
        <w:rPr>
          <w:rFonts w:asciiTheme="minorHAnsi" w:hAnsiTheme="minorHAnsi"/>
        </w:rPr>
      </w:pPr>
      <w:bookmarkStart w:id="705" w:name="_Toc529887297"/>
      <w:bookmarkStart w:id="706" w:name="_Toc1385815"/>
      <w:bookmarkStart w:id="707" w:name="_Toc23151132"/>
      <w:r w:rsidRPr="0067297E">
        <w:rPr>
          <w:rFonts w:asciiTheme="minorHAnsi" w:hAnsiTheme="minorHAnsi"/>
        </w:rPr>
        <w:t>The performance of the market</w:t>
      </w:r>
      <w:bookmarkEnd w:id="705"/>
      <w:bookmarkEnd w:id="706"/>
      <w:bookmarkEnd w:id="707"/>
    </w:p>
    <w:p w14:paraId="460A5161" w14:textId="6910C50D"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The detailed analysis of Lewisham market rented sector has been undertaken by ward in Lewisham. The data relates to numbers of units advertised and let through the Zoopla website.</w:t>
      </w:r>
    </w:p>
    <w:p w14:paraId="436465E1" w14:textId="77777777" w:rsidR="00A62CB8" w:rsidRPr="0067297E" w:rsidRDefault="00A62CB8" w:rsidP="00A62CB8">
      <w:pPr>
        <w:pStyle w:val="Reporttext"/>
        <w:numPr>
          <w:ilvl w:val="0"/>
          <w:numId w:val="0"/>
        </w:numPr>
        <w:tabs>
          <w:tab w:val="clear" w:pos="709"/>
        </w:tabs>
        <w:ind w:left="709"/>
        <w:rPr>
          <w:rFonts w:asciiTheme="minorHAnsi" w:hAnsiTheme="minorHAnsi"/>
        </w:rPr>
      </w:pPr>
    </w:p>
    <w:p w14:paraId="14E0D420" w14:textId="0DD55E29" w:rsidR="00C4521E" w:rsidRPr="0067297E" w:rsidRDefault="00C4521E" w:rsidP="00A04CC5">
      <w:pPr>
        <w:pStyle w:val="Heading2"/>
        <w:rPr>
          <w:rFonts w:asciiTheme="minorHAnsi" w:hAnsiTheme="minorHAnsi"/>
        </w:rPr>
      </w:pPr>
      <w:bookmarkStart w:id="708" w:name="_Toc484345157"/>
      <w:bookmarkStart w:id="709" w:name="_Toc519478383"/>
      <w:bookmarkStart w:id="710" w:name="_Toc529887298"/>
      <w:bookmarkStart w:id="711" w:name="_Toc1385816"/>
      <w:bookmarkStart w:id="712" w:name="_Toc23151133"/>
      <w:r w:rsidRPr="0067297E">
        <w:rPr>
          <w:rFonts w:asciiTheme="minorHAnsi" w:hAnsiTheme="minorHAnsi"/>
        </w:rPr>
        <w:t>New properties coming onto the market</w:t>
      </w:r>
      <w:bookmarkEnd w:id="701"/>
      <w:bookmarkEnd w:id="702"/>
      <w:bookmarkEnd w:id="703"/>
      <w:bookmarkEnd w:id="708"/>
      <w:bookmarkEnd w:id="709"/>
      <w:bookmarkEnd w:id="710"/>
      <w:bookmarkEnd w:id="711"/>
      <w:bookmarkEnd w:id="712"/>
    </w:p>
    <w:p w14:paraId="103699F5"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Initially, the total number of properties coming onto the market through Zoopla from 2015-2017 is considered. Table 3.1 shows the recorded number of properties coming onto the private rented market each year from 2015 to 2017 through the Zoopla website. </w:t>
      </w:r>
      <w:bookmarkStart w:id="713" w:name="_Hlk488649034"/>
      <w:r w:rsidRPr="0067297E">
        <w:rPr>
          <w:rFonts w:asciiTheme="minorHAnsi" w:hAnsiTheme="minorHAnsi"/>
        </w:rPr>
        <w:t>Overall, the recorded number of properties coming onto the market has reduced by 2.7%. This could be increasing pressure in the market as households choose to move less frequently; potentially due to lack of alternative properties in the market.</w:t>
      </w:r>
    </w:p>
    <w:p w14:paraId="19BD06AD" w14:textId="6ECDC4C4" w:rsidR="00C4521E" w:rsidRPr="0067297E" w:rsidRDefault="00C4521E" w:rsidP="002C70BC">
      <w:pPr>
        <w:pStyle w:val="Reporttext"/>
        <w:numPr>
          <w:ilvl w:val="1"/>
          <w:numId w:val="34"/>
        </w:numPr>
        <w:tabs>
          <w:tab w:val="clear" w:pos="709"/>
        </w:tabs>
        <w:rPr>
          <w:rFonts w:asciiTheme="minorHAnsi" w:hAnsiTheme="minorHAnsi"/>
        </w:rPr>
      </w:pPr>
      <w:bookmarkStart w:id="714" w:name="_Hlk488649052"/>
      <w:bookmarkEnd w:id="713"/>
      <w:r w:rsidRPr="0067297E">
        <w:rPr>
          <w:rFonts w:asciiTheme="minorHAnsi" w:hAnsiTheme="minorHAnsi"/>
        </w:rPr>
        <w:t xml:space="preserve">These figures mask significant difference in locations. In Evelyn and Lewisham Central, wards that record the largest market share over the past 3 years there have been increases in the recorded number of properties coming onto the market. In other locations where market share is much lower there have been reduced numbers of properties recorded as coming </w:t>
      </w:r>
      <w:r w:rsidR="00134099" w:rsidRPr="0067297E">
        <w:rPr>
          <w:rFonts w:asciiTheme="minorHAnsi" w:hAnsiTheme="minorHAnsi"/>
          <w:lang w:val="en-GB"/>
        </w:rPr>
        <w:t>onto the market</w:t>
      </w:r>
      <w:r w:rsidR="006C4DDE" w:rsidRPr="0067297E">
        <w:rPr>
          <w:rFonts w:asciiTheme="minorHAnsi" w:hAnsiTheme="minorHAnsi"/>
          <w:lang w:val="en-GB"/>
        </w:rPr>
        <w:t xml:space="preserve">, e.g. </w:t>
      </w:r>
      <w:r w:rsidR="00134099" w:rsidRPr="0067297E">
        <w:rPr>
          <w:rFonts w:asciiTheme="minorHAnsi" w:hAnsiTheme="minorHAnsi"/>
          <w:lang w:val="en-GB"/>
        </w:rPr>
        <w:t xml:space="preserve">at </w:t>
      </w:r>
      <w:r w:rsidRPr="0067297E">
        <w:rPr>
          <w:rFonts w:asciiTheme="minorHAnsi" w:hAnsiTheme="minorHAnsi"/>
        </w:rPr>
        <w:t>Bellingham and Blackheath. However, there are no specific trends; in Ladywell the market share is relatively low yet the recorded number of properties coming onto the market has increased by almost 25%</w:t>
      </w:r>
      <w:bookmarkEnd w:id="714"/>
      <w:r w:rsidR="00B61903" w:rsidRPr="0067297E">
        <w:rPr>
          <w:rFonts w:asciiTheme="minorHAnsi" w:hAnsiTheme="minorHAnsi"/>
          <w:lang w:val="en-GB"/>
        </w:rPr>
        <w:t>.</w:t>
      </w:r>
    </w:p>
    <w:p w14:paraId="03B5D6F2"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Where there are high numbers of properties coming onto a market this can be as a result of a number of reasons. It may be that the area is unpopular and so properties are turning over quickly, and tenants are not staying for long periods or it may be that investors are bringing new properties to market or that homeowners are unable to sell and are converting property to the private rented market. These reasons can usually be identified through discussions with letting agents. Likewise, where reducing numbers of properties are coming onto a market, this may indicate a settled popular community where tenants choose to remain for lengthy periods of time.</w:t>
      </w:r>
      <w:bookmarkStart w:id="715" w:name="_Hlk488649087"/>
    </w:p>
    <w:bookmarkEnd w:id="715"/>
    <w:p w14:paraId="7203A8F3" w14:textId="21351C98" w:rsidR="00C4521E" w:rsidRPr="0067297E" w:rsidRDefault="00C4521E" w:rsidP="00A62CB8">
      <w:pPr>
        <w:pStyle w:val="Reporttext"/>
        <w:numPr>
          <w:ilvl w:val="0"/>
          <w:numId w:val="0"/>
        </w:numPr>
        <w:ind w:left="709"/>
        <w:rPr>
          <w:rFonts w:asciiTheme="minorHAnsi" w:hAnsiTheme="minorHAnsi"/>
        </w:rPr>
      </w:pPr>
    </w:p>
    <w:p w14:paraId="0D96C7D1" w14:textId="6C7C532C" w:rsidR="00A62CB8" w:rsidRPr="0067297E" w:rsidRDefault="00A62CB8">
      <w:pPr>
        <w:rPr>
          <w:rFonts w:asciiTheme="minorHAnsi" w:hAnsiTheme="minorHAnsi"/>
          <w:lang w:val="x-none"/>
        </w:rPr>
      </w:pPr>
      <w:r w:rsidRPr="0067297E">
        <w:rPr>
          <w:rFonts w:asciiTheme="minorHAnsi" w:hAnsiTheme="minorHAnsi"/>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1E0" w:firstRow="1" w:lastRow="1" w:firstColumn="1" w:lastColumn="1" w:noHBand="0" w:noVBand="0"/>
      </w:tblPr>
      <w:tblGrid>
        <w:gridCol w:w="1943"/>
        <w:gridCol w:w="861"/>
        <w:gridCol w:w="843"/>
        <w:gridCol w:w="841"/>
        <w:gridCol w:w="775"/>
        <w:gridCol w:w="1822"/>
        <w:gridCol w:w="2097"/>
      </w:tblGrid>
      <w:tr w:rsidR="00C4521E" w:rsidRPr="0067297E" w14:paraId="5F9C228A" w14:textId="77777777" w:rsidTr="00FD050C">
        <w:trPr>
          <w:trHeight w:val="300"/>
          <w:tblHeader/>
        </w:trPr>
        <w:tc>
          <w:tcPr>
            <w:tcW w:w="5000" w:type="pct"/>
            <w:gridSpan w:val="7"/>
            <w:shd w:val="clear" w:color="auto" w:fill="009999"/>
            <w:noWrap/>
          </w:tcPr>
          <w:p w14:paraId="11756479" w14:textId="11792003" w:rsidR="00C4521E" w:rsidRPr="0067297E" w:rsidRDefault="00C4521E" w:rsidP="001B5150">
            <w:pPr>
              <w:pStyle w:val="tableheading"/>
              <w:rPr>
                <w:rFonts w:asciiTheme="minorHAnsi" w:hAnsiTheme="minorHAnsi"/>
                <w:lang w:val="en-GB"/>
              </w:rPr>
            </w:pPr>
            <w:bookmarkStart w:id="716" w:name="_Toc400488709"/>
            <w:bookmarkStart w:id="717" w:name="_Toc23151209"/>
            <w:r w:rsidRPr="0067297E">
              <w:rPr>
                <w:rFonts w:asciiTheme="minorHAnsi" w:hAnsiTheme="minorHAnsi"/>
              </w:rPr>
              <w:t>Table 3.1</w:t>
            </w:r>
            <w:r w:rsidRPr="0067297E">
              <w:rPr>
                <w:rFonts w:asciiTheme="minorHAnsi" w:hAnsiTheme="minorHAnsi"/>
              </w:rPr>
              <w:tab/>
              <w:t>Properties coming to market 201</w:t>
            </w:r>
            <w:r w:rsidR="00B61903" w:rsidRPr="0067297E">
              <w:rPr>
                <w:rFonts w:asciiTheme="minorHAnsi" w:hAnsiTheme="minorHAnsi"/>
                <w:lang w:val="en-GB"/>
              </w:rPr>
              <w:t>5</w:t>
            </w:r>
            <w:r w:rsidRPr="0067297E">
              <w:rPr>
                <w:rFonts w:asciiTheme="minorHAnsi" w:hAnsiTheme="minorHAnsi"/>
              </w:rPr>
              <w:t>-1</w:t>
            </w:r>
            <w:bookmarkEnd w:id="716"/>
            <w:r w:rsidR="00B61903" w:rsidRPr="0067297E">
              <w:rPr>
                <w:rFonts w:asciiTheme="minorHAnsi" w:hAnsiTheme="minorHAnsi"/>
                <w:lang w:val="en-GB"/>
              </w:rPr>
              <w:t>7</w:t>
            </w:r>
            <w:bookmarkEnd w:id="717"/>
          </w:p>
        </w:tc>
      </w:tr>
      <w:tr w:rsidR="00C4521E" w:rsidRPr="0067297E" w14:paraId="45F7B99D" w14:textId="77777777" w:rsidTr="00C4521E">
        <w:trPr>
          <w:trHeight w:val="300"/>
        </w:trPr>
        <w:tc>
          <w:tcPr>
            <w:tcW w:w="1058" w:type="pct"/>
            <w:shd w:val="clear" w:color="auto" w:fill="009999"/>
            <w:noWrap/>
            <w:vAlign w:val="bottom"/>
          </w:tcPr>
          <w:p w14:paraId="03E5E4E6" w14:textId="77777777" w:rsidR="00C4521E" w:rsidRPr="0067297E" w:rsidRDefault="00C4521E" w:rsidP="00A62CB8">
            <w:pPr>
              <w:rPr>
                <w:rFonts w:asciiTheme="minorHAnsi" w:hAnsiTheme="minorHAnsi" w:cs="Calibri"/>
                <w:b/>
                <w:bCs/>
                <w:color w:val="FFFFFF"/>
                <w:sz w:val="22"/>
                <w:szCs w:val="22"/>
              </w:rPr>
            </w:pPr>
            <w:r w:rsidRPr="0067297E">
              <w:rPr>
                <w:rFonts w:asciiTheme="minorHAnsi" w:hAnsiTheme="minorHAnsi" w:cs="Calibri"/>
                <w:b/>
                <w:bCs/>
                <w:color w:val="FFFFFF"/>
                <w:sz w:val="22"/>
                <w:szCs w:val="22"/>
              </w:rPr>
              <w:t>Ward</w:t>
            </w:r>
          </w:p>
        </w:tc>
        <w:tc>
          <w:tcPr>
            <w:tcW w:w="469" w:type="pct"/>
            <w:shd w:val="clear" w:color="auto" w:fill="009999"/>
            <w:vAlign w:val="bottom"/>
          </w:tcPr>
          <w:p w14:paraId="258AFA16" w14:textId="77777777" w:rsidR="00C4521E" w:rsidRPr="0067297E" w:rsidRDefault="00C4521E" w:rsidP="00A62CB8">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2015</w:t>
            </w:r>
          </w:p>
        </w:tc>
        <w:tc>
          <w:tcPr>
            <w:tcW w:w="459" w:type="pct"/>
            <w:shd w:val="clear" w:color="auto" w:fill="009999"/>
            <w:noWrap/>
            <w:vAlign w:val="bottom"/>
          </w:tcPr>
          <w:p w14:paraId="5FA8F01D" w14:textId="77777777" w:rsidR="00C4521E" w:rsidRPr="0067297E" w:rsidRDefault="00C4521E" w:rsidP="00A62CB8">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2016</w:t>
            </w:r>
          </w:p>
        </w:tc>
        <w:tc>
          <w:tcPr>
            <w:tcW w:w="458" w:type="pct"/>
            <w:shd w:val="clear" w:color="auto" w:fill="009999"/>
            <w:vAlign w:val="bottom"/>
          </w:tcPr>
          <w:p w14:paraId="6F10655E" w14:textId="77777777" w:rsidR="00C4521E" w:rsidRPr="0067297E" w:rsidRDefault="00C4521E" w:rsidP="00A62CB8">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2017</w:t>
            </w:r>
          </w:p>
        </w:tc>
        <w:tc>
          <w:tcPr>
            <w:tcW w:w="422" w:type="pct"/>
            <w:shd w:val="clear" w:color="auto" w:fill="009999"/>
            <w:noWrap/>
            <w:vAlign w:val="bottom"/>
          </w:tcPr>
          <w:p w14:paraId="630DC95F" w14:textId="77777777" w:rsidR="00C4521E" w:rsidRPr="0067297E" w:rsidRDefault="00C4521E" w:rsidP="00A62CB8">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Total</w:t>
            </w:r>
          </w:p>
        </w:tc>
        <w:tc>
          <w:tcPr>
            <w:tcW w:w="992" w:type="pct"/>
            <w:shd w:val="clear" w:color="auto" w:fill="009999"/>
            <w:vAlign w:val="bottom"/>
          </w:tcPr>
          <w:p w14:paraId="22F33607" w14:textId="77777777" w:rsidR="00C4521E" w:rsidRPr="0067297E" w:rsidRDefault="00C4521E" w:rsidP="00A62CB8">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 change from 2015 to 2017</w:t>
            </w:r>
          </w:p>
        </w:tc>
        <w:tc>
          <w:tcPr>
            <w:tcW w:w="1142" w:type="pct"/>
            <w:shd w:val="clear" w:color="auto" w:fill="009999"/>
            <w:vAlign w:val="bottom"/>
          </w:tcPr>
          <w:p w14:paraId="676C6F53" w14:textId="77777777" w:rsidR="00C4521E" w:rsidRPr="0067297E" w:rsidRDefault="00C4521E" w:rsidP="00A62CB8">
            <w:pPr>
              <w:jc w:val="center"/>
              <w:rPr>
                <w:rFonts w:asciiTheme="minorHAnsi" w:hAnsiTheme="minorHAnsi" w:cs="Calibri"/>
                <w:b/>
                <w:bCs/>
                <w:color w:val="FFFFFF"/>
                <w:sz w:val="22"/>
                <w:szCs w:val="22"/>
              </w:rPr>
            </w:pPr>
            <w:r w:rsidRPr="0067297E">
              <w:rPr>
                <w:rFonts w:asciiTheme="minorHAnsi" w:hAnsiTheme="minorHAnsi" w:cs="Calibri"/>
                <w:b/>
                <w:bCs/>
                <w:color w:val="FFFFFF"/>
                <w:sz w:val="22"/>
                <w:szCs w:val="22"/>
              </w:rPr>
              <w:t>Percentage of the market in the past 3 years</w:t>
            </w:r>
          </w:p>
        </w:tc>
      </w:tr>
      <w:tr w:rsidR="00C4521E" w:rsidRPr="0067297E" w14:paraId="0C27B6F1" w14:textId="77777777" w:rsidTr="00C4521E">
        <w:trPr>
          <w:trHeight w:val="300"/>
        </w:trPr>
        <w:tc>
          <w:tcPr>
            <w:tcW w:w="1058" w:type="pct"/>
            <w:noWrap/>
            <w:vAlign w:val="bottom"/>
          </w:tcPr>
          <w:p w14:paraId="4B989C8B" w14:textId="77777777" w:rsidR="00C4521E" w:rsidRPr="0067297E" w:rsidRDefault="00C4521E" w:rsidP="00FA273F">
            <w:pPr>
              <w:rPr>
                <w:rFonts w:asciiTheme="minorHAnsi" w:hAnsiTheme="minorHAnsi" w:cs="Calibri"/>
                <w:color w:val="000000"/>
                <w:sz w:val="22"/>
                <w:szCs w:val="22"/>
                <w:lang w:eastAsia="en-GB"/>
              </w:rPr>
            </w:pPr>
            <w:bookmarkStart w:id="718" w:name="_Hlk518459719"/>
            <w:r w:rsidRPr="0067297E">
              <w:rPr>
                <w:rFonts w:asciiTheme="minorHAnsi" w:hAnsiTheme="minorHAnsi" w:cs="Calibri"/>
                <w:color w:val="000000"/>
                <w:sz w:val="22"/>
                <w:szCs w:val="22"/>
              </w:rPr>
              <w:t>Bellingham</w:t>
            </w:r>
          </w:p>
        </w:tc>
        <w:tc>
          <w:tcPr>
            <w:tcW w:w="469" w:type="pct"/>
            <w:vAlign w:val="center"/>
          </w:tcPr>
          <w:p w14:paraId="38BA588A" w14:textId="77777777" w:rsidR="00C4521E" w:rsidRPr="0067297E" w:rsidRDefault="00C4521E" w:rsidP="00FA273F">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223</w:t>
            </w:r>
          </w:p>
        </w:tc>
        <w:tc>
          <w:tcPr>
            <w:tcW w:w="459" w:type="pct"/>
            <w:noWrap/>
            <w:vAlign w:val="center"/>
          </w:tcPr>
          <w:p w14:paraId="5FE36A0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281</w:t>
            </w:r>
          </w:p>
        </w:tc>
        <w:tc>
          <w:tcPr>
            <w:tcW w:w="458" w:type="pct"/>
            <w:vAlign w:val="center"/>
          </w:tcPr>
          <w:p w14:paraId="32670B0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177</w:t>
            </w:r>
          </w:p>
        </w:tc>
        <w:tc>
          <w:tcPr>
            <w:tcW w:w="422" w:type="pct"/>
            <w:noWrap/>
            <w:vAlign w:val="bottom"/>
          </w:tcPr>
          <w:p w14:paraId="361EAA6A" w14:textId="77777777" w:rsidR="00C4521E" w:rsidRPr="0067297E" w:rsidRDefault="00C4521E" w:rsidP="00FA273F">
            <w:pPr>
              <w:jc w:val="center"/>
              <w:rPr>
                <w:rFonts w:asciiTheme="minorHAnsi" w:hAnsiTheme="minorHAnsi" w:cs="Calibri"/>
                <w:sz w:val="22"/>
                <w:szCs w:val="22"/>
                <w:lang w:eastAsia="en-GB"/>
              </w:rPr>
            </w:pPr>
            <w:r w:rsidRPr="0067297E">
              <w:rPr>
                <w:rFonts w:asciiTheme="minorHAnsi" w:hAnsiTheme="minorHAnsi" w:cs="Calibri"/>
                <w:color w:val="000000"/>
                <w:sz w:val="22"/>
                <w:szCs w:val="22"/>
              </w:rPr>
              <w:t>681</w:t>
            </w:r>
          </w:p>
        </w:tc>
        <w:tc>
          <w:tcPr>
            <w:tcW w:w="992" w:type="pct"/>
            <w:vAlign w:val="bottom"/>
          </w:tcPr>
          <w:p w14:paraId="517C780D" w14:textId="77777777" w:rsidR="00C4521E" w:rsidRPr="0067297E" w:rsidRDefault="00C4521E" w:rsidP="00FA273F">
            <w:pPr>
              <w:jc w:val="center"/>
              <w:rPr>
                <w:rFonts w:asciiTheme="minorHAnsi" w:hAnsiTheme="minorHAnsi" w:cs="Calibri"/>
                <w:sz w:val="22"/>
                <w:szCs w:val="22"/>
                <w:lang w:eastAsia="en-GB"/>
              </w:rPr>
            </w:pPr>
            <w:r w:rsidRPr="0067297E">
              <w:rPr>
                <w:rFonts w:asciiTheme="minorHAnsi" w:hAnsiTheme="minorHAnsi" w:cs="Calibri"/>
                <w:color w:val="000000"/>
                <w:sz w:val="22"/>
                <w:szCs w:val="22"/>
              </w:rPr>
              <w:t>-20.6</w:t>
            </w:r>
          </w:p>
        </w:tc>
        <w:tc>
          <w:tcPr>
            <w:tcW w:w="1142" w:type="pct"/>
            <w:shd w:val="clear" w:color="auto" w:fill="FFFFFF"/>
            <w:vAlign w:val="bottom"/>
          </w:tcPr>
          <w:p w14:paraId="2F1678DE" w14:textId="77777777" w:rsidR="00C4521E" w:rsidRPr="0067297E" w:rsidRDefault="00C4521E" w:rsidP="00FA273F">
            <w:pPr>
              <w:jc w:val="center"/>
              <w:rPr>
                <w:rFonts w:asciiTheme="minorHAnsi" w:hAnsiTheme="minorHAnsi" w:cs="Calibri"/>
                <w:sz w:val="22"/>
                <w:szCs w:val="22"/>
                <w:lang w:eastAsia="en-GB"/>
              </w:rPr>
            </w:pPr>
            <w:r w:rsidRPr="0067297E">
              <w:rPr>
                <w:rFonts w:asciiTheme="minorHAnsi" w:hAnsiTheme="minorHAnsi" w:cs="Calibri"/>
                <w:color w:val="000000"/>
                <w:sz w:val="22"/>
                <w:szCs w:val="22"/>
              </w:rPr>
              <w:t>2.4</w:t>
            </w:r>
          </w:p>
        </w:tc>
      </w:tr>
      <w:tr w:rsidR="00C4521E" w:rsidRPr="0067297E" w14:paraId="2D331DEB" w14:textId="77777777" w:rsidTr="00C4521E">
        <w:trPr>
          <w:trHeight w:val="300"/>
        </w:trPr>
        <w:tc>
          <w:tcPr>
            <w:tcW w:w="1058" w:type="pct"/>
            <w:noWrap/>
            <w:vAlign w:val="bottom"/>
          </w:tcPr>
          <w:p w14:paraId="6AA1EA4E"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Blackheath</w:t>
            </w:r>
          </w:p>
        </w:tc>
        <w:tc>
          <w:tcPr>
            <w:tcW w:w="469" w:type="pct"/>
            <w:vAlign w:val="center"/>
          </w:tcPr>
          <w:p w14:paraId="60A6995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492</w:t>
            </w:r>
          </w:p>
        </w:tc>
        <w:tc>
          <w:tcPr>
            <w:tcW w:w="459" w:type="pct"/>
            <w:noWrap/>
            <w:vAlign w:val="center"/>
          </w:tcPr>
          <w:p w14:paraId="7256554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472</w:t>
            </w:r>
          </w:p>
        </w:tc>
        <w:tc>
          <w:tcPr>
            <w:tcW w:w="458" w:type="pct"/>
            <w:vAlign w:val="center"/>
          </w:tcPr>
          <w:p w14:paraId="7511A1F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375</w:t>
            </w:r>
          </w:p>
        </w:tc>
        <w:tc>
          <w:tcPr>
            <w:tcW w:w="422" w:type="pct"/>
            <w:noWrap/>
            <w:vAlign w:val="bottom"/>
          </w:tcPr>
          <w:p w14:paraId="407F443E"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1339</w:t>
            </w:r>
          </w:p>
        </w:tc>
        <w:tc>
          <w:tcPr>
            <w:tcW w:w="992" w:type="pct"/>
            <w:vAlign w:val="bottom"/>
          </w:tcPr>
          <w:p w14:paraId="6D69CB53"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-23.8</w:t>
            </w:r>
          </w:p>
        </w:tc>
        <w:tc>
          <w:tcPr>
            <w:tcW w:w="1142" w:type="pct"/>
            <w:shd w:val="clear" w:color="auto" w:fill="FFFFFF"/>
            <w:vAlign w:val="bottom"/>
          </w:tcPr>
          <w:p w14:paraId="0EAA0FF7"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4.7</w:t>
            </w:r>
          </w:p>
        </w:tc>
      </w:tr>
      <w:tr w:rsidR="00C4521E" w:rsidRPr="0067297E" w14:paraId="02BED0EB" w14:textId="77777777" w:rsidTr="00C4521E">
        <w:trPr>
          <w:trHeight w:val="300"/>
        </w:trPr>
        <w:tc>
          <w:tcPr>
            <w:tcW w:w="1058" w:type="pct"/>
            <w:noWrap/>
            <w:vAlign w:val="bottom"/>
          </w:tcPr>
          <w:p w14:paraId="1D0F9A23"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Brockley</w:t>
            </w:r>
          </w:p>
        </w:tc>
        <w:tc>
          <w:tcPr>
            <w:tcW w:w="469" w:type="pct"/>
            <w:vAlign w:val="center"/>
          </w:tcPr>
          <w:p w14:paraId="7A98FB6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775</w:t>
            </w:r>
          </w:p>
        </w:tc>
        <w:tc>
          <w:tcPr>
            <w:tcW w:w="459" w:type="pct"/>
            <w:noWrap/>
            <w:vAlign w:val="center"/>
          </w:tcPr>
          <w:p w14:paraId="59F2156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985</w:t>
            </w:r>
          </w:p>
        </w:tc>
        <w:tc>
          <w:tcPr>
            <w:tcW w:w="458" w:type="pct"/>
            <w:vAlign w:val="center"/>
          </w:tcPr>
          <w:p w14:paraId="372B1E7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691</w:t>
            </w:r>
          </w:p>
        </w:tc>
        <w:tc>
          <w:tcPr>
            <w:tcW w:w="422" w:type="pct"/>
            <w:noWrap/>
            <w:vAlign w:val="bottom"/>
          </w:tcPr>
          <w:p w14:paraId="0C3C176B"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2451</w:t>
            </w:r>
          </w:p>
        </w:tc>
        <w:tc>
          <w:tcPr>
            <w:tcW w:w="992" w:type="pct"/>
            <w:vAlign w:val="bottom"/>
          </w:tcPr>
          <w:p w14:paraId="785B1E16"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-10.8</w:t>
            </w:r>
          </w:p>
        </w:tc>
        <w:tc>
          <w:tcPr>
            <w:tcW w:w="1142" w:type="pct"/>
            <w:shd w:val="clear" w:color="auto" w:fill="FFFFFF"/>
            <w:vAlign w:val="bottom"/>
          </w:tcPr>
          <w:p w14:paraId="5A9E375D"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8.7</w:t>
            </w:r>
          </w:p>
        </w:tc>
      </w:tr>
      <w:tr w:rsidR="00C4521E" w:rsidRPr="0067297E" w14:paraId="47B0E02C" w14:textId="77777777" w:rsidTr="00C4521E">
        <w:trPr>
          <w:trHeight w:val="300"/>
        </w:trPr>
        <w:tc>
          <w:tcPr>
            <w:tcW w:w="1058" w:type="pct"/>
            <w:noWrap/>
            <w:vAlign w:val="bottom"/>
          </w:tcPr>
          <w:p w14:paraId="6D616A96"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Catford South</w:t>
            </w:r>
          </w:p>
        </w:tc>
        <w:tc>
          <w:tcPr>
            <w:tcW w:w="469" w:type="pct"/>
            <w:vAlign w:val="center"/>
          </w:tcPr>
          <w:p w14:paraId="4D42E49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450</w:t>
            </w:r>
          </w:p>
        </w:tc>
        <w:tc>
          <w:tcPr>
            <w:tcW w:w="459" w:type="pct"/>
            <w:noWrap/>
            <w:vAlign w:val="center"/>
          </w:tcPr>
          <w:p w14:paraId="1A478AF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547</w:t>
            </w:r>
          </w:p>
        </w:tc>
        <w:tc>
          <w:tcPr>
            <w:tcW w:w="458" w:type="pct"/>
            <w:vAlign w:val="center"/>
          </w:tcPr>
          <w:p w14:paraId="45ABA62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457</w:t>
            </w:r>
          </w:p>
        </w:tc>
        <w:tc>
          <w:tcPr>
            <w:tcW w:w="422" w:type="pct"/>
            <w:noWrap/>
            <w:vAlign w:val="bottom"/>
          </w:tcPr>
          <w:p w14:paraId="65115638"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1454</w:t>
            </w:r>
          </w:p>
        </w:tc>
        <w:tc>
          <w:tcPr>
            <w:tcW w:w="992" w:type="pct"/>
            <w:vAlign w:val="bottom"/>
          </w:tcPr>
          <w:p w14:paraId="65258373"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1.6</w:t>
            </w:r>
          </w:p>
        </w:tc>
        <w:tc>
          <w:tcPr>
            <w:tcW w:w="1142" w:type="pct"/>
            <w:shd w:val="clear" w:color="auto" w:fill="FFFFFF"/>
            <w:vAlign w:val="bottom"/>
          </w:tcPr>
          <w:p w14:paraId="6B30BC33"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5.1</w:t>
            </w:r>
          </w:p>
        </w:tc>
      </w:tr>
      <w:tr w:rsidR="00C4521E" w:rsidRPr="0067297E" w14:paraId="335FEA8F" w14:textId="77777777" w:rsidTr="00C4521E">
        <w:trPr>
          <w:trHeight w:val="300"/>
        </w:trPr>
        <w:tc>
          <w:tcPr>
            <w:tcW w:w="1058" w:type="pct"/>
            <w:noWrap/>
            <w:vAlign w:val="bottom"/>
          </w:tcPr>
          <w:p w14:paraId="6794C456"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Crofton Park</w:t>
            </w:r>
          </w:p>
        </w:tc>
        <w:tc>
          <w:tcPr>
            <w:tcW w:w="469" w:type="pct"/>
            <w:vAlign w:val="center"/>
          </w:tcPr>
          <w:p w14:paraId="513CF49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340</w:t>
            </w:r>
          </w:p>
        </w:tc>
        <w:tc>
          <w:tcPr>
            <w:tcW w:w="459" w:type="pct"/>
            <w:noWrap/>
            <w:vAlign w:val="center"/>
          </w:tcPr>
          <w:p w14:paraId="2A809E3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333</w:t>
            </w:r>
          </w:p>
        </w:tc>
        <w:tc>
          <w:tcPr>
            <w:tcW w:w="458" w:type="pct"/>
            <w:vAlign w:val="center"/>
          </w:tcPr>
          <w:p w14:paraId="2342C83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216</w:t>
            </w:r>
          </w:p>
        </w:tc>
        <w:tc>
          <w:tcPr>
            <w:tcW w:w="422" w:type="pct"/>
            <w:noWrap/>
            <w:vAlign w:val="bottom"/>
          </w:tcPr>
          <w:p w14:paraId="5408128A"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889</w:t>
            </w:r>
          </w:p>
        </w:tc>
        <w:tc>
          <w:tcPr>
            <w:tcW w:w="992" w:type="pct"/>
            <w:vAlign w:val="bottom"/>
          </w:tcPr>
          <w:p w14:paraId="54BC1E2F"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-36.5</w:t>
            </w:r>
          </w:p>
        </w:tc>
        <w:tc>
          <w:tcPr>
            <w:tcW w:w="1142" w:type="pct"/>
            <w:shd w:val="clear" w:color="auto" w:fill="FFFFFF"/>
            <w:vAlign w:val="bottom"/>
          </w:tcPr>
          <w:p w14:paraId="4FDEDA0C"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3.1</w:t>
            </w:r>
          </w:p>
        </w:tc>
      </w:tr>
      <w:tr w:rsidR="00C4521E" w:rsidRPr="0067297E" w14:paraId="398E5E74" w14:textId="77777777" w:rsidTr="00C4521E">
        <w:trPr>
          <w:trHeight w:val="300"/>
        </w:trPr>
        <w:tc>
          <w:tcPr>
            <w:tcW w:w="1058" w:type="pct"/>
            <w:noWrap/>
            <w:vAlign w:val="bottom"/>
          </w:tcPr>
          <w:p w14:paraId="01B62E85"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Downham</w:t>
            </w:r>
          </w:p>
        </w:tc>
        <w:tc>
          <w:tcPr>
            <w:tcW w:w="469" w:type="pct"/>
            <w:vAlign w:val="center"/>
          </w:tcPr>
          <w:p w14:paraId="45234B2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218</w:t>
            </w:r>
          </w:p>
        </w:tc>
        <w:tc>
          <w:tcPr>
            <w:tcW w:w="459" w:type="pct"/>
            <w:noWrap/>
            <w:vAlign w:val="center"/>
          </w:tcPr>
          <w:p w14:paraId="76060E4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310</w:t>
            </w:r>
          </w:p>
        </w:tc>
        <w:tc>
          <w:tcPr>
            <w:tcW w:w="458" w:type="pct"/>
            <w:vAlign w:val="center"/>
          </w:tcPr>
          <w:p w14:paraId="615E89B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218</w:t>
            </w:r>
          </w:p>
        </w:tc>
        <w:tc>
          <w:tcPr>
            <w:tcW w:w="422" w:type="pct"/>
            <w:noWrap/>
            <w:vAlign w:val="bottom"/>
          </w:tcPr>
          <w:p w14:paraId="02D710AC"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746</w:t>
            </w:r>
          </w:p>
        </w:tc>
        <w:tc>
          <w:tcPr>
            <w:tcW w:w="992" w:type="pct"/>
            <w:vAlign w:val="bottom"/>
          </w:tcPr>
          <w:p w14:paraId="0FA75760"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0.0</w:t>
            </w:r>
          </w:p>
        </w:tc>
        <w:tc>
          <w:tcPr>
            <w:tcW w:w="1142" w:type="pct"/>
            <w:shd w:val="clear" w:color="auto" w:fill="FFFFFF"/>
            <w:vAlign w:val="bottom"/>
          </w:tcPr>
          <w:p w14:paraId="21CFBCE5"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2.6</w:t>
            </w:r>
          </w:p>
        </w:tc>
      </w:tr>
      <w:tr w:rsidR="00C4521E" w:rsidRPr="0067297E" w14:paraId="77D6D2A3" w14:textId="77777777" w:rsidTr="00C4521E">
        <w:trPr>
          <w:trHeight w:val="300"/>
        </w:trPr>
        <w:tc>
          <w:tcPr>
            <w:tcW w:w="1058" w:type="pct"/>
            <w:noWrap/>
            <w:vAlign w:val="bottom"/>
          </w:tcPr>
          <w:p w14:paraId="25CA6A00"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Evelyn</w:t>
            </w:r>
          </w:p>
        </w:tc>
        <w:tc>
          <w:tcPr>
            <w:tcW w:w="469" w:type="pct"/>
            <w:vAlign w:val="center"/>
          </w:tcPr>
          <w:p w14:paraId="61513E0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811</w:t>
            </w:r>
          </w:p>
        </w:tc>
        <w:tc>
          <w:tcPr>
            <w:tcW w:w="459" w:type="pct"/>
            <w:noWrap/>
            <w:vAlign w:val="center"/>
          </w:tcPr>
          <w:p w14:paraId="04C50C4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1659</w:t>
            </w:r>
          </w:p>
        </w:tc>
        <w:tc>
          <w:tcPr>
            <w:tcW w:w="458" w:type="pct"/>
            <w:vAlign w:val="center"/>
          </w:tcPr>
          <w:p w14:paraId="1673C33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1000</w:t>
            </w:r>
          </w:p>
        </w:tc>
        <w:tc>
          <w:tcPr>
            <w:tcW w:w="422" w:type="pct"/>
            <w:noWrap/>
            <w:vAlign w:val="bottom"/>
          </w:tcPr>
          <w:p w14:paraId="72144E18"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3470</w:t>
            </w:r>
          </w:p>
        </w:tc>
        <w:tc>
          <w:tcPr>
            <w:tcW w:w="992" w:type="pct"/>
            <w:vAlign w:val="bottom"/>
          </w:tcPr>
          <w:p w14:paraId="1004F55E"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23.3</w:t>
            </w:r>
          </w:p>
        </w:tc>
        <w:tc>
          <w:tcPr>
            <w:tcW w:w="1142" w:type="pct"/>
            <w:shd w:val="clear" w:color="auto" w:fill="FFFFFF"/>
            <w:vAlign w:val="bottom"/>
          </w:tcPr>
          <w:p w14:paraId="2945DA5C"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12.3</w:t>
            </w:r>
          </w:p>
        </w:tc>
      </w:tr>
      <w:tr w:rsidR="00C4521E" w:rsidRPr="0067297E" w14:paraId="69567AE2" w14:textId="77777777" w:rsidTr="00C4521E">
        <w:trPr>
          <w:trHeight w:val="300"/>
        </w:trPr>
        <w:tc>
          <w:tcPr>
            <w:tcW w:w="1058" w:type="pct"/>
            <w:noWrap/>
            <w:vAlign w:val="bottom"/>
          </w:tcPr>
          <w:p w14:paraId="075BA18B"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Forest Hill</w:t>
            </w:r>
          </w:p>
        </w:tc>
        <w:tc>
          <w:tcPr>
            <w:tcW w:w="469" w:type="pct"/>
            <w:vAlign w:val="center"/>
          </w:tcPr>
          <w:p w14:paraId="6150FB6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448</w:t>
            </w:r>
          </w:p>
        </w:tc>
        <w:tc>
          <w:tcPr>
            <w:tcW w:w="459" w:type="pct"/>
            <w:noWrap/>
            <w:vAlign w:val="center"/>
          </w:tcPr>
          <w:p w14:paraId="7AC8A6A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509</w:t>
            </w:r>
          </w:p>
        </w:tc>
        <w:tc>
          <w:tcPr>
            <w:tcW w:w="458" w:type="pct"/>
            <w:vAlign w:val="center"/>
          </w:tcPr>
          <w:p w14:paraId="7EAF575F"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409</w:t>
            </w:r>
          </w:p>
        </w:tc>
        <w:tc>
          <w:tcPr>
            <w:tcW w:w="422" w:type="pct"/>
            <w:noWrap/>
            <w:vAlign w:val="bottom"/>
          </w:tcPr>
          <w:p w14:paraId="27B7C296"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1366</w:t>
            </w:r>
          </w:p>
        </w:tc>
        <w:tc>
          <w:tcPr>
            <w:tcW w:w="992" w:type="pct"/>
            <w:vAlign w:val="bottom"/>
          </w:tcPr>
          <w:p w14:paraId="4FB0BDB2"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-8.7</w:t>
            </w:r>
          </w:p>
        </w:tc>
        <w:tc>
          <w:tcPr>
            <w:tcW w:w="1142" w:type="pct"/>
            <w:shd w:val="clear" w:color="auto" w:fill="FFFFFF"/>
            <w:vAlign w:val="bottom"/>
          </w:tcPr>
          <w:p w14:paraId="4A6A4143"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4.8</w:t>
            </w:r>
          </w:p>
        </w:tc>
      </w:tr>
      <w:tr w:rsidR="00C4521E" w:rsidRPr="0067297E" w14:paraId="17D0118F" w14:textId="77777777" w:rsidTr="00C4521E">
        <w:trPr>
          <w:trHeight w:val="300"/>
        </w:trPr>
        <w:tc>
          <w:tcPr>
            <w:tcW w:w="1058" w:type="pct"/>
            <w:noWrap/>
            <w:vAlign w:val="bottom"/>
          </w:tcPr>
          <w:p w14:paraId="35B51E3F"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Grove Park</w:t>
            </w:r>
          </w:p>
        </w:tc>
        <w:tc>
          <w:tcPr>
            <w:tcW w:w="469" w:type="pct"/>
            <w:vAlign w:val="center"/>
          </w:tcPr>
          <w:p w14:paraId="0056312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317</w:t>
            </w:r>
          </w:p>
        </w:tc>
        <w:tc>
          <w:tcPr>
            <w:tcW w:w="459" w:type="pct"/>
            <w:noWrap/>
            <w:vAlign w:val="center"/>
          </w:tcPr>
          <w:p w14:paraId="05A9607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334</w:t>
            </w:r>
          </w:p>
        </w:tc>
        <w:tc>
          <w:tcPr>
            <w:tcW w:w="458" w:type="pct"/>
            <w:vAlign w:val="center"/>
          </w:tcPr>
          <w:p w14:paraId="4DE69C4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251</w:t>
            </w:r>
          </w:p>
        </w:tc>
        <w:tc>
          <w:tcPr>
            <w:tcW w:w="422" w:type="pct"/>
            <w:noWrap/>
            <w:vAlign w:val="bottom"/>
          </w:tcPr>
          <w:p w14:paraId="23056ED3"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902</w:t>
            </w:r>
          </w:p>
        </w:tc>
        <w:tc>
          <w:tcPr>
            <w:tcW w:w="992" w:type="pct"/>
            <w:vAlign w:val="bottom"/>
          </w:tcPr>
          <w:p w14:paraId="227955FE"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-20.8</w:t>
            </w:r>
          </w:p>
        </w:tc>
        <w:tc>
          <w:tcPr>
            <w:tcW w:w="1142" w:type="pct"/>
            <w:shd w:val="clear" w:color="auto" w:fill="FFFFFF"/>
            <w:vAlign w:val="bottom"/>
          </w:tcPr>
          <w:p w14:paraId="23E4B3BD"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3.2</w:t>
            </w:r>
          </w:p>
        </w:tc>
      </w:tr>
      <w:tr w:rsidR="00C4521E" w:rsidRPr="0067297E" w14:paraId="5E8C8582" w14:textId="77777777" w:rsidTr="00C4521E">
        <w:trPr>
          <w:trHeight w:val="300"/>
        </w:trPr>
        <w:tc>
          <w:tcPr>
            <w:tcW w:w="1058" w:type="pct"/>
            <w:noWrap/>
            <w:vAlign w:val="bottom"/>
          </w:tcPr>
          <w:p w14:paraId="243E61C2"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Ladywell</w:t>
            </w:r>
          </w:p>
        </w:tc>
        <w:tc>
          <w:tcPr>
            <w:tcW w:w="469" w:type="pct"/>
            <w:vAlign w:val="center"/>
          </w:tcPr>
          <w:p w14:paraId="08391BE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258</w:t>
            </w:r>
          </w:p>
        </w:tc>
        <w:tc>
          <w:tcPr>
            <w:tcW w:w="459" w:type="pct"/>
            <w:noWrap/>
            <w:vAlign w:val="center"/>
          </w:tcPr>
          <w:p w14:paraId="11F0514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483</w:t>
            </w:r>
          </w:p>
        </w:tc>
        <w:tc>
          <w:tcPr>
            <w:tcW w:w="458" w:type="pct"/>
            <w:vAlign w:val="center"/>
          </w:tcPr>
          <w:p w14:paraId="4B69C00B"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322</w:t>
            </w:r>
          </w:p>
        </w:tc>
        <w:tc>
          <w:tcPr>
            <w:tcW w:w="422" w:type="pct"/>
            <w:noWrap/>
            <w:vAlign w:val="bottom"/>
          </w:tcPr>
          <w:p w14:paraId="32F93DE3"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1063</w:t>
            </w:r>
          </w:p>
        </w:tc>
        <w:tc>
          <w:tcPr>
            <w:tcW w:w="992" w:type="pct"/>
            <w:vAlign w:val="bottom"/>
          </w:tcPr>
          <w:p w14:paraId="1EC809C7"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24.8</w:t>
            </w:r>
          </w:p>
        </w:tc>
        <w:tc>
          <w:tcPr>
            <w:tcW w:w="1142" w:type="pct"/>
            <w:shd w:val="clear" w:color="auto" w:fill="FFFFFF"/>
            <w:vAlign w:val="bottom"/>
          </w:tcPr>
          <w:p w14:paraId="7B2BE8BD"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3.8</w:t>
            </w:r>
          </w:p>
        </w:tc>
      </w:tr>
      <w:tr w:rsidR="00C4521E" w:rsidRPr="0067297E" w14:paraId="1E4EDE1F" w14:textId="77777777" w:rsidTr="00C4521E">
        <w:trPr>
          <w:trHeight w:val="300"/>
        </w:trPr>
        <w:tc>
          <w:tcPr>
            <w:tcW w:w="1058" w:type="pct"/>
            <w:noWrap/>
            <w:vAlign w:val="bottom"/>
          </w:tcPr>
          <w:p w14:paraId="4FEAA6F7"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Lee Green</w:t>
            </w:r>
          </w:p>
        </w:tc>
        <w:tc>
          <w:tcPr>
            <w:tcW w:w="469" w:type="pct"/>
            <w:vAlign w:val="center"/>
          </w:tcPr>
          <w:p w14:paraId="78142A4B"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342</w:t>
            </w:r>
          </w:p>
        </w:tc>
        <w:tc>
          <w:tcPr>
            <w:tcW w:w="459" w:type="pct"/>
            <w:noWrap/>
            <w:vAlign w:val="center"/>
          </w:tcPr>
          <w:p w14:paraId="38A773E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432</w:t>
            </w:r>
          </w:p>
        </w:tc>
        <w:tc>
          <w:tcPr>
            <w:tcW w:w="458" w:type="pct"/>
            <w:vAlign w:val="center"/>
          </w:tcPr>
          <w:p w14:paraId="0B16847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305</w:t>
            </w:r>
          </w:p>
        </w:tc>
        <w:tc>
          <w:tcPr>
            <w:tcW w:w="422" w:type="pct"/>
            <w:noWrap/>
            <w:vAlign w:val="bottom"/>
          </w:tcPr>
          <w:p w14:paraId="79E3B1DF"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1079</w:t>
            </w:r>
          </w:p>
        </w:tc>
        <w:tc>
          <w:tcPr>
            <w:tcW w:w="992" w:type="pct"/>
            <w:vAlign w:val="bottom"/>
          </w:tcPr>
          <w:p w14:paraId="2F2BBB83"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-10.8</w:t>
            </w:r>
          </w:p>
        </w:tc>
        <w:tc>
          <w:tcPr>
            <w:tcW w:w="1142" w:type="pct"/>
            <w:shd w:val="clear" w:color="auto" w:fill="FFFFFF"/>
            <w:vAlign w:val="bottom"/>
          </w:tcPr>
          <w:p w14:paraId="3BC5620A"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3.8</w:t>
            </w:r>
          </w:p>
        </w:tc>
      </w:tr>
      <w:tr w:rsidR="00C4521E" w:rsidRPr="0067297E" w14:paraId="47C53E25" w14:textId="77777777" w:rsidTr="00C4521E">
        <w:trPr>
          <w:trHeight w:val="300"/>
        </w:trPr>
        <w:tc>
          <w:tcPr>
            <w:tcW w:w="1058" w:type="pct"/>
            <w:noWrap/>
            <w:vAlign w:val="bottom"/>
          </w:tcPr>
          <w:p w14:paraId="52ABFF7C" w14:textId="77777777" w:rsidR="00C4521E" w:rsidRPr="0067297E" w:rsidRDefault="00C4521E" w:rsidP="00FA273F">
            <w:pPr>
              <w:rPr>
                <w:rFonts w:asciiTheme="minorHAnsi" w:hAnsiTheme="minorHAnsi" w:cs="Calibri"/>
                <w:b/>
                <w:color w:val="000000"/>
                <w:sz w:val="22"/>
                <w:szCs w:val="22"/>
              </w:rPr>
            </w:pPr>
            <w:r w:rsidRPr="0067297E">
              <w:rPr>
                <w:rFonts w:asciiTheme="minorHAnsi" w:hAnsiTheme="minorHAnsi" w:cs="Calibri"/>
                <w:color w:val="000000"/>
                <w:sz w:val="22"/>
                <w:szCs w:val="22"/>
              </w:rPr>
              <w:t>Lewisham Central</w:t>
            </w:r>
          </w:p>
        </w:tc>
        <w:tc>
          <w:tcPr>
            <w:tcW w:w="469" w:type="pct"/>
            <w:vAlign w:val="center"/>
          </w:tcPr>
          <w:p w14:paraId="2B75290A"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1115</w:t>
            </w:r>
          </w:p>
        </w:tc>
        <w:tc>
          <w:tcPr>
            <w:tcW w:w="459" w:type="pct"/>
            <w:noWrap/>
            <w:vAlign w:val="center"/>
          </w:tcPr>
          <w:p w14:paraId="48B43B2D"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2205</w:t>
            </w:r>
          </w:p>
        </w:tc>
        <w:tc>
          <w:tcPr>
            <w:tcW w:w="458" w:type="pct"/>
            <w:vAlign w:val="center"/>
          </w:tcPr>
          <w:p w14:paraId="454EFF52"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1243</w:t>
            </w:r>
          </w:p>
        </w:tc>
        <w:tc>
          <w:tcPr>
            <w:tcW w:w="422" w:type="pct"/>
            <w:noWrap/>
            <w:vAlign w:val="bottom"/>
          </w:tcPr>
          <w:p w14:paraId="02A5BBB1"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4563</w:t>
            </w:r>
          </w:p>
        </w:tc>
        <w:tc>
          <w:tcPr>
            <w:tcW w:w="992" w:type="pct"/>
            <w:vAlign w:val="bottom"/>
          </w:tcPr>
          <w:p w14:paraId="2B1E330B"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11.5</w:t>
            </w:r>
          </w:p>
        </w:tc>
        <w:tc>
          <w:tcPr>
            <w:tcW w:w="1142" w:type="pct"/>
            <w:shd w:val="clear" w:color="auto" w:fill="FFFFFF"/>
            <w:vAlign w:val="bottom"/>
          </w:tcPr>
          <w:p w14:paraId="4098FA40"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16.2</w:t>
            </w:r>
          </w:p>
        </w:tc>
      </w:tr>
      <w:tr w:rsidR="00C4521E" w:rsidRPr="0067297E" w14:paraId="0C6DCC08" w14:textId="77777777" w:rsidTr="00C4521E">
        <w:trPr>
          <w:trHeight w:val="300"/>
        </w:trPr>
        <w:tc>
          <w:tcPr>
            <w:tcW w:w="1058" w:type="pct"/>
            <w:noWrap/>
            <w:vAlign w:val="bottom"/>
          </w:tcPr>
          <w:p w14:paraId="74EDE38F" w14:textId="77777777" w:rsidR="00C4521E" w:rsidRPr="0067297E" w:rsidRDefault="00C4521E" w:rsidP="00FA273F">
            <w:pPr>
              <w:rPr>
                <w:rFonts w:asciiTheme="minorHAnsi" w:hAnsiTheme="minorHAnsi" w:cs="Calibri"/>
                <w:b/>
                <w:color w:val="000000"/>
                <w:sz w:val="22"/>
                <w:szCs w:val="22"/>
              </w:rPr>
            </w:pPr>
            <w:r w:rsidRPr="0067297E">
              <w:rPr>
                <w:rFonts w:asciiTheme="minorHAnsi" w:hAnsiTheme="minorHAnsi" w:cs="Calibri"/>
                <w:color w:val="000000"/>
                <w:sz w:val="22"/>
                <w:szCs w:val="22"/>
              </w:rPr>
              <w:t>New Cross</w:t>
            </w:r>
          </w:p>
        </w:tc>
        <w:tc>
          <w:tcPr>
            <w:tcW w:w="469" w:type="pct"/>
            <w:vAlign w:val="center"/>
          </w:tcPr>
          <w:p w14:paraId="653FE826"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570</w:t>
            </w:r>
          </w:p>
        </w:tc>
        <w:tc>
          <w:tcPr>
            <w:tcW w:w="459" w:type="pct"/>
            <w:noWrap/>
            <w:vAlign w:val="center"/>
          </w:tcPr>
          <w:p w14:paraId="5FB9D5BD"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961</w:t>
            </w:r>
          </w:p>
        </w:tc>
        <w:tc>
          <w:tcPr>
            <w:tcW w:w="458" w:type="pct"/>
            <w:vAlign w:val="center"/>
          </w:tcPr>
          <w:p w14:paraId="7749AEFD"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606</w:t>
            </w:r>
          </w:p>
        </w:tc>
        <w:tc>
          <w:tcPr>
            <w:tcW w:w="422" w:type="pct"/>
            <w:noWrap/>
            <w:vAlign w:val="bottom"/>
          </w:tcPr>
          <w:p w14:paraId="60CB1F5D"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2137</w:t>
            </w:r>
          </w:p>
        </w:tc>
        <w:tc>
          <w:tcPr>
            <w:tcW w:w="992" w:type="pct"/>
            <w:vAlign w:val="bottom"/>
          </w:tcPr>
          <w:p w14:paraId="6B7F0B93"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6.3</w:t>
            </w:r>
          </w:p>
        </w:tc>
        <w:tc>
          <w:tcPr>
            <w:tcW w:w="1142" w:type="pct"/>
            <w:shd w:val="clear" w:color="auto" w:fill="FFFFFF"/>
            <w:vAlign w:val="bottom"/>
          </w:tcPr>
          <w:p w14:paraId="03EBE99D"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7.6</w:t>
            </w:r>
          </w:p>
        </w:tc>
      </w:tr>
      <w:tr w:rsidR="00C4521E" w:rsidRPr="0067297E" w14:paraId="0F52BD49" w14:textId="77777777" w:rsidTr="00C4521E">
        <w:trPr>
          <w:trHeight w:val="300"/>
        </w:trPr>
        <w:tc>
          <w:tcPr>
            <w:tcW w:w="1058" w:type="pct"/>
            <w:noWrap/>
            <w:vAlign w:val="bottom"/>
          </w:tcPr>
          <w:p w14:paraId="6B3917E2" w14:textId="77777777" w:rsidR="00C4521E" w:rsidRPr="0067297E" w:rsidRDefault="00C4521E" w:rsidP="00FA273F">
            <w:pPr>
              <w:rPr>
                <w:rFonts w:asciiTheme="minorHAnsi" w:hAnsiTheme="minorHAnsi" w:cs="Calibri"/>
                <w:b/>
                <w:color w:val="000000"/>
                <w:sz w:val="22"/>
                <w:szCs w:val="22"/>
              </w:rPr>
            </w:pPr>
            <w:r w:rsidRPr="0067297E">
              <w:rPr>
                <w:rFonts w:asciiTheme="minorHAnsi" w:hAnsiTheme="minorHAnsi" w:cs="Calibri"/>
                <w:color w:val="000000"/>
                <w:sz w:val="22"/>
                <w:szCs w:val="22"/>
              </w:rPr>
              <w:t>Perry Vale</w:t>
            </w:r>
          </w:p>
        </w:tc>
        <w:tc>
          <w:tcPr>
            <w:tcW w:w="469" w:type="pct"/>
            <w:vAlign w:val="center"/>
          </w:tcPr>
          <w:p w14:paraId="08563629"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333</w:t>
            </w:r>
          </w:p>
        </w:tc>
        <w:tc>
          <w:tcPr>
            <w:tcW w:w="459" w:type="pct"/>
            <w:noWrap/>
            <w:vAlign w:val="center"/>
          </w:tcPr>
          <w:p w14:paraId="6E687C83"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395</w:t>
            </w:r>
          </w:p>
        </w:tc>
        <w:tc>
          <w:tcPr>
            <w:tcW w:w="458" w:type="pct"/>
            <w:vAlign w:val="center"/>
          </w:tcPr>
          <w:p w14:paraId="397DA194"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319</w:t>
            </w:r>
          </w:p>
        </w:tc>
        <w:tc>
          <w:tcPr>
            <w:tcW w:w="422" w:type="pct"/>
            <w:noWrap/>
            <w:vAlign w:val="bottom"/>
          </w:tcPr>
          <w:p w14:paraId="23AC8B80"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1047</w:t>
            </w:r>
          </w:p>
        </w:tc>
        <w:tc>
          <w:tcPr>
            <w:tcW w:w="992" w:type="pct"/>
            <w:vAlign w:val="bottom"/>
          </w:tcPr>
          <w:p w14:paraId="2D707415"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-4.2</w:t>
            </w:r>
          </w:p>
        </w:tc>
        <w:tc>
          <w:tcPr>
            <w:tcW w:w="1142" w:type="pct"/>
            <w:shd w:val="clear" w:color="auto" w:fill="FFFFFF"/>
            <w:vAlign w:val="bottom"/>
          </w:tcPr>
          <w:p w14:paraId="4E222783"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3.7</w:t>
            </w:r>
          </w:p>
        </w:tc>
      </w:tr>
      <w:tr w:rsidR="00C4521E" w:rsidRPr="0067297E" w14:paraId="19C32E2A" w14:textId="77777777" w:rsidTr="00C4521E">
        <w:trPr>
          <w:trHeight w:val="300"/>
        </w:trPr>
        <w:tc>
          <w:tcPr>
            <w:tcW w:w="1058" w:type="pct"/>
            <w:noWrap/>
            <w:vAlign w:val="bottom"/>
          </w:tcPr>
          <w:p w14:paraId="7434542F" w14:textId="77777777" w:rsidR="00C4521E" w:rsidRPr="0067297E" w:rsidRDefault="00C4521E" w:rsidP="00FA273F">
            <w:pPr>
              <w:rPr>
                <w:rFonts w:asciiTheme="minorHAnsi" w:hAnsiTheme="minorHAnsi" w:cs="Calibri"/>
                <w:b/>
                <w:color w:val="000000"/>
                <w:sz w:val="22"/>
                <w:szCs w:val="22"/>
              </w:rPr>
            </w:pPr>
            <w:r w:rsidRPr="0067297E">
              <w:rPr>
                <w:rFonts w:asciiTheme="minorHAnsi" w:hAnsiTheme="minorHAnsi" w:cs="Calibri"/>
                <w:color w:val="000000"/>
                <w:sz w:val="22"/>
                <w:szCs w:val="22"/>
              </w:rPr>
              <w:t>Rushey Green</w:t>
            </w:r>
          </w:p>
        </w:tc>
        <w:tc>
          <w:tcPr>
            <w:tcW w:w="469" w:type="pct"/>
            <w:vAlign w:val="center"/>
          </w:tcPr>
          <w:p w14:paraId="168E97E5"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560</w:t>
            </w:r>
          </w:p>
        </w:tc>
        <w:tc>
          <w:tcPr>
            <w:tcW w:w="459" w:type="pct"/>
            <w:noWrap/>
            <w:vAlign w:val="center"/>
          </w:tcPr>
          <w:p w14:paraId="7765F9BD"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680</w:t>
            </w:r>
          </w:p>
        </w:tc>
        <w:tc>
          <w:tcPr>
            <w:tcW w:w="458" w:type="pct"/>
            <w:vAlign w:val="center"/>
          </w:tcPr>
          <w:p w14:paraId="1E2AC7CA"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530</w:t>
            </w:r>
          </w:p>
        </w:tc>
        <w:tc>
          <w:tcPr>
            <w:tcW w:w="422" w:type="pct"/>
            <w:noWrap/>
            <w:vAlign w:val="bottom"/>
          </w:tcPr>
          <w:p w14:paraId="6A3F5B3C"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1770</w:t>
            </w:r>
          </w:p>
        </w:tc>
        <w:tc>
          <w:tcPr>
            <w:tcW w:w="992" w:type="pct"/>
            <w:vAlign w:val="bottom"/>
          </w:tcPr>
          <w:p w14:paraId="1B9BF83F"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-5.4</w:t>
            </w:r>
          </w:p>
        </w:tc>
        <w:tc>
          <w:tcPr>
            <w:tcW w:w="1142" w:type="pct"/>
            <w:shd w:val="clear" w:color="auto" w:fill="FFFFFF"/>
            <w:vAlign w:val="bottom"/>
          </w:tcPr>
          <w:p w14:paraId="498F4E7F"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6.3</w:t>
            </w:r>
          </w:p>
        </w:tc>
      </w:tr>
      <w:tr w:rsidR="00C4521E" w:rsidRPr="0067297E" w14:paraId="2E38D6F3" w14:textId="77777777" w:rsidTr="00C4521E">
        <w:trPr>
          <w:trHeight w:val="300"/>
        </w:trPr>
        <w:tc>
          <w:tcPr>
            <w:tcW w:w="1058" w:type="pct"/>
            <w:noWrap/>
            <w:vAlign w:val="bottom"/>
          </w:tcPr>
          <w:p w14:paraId="6FCEB46E" w14:textId="77777777" w:rsidR="00C4521E" w:rsidRPr="0067297E" w:rsidRDefault="00C4521E" w:rsidP="00FA273F">
            <w:pPr>
              <w:rPr>
                <w:rFonts w:asciiTheme="minorHAnsi" w:hAnsiTheme="minorHAnsi" w:cs="Calibri"/>
                <w:b/>
                <w:color w:val="000000"/>
                <w:sz w:val="22"/>
                <w:szCs w:val="22"/>
              </w:rPr>
            </w:pPr>
            <w:r w:rsidRPr="0067297E">
              <w:rPr>
                <w:rFonts w:asciiTheme="minorHAnsi" w:hAnsiTheme="minorHAnsi" w:cs="Calibri"/>
                <w:color w:val="000000"/>
                <w:sz w:val="22"/>
                <w:szCs w:val="22"/>
              </w:rPr>
              <w:t>Sydenham</w:t>
            </w:r>
          </w:p>
        </w:tc>
        <w:tc>
          <w:tcPr>
            <w:tcW w:w="469" w:type="pct"/>
            <w:vAlign w:val="center"/>
          </w:tcPr>
          <w:p w14:paraId="67ECE27C"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418</w:t>
            </w:r>
          </w:p>
        </w:tc>
        <w:tc>
          <w:tcPr>
            <w:tcW w:w="459" w:type="pct"/>
            <w:noWrap/>
            <w:vAlign w:val="center"/>
          </w:tcPr>
          <w:p w14:paraId="05B99913"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476</w:t>
            </w:r>
          </w:p>
        </w:tc>
        <w:tc>
          <w:tcPr>
            <w:tcW w:w="458" w:type="pct"/>
            <w:vAlign w:val="center"/>
          </w:tcPr>
          <w:p w14:paraId="3C322234"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334</w:t>
            </w:r>
          </w:p>
        </w:tc>
        <w:tc>
          <w:tcPr>
            <w:tcW w:w="422" w:type="pct"/>
            <w:noWrap/>
            <w:vAlign w:val="bottom"/>
          </w:tcPr>
          <w:p w14:paraId="6A56F67C"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1228</w:t>
            </w:r>
          </w:p>
        </w:tc>
        <w:tc>
          <w:tcPr>
            <w:tcW w:w="992" w:type="pct"/>
            <w:vAlign w:val="bottom"/>
          </w:tcPr>
          <w:p w14:paraId="253AEBD5"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-20.1</w:t>
            </w:r>
          </w:p>
        </w:tc>
        <w:tc>
          <w:tcPr>
            <w:tcW w:w="1142" w:type="pct"/>
            <w:shd w:val="clear" w:color="auto" w:fill="FFFFFF"/>
            <w:vAlign w:val="bottom"/>
          </w:tcPr>
          <w:p w14:paraId="60761CB9"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4.3</w:t>
            </w:r>
          </w:p>
        </w:tc>
      </w:tr>
      <w:tr w:rsidR="00C4521E" w:rsidRPr="0067297E" w14:paraId="0A24AE52" w14:textId="77777777" w:rsidTr="00C4521E">
        <w:trPr>
          <w:trHeight w:val="300"/>
        </w:trPr>
        <w:tc>
          <w:tcPr>
            <w:tcW w:w="1058" w:type="pct"/>
            <w:noWrap/>
            <w:vAlign w:val="bottom"/>
          </w:tcPr>
          <w:p w14:paraId="559AF7C6" w14:textId="77777777" w:rsidR="00C4521E" w:rsidRPr="0067297E" w:rsidRDefault="00C4521E" w:rsidP="00FA273F">
            <w:pPr>
              <w:rPr>
                <w:rFonts w:asciiTheme="minorHAnsi" w:hAnsiTheme="minorHAnsi" w:cs="Calibri"/>
                <w:b/>
                <w:color w:val="000000"/>
                <w:sz w:val="22"/>
                <w:szCs w:val="22"/>
              </w:rPr>
            </w:pPr>
            <w:r w:rsidRPr="0067297E">
              <w:rPr>
                <w:rFonts w:asciiTheme="minorHAnsi" w:hAnsiTheme="minorHAnsi" w:cs="Calibri"/>
                <w:color w:val="000000"/>
                <w:sz w:val="22"/>
                <w:szCs w:val="22"/>
              </w:rPr>
              <w:t>Telegraph Hill</w:t>
            </w:r>
          </w:p>
        </w:tc>
        <w:tc>
          <w:tcPr>
            <w:tcW w:w="469" w:type="pct"/>
            <w:vAlign w:val="center"/>
          </w:tcPr>
          <w:p w14:paraId="35205C6B"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343</w:t>
            </w:r>
          </w:p>
        </w:tc>
        <w:tc>
          <w:tcPr>
            <w:tcW w:w="459" w:type="pct"/>
            <w:noWrap/>
            <w:vAlign w:val="center"/>
          </w:tcPr>
          <w:p w14:paraId="35864785"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504</w:t>
            </w:r>
          </w:p>
        </w:tc>
        <w:tc>
          <w:tcPr>
            <w:tcW w:w="458" w:type="pct"/>
            <w:vAlign w:val="center"/>
          </w:tcPr>
          <w:p w14:paraId="7B727A33"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340</w:t>
            </w:r>
          </w:p>
        </w:tc>
        <w:tc>
          <w:tcPr>
            <w:tcW w:w="422" w:type="pct"/>
            <w:noWrap/>
            <w:vAlign w:val="bottom"/>
          </w:tcPr>
          <w:p w14:paraId="71C70244"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1187</w:t>
            </w:r>
          </w:p>
        </w:tc>
        <w:tc>
          <w:tcPr>
            <w:tcW w:w="992" w:type="pct"/>
            <w:vAlign w:val="bottom"/>
          </w:tcPr>
          <w:p w14:paraId="7AAEE1C3"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-0.9</w:t>
            </w:r>
          </w:p>
        </w:tc>
        <w:tc>
          <w:tcPr>
            <w:tcW w:w="1142" w:type="pct"/>
            <w:shd w:val="clear" w:color="auto" w:fill="FFFFFF"/>
            <w:vAlign w:val="bottom"/>
          </w:tcPr>
          <w:p w14:paraId="2217E7CF"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4.2</w:t>
            </w:r>
          </w:p>
        </w:tc>
      </w:tr>
      <w:tr w:rsidR="00C4521E" w:rsidRPr="0067297E" w14:paraId="7EF16CC9" w14:textId="77777777" w:rsidTr="00C4521E">
        <w:trPr>
          <w:trHeight w:val="300"/>
        </w:trPr>
        <w:tc>
          <w:tcPr>
            <w:tcW w:w="1058" w:type="pct"/>
            <w:noWrap/>
            <w:vAlign w:val="bottom"/>
          </w:tcPr>
          <w:p w14:paraId="3C402328" w14:textId="77777777" w:rsidR="00C4521E" w:rsidRPr="0067297E" w:rsidRDefault="00C4521E" w:rsidP="00FA273F">
            <w:pPr>
              <w:rPr>
                <w:rFonts w:asciiTheme="minorHAnsi" w:hAnsiTheme="minorHAnsi" w:cs="Calibri"/>
                <w:b/>
                <w:color w:val="000000"/>
                <w:sz w:val="22"/>
                <w:szCs w:val="22"/>
              </w:rPr>
            </w:pPr>
            <w:r w:rsidRPr="0067297E">
              <w:rPr>
                <w:rFonts w:asciiTheme="minorHAnsi" w:hAnsiTheme="minorHAnsi" w:cs="Calibri"/>
                <w:color w:val="000000"/>
                <w:sz w:val="22"/>
                <w:szCs w:val="22"/>
              </w:rPr>
              <w:t>Whitefoot</w:t>
            </w:r>
          </w:p>
        </w:tc>
        <w:tc>
          <w:tcPr>
            <w:tcW w:w="469" w:type="pct"/>
            <w:vAlign w:val="center"/>
          </w:tcPr>
          <w:p w14:paraId="0391852F"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246</w:t>
            </w:r>
          </w:p>
        </w:tc>
        <w:tc>
          <w:tcPr>
            <w:tcW w:w="459" w:type="pct"/>
            <w:noWrap/>
            <w:vAlign w:val="center"/>
          </w:tcPr>
          <w:p w14:paraId="00AF12C7"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375</w:t>
            </w:r>
          </w:p>
        </w:tc>
        <w:tc>
          <w:tcPr>
            <w:tcW w:w="458" w:type="pct"/>
            <w:vAlign w:val="center"/>
          </w:tcPr>
          <w:p w14:paraId="57700055"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245</w:t>
            </w:r>
          </w:p>
        </w:tc>
        <w:tc>
          <w:tcPr>
            <w:tcW w:w="422" w:type="pct"/>
            <w:noWrap/>
            <w:vAlign w:val="bottom"/>
          </w:tcPr>
          <w:p w14:paraId="7EC9A4E1"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866</w:t>
            </w:r>
          </w:p>
        </w:tc>
        <w:tc>
          <w:tcPr>
            <w:tcW w:w="992" w:type="pct"/>
            <w:vAlign w:val="bottom"/>
          </w:tcPr>
          <w:p w14:paraId="18C7358A"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-0.4</w:t>
            </w:r>
          </w:p>
        </w:tc>
        <w:tc>
          <w:tcPr>
            <w:tcW w:w="1142" w:type="pct"/>
            <w:shd w:val="clear" w:color="auto" w:fill="FFFFFF"/>
            <w:vAlign w:val="bottom"/>
          </w:tcPr>
          <w:p w14:paraId="2D5DB4E4"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3.1</w:t>
            </w:r>
          </w:p>
        </w:tc>
      </w:tr>
      <w:bookmarkEnd w:id="718"/>
      <w:tr w:rsidR="00C4521E" w:rsidRPr="0067297E" w14:paraId="43AAFF01" w14:textId="77777777" w:rsidTr="00C4521E">
        <w:trPr>
          <w:trHeight w:val="300"/>
        </w:trPr>
        <w:tc>
          <w:tcPr>
            <w:tcW w:w="1058" w:type="pct"/>
            <w:noWrap/>
            <w:vAlign w:val="bottom"/>
          </w:tcPr>
          <w:p w14:paraId="0EE752AF"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b/>
                <w:color w:val="000000"/>
                <w:sz w:val="22"/>
                <w:szCs w:val="22"/>
              </w:rPr>
              <w:t>Lewisham</w:t>
            </w:r>
          </w:p>
        </w:tc>
        <w:tc>
          <w:tcPr>
            <w:tcW w:w="469" w:type="pct"/>
            <w:vAlign w:val="center"/>
          </w:tcPr>
          <w:p w14:paraId="5B5BBA32"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8259</w:t>
            </w:r>
          </w:p>
        </w:tc>
        <w:tc>
          <w:tcPr>
            <w:tcW w:w="459" w:type="pct"/>
            <w:noWrap/>
            <w:vAlign w:val="center"/>
          </w:tcPr>
          <w:p w14:paraId="6902F9F6"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11941</w:t>
            </w:r>
          </w:p>
        </w:tc>
        <w:tc>
          <w:tcPr>
            <w:tcW w:w="458" w:type="pct"/>
            <w:vAlign w:val="center"/>
          </w:tcPr>
          <w:p w14:paraId="323C3E7D"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8038</w:t>
            </w:r>
          </w:p>
        </w:tc>
        <w:tc>
          <w:tcPr>
            <w:tcW w:w="422" w:type="pct"/>
            <w:noWrap/>
            <w:vAlign w:val="bottom"/>
          </w:tcPr>
          <w:p w14:paraId="4C361F5F"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28238</w:t>
            </w:r>
          </w:p>
        </w:tc>
        <w:tc>
          <w:tcPr>
            <w:tcW w:w="992" w:type="pct"/>
            <w:vAlign w:val="bottom"/>
          </w:tcPr>
          <w:p w14:paraId="535E50CF"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-2.7</w:t>
            </w:r>
          </w:p>
        </w:tc>
        <w:tc>
          <w:tcPr>
            <w:tcW w:w="1142" w:type="pct"/>
            <w:shd w:val="clear" w:color="auto" w:fill="FFFFFF"/>
            <w:vAlign w:val="center"/>
          </w:tcPr>
          <w:p w14:paraId="644EF21C"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b/>
                <w:sz w:val="22"/>
                <w:szCs w:val="22"/>
              </w:rPr>
              <w:t>100</w:t>
            </w:r>
          </w:p>
        </w:tc>
      </w:tr>
    </w:tbl>
    <w:p w14:paraId="1205933F" w14:textId="77777777" w:rsidR="00C4521E" w:rsidRPr="0067297E" w:rsidRDefault="00C4521E" w:rsidP="00543A76">
      <w:pPr>
        <w:rPr>
          <w:rFonts w:asciiTheme="minorHAnsi" w:hAnsiTheme="minorHAnsi"/>
          <w:sz w:val="20"/>
          <w:szCs w:val="20"/>
        </w:rPr>
      </w:pPr>
      <w:r w:rsidRPr="0067297E">
        <w:rPr>
          <w:rFonts w:asciiTheme="minorHAnsi" w:hAnsiTheme="minorHAnsi"/>
          <w:sz w:val="20"/>
          <w:szCs w:val="20"/>
        </w:rPr>
        <w:t>Source: Zoopla and Census 2011</w:t>
      </w:r>
    </w:p>
    <w:p w14:paraId="7AEE8F1B" w14:textId="77777777" w:rsidR="00C4521E" w:rsidRPr="0067297E" w:rsidRDefault="00C4521E" w:rsidP="00543A76">
      <w:pPr>
        <w:rPr>
          <w:rFonts w:asciiTheme="minorHAnsi" w:hAnsiTheme="minorHAnsi"/>
        </w:rPr>
      </w:pPr>
    </w:p>
    <w:p w14:paraId="4D27506D" w14:textId="33DD7B54"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The percentage share of the market (2014-2017) is mapped in Map 3.2. Market share very much relates to location of the PRS. There is a higher market share in </w:t>
      </w:r>
      <w:r w:rsidR="00134099" w:rsidRPr="0067297E">
        <w:rPr>
          <w:rFonts w:asciiTheme="minorHAnsi" w:hAnsiTheme="minorHAnsi"/>
          <w:lang w:val="en-GB"/>
        </w:rPr>
        <w:t>the wards of Evelyn</w:t>
      </w:r>
      <w:r w:rsidRPr="0067297E">
        <w:rPr>
          <w:rFonts w:asciiTheme="minorHAnsi" w:hAnsiTheme="minorHAnsi"/>
        </w:rPr>
        <w:t xml:space="preserve">, Brockley and New Cross as well as Lewisham </w:t>
      </w:r>
      <w:r w:rsidR="00134099" w:rsidRPr="0067297E">
        <w:rPr>
          <w:rFonts w:asciiTheme="minorHAnsi" w:hAnsiTheme="minorHAnsi"/>
          <w:lang w:val="en-GB"/>
        </w:rPr>
        <w:t>Central</w:t>
      </w:r>
      <w:r w:rsidRPr="0067297E">
        <w:rPr>
          <w:rFonts w:asciiTheme="minorHAnsi" w:hAnsiTheme="minorHAnsi"/>
        </w:rPr>
        <w:t xml:space="preserve">; </w:t>
      </w:r>
      <w:r w:rsidR="00134099" w:rsidRPr="0067297E">
        <w:rPr>
          <w:rFonts w:asciiTheme="minorHAnsi" w:hAnsiTheme="minorHAnsi"/>
          <w:lang w:val="en-GB"/>
        </w:rPr>
        <w:t xml:space="preserve">Rushey Green </w:t>
      </w:r>
      <w:r w:rsidRPr="0067297E">
        <w:rPr>
          <w:rFonts w:asciiTheme="minorHAnsi" w:hAnsiTheme="minorHAnsi"/>
        </w:rPr>
        <w:t>also has a larger market share but lower levels are recorded in Bellingham and Blackheath</w:t>
      </w:r>
      <w:r w:rsidR="00272814" w:rsidRPr="0067297E">
        <w:rPr>
          <w:rFonts w:asciiTheme="minorHAnsi" w:hAnsiTheme="minorHAnsi"/>
          <w:lang w:val="en-GB"/>
        </w:rPr>
        <w:t>.</w:t>
      </w:r>
    </w:p>
    <w:p w14:paraId="7845468D" w14:textId="77777777" w:rsidR="00C4521E" w:rsidRPr="0067297E" w:rsidRDefault="00C4521E" w:rsidP="007E2C96">
      <w:pPr>
        <w:rPr>
          <w:rFonts w:asciiTheme="minorHAnsi" w:hAnsiTheme="minorHAnsi"/>
        </w:rPr>
      </w:pPr>
    </w:p>
    <w:p w14:paraId="72BA7F97" w14:textId="77777777" w:rsidR="00A62CB8" w:rsidRPr="0067297E" w:rsidRDefault="00A62CB8">
      <w:pPr>
        <w:rPr>
          <w:rFonts w:asciiTheme="minorHAnsi" w:hAnsiTheme="minorHAnsi"/>
          <w:b/>
          <w:color w:val="009999"/>
          <w:sz w:val="22"/>
          <w:lang w:val="x-none"/>
        </w:rPr>
      </w:pPr>
      <w:r w:rsidRPr="0067297E">
        <w:rPr>
          <w:rFonts w:asciiTheme="minorHAnsi" w:hAnsiTheme="minorHAnsi"/>
        </w:rPr>
        <w:br w:type="page"/>
      </w:r>
    </w:p>
    <w:p w14:paraId="14B09114" w14:textId="4CDA6DFE" w:rsidR="00C4521E" w:rsidRPr="0067297E" w:rsidRDefault="00C4521E" w:rsidP="00FA273F">
      <w:pPr>
        <w:pStyle w:val="mapheading"/>
        <w:rPr>
          <w:rFonts w:asciiTheme="minorHAnsi" w:hAnsiTheme="minorHAnsi"/>
        </w:rPr>
      </w:pPr>
      <w:bookmarkStart w:id="719" w:name="_Toc23151248"/>
      <w:r w:rsidRPr="0067297E">
        <w:rPr>
          <w:rFonts w:asciiTheme="minorHAnsi" w:hAnsiTheme="minorHAnsi"/>
        </w:rPr>
        <w:t>Map 3.2</w:t>
      </w:r>
      <w:r w:rsidRPr="0067297E">
        <w:rPr>
          <w:rFonts w:asciiTheme="minorHAnsi" w:hAnsiTheme="minorHAnsi"/>
        </w:rPr>
        <w:tab/>
        <w:t>The percentage of the market rented units coming onto the market 2015-2017</w:t>
      </w:r>
      <w:bookmarkEnd w:id="719"/>
    </w:p>
    <w:p w14:paraId="54BA5780" w14:textId="77777777" w:rsidR="00C4521E" w:rsidRPr="0067297E" w:rsidRDefault="00C4521E">
      <w:pPr>
        <w:rPr>
          <w:rFonts w:asciiTheme="minorHAnsi" w:hAnsiTheme="minorHAnsi"/>
        </w:rPr>
      </w:pPr>
      <w:r w:rsidRPr="0067297E">
        <w:rPr>
          <w:rFonts w:asciiTheme="minorHAnsi" w:hAnsiTheme="minorHAnsi"/>
          <w:noProof/>
          <w:lang w:eastAsia="en-GB"/>
        </w:rPr>
        <w:drawing>
          <wp:inline distT="0" distB="0" distL="0" distR="0" wp14:anchorId="43FAA336" wp14:editId="5D622C3B">
            <wp:extent cx="5349600" cy="6030000"/>
            <wp:effectExtent l="0" t="0" r="0" b="0"/>
            <wp:docPr id="34" name="Picture 34" descr="Map showing % market share across wards in Lewisham (labeled). " title="Map 3.2 The percentage of the market rented units coming onto the market 201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wisham_c.png"/>
                    <pic:cNvPicPr/>
                  </pic:nvPicPr>
                  <pic:blipFill rotWithShape="1">
                    <a:blip r:embed="rId109">
                      <a:extLst>
                        <a:ext uri="{28A0092B-C50C-407E-A947-70E740481C1C}">
                          <a14:useLocalDpi xmlns:a14="http://schemas.microsoft.com/office/drawing/2010/main" val="0"/>
                        </a:ext>
                      </a:extLst>
                    </a:blip>
                    <a:srcRect l="10802" t="14328" r="9428" b="22140"/>
                    <a:stretch/>
                  </pic:blipFill>
                  <pic:spPr bwMode="auto">
                    <a:xfrm>
                      <a:off x="0" y="0"/>
                      <a:ext cx="5349600" cy="6030000"/>
                    </a:xfrm>
                    <a:prstGeom prst="rect">
                      <a:avLst/>
                    </a:prstGeom>
                    <a:ln>
                      <a:noFill/>
                    </a:ln>
                    <a:extLst>
                      <a:ext uri="{53640926-AAD7-44D8-BBD7-CCE9431645EC}">
                        <a14:shadowObscured xmlns:a14="http://schemas.microsoft.com/office/drawing/2010/main"/>
                      </a:ext>
                    </a:extLst>
                  </pic:spPr>
                </pic:pic>
              </a:graphicData>
            </a:graphic>
          </wp:inline>
        </w:drawing>
      </w:r>
    </w:p>
    <w:p w14:paraId="0BBB9BED" w14:textId="77777777" w:rsidR="00C4521E" w:rsidRPr="0067297E" w:rsidRDefault="00C4521E">
      <w:pPr>
        <w:pStyle w:val="mapheading"/>
        <w:rPr>
          <w:rFonts w:asciiTheme="minorHAnsi" w:hAnsiTheme="minorHAnsi"/>
        </w:rPr>
      </w:pPr>
    </w:p>
    <w:p w14:paraId="37597F15" w14:textId="77777777" w:rsidR="00C4521E" w:rsidRPr="0067297E" w:rsidRDefault="00C4521E" w:rsidP="00FA273F">
      <w:pPr>
        <w:pStyle w:val="Maintext"/>
        <w:numPr>
          <w:ilvl w:val="0"/>
          <w:numId w:val="0"/>
        </w:numPr>
        <w:tabs>
          <w:tab w:val="num" w:pos="1277"/>
        </w:tabs>
        <w:ind w:left="1277" w:hanging="709"/>
        <w:jc w:val="center"/>
        <w:rPr>
          <w:rFonts w:asciiTheme="minorHAnsi" w:hAnsiTheme="minorHAnsi"/>
        </w:rPr>
      </w:pPr>
    </w:p>
    <w:p w14:paraId="7F6D1401" w14:textId="77777777" w:rsidR="00C4521E" w:rsidRPr="0067297E" w:rsidRDefault="00C4521E">
      <w:pPr>
        <w:rPr>
          <w:rFonts w:asciiTheme="minorHAnsi" w:hAnsiTheme="minorHAnsi"/>
        </w:rPr>
      </w:pPr>
      <w:r w:rsidRPr="0067297E">
        <w:rPr>
          <w:rFonts w:asciiTheme="minorHAnsi" w:hAnsiTheme="minorHAnsi"/>
        </w:rPr>
        <w:br w:type="page"/>
      </w:r>
      <w:bookmarkStart w:id="720" w:name="_Toc350071218"/>
    </w:p>
    <w:p w14:paraId="16A5603A" w14:textId="0678348D" w:rsidR="00C4521E" w:rsidRPr="0067297E" w:rsidRDefault="00C4521E" w:rsidP="002C70BC">
      <w:pPr>
        <w:pStyle w:val="Heading1"/>
        <w:numPr>
          <w:ilvl w:val="0"/>
          <w:numId w:val="34"/>
        </w:numPr>
        <w:rPr>
          <w:rFonts w:asciiTheme="minorHAnsi" w:hAnsiTheme="minorHAnsi"/>
        </w:rPr>
      </w:pPr>
      <w:bookmarkStart w:id="721" w:name="_Toc400488694"/>
      <w:bookmarkStart w:id="722" w:name="_Toc529887299"/>
      <w:bookmarkStart w:id="723" w:name="_Toc1385817"/>
      <w:bookmarkStart w:id="724" w:name="_Toc23151134"/>
      <w:r w:rsidRPr="0067297E">
        <w:rPr>
          <w:rFonts w:asciiTheme="minorHAnsi" w:hAnsiTheme="minorHAnsi"/>
        </w:rPr>
        <w:t>Property type and bed size</w:t>
      </w:r>
      <w:bookmarkEnd w:id="720"/>
      <w:bookmarkEnd w:id="721"/>
      <w:bookmarkEnd w:id="722"/>
      <w:bookmarkEnd w:id="723"/>
      <w:bookmarkEnd w:id="724"/>
    </w:p>
    <w:p w14:paraId="61696045"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Table 4.1 shows the number and proportion of properties coming onto the market through Zoopla from 2015 to 2017.</w:t>
      </w:r>
    </w:p>
    <w:p w14:paraId="229F10AF" w14:textId="77777777" w:rsidR="00C4521E" w:rsidRPr="0067297E" w:rsidRDefault="00C4521E" w:rsidP="002C70BC">
      <w:pPr>
        <w:pStyle w:val="Reporttext"/>
        <w:numPr>
          <w:ilvl w:val="1"/>
          <w:numId w:val="34"/>
        </w:numPr>
        <w:tabs>
          <w:tab w:val="clear" w:pos="709"/>
        </w:tabs>
        <w:rPr>
          <w:rFonts w:asciiTheme="minorHAnsi" w:hAnsiTheme="minorHAnsi"/>
        </w:rPr>
      </w:pPr>
      <w:bookmarkStart w:id="725" w:name="_Hlk488649135"/>
      <w:r w:rsidRPr="0067297E">
        <w:rPr>
          <w:rFonts w:asciiTheme="minorHAnsi" w:hAnsiTheme="minorHAnsi"/>
        </w:rPr>
        <w:t>The number of apartments that have come onto the market in Lewisham showed a significant increase in 2016 but reduced to 2015 levels in 2017. Apartments dominate the market and the market share is consistent at around 77%. A similar pattern is shown for houses.</w:t>
      </w:r>
    </w:p>
    <w:p w14:paraId="4B4FC657" w14:textId="77777777" w:rsidR="00C4521E" w:rsidRPr="0067297E" w:rsidRDefault="00C4521E" w:rsidP="002C70BC">
      <w:pPr>
        <w:pStyle w:val="Reporttext"/>
        <w:numPr>
          <w:ilvl w:val="1"/>
          <w:numId w:val="34"/>
        </w:numPr>
        <w:tabs>
          <w:tab w:val="clear" w:pos="709"/>
        </w:tabs>
        <w:rPr>
          <w:rFonts w:asciiTheme="minorHAnsi" w:hAnsiTheme="minorHAnsi"/>
        </w:rPr>
      </w:pPr>
      <w:bookmarkStart w:id="726" w:name="_Hlk488649118"/>
      <w:bookmarkEnd w:id="725"/>
      <w:r w:rsidRPr="0067297E">
        <w:rPr>
          <w:rFonts w:asciiTheme="minorHAnsi" w:hAnsiTheme="minorHAnsi"/>
        </w:rPr>
        <w:t>Apartments/flats make up 7 in 10 of the properties that come onto the market; houses, 3 in every 10. This will be a challenging market for growing families living in the private rented sector to access appropriate housing.</w:t>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0A0" w:firstRow="1" w:lastRow="0" w:firstColumn="1" w:lastColumn="0" w:noHBand="0" w:noVBand="0"/>
      </w:tblPr>
      <w:tblGrid>
        <w:gridCol w:w="1414"/>
        <w:gridCol w:w="832"/>
        <w:gridCol w:w="778"/>
        <w:gridCol w:w="779"/>
        <w:gridCol w:w="779"/>
        <w:gridCol w:w="1227"/>
        <w:gridCol w:w="890"/>
        <w:gridCol w:w="873"/>
        <w:gridCol w:w="873"/>
        <w:gridCol w:w="737"/>
      </w:tblGrid>
      <w:tr w:rsidR="00C4521E" w:rsidRPr="0067297E" w14:paraId="211BEE00" w14:textId="77777777" w:rsidTr="00FD050C">
        <w:trPr>
          <w:tblHeader/>
        </w:trPr>
        <w:tc>
          <w:tcPr>
            <w:tcW w:w="9182" w:type="dxa"/>
            <w:gridSpan w:val="10"/>
            <w:shd w:val="clear" w:color="auto" w:fill="009999"/>
            <w:noWrap/>
            <w:vAlign w:val="center"/>
          </w:tcPr>
          <w:p w14:paraId="0DD0DF87" w14:textId="01DBF2C8" w:rsidR="00C4521E" w:rsidRPr="0067297E" w:rsidRDefault="00C4521E" w:rsidP="001B5150">
            <w:pPr>
              <w:pStyle w:val="tableheading"/>
              <w:spacing w:before="0" w:after="0"/>
              <w:rPr>
                <w:rFonts w:asciiTheme="minorHAnsi" w:hAnsiTheme="minorHAnsi"/>
                <w:color w:val="FFFFFF"/>
                <w:lang w:val="en-GB"/>
              </w:rPr>
            </w:pPr>
            <w:bookmarkStart w:id="727" w:name="_Toc23151210"/>
            <w:bookmarkEnd w:id="726"/>
            <w:r w:rsidRPr="0067297E">
              <w:rPr>
                <w:rFonts w:asciiTheme="minorHAnsi" w:hAnsiTheme="minorHAnsi"/>
              </w:rPr>
              <w:t>Table 4.1</w:t>
            </w:r>
            <w:r w:rsidRPr="0067297E">
              <w:rPr>
                <w:rFonts w:asciiTheme="minorHAnsi" w:hAnsiTheme="minorHAnsi"/>
              </w:rPr>
              <w:tab/>
              <w:t>No of properties on market by property type 201</w:t>
            </w:r>
            <w:r w:rsidR="00B61903" w:rsidRPr="0067297E">
              <w:rPr>
                <w:rFonts w:asciiTheme="minorHAnsi" w:hAnsiTheme="minorHAnsi"/>
                <w:lang w:val="en-GB"/>
              </w:rPr>
              <w:t>5-</w:t>
            </w:r>
            <w:r w:rsidRPr="0067297E">
              <w:rPr>
                <w:rFonts w:asciiTheme="minorHAnsi" w:hAnsiTheme="minorHAnsi"/>
              </w:rPr>
              <w:t>201</w:t>
            </w:r>
            <w:r w:rsidR="00B61903" w:rsidRPr="0067297E">
              <w:rPr>
                <w:rFonts w:asciiTheme="minorHAnsi" w:hAnsiTheme="minorHAnsi"/>
                <w:lang w:val="en-GB"/>
              </w:rPr>
              <w:t>7</w:t>
            </w:r>
            <w:bookmarkEnd w:id="727"/>
          </w:p>
        </w:tc>
      </w:tr>
      <w:tr w:rsidR="00C4521E" w:rsidRPr="0067297E" w14:paraId="04814A1E" w14:textId="77777777" w:rsidTr="00A62CB8">
        <w:tc>
          <w:tcPr>
            <w:tcW w:w="1414" w:type="dxa"/>
            <w:shd w:val="clear" w:color="auto" w:fill="009999"/>
            <w:noWrap/>
            <w:vAlign w:val="bottom"/>
          </w:tcPr>
          <w:p w14:paraId="47863311" w14:textId="77777777" w:rsidR="00C4521E" w:rsidRPr="0067297E" w:rsidRDefault="00C4521E" w:rsidP="00FA273F">
            <w:pP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Property type</w:t>
            </w:r>
          </w:p>
        </w:tc>
        <w:tc>
          <w:tcPr>
            <w:tcW w:w="832" w:type="dxa"/>
            <w:shd w:val="clear" w:color="auto" w:fill="009999"/>
            <w:vAlign w:val="bottom"/>
          </w:tcPr>
          <w:p w14:paraId="0261EE71"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2015 No</w:t>
            </w:r>
          </w:p>
        </w:tc>
        <w:tc>
          <w:tcPr>
            <w:tcW w:w="778" w:type="dxa"/>
            <w:shd w:val="clear" w:color="auto" w:fill="009999"/>
            <w:vAlign w:val="bottom"/>
          </w:tcPr>
          <w:p w14:paraId="020521AC"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2016 No</w:t>
            </w:r>
          </w:p>
        </w:tc>
        <w:tc>
          <w:tcPr>
            <w:tcW w:w="779" w:type="dxa"/>
            <w:shd w:val="clear" w:color="auto" w:fill="009999"/>
            <w:vAlign w:val="bottom"/>
          </w:tcPr>
          <w:p w14:paraId="19E974F1"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2017 No</w:t>
            </w:r>
          </w:p>
        </w:tc>
        <w:tc>
          <w:tcPr>
            <w:tcW w:w="779" w:type="dxa"/>
            <w:shd w:val="clear" w:color="auto" w:fill="009999"/>
            <w:vAlign w:val="bottom"/>
          </w:tcPr>
          <w:p w14:paraId="2C380788"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2015-2017 Total</w:t>
            </w:r>
          </w:p>
        </w:tc>
        <w:tc>
          <w:tcPr>
            <w:tcW w:w="1227" w:type="dxa"/>
            <w:shd w:val="clear" w:color="auto" w:fill="009999"/>
            <w:tcMar>
              <w:left w:w="108" w:type="dxa"/>
            </w:tcMar>
            <w:vAlign w:val="bottom"/>
          </w:tcPr>
          <w:p w14:paraId="7C85B148" w14:textId="77777777" w:rsidR="00C4521E" w:rsidRPr="0067297E" w:rsidRDefault="00C4521E" w:rsidP="00FA273F">
            <w:pP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Property type</w:t>
            </w:r>
          </w:p>
        </w:tc>
        <w:tc>
          <w:tcPr>
            <w:tcW w:w="890" w:type="dxa"/>
            <w:shd w:val="clear" w:color="auto" w:fill="009999"/>
            <w:vAlign w:val="bottom"/>
          </w:tcPr>
          <w:p w14:paraId="2FEF0CB8"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2015 %</w:t>
            </w:r>
          </w:p>
        </w:tc>
        <w:tc>
          <w:tcPr>
            <w:tcW w:w="873" w:type="dxa"/>
            <w:shd w:val="clear" w:color="auto" w:fill="009999"/>
            <w:vAlign w:val="bottom"/>
          </w:tcPr>
          <w:p w14:paraId="00C7C889"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2016 %</w:t>
            </w:r>
          </w:p>
        </w:tc>
        <w:tc>
          <w:tcPr>
            <w:tcW w:w="873" w:type="dxa"/>
            <w:shd w:val="clear" w:color="auto" w:fill="009999"/>
            <w:vAlign w:val="bottom"/>
          </w:tcPr>
          <w:p w14:paraId="0B64F382"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2017 %</w:t>
            </w:r>
          </w:p>
        </w:tc>
        <w:tc>
          <w:tcPr>
            <w:tcW w:w="737" w:type="dxa"/>
            <w:shd w:val="clear" w:color="auto" w:fill="009999"/>
            <w:vAlign w:val="bottom"/>
          </w:tcPr>
          <w:p w14:paraId="3ADE7D7F"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2015-2017 %</w:t>
            </w:r>
          </w:p>
        </w:tc>
      </w:tr>
      <w:tr w:rsidR="00C4521E" w:rsidRPr="0067297E" w14:paraId="00B1A981" w14:textId="77777777" w:rsidTr="00A62CB8">
        <w:tc>
          <w:tcPr>
            <w:tcW w:w="1414" w:type="dxa"/>
            <w:noWrap/>
            <w:vAlign w:val="center"/>
          </w:tcPr>
          <w:p w14:paraId="6F051BF0" w14:textId="77777777" w:rsidR="00C4521E" w:rsidRPr="0067297E" w:rsidRDefault="00C4521E" w:rsidP="00A62CB8">
            <w:pPr>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Apartments</w:t>
            </w:r>
          </w:p>
        </w:tc>
        <w:tc>
          <w:tcPr>
            <w:tcW w:w="832" w:type="dxa"/>
            <w:noWrap/>
            <w:tcMar>
              <w:left w:w="0" w:type="dxa"/>
              <w:right w:w="0" w:type="dxa"/>
            </w:tcMar>
            <w:vAlign w:val="center"/>
          </w:tcPr>
          <w:p w14:paraId="320DCB7C" w14:textId="77777777" w:rsidR="00C4521E" w:rsidRPr="0067297E" w:rsidRDefault="00C4521E" w:rsidP="00A62CB8">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6317</w:t>
            </w:r>
          </w:p>
        </w:tc>
        <w:tc>
          <w:tcPr>
            <w:tcW w:w="778" w:type="dxa"/>
            <w:noWrap/>
            <w:tcMar>
              <w:left w:w="0" w:type="dxa"/>
              <w:right w:w="0" w:type="dxa"/>
            </w:tcMar>
            <w:vAlign w:val="center"/>
          </w:tcPr>
          <w:p w14:paraId="56443348" w14:textId="77777777" w:rsidR="00C4521E" w:rsidRPr="0067297E" w:rsidRDefault="00C4521E" w:rsidP="00A62CB8">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9307</w:t>
            </w:r>
          </w:p>
        </w:tc>
        <w:tc>
          <w:tcPr>
            <w:tcW w:w="779" w:type="dxa"/>
            <w:noWrap/>
            <w:tcMar>
              <w:left w:w="0" w:type="dxa"/>
              <w:right w:w="0" w:type="dxa"/>
            </w:tcMar>
            <w:vAlign w:val="center"/>
          </w:tcPr>
          <w:p w14:paraId="117025D4" w14:textId="77777777" w:rsidR="00C4521E" w:rsidRPr="0067297E" w:rsidRDefault="00C4521E" w:rsidP="00A62CB8">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6193</w:t>
            </w:r>
          </w:p>
        </w:tc>
        <w:tc>
          <w:tcPr>
            <w:tcW w:w="779" w:type="dxa"/>
            <w:noWrap/>
            <w:tcMar>
              <w:left w:w="0" w:type="dxa"/>
              <w:right w:w="0" w:type="dxa"/>
            </w:tcMar>
            <w:vAlign w:val="bottom"/>
          </w:tcPr>
          <w:p w14:paraId="1667F33C" w14:textId="77777777" w:rsidR="00C4521E" w:rsidRPr="0067297E" w:rsidRDefault="00C4521E" w:rsidP="00A62CB8">
            <w:pPr>
              <w:jc w:val="center"/>
              <w:rPr>
                <w:rFonts w:asciiTheme="minorHAnsi" w:hAnsiTheme="minorHAnsi" w:cs="Calibri"/>
                <w:sz w:val="22"/>
                <w:szCs w:val="22"/>
                <w:lang w:eastAsia="en-GB"/>
              </w:rPr>
            </w:pPr>
            <w:r w:rsidRPr="0067297E">
              <w:rPr>
                <w:rFonts w:asciiTheme="minorHAnsi" w:hAnsiTheme="minorHAnsi" w:cs="Calibri"/>
                <w:color w:val="000000"/>
                <w:sz w:val="22"/>
                <w:szCs w:val="22"/>
              </w:rPr>
              <w:t>21817</w:t>
            </w:r>
          </w:p>
        </w:tc>
        <w:tc>
          <w:tcPr>
            <w:tcW w:w="1227" w:type="dxa"/>
            <w:tcMar>
              <w:left w:w="108" w:type="dxa"/>
              <w:right w:w="0" w:type="dxa"/>
            </w:tcMar>
            <w:vAlign w:val="center"/>
          </w:tcPr>
          <w:p w14:paraId="2CEB07A2" w14:textId="77777777" w:rsidR="00C4521E" w:rsidRPr="0067297E" w:rsidRDefault="00C4521E" w:rsidP="00A04CC5">
            <w:pPr>
              <w:pStyle w:val="NoSpacing"/>
              <w:rPr>
                <w:rFonts w:asciiTheme="minorHAnsi" w:hAnsiTheme="minorHAnsi" w:cs="Calibri"/>
                <w:lang w:eastAsia="en-GB"/>
              </w:rPr>
            </w:pPr>
            <w:r w:rsidRPr="0067297E">
              <w:rPr>
                <w:rFonts w:asciiTheme="minorHAnsi" w:hAnsiTheme="minorHAnsi" w:cs="Calibri"/>
                <w:lang w:eastAsia="en-GB"/>
              </w:rPr>
              <w:t>Apartments</w:t>
            </w:r>
          </w:p>
        </w:tc>
        <w:tc>
          <w:tcPr>
            <w:tcW w:w="890" w:type="dxa"/>
            <w:tcMar>
              <w:left w:w="0" w:type="dxa"/>
              <w:right w:w="0" w:type="dxa"/>
            </w:tcMar>
            <w:vAlign w:val="center"/>
          </w:tcPr>
          <w:p w14:paraId="4F90AC97" w14:textId="77777777" w:rsidR="00C4521E" w:rsidRPr="0067297E" w:rsidRDefault="00C4521E" w:rsidP="00A62CB8">
            <w:pPr>
              <w:jc w:val="center"/>
              <w:rPr>
                <w:rFonts w:asciiTheme="minorHAnsi" w:hAnsiTheme="minorHAnsi" w:cs="Calibri"/>
                <w:color w:val="000000"/>
                <w:sz w:val="22"/>
                <w:szCs w:val="22"/>
              </w:rPr>
            </w:pPr>
            <w:r w:rsidRPr="0067297E">
              <w:rPr>
                <w:rFonts w:asciiTheme="minorHAnsi" w:hAnsiTheme="minorHAnsi" w:cs="Calibri"/>
                <w:color w:val="000000"/>
                <w:sz w:val="22"/>
                <w:szCs w:val="22"/>
              </w:rPr>
              <w:t>76.5</w:t>
            </w:r>
          </w:p>
        </w:tc>
        <w:tc>
          <w:tcPr>
            <w:tcW w:w="873" w:type="dxa"/>
            <w:tcMar>
              <w:left w:w="0" w:type="dxa"/>
              <w:right w:w="0" w:type="dxa"/>
            </w:tcMar>
            <w:vAlign w:val="center"/>
          </w:tcPr>
          <w:p w14:paraId="7C39F56B" w14:textId="77777777" w:rsidR="00C4521E" w:rsidRPr="0067297E" w:rsidRDefault="00C4521E" w:rsidP="00A62CB8">
            <w:pPr>
              <w:jc w:val="center"/>
              <w:rPr>
                <w:rFonts w:asciiTheme="minorHAnsi" w:hAnsiTheme="minorHAnsi" w:cs="Calibri"/>
                <w:color w:val="000000"/>
                <w:sz w:val="22"/>
                <w:szCs w:val="22"/>
              </w:rPr>
            </w:pPr>
            <w:r w:rsidRPr="0067297E">
              <w:rPr>
                <w:rFonts w:asciiTheme="minorHAnsi" w:hAnsiTheme="minorHAnsi" w:cs="Calibri"/>
                <w:color w:val="000000"/>
                <w:sz w:val="22"/>
                <w:szCs w:val="22"/>
              </w:rPr>
              <w:t>77.9</w:t>
            </w:r>
          </w:p>
        </w:tc>
        <w:tc>
          <w:tcPr>
            <w:tcW w:w="873" w:type="dxa"/>
            <w:tcMar>
              <w:left w:w="0" w:type="dxa"/>
              <w:right w:w="0" w:type="dxa"/>
            </w:tcMar>
            <w:vAlign w:val="center"/>
          </w:tcPr>
          <w:p w14:paraId="5688FE89" w14:textId="77777777" w:rsidR="00C4521E" w:rsidRPr="0067297E" w:rsidRDefault="00C4521E" w:rsidP="00A62CB8">
            <w:pPr>
              <w:jc w:val="center"/>
              <w:rPr>
                <w:rFonts w:asciiTheme="minorHAnsi" w:hAnsiTheme="minorHAnsi" w:cs="Calibri"/>
                <w:color w:val="000000"/>
                <w:sz w:val="22"/>
                <w:szCs w:val="22"/>
              </w:rPr>
            </w:pPr>
            <w:r w:rsidRPr="0067297E">
              <w:rPr>
                <w:rFonts w:asciiTheme="minorHAnsi" w:hAnsiTheme="minorHAnsi" w:cs="Calibri"/>
                <w:color w:val="000000"/>
                <w:sz w:val="22"/>
                <w:szCs w:val="22"/>
              </w:rPr>
              <w:t>77.0</w:t>
            </w:r>
          </w:p>
        </w:tc>
        <w:tc>
          <w:tcPr>
            <w:tcW w:w="737" w:type="dxa"/>
            <w:tcMar>
              <w:left w:w="0" w:type="dxa"/>
              <w:right w:w="0" w:type="dxa"/>
            </w:tcMar>
            <w:vAlign w:val="center"/>
          </w:tcPr>
          <w:p w14:paraId="6099A090"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rPr>
              <w:t>77.3</w:t>
            </w:r>
          </w:p>
        </w:tc>
      </w:tr>
      <w:tr w:rsidR="00C4521E" w:rsidRPr="0067297E" w14:paraId="08122813" w14:textId="77777777" w:rsidTr="00A62CB8">
        <w:tc>
          <w:tcPr>
            <w:tcW w:w="1414" w:type="dxa"/>
            <w:noWrap/>
            <w:vAlign w:val="center"/>
          </w:tcPr>
          <w:p w14:paraId="3AC070A3" w14:textId="77777777" w:rsidR="00C4521E" w:rsidRPr="0067297E" w:rsidRDefault="00C4521E" w:rsidP="00A62CB8">
            <w:pPr>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House</w:t>
            </w:r>
          </w:p>
        </w:tc>
        <w:tc>
          <w:tcPr>
            <w:tcW w:w="832" w:type="dxa"/>
            <w:noWrap/>
            <w:tcMar>
              <w:left w:w="0" w:type="dxa"/>
              <w:right w:w="0" w:type="dxa"/>
            </w:tcMar>
            <w:vAlign w:val="center"/>
          </w:tcPr>
          <w:p w14:paraId="03ADEE98" w14:textId="77777777" w:rsidR="00C4521E" w:rsidRPr="0067297E" w:rsidRDefault="00C4521E" w:rsidP="00A62CB8">
            <w:pPr>
              <w:jc w:val="center"/>
              <w:rPr>
                <w:rFonts w:asciiTheme="minorHAnsi" w:hAnsiTheme="minorHAnsi" w:cs="Calibri"/>
                <w:color w:val="000000"/>
                <w:sz w:val="22"/>
                <w:szCs w:val="22"/>
              </w:rPr>
            </w:pPr>
            <w:r w:rsidRPr="0067297E">
              <w:rPr>
                <w:rFonts w:asciiTheme="minorHAnsi" w:hAnsiTheme="minorHAnsi" w:cs="Calibri"/>
                <w:color w:val="000000"/>
                <w:sz w:val="22"/>
                <w:szCs w:val="22"/>
              </w:rPr>
              <w:t>1942</w:t>
            </w:r>
          </w:p>
        </w:tc>
        <w:tc>
          <w:tcPr>
            <w:tcW w:w="778" w:type="dxa"/>
            <w:noWrap/>
            <w:tcMar>
              <w:left w:w="0" w:type="dxa"/>
              <w:right w:w="0" w:type="dxa"/>
            </w:tcMar>
            <w:vAlign w:val="center"/>
          </w:tcPr>
          <w:p w14:paraId="42A6DFD6" w14:textId="77777777" w:rsidR="00C4521E" w:rsidRPr="0067297E" w:rsidRDefault="00C4521E" w:rsidP="00A62CB8">
            <w:pPr>
              <w:jc w:val="center"/>
              <w:rPr>
                <w:rFonts w:asciiTheme="minorHAnsi" w:hAnsiTheme="minorHAnsi" w:cs="Calibri"/>
                <w:color w:val="000000"/>
                <w:sz w:val="22"/>
                <w:szCs w:val="22"/>
              </w:rPr>
            </w:pPr>
            <w:r w:rsidRPr="0067297E">
              <w:rPr>
                <w:rFonts w:asciiTheme="minorHAnsi" w:hAnsiTheme="minorHAnsi" w:cs="Calibri"/>
                <w:color w:val="000000"/>
                <w:sz w:val="22"/>
                <w:szCs w:val="22"/>
              </w:rPr>
              <w:t>2634</w:t>
            </w:r>
          </w:p>
        </w:tc>
        <w:tc>
          <w:tcPr>
            <w:tcW w:w="779" w:type="dxa"/>
            <w:noWrap/>
            <w:tcMar>
              <w:left w:w="0" w:type="dxa"/>
              <w:right w:w="0" w:type="dxa"/>
            </w:tcMar>
            <w:vAlign w:val="center"/>
          </w:tcPr>
          <w:p w14:paraId="16E5EB70" w14:textId="77777777" w:rsidR="00C4521E" w:rsidRPr="0067297E" w:rsidRDefault="00C4521E" w:rsidP="00A62CB8">
            <w:pPr>
              <w:jc w:val="center"/>
              <w:rPr>
                <w:rFonts w:asciiTheme="minorHAnsi" w:hAnsiTheme="minorHAnsi" w:cs="Calibri"/>
                <w:color w:val="000000"/>
                <w:sz w:val="22"/>
                <w:szCs w:val="22"/>
              </w:rPr>
            </w:pPr>
            <w:r w:rsidRPr="0067297E">
              <w:rPr>
                <w:rFonts w:asciiTheme="minorHAnsi" w:hAnsiTheme="minorHAnsi" w:cs="Calibri"/>
                <w:color w:val="000000"/>
                <w:sz w:val="22"/>
                <w:szCs w:val="22"/>
              </w:rPr>
              <w:t>1845</w:t>
            </w:r>
          </w:p>
        </w:tc>
        <w:tc>
          <w:tcPr>
            <w:tcW w:w="779" w:type="dxa"/>
            <w:noWrap/>
            <w:tcMar>
              <w:left w:w="0" w:type="dxa"/>
              <w:right w:w="0" w:type="dxa"/>
            </w:tcMar>
            <w:vAlign w:val="bottom"/>
          </w:tcPr>
          <w:p w14:paraId="0D85E13C" w14:textId="77777777" w:rsidR="00C4521E" w:rsidRPr="0067297E" w:rsidRDefault="00C4521E" w:rsidP="00A62CB8">
            <w:pPr>
              <w:jc w:val="center"/>
              <w:rPr>
                <w:rFonts w:asciiTheme="minorHAnsi" w:hAnsiTheme="minorHAnsi" w:cs="Calibri"/>
                <w:sz w:val="22"/>
                <w:szCs w:val="22"/>
              </w:rPr>
            </w:pPr>
            <w:r w:rsidRPr="0067297E">
              <w:rPr>
                <w:rFonts w:asciiTheme="minorHAnsi" w:hAnsiTheme="minorHAnsi" w:cs="Calibri"/>
                <w:color w:val="000000"/>
                <w:sz w:val="22"/>
                <w:szCs w:val="22"/>
              </w:rPr>
              <w:t>6421</w:t>
            </w:r>
          </w:p>
        </w:tc>
        <w:tc>
          <w:tcPr>
            <w:tcW w:w="1227" w:type="dxa"/>
            <w:tcMar>
              <w:left w:w="108" w:type="dxa"/>
              <w:right w:w="0" w:type="dxa"/>
            </w:tcMar>
            <w:vAlign w:val="center"/>
          </w:tcPr>
          <w:p w14:paraId="641E8174" w14:textId="77777777" w:rsidR="00C4521E" w:rsidRPr="0067297E" w:rsidRDefault="00C4521E" w:rsidP="00A04CC5">
            <w:pPr>
              <w:pStyle w:val="NoSpacing"/>
              <w:rPr>
                <w:rFonts w:asciiTheme="minorHAnsi" w:hAnsiTheme="minorHAnsi" w:cs="Calibri"/>
                <w:lang w:eastAsia="en-GB"/>
              </w:rPr>
            </w:pPr>
            <w:r w:rsidRPr="0067297E">
              <w:rPr>
                <w:rFonts w:asciiTheme="minorHAnsi" w:hAnsiTheme="minorHAnsi" w:cs="Calibri"/>
                <w:lang w:eastAsia="en-GB"/>
              </w:rPr>
              <w:t>Houses</w:t>
            </w:r>
          </w:p>
        </w:tc>
        <w:tc>
          <w:tcPr>
            <w:tcW w:w="890" w:type="dxa"/>
            <w:tcMar>
              <w:left w:w="0" w:type="dxa"/>
              <w:right w:w="0" w:type="dxa"/>
            </w:tcMar>
            <w:vAlign w:val="center"/>
          </w:tcPr>
          <w:p w14:paraId="01592400" w14:textId="77777777" w:rsidR="00C4521E" w:rsidRPr="0067297E" w:rsidRDefault="00C4521E" w:rsidP="00A62CB8">
            <w:pPr>
              <w:jc w:val="center"/>
              <w:rPr>
                <w:rFonts w:asciiTheme="minorHAnsi" w:hAnsiTheme="minorHAnsi" w:cs="Calibri"/>
                <w:color w:val="000000"/>
                <w:sz w:val="22"/>
                <w:szCs w:val="22"/>
              </w:rPr>
            </w:pPr>
            <w:r w:rsidRPr="0067297E">
              <w:rPr>
                <w:rFonts w:asciiTheme="minorHAnsi" w:hAnsiTheme="minorHAnsi" w:cs="Calibri"/>
                <w:color w:val="000000"/>
                <w:sz w:val="22"/>
                <w:szCs w:val="22"/>
              </w:rPr>
              <w:t>23.5</w:t>
            </w:r>
          </w:p>
        </w:tc>
        <w:tc>
          <w:tcPr>
            <w:tcW w:w="873" w:type="dxa"/>
            <w:tcMar>
              <w:left w:w="0" w:type="dxa"/>
              <w:right w:w="0" w:type="dxa"/>
            </w:tcMar>
            <w:vAlign w:val="center"/>
          </w:tcPr>
          <w:p w14:paraId="53C6B3D8" w14:textId="77777777" w:rsidR="00C4521E" w:rsidRPr="0067297E" w:rsidRDefault="00C4521E" w:rsidP="00A62CB8">
            <w:pPr>
              <w:jc w:val="center"/>
              <w:rPr>
                <w:rFonts w:asciiTheme="minorHAnsi" w:hAnsiTheme="minorHAnsi" w:cs="Calibri"/>
                <w:color w:val="000000"/>
                <w:sz w:val="22"/>
                <w:szCs w:val="22"/>
              </w:rPr>
            </w:pPr>
            <w:r w:rsidRPr="0067297E">
              <w:rPr>
                <w:rFonts w:asciiTheme="minorHAnsi" w:hAnsiTheme="minorHAnsi" w:cs="Calibri"/>
                <w:color w:val="000000"/>
                <w:sz w:val="22"/>
                <w:szCs w:val="22"/>
              </w:rPr>
              <w:t>22.1</w:t>
            </w:r>
          </w:p>
        </w:tc>
        <w:tc>
          <w:tcPr>
            <w:tcW w:w="873" w:type="dxa"/>
            <w:tcMar>
              <w:left w:w="0" w:type="dxa"/>
              <w:right w:w="0" w:type="dxa"/>
            </w:tcMar>
            <w:vAlign w:val="center"/>
          </w:tcPr>
          <w:p w14:paraId="08EE46E1" w14:textId="77777777" w:rsidR="00C4521E" w:rsidRPr="0067297E" w:rsidRDefault="00C4521E" w:rsidP="00A62CB8">
            <w:pPr>
              <w:jc w:val="center"/>
              <w:rPr>
                <w:rFonts w:asciiTheme="minorHAnsi" w:hAnsiTheme="minorHAnsi" w:cs="Calibri"/>
                <w:color w:val="000000"/>
                <w:sz w:val="22"/>
                <w:szCs w:val="22"/>
              </w:rPr>
            </w:pPr>
            <w:r w:rsidRPr="0067297E">
              <w:rPr>
                <w:rFonts w:asciiTheme="minorHAnsi" w:hAnsiTheme="minorHAnsi" w:cs="Calibri"/>
                <w:color w:val="000000"/>
                <w:sz w:val="22"/>
                <w:szCs w:val="22"/>
              </w:rPr>
              <w:t>23.0</w:t>
            </w:r>
          </w:p>
        </w:tc>
        <w:tc>
          <w:tcPr>
            <w:tcW w:w="737" w:type="dxa"/>
            <w:tcMar>
              <w:left w:w="0" w:type="dxa"/>
              <w:right w:w="0" w:type="dxa"/>
            </w:tcMar>
            <w:vAlign w:val="center"/>
          </w:tcPr>
          <w:p w14:paraId="3821E9C6"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rPr>
              <w:t>22.7</w:t>
            </w:r>
          </w:p>
        </w:tc>
      </w:tr>
      <w:tr w:rsidR="00C4521E" w:rsidRPr="0067297E" w14:paraId="7AB34B4A" w14:textId="77777777" w:rsidTr="00A62CB8">
        <w:tc>
          <w:tcPr>
            <w:tcW w:w="1414" w:type="dxa"/>
            <w:noWrap/>
            <w:vAlign w:val="center"/>
          </w:tcPr>
          <w:p w14:paraId="3B981DE5" w14:textId="77777777" w:rsidR="00C4521E" w:rsidRPr="0067297E" w:rsidRDefault="00C4521E" w:rsidP="00A62CB8">
            <w:pP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Lewisham</w:t>
            </w:r>
          </w:p>
        </w:tc>
        <w:tc>
          <w:tcPr>
            <w:tcW w:w="832" w:type="dxa"/>
            <w:noWrap/>
            <w:tcMar>
              <w:left w:w="0" w:type="dxa"/>
              <w:right w:w="0" w:type="dxa"/>
            </w:tcMar>
            <w:vAlign w:val="bottom"/>
          </w:tcPr>
          <w:p w14:paraId="55BFAE7C" w14:textId="77777777" w:rsidR="00C4521E" w:rsidRPr="0067297E" w:rsidRDefault="00C4521E" w:rsidP="00A62CB8">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8259</w:t>
            </w:r>
          </w:p>
        </w:tc>
        <w:tc>
          <w:tcPr>
            <w:tcW w:w="778" w:type="dxa"/>
            <w:noWrap/>
            <w:tcMar>
              <w:left w:w="0" w:type="dxa"/>
              <w:right w:w="0" w:type="dxa"/>
            </w:tcMar>
            <w:vAlign w:val="bottom"/>
          </w:tcPr>
          <w:p w14:paraId="3595B226" w14:textId="77777777" w:rsidR="00C4521E" w:rsidRPr="0067297E" w:rsidRDefault="00C4521E" w:rsidP="00A62CB8">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11941</w:t>
            </w:r>
          </w:p>
        </w:tc>
        <w:tc>
          <w:tcPr>
            <w:tcW w:w="779" w:type="dxa"/>
            <w:noWrap/>
            <w:tcMar>
              <w:left w:w="0" w:type="dxa"/>
              <w:right w:w="0" w:type="dxa"/>
            </w:tcMar>
            <w:vAlign w:val="bottom"/>
          </w:tcPr>
          <w:p w14:paraId="4AE0333F" w14:textId="77777777" w:rsidR="00C4521E" w:rsidRPr="0067297E" w:rsidRDefault="00C4521E" w:rsidP="00A62CB8">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8038</w:t>
            </w:r>
          </w:p>
        </w:tc>
        <w:tc>
          <w:tcPr>
            <w:tcW w:w="779" w:type="dxa"/>
            <w:noWrap/>
            <w:tcMar>
              <w:left w:w="0" w:type="dxa"/>
              <w:right w:w="0" w:type="dxa"/>
            </w:tcMar>
            <w:vAlign w:val="bottom"/>
          </w:tcPr>
          <w:p w14:paraId="161AD0C1" w14:textId="77777777" w:rsidR="00C4521E" w:rsidRPr="0067297E" w:rsidRDefault="00C4521E" w:rsidP="00A62CB8">
            <w:pPr>
              <w:jc w:val="center"/>
              <w:rPr>
                <w:rFonts w:asciiTheme="minorHAnsi" w:hAnsiTheme="minorHAnsi" w:cs="Calibri"/>
                <w:b/>
                <w:sz w:val="22"/>
                <w:szCs w:val="22"/>
              </w:rPr>
            </w:pPr>
            <w:r w:rsidRPr="0067297E">
              <w:rPr>
                <w:rFonts w:asciiTheme="minorHAnsi" w:hAnsiTheme="minorHAnsi" w:cs="Calibri"/>
                <w:color w:val="000000"/>
                <w:sz w:val="22"/>
                <w:szCs w:val="22"/>
              </w:rPr>
              <w:t>28238</w:t>
            </w:r>
          </w:p>
        </w:tc>
        <w:tc>
          <w:tcPr>
            <w:tcW w:w="1227" w:type="dxa"/>
            <w:tcMar>
              <w:left w:w="108" w:type="dxa"/>
              <w:right w:w="0" w:type="dxa"/>
            </w:tcMar>
            <w:vAlign w:val="center"/>
          </w:tcPr>
          <w:p w14:paraId="1DC73FED" w14:textId="77777777" w:rsidR="00C4521E" w:rsidRPr="0067297E" w:rsidRDefault="00C4521E" w:rsidP="00A04CC5">
            <w:pPr>
              <w:pStyle w:val="NoSpacing"/>
              <w:rPr>
                <w:rFonts w:asciiTheme="minorHAnsi" w:hAnsiTheme="minorHAnsi" w:cs="Calibri"/>
                <w:b/>
                <w:bCs/>
                <w:lang w:eastAsia="en-GB"/>
              </w:rPr>
            </w:pPr>
            <w:r w:rsidRPr="0067297E">
              <w:rPr>
                <w:rFonts w:asciiTheme="minorHAnsi" w:hAnsiTheme="minorHAnsi" w:cs="Calibri"/>
                <w:b/>
                <w:bCs/>
                <w:lang w:eastAsia="en-GB"/>
              </w:rPr>
              <w:t>Lewisham</w:t>
            </w:r>
          </w:p>
        </w:tc>
        <w:tc>
          <w:tcPr>
            <w:tcW w:w="890" w:type="dxa"/>
            <w:tcMar>
              <w:left w:w="0" w:type="dxa"/>
              <w:right w:w="0" w:type="dxa"/>
            </w:tcMar>
            <w:vAlign w:val="center"/>
          </w:tcPr>
          <w:p w14:paraId="7FEC2955" w14:textId="77777777" w:rsidR="00C4521E" w:rsidRPr="0067297E" w:rsidRDefault="00C4521E" w:rsidP="00A62CB8">
            <w:pPr>
              <w:jc w:val="center"/>
              <w:rPr>
                <w:rFonts w:asciiTheme="minorHAnsi" w:hAnsiTheme="minorHAnsi" w:cs="Calibri"/>
                <w:b/>
                <w:color w:val="000000"/>
                <w:sz w:val="22"/>
                <w:szCs w:val="22"/>
              </w:rPr>
            </w:pPr>
            <w:r w:rsidRPr="0067297E">
              <w:rPr>
                <w:rFonts w:asciiTheme="minorHAnsi" w:hAnsiTheme="minorHAnsi" w:cs="Calibri"/>
                <w:b/>
                <w:color w:val="000000"/>
                <w:sz w:val="22"/>
                <w:szCs w:val="22"/>
              </w:rPr>
              <w:t>100</w:t>
            </w:r>
          </w:p>
        </w:tc>
        <w:tc>
          <w:tcPr>
            <w:tcW w:w="873" w:type="dxa"/>
            <w:tcMar>
              <w:left w:w="0" w:type="dxa"/>
              <w:right w:w="0" w:type="dxa"/>
            </w:tcMar>
            <w:vAlign w:val="center"/>
          </w:tcPr>
          <w:p w14:paraId="21FA9199" w14:textId="77777777" w:rsidR="00C4521E" w:rsidRPr="0067297E" w:rsidRDefault="00C4521E" w:rsidP="00A62CB8">
            <w:pPr>
              <w:jc w:val="center"/>
              <w:rPr>
                <w:rFonts w:asciiTheme="minorHAnsi" w:hAnsiTheme="minorHAnsi" w:cs="Calibri"/>
                <w:b/>
                <w:color w:val="000000"/>
                <w:sz w:val="22"/>
                <w:szCs w:val="22"/>
              </w:rPr>
            </w:pPr>
            <w:r w:rsidRPr="0067297E">
              <w:rPr>
                <w:rFonts w:asciiTheme="minorHAnsi" w:hAnsiTheme="minorHAnsi" w:cs="Calibri"/>
                <w:b/>
                <w:color w:val="000000"/>
                <w:sz w:val="22"/>
                <w:szCs w:val="22"/>
              </w:rPr>
              <w:t>100</w:t>
            </w:r>
          </w:p>
        </w:tc>
        <w:tc>
          <w:tcPr>
            <w:tcW w:w="873" w:type="dxa"/>
            <w:tcMar>
              <w:left w:w="0" w:type="dxa"/>
              <w:right w:w="0" w:type="dxa"/>
            </w:tcMar>
            <w:vAlign w:val="center"/>
          </w:tcPr>
          <w:p w14:paraId="24B06DD4" w14:textId="77777777" w:rsidR="00C4521E" w:rsidRPr="0067297E" w:rsidRDefault="00C4521E" w:rsidP="00A62CB8">
            <w:pPr>
              <w:jc w:val="center"/>
              <w:rPr>
                <w:rFonts w:asciiTheme="minorHAnsi" w:hAnsiTheme="minorHAnsi" w:cs="Calibri"/>
                <w:b/>
                <w:color w:val="000000"/>
                <w:sz w:val="22"/>
                <w:szCs w:val="22"/>
              </w:rPr>
            </w:pPr>
            <w:r w:rsidRPr="0067297E">
              <w:rPr>
                <w:rFonts w:asciiTheme="minorHAnsi" w:hAnsiTheme="minorHAnsi" w:cs="Calibri"/>
                <w:b/>
                <w:color w:val="000000"/>
                <w:sz w:val="22"/>
                <w:szCs w:val="22"/>
              </w:rPr>
              <w:t>100</w:t>
            </w:r>
          </w:p>
        </w:tc>
        <w:tc>
          <w:tcPr>
            <w:tcW w:w="737" w:type="dxa"/>
            <w:tcMar>
              <w:left w:w="0" w:type="dxa"/>
              <w:right w:w="0" w:type="dxa"/>
            </w:tcMar>
            <w:vAlign w:val="center"/>
          </w:tcPr>
          <w:p w14:paraId="1F72304A" w14:textId="77777777" w:rsidR="00C4521E" w:rsidRPr="0067297E" w:rsidRDefault="00C4521E" w:rsidP="00A04CC5">
            <w:pPr>
              <w:pStyle w:val="NoSpacing"/>
              <w:jc w:val="center"/>
              <w:rPr>
                <w:rFonts w:asciiTheme="minorHAnsi" w:hAnsiTheme="minorHAnsi" w:cs="Calibri"/>
                <w:b/>
                <w:bCs/>
                <w:lang w:eastAsia="en-GB"/>
              </w:rPr>
            </w:pPr>
            <w:r w:rsidRPr="0067297E">
              <w:rPr>
                <w:rFonts w:asciiTheme="minorHAnsi" w:hAnsiTheme="minorHAnsi" w:cs="Calibri"/>
                <w:b/>
                <w:bCs/>
                <w:lang w:eastAsia="en-GB"/>
              </w:rPr>
              <w:t>100</w:t>
            </w:r>
          </w:p>
        </w:tc>
      </w:tr>
    </w:tbl>
    <w:p w14:paraId="4B5C4FDE" w14:textId="77777777" w:rsidR="00C4521E" w:rsidRPr="0067297E" w:rsidRDefault="00C4521E" w:rsidP="00543A76">
      <w:pPr>
        <w:rPr>
          <w:rFonts w:asciiTheme="minorHAnsi" w:hAnsiTheme="minorHAnsi"/>
          <w:sz w:val="20"/>
          <w:szCs w:val="20"/>
        </w:rPr>
      </w:pPr>
      <w:r w:rsidRPr="0067297E">
        <w:rPr>
          <w:rFonts w:asciiTheme="minorHAnsi" w:hAnsiTheme="minorHAnsi"/>
          <w:sz w:val="20"/>
          <w:szCs w:val="20"/>
        </w:rPr>
        <w:t>Source: Zoopla</w:t>
      </w:r>
    </w:p>
    <w:p w14:paraId="2F70C666" w14:textId="3389B2A2" w:rsidR="00C4521E" w:rsidRPr="0067297E" w:rsidRDefault="00C4521E" w:rsidP="002C70BC">
      <w:pPr>
        <w:pStyle w:val="Reporttext"/>
        <w:numPr>
          <w:ilvl w:val="1"/>
          <w:numId w:val="34"/>
        </w:numPr>
        <w:tabs>
          <w:tab w:val="clear" w:pos="709"/>
        </w:tabs>
        <w:rPr>
          <w:rFonts w:asciiTheme="minorHAnsi" w:hAnsiTheme="minorHAnsi"/>
          <w:lang w:val="en-US"/>
        </w:rPr>
      </w:pPr>
      <w:r w:rsidRPr="0067297E">
        <w:rPr>
          <w:rFonts w:asciiTheme="minorHAnsi" w:hAnsiTheme="minorHAnsi"/>
        </w:rPr>
        <w:t>The overall property offer is significantly different in individual wards. Table 4.2 and Map 4.1 illustrate this data. Lewisham town centre, Brockley and New Cross is almost exclusively apartments. High levels of apartments are recorded in Blackheath and to the North of Catford. Lower levels are reco</w:t>
      </w:r>
      <w:r w:rsidR="00B61903" w:rsidRPr="0067297E">
        <w:rPr>
          <w:rFonts w:asciiTheme="minorHAnsi" w:hAnsiTheme="minorHAnsi"/>
          <w:lang w:val="en-GB"/>
        </w:rPr>
        <w:t>r</w:t>
      </w:r>
      <w:r w:rsidRPr="0067297E">
        <w:rPr>
          <w:rFonts w:asciiTheme="minorHAnsi" w:hAnsiTheme="minorHAnsi"/>
        </w:rPr>
        <w:t>ded in Catford South, Grove Park and Downham</w:t>
      </w:r>
      <w:r w:rsidR="00B61903" w:rsidRPr="0067297E">
        <w:rPr>
          <w:rFonts w:asciiTheme="minorHAnsi" w:hAnsiTheme="minorHAnsi"/>
          <w:lang w:val="en-GB"/>
        </w:rPr>
        <w:t>.</w:t>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1E0" w:firstRow="1" w:lastRow="1" w:firstColumn="1" w:lastColumn="1" w:noHBand="0" w:noVBand="0"/>
      </w:tblPr>
      <w:tblGrid>
        <w:gridCol w:w="6093"/>
        <w:gridCol w:w="1701"/>
        <w:gridCol w:w="1388"/>
      </w:tblGrid>
      <w:tr w:rsidR="00C4521E" w:rsidRPr="0067297E" w14:paraId="04F39D09" w14:textId="77777777" w:rsidTr="00FD050C">
        <w:trPr>
          <w:tblHeader/>
        </w:trPr>
        <w:tc>
          <w:tcPr>
            <w:tcW w:w="5000" w:type="pct"/>
            <w:gridSpan w:val="3"/>
            <w:shd w:val="clear" w:color="auto" w:fill="009999"/>
            <w:noWrap/>
          </w:tcPr>
          <w:p w14:paraId="5CA01933" w14:textId="77777777" w:rsidR="00C4521E" w:rsidRPr="0067297E" w:rsidRDefault="00C4521E" w:rsidP="00FA273F">
            <w:pPr>
              <w:pStyle w:val="tableheading"/>
              <w:spacing w:before="0" w:after="0"/>
              <w:rPr>
                <w:rFonts w:asciiTheme="minorHAnsi" w:hAnsiTheme="minorHAnsi"/>
                <w:color w:val="FFFFFF"/>
              </w:rPr>
            </w:pPr>
            <w:bookmarkStart w:id="728" w:name="_Toc23151211"/>
            <w:r w:rsidRPr="0067297E">
              <w:rPr>
                <w:rFonts w:asciiTheme="minorHAnsi" w:hAnsiTheme="minorHAnsi"/>
              </w:rPr>
              <w:t>Table 4.2</w:t>
            </w:r>
            <w:r w:rsidRPr="0067297E">
              <w:rPr>
                <w:rFonts w:asciiTheme="minorHAnsi" w:hAnsiTheme="minorHAnsi"/>
              </w:rPr>
              <w:tab/>
              <w:t>Proportion of apartments and houses in each Ward (2017)</w:t>
            </w:r>
            <w:bookmarkEnd w:id="728"/>
          </w:p>
        </w:tc>
      </w:tr>
      <w:tr w:rsidR="00C4521E" w:rsidRPr="0067297E" w14:paraId="6D46F70A" w14:textId="77777777" w:rsidTr="00C4521E">
        <w:tc>
          <w:tcPr>
            <w:tcW w:w="3318" w:type="pct"/>
            <w:shd w:val="clear" w:color="auto" w:fill="009999"/>
            <w:noWrap/>
          </w:tcPr>
          <w:p w14:paraId="10DC1E24" w14:textId="77777777" w:rsidR="00C4521E" w:rsidRPr="0067297E" w:rsidRDefault="00C4521E" w:rsidP="00A62CB8">
            <w:pPr>
              <w:rPr>
                <w:rFonts w:asciiTheme="minorHAnsi" w:hAnsiTheme="minorHAnsi" w:cstheme="minorHAnsi"/>
                <w:b/>
                <w:bCs/>
                <w:color w:val="FFFFFF"/>
                <w:sz w:val="22"/>
                <w:szCs w:val="22"/>
              </w:rPr>
            </w:pPr>
            <w:r w:rsidRPr="0067297E">
              <w:rPr>
                <w:rFonts w:asciiTheme="minorHAnsi" w:hAnsiTheme="minorHAnsi" w:cstheme="minorHAnsi"/>
                <w:b/>
                <w:bCs/>
                <w:color w:val="FFFFFF"/>
                <w:sz w:val="22"/>
                <w:szCs w:val="22"/>
              </w:rPr>
              <w:t>Ward</w:t>
            </w:r>
          </w:p>
        </w:tc>
        <w:tc>
          <w:tcPr>
            <w:tcW w:w="926" w:type="pct"/>
            <w:shd w:val="clear" w:color="auto" w:fill="009999"/>
            <w:vAlign w:val="center"/>
          </w:tcPr>
          <w:p w14:paraId="677D0392" w14:textId="77777777" w:rsidR="00C4521E" w:rsidRPr="0067297E" w:rsidRDefault="00C4521E" w:rsidP="00A62CB8">
            <w:pPr>
              <w:jc w:val="center"/>
              <w:rPr>
                <w:rFonts w:asciiTheme="minorHAnsi" w:hAnsiTheme="minorHAnsi" w:cstheme="minorHAnsi"/>
                <w:b/>
                <w:bCs/>
                <w:color w:val="FFFFFF"/>
                <w:sz w:val="22"/>
                <w:szCs w:val="22"/>
              </w:rPr>
            </w:pPr>
            <w:r w:rsidRPr="0067297E">
              <w:rPr>
                <w:rFonts w:asciiTheme="minorHAnsi" w:hAnsiTheme="minorHAnsi" w:cstheme="minorHAnsi"/>
                <w:b/>
                <w:bCs/>
                <w:color w:val="FFFFFF"/>
                <w:sz w:val="22"/>
                <w:szCs w:val="22"/>
              </w:rPr>
              <w:t>Apartments</w:t>
            </w:r>
          </w:p>
        </w:tc>
        <w:tc>
          <w:tcPr>
            <w:tcW w:w="756" w:type="pct"/>
            <w:shd w:val="clear" w:color="auto" w:fill="009999"/>
            <w:noWrap/>
            <w:vAlign w:val="center"/>
          </w:tcPr>
          <w:p w14:paraId="41FEF698" w14:textId="77777777" w:rsidR="00C4521E" w:rsidRPr="0067297E" w:rsidRDefault="00C4521E" w:rsidP="00A62CB8">
            <w:pPr>
              <w:jc w:val="center"/>
              <w:rPr>
                <w:rFonts w:asciiTheme="minorHAnsi" w:hAnsiTheme="minorHAnsi" w:cstheme="minorHAnsi"/>
                <w:b/>
                <w:bCs/>
                <w:color w:val="FFFFFF"/>
                <w:sz w:val="22"/>
                <w:szCs w:val="22"/>
              </w:rPr>
            </w:pPr>
            <w:r w:rsidRPr="0067297E">
              <w:rPr>
                <w:rFonts w:asciiTheme="minorHAnsi" w:hAnsiTheme="minorHAnsi" w:cstheme="minorHAnsi"/>
                <w:b/>
                <w:bCs/>
                <w:color w:val="FFFFFF"/>
                <w:sz w:val="22"/>
                <w:szCs w:val="22"/>
              </w:rPr>
              <w:t>Houses</w:t>
            </w:r>
          </w:p>
        </w:tc>
      </w:tr>
      <w:tr w:rsidR="00C4521E" w:rsidRPr="0067297E" w14:paraId="6255F85A" w14:textId="77777777" w:rsidTr="00C4521E">
        <w:tc>
          <w:tcPr>
            <w:tcW w:w="3318" w:type="pct"/>
            <w:noWrap/>
            <w:vAlign w:val="bottom"/>
          </w:tcPr>
          <w:p w14:paraId="568021F5" w14:textId="77777777" w:rsidR="00C4521E" w:rsidRPr="0067297E" w:rsidRDefault="00C4521E" w:rsidP="00A62CB8">
            <w:pPr>
              <w:rPr>
                <w:rFonts w:asciiTheme="minorHAnsi" w:hAnsiTheme="minorHAnsi" w:cstheme="minorHAnsi"/>
                <w:color w:val="000000"/>
                <w:sz w:val="22"/>
                <w:szCs w:val="22"/>
                <w:lang w:eastAsia="en-GB"/>
              </w:rPr>
            </w:pPr>
            <w:bookmarkStart w:id="729" w:name="_Hlk518460836"/>
            <w:r w:rsidRPr="0067297E">
              <w:rPr>
                <w:rFonts w:asciiTheme="minorHAnsi" w:hAnsiTheme="minorHAnsi" w:cstheme="minorHAnsi"/>
                <w:color w:val="000000"/>
                <w:sz w:val="22"/>
                <w:szCs w:val="22"/>
              </w:rPr>
              <w:t>Bellingham</w:t>
            </w:r>
          </w:p>
        </w:tc>
        <w:tc>
          <w:tcPr>
            <w:tcW w:w="926" w:type="pct"/>
            <w:vAlign w:val="center"/>
          </w:tcPr>
          <w:p w14:paraId="0CA3A06E" w14:textId="77777777" w:rsidR="00C4521E" w:rsidRPr="0067297E" w:rsidRDefault="00C4521E" w:rsidP="00A62CB8">
            <w:pPr>
              <w:jc w:val="center"/>
              <w:rPr>
                <w:rFonts w:asciiTheme="minorHAnsi" w:hAnsiTheme="minorHAnsi" w:cstheme="minorHAnsi"/>
                <w:color w:val="000000"/>
                <w:sz w:val="22"/>
                <w:szCs w:val="22"/>
                <w:lang w:eastAsia="en-GB"/>
              </w:rPr>
            </w:pPr>
            <w:r w:rsidRPr="0067297E">
              <w:rPr>
                <w:rFonts w:asciiTheme="minorHAnsi" w:hAnsiTheme="minorHAnsi" w:cstheme="minorHAnsi"/>
                <w:color w:val="000000"/>
                <w:sz w:val="22"/>
                <w:szCs w:val="22"/>
              </w:rPr>
              <w:t>70.6</w:t>
            </w:r>
          </w:p>
        </w:tc>
        <w:tc>
          <w:tcPr>
            <w:tcW w:w="756" w:type="pct"/>
            <w:noWrap/>
            <w:vAlign w:val="bottom"/>
          </w:tcPr>
          <w:p w14:paraId="7C4E4910"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29.4</w:t>
            </w:r>
          </w:p>
        </w:tc>
      </w:tr>
      <w:tr w:rsidR="00C4521E" w:rsidRPr="0067297E" w14:paraId="5BA9D8D9" w14:textId="77777777" w:rsidTr="00C4521E">
        <w:tc>
          <w:tcPr>
            <w:tcW w:w="3318" w:type="pct"/>
            <w:noWrap/>
            <w:vAlign w:val="bottom"/>
          </w:tcPr>
          <w:p w14:paraId="1725732F"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Blackheath</w:t>
            </w:r>
          </w:p>
        </w:tc>
        <w:tc>
          <w:tcPr>
            <w:tcW w:w="926" w:type="pct"/>
            <w:vAlign w:val="center"/>
          </w:tcPr>
          <w:p w14:paraId="12C0876D"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85.9</w:t>
            </w:r>
          </w:p>
        </w:tc>
        <w:tc>
          <w:tcPr>
            <w:tcW w:w="756" w:type="pct"/>
            <w:noWrap/>
            <w:vAlign w:val="bottom"/>
          </w:tcPr>
          <w:p w14:paraId="7F1820A8"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14.1</w:t>
            </w:r>
          </w:p>
        </w:tc>
      </w:tr>
      <w:tr w:rsidR="00C4521E" w:rsidRPr="0067297E" w14:paraId="37030748" w14:textId="77777777" w:rsidTr="00C4521E">
        <w:tc>
          <w:tcPr>
            <w:tcW w:w="3318" w:type="pct"/>
            <w:noWrap/>
            <w:vAlign w:val="bottom"/>
          </w:tcPr>
          <w:p w14:paraId="1DF0D493"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Brockley</w:t>
            </w:r>
          </w:p>
        </w:tc>
        <w:tc>
          <w:tcPr>
            <w:tcW w:w="926" w:type="pct"/>
            <w:vAlign w:val="center"/>
          </w:tcPr>
          <w:p w14:paraId="3B17D9C7"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91.8</w:t>
            </w:r>
          </w:p>
        </w:tc>
        <w:tc>
          <w:tcPr>
            <w:tcW w:w="756" w:type="pct"/>
            <w:noWrap/>
            <w:vAlign w:val="bottom"/>
          </w:tcPr>
          <w:p w14:paraId="1D0A80FC"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8.2</w:t>
            </w:r>
          </w:p>
        </w:tc>
      </w:tr>
      <w:tr w:rsidR="00C4521E" w:rsidRPr="0067297E" w14:paraId="4D39F3AB" w14:textId="77777777" w:rsidTr="00C4521E">
        <w:tc>
          <w:tcPr>
            <w:tcW w:w="3318" w:type="pct"/>
            <w:noWrap/>
            <w:vAlign w:val="bottom"/>
          </w:tcPr>
          <w:p w14:paraId="0A3B36CB"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Catford South</w:t>
            </w:r>
          </w:p>
        </w:tc>
        <w:tc>
          <w:tcPr>
            <w:tcW w:w="926" w:type="pct"/>
            <w:vAlign w:val="center"/>
          </w:tcPr>
          <w:p w14:paraId="1CB1B0DC"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49.0</w:t>
            </w:r>
          </w:p>
        </w:tc>
        <w:tc>
          <w:tcPr>
            <w:tcW w:w="756" w:type="pct"/>
            <w:noWrap/>
            <w:vAlign w:val="bottom"/>
          </w:tcPr>
          <w:p w14:paraId="67DABAB7"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51.0</w:t>
            </w:r>
          </w:p>
        </w:tc>
      </w:tr>
      <w:tr w:rsidR="00C4521E" w:rsidRPr="0067297E" w14:paraId="4929F954" w14:textId="77777777" w:rsidTr="00C4521E">
        <w:tc>
          <w:tcPr>
            <w:tcW w:w="3318" w:type="pct"/>
            <w:noWrap/>
            <w:vAlign w:val="bottom"/>
          </w:tcPr>
          <w:p w14:paraId="4345C442"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Crofton Park</w:t>
            </w:r>
          </w:p>
        </w:tc>
        <w:tc>
          <w:tcPr>
            <w:tcW w:w="926" w:type="pct"/>
            <w:vAlign w:val="center"/>
          </w:tcPr>
          <w:p w14:paraId="6686E959"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76.4</w:t>
            </w:r>
          </w:p>
        </w:tc>
        <w:tc>
          <w:tcPr>
            <w:tcW w:w="756" w:type="pct"/>
            <w:noWrap/>
            <w:vAlign w:val="bottom"/>
          </w:tcPr>
          <w:p w14:paraId="60B2DF36"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23.6</w:t>
            </w:r>
          </w:p>
        </w:tc>
      </w:tr>
      <w:tr w:rsidR="00C4521E" w:rsidRPr="0067297E" w14:paraId="2CE6A447" w14:textId="77777777" w:rsidTr="00C4521E">
        <w:tc>
          <w:tcPr>
            <w:tcW w:w="3318" w:type="pct"/>
            <w:noWrap/>
            <w:vAlign w:val="bottom"/>
          </w:tcPr>
          <w:p w14:paraId="6A4ED5C4"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Downham</w:t>
            </w:r>
          </w:p>
        </w:tc>
        <w:tc>
          <w:tcPr>
            <w:tcW w:w="926" w:type="pct"/>
            <w:vAlign w:val="center"/>
          </w:tcPr>
          <w:p w14:paraId="6D6BC0A1"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23.4</w:t>
            </w:r>
          </w:p>
        </w:tc>
        <w:tc>
          <w:tcPr>
            <w:tcW w:w="756" w:type="pct"/>
            <w:noWrap/>
            <w:vAlign w:val="bottom"/>
          </w:tcPr>
          <w:p w14:paraId="59C9C710"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76.6</w:t>
            </w:r>
          </w:p>
        </w:tc>
      </w:tr>
      <w:tr w:rsidR="00C4521E" w:rsidRPr="0067297E" w14:paraId="35946A3C" w14:textId="77777777" w:rsidTr="00C4521E">
        <w:tc>
          <w:tcPr>
            <w:tcW w:w="3318" w:type="pct"/>
            <w:noWrap/>
            <w:vAlign w:val="bottom"/>
          </w:tcPr>
          <w:p w14:paraId="27390E1D"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Evelyn</w:t>
            </w:r>
          </w:p>
        </w:tc>
        <w:tc>
          <w:tcPr>
            <w:tcW w:w="926" w:type="pct"/>
            <w:vAlign w:val="center"/>
          </w:tcPr>
          <w:p w14:paraId="52DF2B9A"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83.7</w:t>
            </w:r>
          </w:p>
        </w:tc>
        <w:tc>
          <w:tcPr>
            <w:tcW w:w="756" w:type="pct"/>
            <w:noWrap/>
            <w:vAlign w:val="bottom"/>
          </w:tcPr>
          <w:p w14:paraId="56988E35"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16.3</w:t>
            </w:r>
          </w:p>
        </w:tc>
      </w:tr>
      <w:tr w:rsidR="00C4521E" w:rsidRPr="0067297E" w14:paraId="292EDE50" w14:textId="77777777" w:rsidTr="00C4521E">
        <w:tc>
          <w:tcPr>
            <w:tcW w:w="3318" w:type="pct"/>
            <w:noWrap/>
            <w:vAlign w:val="bottom"/>
          </w:tcPr>
          <w:p w14:paraId="19BC579E"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Forest Hill</w:t>
            </w:r>
          </w:p>
        </w:tc>
        <w:tc>
          <w:tcPr>
            <w:tcW w:w="926" w:type="pct"/>
            <w:vAlign w:val="center"/>
          </w:tcPr>
          <w:p w14:paraId="6979F760"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81.4</w:t>
            </w:r>
          </w:p>
        </w:tc>
        <w:tc>
          <w:tcPr>
            <w:tcW w:w="756" w:type="pct"/>
            <w:noWrap/>
            <w:vAlign w:val="bottom"/>
          </w:tcPr>
          <w:p w14:paraId="071419CF"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18.6</w:t>
            </w:r>
          </w:p>
        </w:tc>
      </w:tr>
      <w:tr w:rsidR="00C4521E" w:rsidRPr="0067297E" w14:paraId="17E597DB" w14:textId="77777777" w:rsidTr="00C4521E">
        <w:tc>
          <w:tcPr>
            <w:tcW w:w="3318" w:type="pct"/>
            <w:noWrap/>
            <w:vAlign w:val="bottom"/>
          </w:tcPr>
          <w:p w14:paraId="06135AD0"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Grove Park</w:t>
            </w:r>
          </w:p>
        </w:tc>
        <w:tc>
          <w:tcPr>
            <w:tcW w:w="926" w:type="pct"/>
            <w:vAlign w:val="center"/>
          </w:tcPr>
          <w:p w14:paraId="2F8F966F"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49.4</w:t>
            </w:r>
          </w:p>
        </w:tc>
        <w:tc>
          <w:tcPr>
            <w:tcW w:w="756" w:type="pct"/>
            <w:noWrap/>
            <w:vAlign w:val="bottom"/>
          </w:tcPr>
          <w:p w14:paraId="328AF4FF"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50.6</w:t>
            </w:r>
          </w:p>
        </w:tc>
      </w:tr>
      <w:tr w:rsidR="00C4521E" w:rsidRPr="0067297E" w14:paraId="66B85D57" w14:textId="77777777" w:rsidTr="00C4521E">
        <w:tc>
          <w:tcPr>
            <w:tcW w:w="3318" w:type="pct"/>
            <w:noWrap/>
            <w:vAlign w:val="bottom"/>
          </w:tcPr>
          <w:p w14:paraId="5DFF6F65"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Ladywell</w:t>
            </w:r>
          </w:p>
        </w:tc>
        <w:tc>
          <w:tcPr>
            <w:tcW w:w="926" w:type="pct"/>
            <w:vAlign w:val="center"/>
          </w:tcPr>
          <w:p w14:paraId="2B61506E"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64.3</w:t>
            </w:r>
          </w:p>
        </w:tc>
        <w:tc>
          <w:tcPr>
            <w:tcW w:w="756" w:type="pct"/>
            <w:noWrap/>
            <w:vAlign w:val="bottom"/>
          </w:tcPr>
          <w:p w14:paraId="4F576487"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35.7</w:t>
            </w:r>
          </w:p>
        </w:tc>
      </w:tr>
      <w:tr w:rsidR="00C4521E" w:rsidRPr="0067297E" w14:paraId="6F934E87" w14:textId="77777777" w:rsidTr="00C4521E">
        <w:tc>
          <w:tcPr>
            <w:tcW w:w="3318" w:type="pct"/>
            <w:noWrap/>
            <w:vAlign w:val="bottom"/>
          </w:tcPr>
          <w:p w14:paraId="49E1CBB0"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color w:val="000000"/>
                <w:sz w:val="22"/>
                <w:szCs w:val="22"/>
              </w:rPr>
              <w:t>Lee Green</w:t>
            </w:r>
          </w:p>
        </w:tc>
        <w:tc>
          <w:tcPr>
            <w:tcW w:w="926" w:type="pct"/>
            <w:vAlign w:val="center"/>
          </w:tcPr>
          <w:p w14:paraId="76500D27"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68.9</w:t>
            </w:r>
          </w:p>
        </w:tc>
        <w:tc>
          <w:tcPr>
            <w:tcW w:w="756" w:type="pct"/>
            <w:noWrap/>
            <w:vAlign w:val="bottom"/>
          </w:tcPr>
          <w:p w14:paraId="781598C9" w14:textId="77777777" w:rsidR="00C4521E" w:rsidRPr="0067297E" w:rsidRDefault="00C4521E" w:rsidP="00A62CB8">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31.1</w:t>
            </w:r>
          </w:p>
        </w:tc>
      </w:tr>
      <w:tr w:rsidR="00C4521E" w:rsidRPr="0067297E" w14:paraId="4C07A210" w14:textId="77777777" w:rsidTr="00C4521E">
        <w:tc>
          <w:tcPr>
            <w:tcW w:w="3318" w:type="pct"/>
            <w:noWrap/>
            <w:vAlign w:val="bottom"/>
          </w:tcPr>
          <w:p w14:paraId="01388676" w14:textId="77777777" w:rsidR="00C4521E" w:rsidRPr="0067297E" w:rsidRDefault="00C4521E" w:rsidP="00A62CB8">
            <w:pPr>
              <w:rPr>
                <w:rFonts w:asciiTheme="minorHAnsi" w:hAnsiTheme="minorHAnsi" w:cstheme="minorHAnsi"/>
                <w:b/>
                <w:color w:val="000000"/>
                <w:sz w:val="22"/>
                <w:szCs w:val="22"/>
              </w:rPr>
            </w:pPr>
            <w:r w:rsidRPr="0067297E">
              <w:rPr>
                <w:rFonts w:asciiTheme="minorHAnsi" w:hAnsiTheme="minorHAnsi" w:cstheme="minorHAnsi"/>
                <w:color w:val="000000"/>
                <w:sz w:val="22"/>
                <w:szCs w:val="22"/>
              </w:rPr>
              <w:t>Lewisham Central</w:t>
            </w:r>
          </w:p>
        </w:tc>
        <w:tc>
          <w:tcPr>
            <w:tcW w:w="926" w:type="pct"/>
            <w:vAlign w:val="center"/>
          </w:tcPr>
          <w:p w14:paraId="708B0241"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90.2</w:t>
            </w:r>
          </w:p>
        </w:tc>
        <w:tc>
          <w:tcPr>
            <w:tcW w:w="756" w:type="pct"/>
            <w:noWrap/>
            <w:vAlign w:val="bottom"/>
          </w:tcPr>
          <w:p w14:paraId="1FE269F5"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9.8</w:t>
            </w:r>
          </w:p>
        </w:tc>
      </w:tr>
      <w:tr w:rsidR="00C4521E" w:rsidRPr="0067297E" w14:paraId="5DEB92A0" w14:textId="77777777" w:rsidTr="00C4521E">
        <w:tc>
          <w:tcPr>
            <w:tcW w:w="3318" w:type="pct"/>
            <w:noWrap/>
            <w:vAlign w:val="bottom"/>
          </w:tcPr>
          <w:p w14:paraId="5BE11348" w14:textId="77777777" w:rsidR="00C4521E" w:rsidRPr="0067297E" w:rsidRDefault="00C4521E" w:rsidP="00A62CB8">
            <w:pPr>
              <w:rPr>
                <w:rFonts w:asciiTheme="minorHAnsi" w:hAnsiTheme="minorHAnsi" w:cstheme="minorHAnsi"/>
                <w:b/>
                <w:color w:val="000000"/>
                <w:sz w:val="22"/>
                <w:szCs w:val="22"/>
              </w:rPr>
            </w:pPr>
            <w:r w:rsidRPr="0067297E">
              <w:rPr>
                <w:rFonts w:asciiTheme="minorHAnsi" w:hAnsiTheme="minorHAnsi" w:cstheme="minorHAnsi"/>
                <w:color w:val="000000"/>
                <w:sz w:val="22"/>
                <w:szCs w:val="22"/>
              </w:rPr>
              <w:t>New Cross</w:t>
            </w:r>
          </w:p>
        </w:tc>
        <w:tc>
          <w:tcPr>
            <w:tcW w:w="926" w:type="pct"/>
            <w:vAlign w:val="center"/>
          </w:tcPr>
          <w:p w14:paraId="64AD9855"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90.4</w:t>
            </w:r>
          </w:p>
        </w:tc>
        <w:tc>
          <w:tcPr>
            <w:tcW w:w="756" w:type="pct"/>
            <w:noWrap/>
            <w:vAlign w:val="bottom"/>
          </w:tcPr>
          <w:p w14:paraId="72B9D349"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9.6</w:t>
            </w:r>
          </w:p>
        </w:tc>
      </w:tr>
      <w:tr w:rsidR="00C4521E" w:rsidRPr="0067297E" w14:paraId="03E9B6D9" w14:textId="77777777" w:rsidTr="00C4521E">
        <w:tc>
          <w:tcPr>
            <w:tcW w:w="3318" w:type="pct"/>
            <w:noWrap/>
            <w:vAlign w:val="bottom"/>
          </w:tcPr>
          <w:p w14:paraId="3164EEC0" w14:textId="77777777" w:rsidR="00C4521E" w:rsidRPr="0067297E" w:rsidRDefault="00C4521E" w:rsidP="00A62CB8">
            <w:pPr>
              <w:rPr>
                <w:rFonts w:asciiTheme="minorHAnsi" w:hAnsiTheme="minorHAnsi" w:cstheme="minorHAnsi"/>
                <w:b/>
                <w:color w:val="000000"/>
                <w:sz w:val="22"/>
                <w:szCs w:val="22"/>
              </w:rPr>
            </w:pPr>
            <w:r w:rsidRPr="0067297E">
              <w:rPr>
                <w:rFonts w:asciiTheme="minorHAnsi" w:hAnsiTheme="minorHAnsi" w:cstheme="minorHAnsi"/>
                <w:color w:val="000000"/>
                <w:sz w:val="22"/>
                <w:szCs w:val="22"/>
              </w:rPr>
              <w:t>Perry Vale</w:t>
            </w:r>
          </w:p>
        </w:tc>
        <w:tc>
          <w:tcPr>
            <w:tcW w:w="926" w:type="pct"/>
            <w:vAlign w:val="center"/>
          </w:tcPr>
          <w:p w14:paraId="08280170"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74.2</w:t>
            </w:r>
          </w:p>
        </w:tc>
        <w:tc>
          <w:tcPr>
            <w:tcW w:w="756" w:type="pct"/>
            <w:noWrap/>
            <w:vAlign w:val="bottom"/>
          </w:tcPr>
          <w:p w14:paraId="01CBD652"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25.8</w:t>
            </w:r>
          </w:p>
        </w:tc>
      </w:tr>
      <w:tr w:rsidR="00C4521E" w:rsidRPr="0067297E" w14:paraId="709405B0" w14:textId="77777777" w:rsidTr="00C4521E">
        <w:tc>
          <w:tcPr>
            <w:tcW w:w="3318" w:type="pct"/>
            <w:noWrap/>
            <w:vAlign w:val="bottom"/>
          </w:tcPr>
          <w:p w14:paraId="38185902" w14:textId="77777777" w:rsidR="00C4521E" w:rsidRPr="0067297E" w:rsidRDefault="00C4521E" w:rsidP="00A62CB8">
            <w:pPr>
              <w:rPr>
                <w:rFonts w:asciiTheme="minorHAnsi" w:hAnsiTheme="minorHAnsi" w:cstheme="minorHAnsi"/>
                <w:b/>
                <w:color w:val="000000"/>
                <w:sz w:val="22"/>
                <w:szCs w:val="22"/>
              </w:rPr>
            </w:pPr>
            <w:r w:rsidRPr="0067297E">
              <w:rPr>
                <w:rFonts w:asciiTheme="minorHAnsi" w:hAnsiTheme="minorHAnsi" w:cstheme="minorHAnsi"/>
                <w:color w:val="000000"/>
                <w:sz w:val="22"/>
                <w:szCs w:val="22"/>
              </w:rPr>
              <w:t>Rushey Green</w:t>
            </w:r>
          </w:p>
        </w:tc>
        <w:tc>
          <w:tcPr>
            <w:tcW w:w="926" w:type="pct"/>
            <w:vAlign w:val="center"/>
          </w:tcPr>
          <w:p w14:paraId="191B78B6"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80.8</w:t>
            </w:r>
          </w:p>
        </w:tc>
        <w:tc>
          <w:tcPr>
            <w:tcW w:w="756" w:type="pct"/>
            <w:noWrap/>
            <w:vAlign w:val="bottom"/>
          </w:tcPr>
          <w:p w14:paraId="4DF2A440"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19.2</w:t>
            </w:r>
          </w:p>
        </w:tc>
      </w:tr>
      <w:tr w:rsidR="00C4521E" w:rsidRPr="0067297E" w14:paraId="7F2F2613" w14:textId="77777777" w:rsidTr="00C4521E">
        <w:tc>
          <w:tcPr>
            <w:tcW w:w="3318" w:type="pct"/>
            <w:noWrap/>
            <w:vAlign w:val="bottom"/>
          </w:tcPr>
          <w:p w14:paraId="79AB13FD" w14:textId="77777777" w:rsidR="00C4521E" w:rsidRPr="0067297E" w:rsidRDefault="00C4521E" w:rsidP="00A62CB8">
            <w:pPr>
              <w:rPr>
                <w:rFonts w:asciiTheme="minorHAnsi" w:hAnsiTheme="minorHAnsi" w:cstheme="minorHAnsi"/>
                <w:b/>
                <w:color w:val="000000"/>
                <w:sz w:val="22"/>
                <w:szCs w:val="22"/>
              </w:rPr>
            </w:pPr>
            <w:r w:rsidRPr="0067297E">
              <w:rPr>
                <w:rFonts w:asciiTheme="minorHAnsi" w:hAnsiTheme="minorHAnsi" w:cstheme="minorHAnsi"/>
                <w:color w:val="000000"/>
                <w:sz w:val="22"/>
                <w:szCs w:val="22"/>
              </w:rPr>
              <w:t>Sydenham</w:t>
            </w:r>
          </w:p>
        </w:tc>
        <w:tc>
          <w:tcPr>
            <w:tcW w:w="926" w:type="pct"/>
            <w:vAlign w:val="center"/>
          </w:tcPr>
          <w:p w14:paraId="332AD635"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79.7</w:t>
            </w:r>
          </w:p>
        </w:tc>
        <w:tc>
          <w:tcPr>
            <w:tcW w:w="756" w:type="pct"/>
            <w:noWrap/>
            <w:vAlign w:val="bottom"/>
          </w:tcPr>
          <w:p w14:paraId="0D688E7E"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20.3</w:t>
            </w:r>
          </w:p>
        </w:tc>
      </w:tr>
      <w:tr w:rsidR="00C4521E" w:rsidRPr="0067297E" w14:paraId="1D29BB61" w14:textId="77777777" w:rsidTr="00C4521E">
        <w:tc>
          <w:tcPr>
            <w:tcW w:w="3318" w:type="pct"/>
            <w:noWrap/>
            <w:vAlign w:val="bottom"/>
          </w:tcPr>
          <w:p w14:paraId="4ED4B0D8" w14:textId="77777777" w:rsidR="00C4521E" w:rsidRPr="0067297E" w:rsidRDefault="00C4521E" w:rsidP="00A62CB8">
            <w:pPr>
              <w:rPr>
                <w:rFonts w:asciiTheme="minorHAnsi" w:hAnsiTheme="minorHAnsi" w:cstheme="minorHAnsi"/>
                <w:b/>
                <w:color w:val="000000"/>
                <w:sz w:val="22"/>
                <w:szCs w:val="22"/>
              </w:rPr>
            </w:pPr>
            <w:r w:rsidRPr="0067297E">
              <w:rPr>
                <w:rFonts w:asciiTheme="minorHAnsi" w:hAnsiTheme="minorHAnsi" w:cstheme="minorHAnsi"/>
                <w:color w:val="000000"/>
                <w:sz w:val="22"/>
                <w:szCs w:val="22"/>
              </w:rPr>
              <w:t>Telegraph Hill</w:t>
            </w:r>
          </w:p>
        </w:tc>
        <w:tc>
          <w:tcPr>
            <w:tcW w:w="926" w:type="pct"/>
            <w:vAlign w:val="center"/>
          </w:tcPr>
          <w:p w14:paraId="509137BE"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51.0</w:t>
            </w:r>
          </w:p>
        </w:tc>
        <w:tc>
          <w:tcPr>
            <w:tcW w:w="756" w:type="pct"/>
            <w:noWrap/>
            <w:vAlign w:val="bottom"/>
          </w:tcPr>
          <w:p w14:paraId="6E1455BA"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49.0</w:t>
            </w:r>
          </w:p>
        </w:tc>
      </w:tr>
      <w:tr w:rsidR="00C4521E" w:rsidRPr="0067297E" w14:paraId="6DCA17FB" w14:textId="77777777" w:rsidTr="00C4521E">
        <w:tc>
          <w:tcPr>
            <w:tcW w:w="3318" w:type="pct"/>
            <w:noWrap/>
            <w:vAlign w:val="bottom"/>
          </w:tcPr>
          <w:p w14:paraId="650646FC" w14:textId="77777777" w:rsidR="00C4521E" w:rsidRPr="0067297E" w:rsidRDefault="00C4521E" w:rsidP="00A62CB8">
            <w:pPr>
              <w:rPr>
                <w:rFonts w:asciiTheme="minorHAnsi" w:hAnsiTheme="minorHAnsi" w:cstheme="minorHAnsi"/>
                <w:b/>
                <w:color w:val="000000"/>
                <w:sz w:val="22"/>
                <w:szCs w:val="22"/>
              </w:rPr>
            </w:pPr>
            <w:r w:rsidRPr="0067297E">
              <w:rPr>
                <w:rFonts w:asciiTheme="minorHAnsi" w:hAnsiTheme="minorHAnsi" w:cstheme="minorHAnsi"/>
                <w:color w:val="000000"/>
                <w:sz w:val="22"/>
                <w:szCs w:val="22"/>
              </w:rPr>
              <w:t>Whitefoot</w:t>
            </w:r>
          </w:p>
        </w:tc>
        <w:tc>
          <w:tcPr>
            <w:tcW w:w="926" w:type="pct"/>
            <w:vAlign w:val="center"/>
          </w:tcPr>
          <w:p w14:paraId="3CDE2E14"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70.6</w:t>
            </w:r>
          </w:p>
        </w:tc>
        <w:tc>
          <w:tcPr>
            <w:tcW w:w="756" w:type="pct"/>
            <w:noWrap/>
            <w:vAlign w:val="bottom"/>
          </w:tcPr>
          <w:p w14:paraId="329A8AC3"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29.4</w:t>
            </w:r>
          </w:p>
        </w:tc>
      </w:tr>
      <w:tr w:rsidR="00C4521E" w:rsidRPr="0067297E" w14:paraId="5E026630" w14:textId="77777777" w:rsidTr="00C4521E">
        <w:tc>
          <w:tcPr>
            <w:tcW w:w="3318" w:type="pct"/>
            <w:noWrap/>
            <w:vAlign w:val="bottom"/>
          </w:tcPr>
          <w:p w14:paraId="7D06DA69" w14:textId="77777777" w:rsidR="00C4521E" w:rsidRPr="0067297E" w:rsidRDefault="00C4521E" w:rsidP="00A62CB8">
            <w:pPr>
              <w:rPr>
                <w:rFonts w:asciiTheme="minorHAnsi" w:hAnsiTheme="minorHAnsi" w:cstheme="minorHAnsi"/>
                <w:color w:val="000000"/>
                <w:sz w:val="22"/>
                <w:szCs w:val="22"/>
              </w:rPr>
            </w:pPr>
            <w:r w:rsidRPr="0067297E">
              <w:rPr>
                <w:rFonts w:asciiTheme="minorHAnsi" w:hAnsiTheme="minorHAnsi" w:cstheme="minorHAnsi"/>
                <w:b/>
                <w:color w:val="000000"/>
                <w:sz w:val="22"/>
                <w:szCs w:val="22"/>
              </w:rPr>
              <w:t>Lewisham</w:t>
            </w:r>
          </w:p>
        </w:tc>
        <w:tc>
          <w:tcPr>
            <w:tcW w:w="926" w:type="pct"/>
            <w:vAlign w:val="center"/>
          </w:tcPr>
          <w:p w14:paraId="0AF5F372"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77.0</w:t>
            </w:r>
          </w:p>
        </w:tc>
        <w:tc>
          <w:tcPr>
            <w:tcW w:w="756" w:type="pct"/>
            <w:noWrap/>
            <w:vAlign w:val="bottom"/>
          </w:tcPr>
          <w:p w14:paraId="1889154A" w14:textId="77777777" w:rsidR="00C4521E" w:rsidRPr="0067297E" w:rsidRDefault="00C4521E" w:rsidP="00A62CB8">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23.0</w:t>
            </w:r>
          </w:p>
        </w:tc>
      </w:tr>
    </w:tbl>
    <w:bookmarkEnd w:id="729"/>
    <w:p w14:paraId="1D172305" w14:textId="77777777" w:rsidR="00C4521E" w:rsidRPr="0067297E" w:rsidRDefault="00C4521E" w:rsidP="00543A76">
      <w:pPr>
        <w:rPr>
          <w:rFonts w:asciiTheme="minorHAnsi" w:hAnsiTheme="minorHAnsi"/>
          <w:sz w:val="20"/>
          <w:szCs w:val="20"/>
        </w:rPr>
      </w:pPr>
      <w:r w:rsidRPr="0067297E">
        <w:rPr>
          <w:rFonts w:asciiTheme="minorHAnsi" w:hAnsiTheme="minorHAnsi"/>
          <w:sz w:val="20"/>
          <w:szCs w:val="20"/>
        </w:rPr>
        <w:t>Source: Zoopla</w:t>
      </w:r>
    </w:p>
    <w:p w14:paraId="77CECBBC" w14:textId="77777777" w:rsidR="0002512B" w:rsidRPr="0067297E" w:rsidRDefault="0002512B">
      <w:pPr>
        <w:rPr>
          <w:rFonts w:asciiTheme="minorHAnsi" w:hAnsiTheme="minorHAnsi"/>
          <w:lang w:val="x-none"/>
        </w:rPr>
      </w:pPr>
      <w:r w:rsidRPr="0067297E">
        <w:rPr>
          <w:rFonts w:asciiTheme="minorHAnsi" w:hAnsiTheme="minorHAnsi"/>
        </w:rPr>
        <w:br w:type="page"/>
      </w:r>
    </w:p>
    <w:p w14:paraId="1BA739A8" w14:textId="021EEF4B"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Map 4.1 illustrates the percentage share in each ward that focuses on apartments. </w:t>
      </w:r>
    </w:p>
    <w:p w14:paraId="795B9667" w14:textId="77777777" w:rsidR="00C4521E" w:rsidRPr="0067297E" w:rsidRDefault="00C4521E" w:rsidP="00FA273F">
      <w:pPr>
        <w:pStyle w:val="Reporttext"/>
        <w:numPr>
          <w:ilvl w:val="0"/>
          <w:numId w:val="0"/>
        </w:numPr>
        <w:ind w:left="709"/>
        <w:rPr>
          <w:rFonts w:asciiTheme="minorHAnsi" w:hAnsiTheme="minorHAnsi"/>
        </w:rPr>
      </w:pPr>
    </w:p>
    <w:p w14:paraId="49A5EC59" w14:textId="77777777" w:rsidR="00C4521E" w:rsidRPr="0067297E" w:rsidRDefault="00C4521E" w:rsidP="00A62CB8">
      <w:pPr>
        <w:pStyle w:val="mapheading"/>
        <w:rPr>
          <w:rFonts w:asciiTheme="minorHAnsi" w:hAnsiTheme="minorHAnsi"/>
        </w:rPr>
      </w:pPr>
      <w:bookmarkStart w:id="730" w:name="_Toc23151249"/>
      <w:r w:rsidRPr="0067297E">
        <w:rPr>
          <w:rFonts w:asciiTheme="minorHAnsi" w:hAnsiTheme="minorHAnsi"/>
        </w:rPr>
        <w:t>Map 4.1</w:t>
      </w:r>
      <w:r w:rsidRPr="0067297E">
        <w:rPr>
          <w:rFonts w:asciiTheme="minorHAnsi" w:hAnsiTheme="minorHAnsi"/>
        </w:rPr>
        <w:tab/>
        <w:t>Percentage of apartments in each Ward 2017</w:t>
      </w:r>
      <w:bookmarkEnd w:id="730"/>
    </w:p>
    <w:p w14:paraId="7D68E0C7" w14:textId="77777777" w:rsidR="00C4521E" w:rsidRPr="0067297E" w:rsidRDefault="00C4521E" w:rsidP="00543A76">
      <w:pPr>
        <w:rPr>
          <w:rFonts w:asciiTheme="minorHAnsi" w:hAnsiTheme="minorHAnsi"/>
        </w:rPr>
      </w:pPr>
      <w:r w:rsidRPr="0067297E">
        <w:rPr>
          <w:rFonts w:asciiTheme="minorHAnsi" w:hAnsiTheme="minorHAnsi"/>
          <w:noProof/>
          <w:lang w:eastAsia="en-GB"/>
        </w:rPr>
        <w:drawing>
          <wp:inline distT="0" distB="0" distL="0" distR="0" wp14:anchorId="149282D3" wp14:editId="2ED46482">
            <wp:extent cx="5349600" cy="6094800"/>
            <wp:effectExtent l="0" t="0" r="0" b="0"/>
            <wp:docPr id="12" name="Picture 12" descr="Map showing % of apartments across wards in Lewisham (labeled). " title="Map 4.1 Percentage of apartments in each War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wisham_d.png"/>
                    <pic:cNvPicPr/>
                  </pic:nvPicPr>
                  <pic:blipFill rotWithShape="1">
                    <a:blip r:embed="rId110">
                      <a:extLst>
                        <a:ext uri="{28A0092B-C50C-407E-A947-70E740481C1C}">
                          <a14:useLocalDpi xmlns:a14="http://schemas.microsoft.com/office/drawing/2010/main" val="0"/>
                        </a:ext>
                      </a:extLst>
                    </a:blip>
                    <a:srcRect l="11301" t="14445" r="8930" b="21318"/>
                    <a:stretch/>
                  </pic:blipFill>
                  <pic:spPr bwMode="auto">
                    <a:xfrm>
                      <a:off x="0" y="0"/>
                      <a:ext cx="5349600" cy="6094800"/>
                    </a:xfrm>
                    <a:prstGeom prst="rect">
                      <a:avLst/>
                    </a:prstGeom>
                    <a:ln>
                      <a:noFill/>
                    </a:ln>
                    <a:extLst>
                      <a:ext uri="{53640926-AAD7-44D8-BBD7-CCE9431645EC}">
                        <a14:shadowObscured xmlns:a14="http://schemas.microsoft.com/office/drawing/2010/main"/>
                      </a:ext>
                    </a:extLst>
                  </pic:spPr>
                </pic:pic>
              </a:graphicData>
            </a:graphic>
          </wp:inline>
        </w:drawing>
      </w:r>
    </w:p>
    <w:p w14:paraId="3B843950"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Table 4.3 illustrates the total number of properties recorded as coming onto the market by property size in Lewisham for the three years 2015-2017 and expresses these figures as a percentage for each year. The market is dominated by 1 and 2 bed properties with consistently low percentage of properties in smaller or larger categories.</w:t>
      </w:r>
    </w:p>
    <w:p w14:paraId="5A979830"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Whilst, the one bed properties will accommodate those who are affected by welfare reforms and seeking smaller properties, the lack of larger homes will have an impact on families and also on the ability for households to share property and share the rent; a growing trend to tackle affordability. Only 18.2% of properties have been 3+-beds in the past 3 years, the remainder being smaller properties. </w:t>
      </w:r>
    </w:p>
    <w:p w14:paraId="628FC650" w14:textId="77777777" w:rsidR="00C4521E" w:rsidRPr="0067297E" w:rsidRDefault="00C4521E" w:rsidP="00543A76">
      <w:pPr>
        <w:rPr>
          <w:rFonts w:asciiTheme="minorHAnsi" w:hAnsiTheme="minorHAnsi"/>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0A0" w:firstRow="1" w:lastRow="0" w:firstColumn="1" w:lastColumn="0" w:noHBand="0" w:noVBand="0"/>
      </w:tblPr>
      <w:tblGrid>
        <w:gridCol w:w="1203"/>
        <w:gridCol w:w="724"/>
        <w:gridCol w:w="775"/>
        <w:gridCol w:w="729"/>
        <w:gridCol w:w="1039"/>
        <w:gridCol w:w="1133"/>
        <w:gridCol w:w="872"/>
        <w:gridCol w:w="937"/>
        <w:gridCol w:w="878"/>
        <w:gridCol w:w="892"/>
      </w:tblGrid>
      <w:tr w:rsidR="00C4521E" w:rsidRPr="0067297E" w14:paraId="66C16FCD" w14:textId="77777777" w:rsidTr="00FD050C">
        <w:trPr>
          <w:tblHeader/>
        </w:trPr>
        <w:tc>
          <w:tcPr>
            <w:tcW w:w="5000" w:type="pct"/>
            <w:gridSpan w:val="10"/>
            <w:shd w:val="clear" w:color="auto" w:fill="009999"/>
            <w:noWrap/>
            <w:vAlign w:val="bottom"/>
          </w:tcPr>
          <w:p w14:paraId="40B7D05E" w14:textId="77777777" w:rsidR="00C4521E" w:rsidRPr="0067297E" w:rsidRDefault="00C4521E" w:rsidP="001B5150">
            <w:pPr>
              <w:pStyle w:val="tableheading"/>
              <w:rPr>
                <w:rFonts w:asciiTheme="minorHAnsi" w:hAnsiTheme="minorHAnsi"/>
              </w:rPr>
            </w:pPr>
            <w:bookmarkStart w:id="731" w:name="_Toc400488712"/>
            <w:bookmarkStart w:id="732" w:name="_Toc23151212"/>
            <w:r w:rsidRPr="0067297E">
              <w:rPr>
                <w:rFonts w:asciiTheme="minorHAnsi" w:hAnsiTheme="minorHAnsi"/>
              </w:rPr>
              <w:t>Table 4.3</w:t>
            </w:r>
            <w:r w:rsidRPr="0067297E">
              <w:rPr>
                <w:rFonts w:asciiTheme="minorHAnsi" w:hAnsiTheme="minorHAnsi"/>
              </w:rPr>
              <w:tab/>
              <w:t>No of properties coming to market by property size 2015-201</w:t>
            </w:r>
            <w:bookmarkEnd w:id="731"/>
            <w:r w:rsidRPr="0067297E">
              <w:rPr>
                <w:rFonts w:asciiTheme="minorHAnsi" w:hAnsiTheme="minorHAnsi"/>
              </w:rPr>
              <w:t>7</w:t>
            </w:r>
            <w:bookmarkEnd w:id="732"/>
          </w:p>
        </w:tc>
      </w:tr>
      <w:tr w:rsidR="00C4521E" w:rsidRPr="0067297E" w14:paraId="498796AD" w14:textId="77777777" w:rsidTr="00C4521E">
        <w:tc>
          <w:tcPr>
            <w:tcW w:w="655" w:type="pct"/>
            <w:shd w:val="clear" w:color="auto" w:fill="009999"/>
            <w:noWrap/>
            <w:vAlign w:val="bottom"/>
          </w:tcPr>
          <w:p w14:paraId="25EAFA85" w14:textId="77777777" w:rsidR="00C4521E" w:rsidRPr="0067297E" w:rsidRDefault="00C4521E" w:rsidP="00FA273F">
            <w:pPr>
              <w:rPr>
                <w:rFonts w:asciiTheme="minorHAnsi" w:hAnsiTheme="minorHAnsi" w:cs="Calibri"/>
                <w:b/>
                <w:bCs/>
                <w:color w:val="FFFFFF"/>
                <w:sz w:val="22"/>
                <w:szCs w:val="22"/>
                <w:lang w:eastAsia="en-GB"/>
              </w:rPr>
            </w:pPr>
            <w:bookmarkStart w:id="733" w:name="_Hlk477796837"/>
            <w:r w:rsidRPr="0067297E">
              <w:rPr>
                <w:rFonts w:asciiTheme="minorHAnsi" w:hAnsiTheme="minorHAnsi" w:cs="Calibri"/>
                <w:b/>
                <w:bCs/>
                <w:color w:val="FFFFFF"/>
                <w:sz w:val="22"/>
                <w:szCs w:val="22"/>
                <w:lang w:eastAsia="en-GB"/>
              </w:rPr>
              <w:t>No of beds</w:t>
            </w:r>
          </w:p>
        </w:tc>
        <w:tc>
          <w:tcPr>
            <w:tcW w:w="394" w:type="pct"/>
            <w:shd w:val="clear" w:color="auto" w:fill="009999"/>
            <w:vAlign w:val="bottom"/>
          </w:tcPr>
          <w:p w14:paraId="42997B23"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2015 No</w:t>
            </w:r>
          </w:p>
        </w:tc>
        <w:tc>
          <w:tcPr>
            <w:tcW w:w="422" w:type="pct"/>
            <w:shd w:val="clear" w:color="auto" w:fill="009999"/>
            <w:vAlign w:val="bottom"/>
          </w:tcPr>
          <w:p w14:paraId="1515B7BF"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2016 No</w:t>
            </w:r>
          </w:p>
        </w:tc>
        <w:tc>
          <w:tcPr>
            <w:tcW w:w="397" w:type="pct"/>
            <w:shd w:val="clear" w:color="auto" w:fill="009999"/>
            <w:vAlign w:val="bottom"/>
          </w:tcPr>
          <w:p w14:paraId="7D36DF8B"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2017 No</w:t>
            </w:r>
          </w:p>
        </w:tc>
        <w:tc>
          <w:tcPr>
            <w:tcW w:w="566" w:type="pct"/>
            <w:shd w:val="clear" w:color="auto" w:fill="009999"/>
            <w:vAlign w:val="bottom"/>
          </w:tcPr>
          <w:p w14:paraId="3D2ACA70"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Total No 2015-17</w:t>
            </w:r>
          </w:p>
        </w:tc>
        <w:tc>
          <w:tcPr>
            <w:tcW w:w="617" w:type="pct"/>
            <w:shd w:val="clear" w:color="auto" w:fill="009999"/>
            <w:vAlign w:val="bottom"/>
          </w:tcPr>
          <w:p w14:paraId="2DA4F6BE" w14:textId="77777777" w:rsidR="00C4521E" w:rsidRPr="0067297E" w:rsidRDefault="00C4521E" w:rsidP="00FA273F">
            <w:pP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No of beds</w:t>
            </w:r>
          </w:p>
        </w:tc>
        <w:tc>
          <w:tcPr>
            <w:tcW w:w="475" w:type="pct"/>
            <w:shd w:val="clear" w:color="auto" w:fill="009999"/>
            <w:vAlign w:val="bottom"/>
          </w:tcPr>
          <w:p w14:paraId="2C9A9883"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2014</w:t>
            </w:r>
          </w:p>
          <w:p w14:paraId="41D9A9FD"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w:t>
            </w:r>
          </w:p>
        </w:tc>
        <w:tc>
          <w:tcPr>
            <w:tcW w:w="510" w:type="pct"/>
            <w:shd w:val="clear" w:color="auto" w:fill="009999"/>
            <w:vAlign w:val="bottom"/>
          </w:tcPr>
          <w:p w14:paraId="565B24ED"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2015</w:t>
            </w:r>
          </w:p>
          <w:p w14:paraId="01A48606"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w:t>
            </w:r>
          </w:p>
        </w:tc>
        <w:tc>
          <w:tcPr>
            <w:tcW w:w="478" w:type="pct"/>
            <w:shd w:val="clear" w:color="auto" w:fill="009999"/>
            <w:vAlign w:val="bottom"/>
          </w:tcPr>
          <w:p w14:paraId="1FB63334"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2016</w:t>
            </w:r>
          </w:p>
          <w:p w14:paraId="2BD70D03"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w:t>
            </w:r>
          </w:p>
        </w:tc>
        <w:tc>
          <w:tcPr>
            <w:tcW w:w="487" w:type="pct"/>
            <w:shd w:val="clear" w:color="auto" w:fill="009999"/>
            <w:tcMar>
              <w:left w:w="0" w:type="dxa"/>
              <w:right w:w="0" w:type="dxa"/>
            </w:tcMar>
            <w:vAlign w:val="bottom"/>
          </w:tcPr>
          <w:p w14:paraId="741AF721"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Total 2015-17</w:t>
            </w:r>
          </w:p>
        </w:tc>
      </w:tr>
      <w:tr w:rsidR="00C4521E" w:rsidRPr="0067297E" w14:paraId="6CF80D19" w14:textId="77777777" w:rsidTr="00C4521E">
        <w:tc>
          <w:tcPr>
            <w:tcW w:w="655" w:type="pct"/>
            <w:noWrap/>
            <w:vAlign w:val="center"/>
          </w:tcPr>
          <w:p w14:paraId="71AC3972" w14:textId="77777777" w:rsidR="00C4521E" w:rsidRPr="0067297E" w:rsidRDefault="00C4521E" w:rsidP="00FA273F">
            <w:pP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Bed sit</w:t>
            </w:r>
          </w:p>
        </w:tc>
        <w:tc>
          <w:tcPr>
            <w:tcW w:w="394" w:type="pct"/>
            <w:noWrap/>
            <w:vAlign w:val="center"/>
          </w:tcPr>
          <w:p w14:paraId="7724B901" w14:textId="77777777" w:rsidR="00C4521E" w:rsidRPr="0067297E" w:rsidRDefault="00C4521E" w:rsidP="00FA273F">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713</w:t>
            </w:r>
          </w:p>
        </w:tc>
        <w:tc>
          <w:tcPr>
            <w:tcW w:w="422" w:type="pct"/>
            <w:noWrap/>
            <w:vAlign w:val="center"/>
          </w:tcPr>
          <w:p w14:paraId="56DA5F76" w14:textId="77777777" w:rsidR="00C4521E" w:rsidRPr="0067297E" w:rsidRDefault="00C4521E" w:rsidP="00FA273F">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939</w:t>
            </w:r>
          </w:p>
        </w:tc>
        <w:tc>
          <w:tcPr>
            <w:tcW w:w="397" w:type="pct"/>
            <w:noWrap/>
            <w:vAlign w:val="center"/>
          </w:tcPr>
          <w:p w14:paraId="128D14B3" w14:textId="77777777" w:rsidR="00C4521E" w:rsidRPr="0067297E" w:rsidRDefault="00C4521E" w:rsidP="00FA273F">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803</w:t>
            </w:r>
          </w:p>
        </w:tc>
        <w:tc>
          <w:tcPr>
            <w:tcW w:w="566" w:type="pct"/>
            <w:noWrap/>
            <w:vAlign w:val="center"/>
          </w:tcPr>
          <w:p w14:paraId="495FE0E8" w14:textId="77777777" w:rsidR="00C4521E" w:rsidRPr="0067297E" w:rsidRDefault="00C4521E" w:rsidP="00FA273F">
            <w:pPr>
              <w:jc w:val="center"/>
              <w:rPr>
                <w:rFonts w:asciiTheme="minorHAnsi" w:hAnsiTheme="minorHAnsi" w:cs="Calibri"/>
                <w:sz w:val="22"/>
                <w:szCs w:val="22"/>
                <w:lang w:eastAsia="en-GB"/>
              </w:rPr>
            </w:pPr>
            <w:r w:rsidRPr="0067297E">
              <w:rPr>
                <w:rFonts w:asciiTheme="minorHAnsi" w:hAnsiTheme="minorHAnsi" w:cs="Calibri"/>
                <w:color w:val="000000"/>
                <w:sz w:val="22"/>
                <w:szCs w:val="22"/>
              </w:rPr>
              <w:t>2455</w:t>
            </w:r>
          </w:p>
        </w:tc>
        <w:tc>
          <w:tcPr>
            <w:tcW w:w="617" w:type="pct"/>
            <w:vAlign w:val="center"/>
          </w:tcPr>
          <w:p w14:paraId="7E4401DD" w14:textId="77777777" w:rsidR="00C4521E" w:rsidRPr="0067297E" w:rsidRDefault="00C4521E" w:rsidP="00FA273F">
            <w:pPr>
              <w:pStyle w:val="NoSpacing"/>
              <w:rPr>
                <w:rFonts w:asciiTheme="minorHAnsi" w:hAnsiTheme="minorHAnsi" w:cs="Calibri"/>
                <w:b/>
                <w:bCs/>
                <w:lang w:eastAsia="en-GB"/>
              </w:rPr>
            </w:pPr>
            <w:r w:rsidRPr="0067297E">
              <w:rPr>
                <w:rFonts w:asciiTheme="minorHAnsi" w:hAnsiTheme="minorHAnsi" w:cs="Calibri"/>
                <w:b/>
                <w:bCs/>
                <w:lang w:eastAsia="en-GB"/>
              </w:rPr>
              <w:t>Bed sit</w:t>
            </w:r>
          </w:p>
        </w:tc>
        <w:tc>
          <w:tcPr>
            <w:tcW w:w="475" w:type="pct"/>
            <w:vAlign w:val="bottom"/>
          </w:tcPr>
          <w:p w14:paraId="12087678" w14:textId="77777777" w:rsidR="00C4521E" w:rsidRPr="0067297E" w:rsidRDefault="00C4521E" w:rsidP="00FA273F">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8.6</w:t>
            </w:r>
          </w:p>
        </w:tc>
        <w:tc>
          <w:tcPr>
            <w:tcW w:w="510" w:type="pct"/>
            <w:vAlign w:val="bottom"/>
          </w:tcPr>
          <w:p w14:paraId="69B5A4BF" w14:textId="77777777" w:rsidR="00C4521E" w:rsidRPr="0067297E" w:rsidRDefault="00C4521E" w:rsidP="00FA273F">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7.9</w:t>
            </w:r>
          </w:p>
        </w:tc>
        <w:tc>
          <w:tcPr>
            <w:tcW w:w="478" w:type="pct"/>
            <w:vAlign w:val="bottom"/>
          </w:tcPr>
          <w:p w14:paraId="787E1457" w14:textId="77777777" w:rsidR="00C4521E" w:rsidRPr="0067297E" w:rsidRDefault="00C4521E" w:rsidP="00FA273F">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10.0</w:t>
            </w:r>
          </w:p>
        </w:tc>
        <w:tc>
          <w:tcPr>
            <w:tcW w:w="487" w:type="pct"/>
            <w:vAlign w:val="bottom"/>
          </w:tcPr>
          <w:p w14:paraId="17DF4F75" w14:textId="77777777" w:rsidR="00C4521E" w:rsidRPr="0067297E" w:rsidRDefault="00C4521E" w:rsidP="00FA273F">
            <w:pPr>
              <w:jc w:val="center"/>
              <w:rPr>
                <w:rFonts w:asciiTheme="minorHAnsi" w:hAnsiTheme="minorHAnsi" w:cs="Calibri"/>
                <w:sz w:val="22"/>
                <w:szCs w:val="22"/>
                <w:lang w:eastAsia="en-GB"/>
              </w:rPr>
            </w:pPr>
            <w:r w:rsidRPr="0067297E">
              <w:rPr>
                <w:rFonts w:asciiTheme="minorHAnsi" w:hAnsiTheme="minorHAnsi" w:cs="Calibri"/>
                <w:color w:val="000000"/>
                <w:sz w:val="22"/>
                <w:szCs w:val="22"/>
              </w:rPr>
              <w:t>8.7</w:t>
            </w:r>
          </w:p>
        </w:tc>
      </w:tr>
      <w:tr w:rsidR="00C4521E" w:rsidRPr="0067297E" w14:paraId="2EAA2FC4" w14:textId="77777777" w:rsidTr="00C4521E">
        <w:tc>
          <w:tcPr>
            <w:tcW w:w="655" w:type="pct"/>
            <w:noWrap/>
            <w:vAlign w:val="center"/>
          </w:tcPr>
          <w:p w14:paraId="031B70DF" w14:textId="77777777" w:rsidR="00C4521E" w:rsidRPr="0067297E" w:rsidRDefault="00C4521E" w:rsidP="00FA273F">
            <w:pP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1</w:t>
            </w:r>
          </w:p>
        </w:tc>
        <w:tc>
          <w:tcPr>
            <w:tcW w:w="394" w:type="pct"/>
            <w:noWrap/>
            <w:vAlign w:val="center"/>
          </w:tcPr>
          <w:p w14:paraId="4EC5C6F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2709</w:t>
            </w:r>
          </w:p>
        </w:tc>
        <w:tc>
          <w:tcPr>
            <w:tcW w:w="422" w:type="pct"/>
            <w:noWrap/>
            <w:vAlign w:val="center"/>
          </w:tcPr>
          <w:p w14:paraId="146FF00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4499</w:t>
            </w:r>
          </w:p>
        </w:tc>
        <w:tc>
          <w:tcPr>
            <w:tcW w:w="397" w:type="pct"/>
            <w:noWrap/>
            <w:vAlign w:val="center"/>
          </w:tcPr>
          <w:p w14:paraId="2557AFF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3021</w:t>
            </w:r>
          </w:p>
        </w:tc>
        <w:tc>
          <w:tcPr>
            <w:tcW w:w="566" w:type="pct"/>
            <w:noWrap/>
            <w:vAlign w:val="center"/>
          </w:tcPr>
          <w:p w14:paraId="30061010"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10229</w:t>
            </w:r>
          </w:p>
        </w:tc>
        <w:tc>
          <w:tcPr>
            <w:tcW w:w="617" w:type="pct"/>
            <w:vAlign w:val="center"/>
          </w:tcPr>
          <w:p w14:paraId="73A30948" w14:textId="77777777" w:rsidR="00C4521E" w:rsidRPr="0067297E" w:rsidRDefault="00C4521E" w:rsidP="00FA273F">
            <w:pPr>
              <w:pStyle w:val="NoSpacing"/>
              <w:rPr>
                <w:rFonts w:asciiTheme="minorHAnsi" w:hAnsiTheme="minorHAnsi" w:cs="Calibri"/>
                <w:b/>
                <w:bCs/>
                <w:lang w:eastAsia="en-GB"/>
              </w:rPr>
            </w:pPr>
            <w:r w:rsidRPr="0067297E">
              <w:rPr>
                <w:rFonts w:asciiTheme="minorHAnsi" w:hAnsiTheme="minorHAnsi" w:cs="Calibri"/>
                <w:b/>
                <w:bCs/>
                <w:lang w:eastAsia="en-GB"/>
              </w:rPr>
              <w:t>1</w:t>
            </w:r>
          </w:p>
        </w:tc>
        <w:tc>
          <w:tcPr>
            <w:tcW w:w="475" w:type="pct"/>
            <w:vAlign w:val="bottom"/>
          </w:tcPr>
          <w:p w14:paraId="50A7F65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32.8</w:t>
            </w:r>
          </w:p>
        </w:tc>
        <w:tc>
          <w:tcPr>
            <w:tcW w:w="510" w:type="pct"/>
            <w:vAlign w:val="bottom"/>
          </w:tcPr>
          <w:p w14:paraId="56A1F95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37.7</w:t>
            </w:r>
          </w:p>
        </w:tc>
        <w:tc>
          <w:tcPr>
            <w:tcW w:w="478" w:type="pct"/>
            <w:vAlign w:val="bottom"/>
          </w:tcPr>
          <w:p w14:paraId="1EE8408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37.6</w:t>
            </w:r>
          </w:p>
        </w:tc>
        <w:tc>
          <w:tcPr>
            <w:tcW w:w="487" w:type="pct"/>
            <w:vAlign w:val="bottom"/>
          </w:tcPr>
          <w:p w14:paraId="4EFF2E90"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36.2</w:t>
            </w:r>
          </w:p>
        </w:tc>
      </w:tr>
      <w:tr w:rsidR="00C4521E" w:rsidRPr="0067297E" w14:paraId="5A702AF6" w14:textId="77777777" w:rsidTr="00C4521E">
        <w:tc>
          <w:tcPr>
            <w:tcW w:w="655" w:type="pct"/>
            <w:noWrap/>
            <w:vAlign w:val="center"/>
          </w:tcPr>
          <w:p w14:paraId="51F749CB" w14:textId="77777777" w:rsidR="00C4521E" w:rsidRPr="0067297E" w:rsidRDefault="00C4521E" w:rsidP="00FA273F">
            <w:pP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2</w:t>
            </w:r>
          </w:p>
        </w:tc>
        <w:tc>
          <w:tcPr>
            <w:tcW w:w="394" w:type="pct"/>
            <w:noWrap/>
            <w:vAlign w:val="center"/>
          </w:tcPr>
          <w:p w14:paraId="16D6D78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3225</w:t>
            </w:r>
          </w:p>
        </w:tc>
        <w:tc>
          <w:tcPr>
            <w:tcW w:w="422" w:type="pct"/>
            <w:noWrap/>
            <w:vAlign w:val="center"/>
          </w:tcPr>
          <w:p w14:paraId="4B17F7C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4503</w:t>
            </w:r>
          </w:p>
        </w:tc>
        <w:tc>
          <w:tcPr>
            <w:tcW w:w="397" w:type="pct"/>
            <w:noWrap/>
            <w:vAlign w:val="center"/>
          </w:tcPr>
          <w:p w14:paraId="7189E9BB"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2679</w:t>
            </w:r>
          </w:p>
        </w:tc>
        <w:tc>
          <w:tcPr>
            <w:tcW w:w="566" w:type="pct"/>
            <w:noWrap/>
            <w:vAlign w:val="center"/>
          </w:tcPr>
          <w:p w14:paraId="52D8939C"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10407</w:t>
            </w:r>
          </w:p>
        </w:tc>
        <w:tc>
          <w:tcPr>
            <w:tcW w:w="617" w:type="pct"/>
            <w:vAlign w:val="center"/>
          </w:tcPr>
          <w:p w14:paraId="59A39812" w14:textId="77777777" w:rsidR="00C4521E" w:rsidRPr="0067297E" w:rsidRDefault="00C4521E" w:rsidP="00FA273F">
            <w:pPr>
              <w:pStyle w:val="NoSpacing"/>
              <w:rPr>
                <w:rFonts w:asciiTheme="minorHAnsi" w:hAnsiTheme="minorHAnsi" w:cs="Calibri"/>
                <w:b/>
                <w:bCs/>
                <w:lang w:eastAsia="en-GB"/>
              </w:rPr>
            </w:pPr>
            <w:r w:rsidRPr="0067297E">
              <w:rPr>
                <w:rFonts w:asciiTheme="minorHAnsi" w:hAnsiTheme="minorHAnsi" w:cs="Calibri"/>
                <w:b/>
                <w:bCs/>
                <w:lang w:eastAsia="en-GB"/>
              </w:rPr>
              <w:t>2</w:t>
            </w:r>
          </w:p>
        </w:tc>
        <w:tc>
          <w:tcPr>
            <w:tcW w:w="475" w:type="pct"/>
            <w:vAlign w:val="bottom"/>
          </w:tcPr>
          <w:p w14:paraId="740DC08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39.0</w:t>
            </w:r>
          </w:p>
        </w:tc>
        <w:tc>
          <w:tcPr>
            <w:tcW w:w="510" w:type="pct"/>
            <w:vAlign w:val="bottom"/>
          </w:tcPr>
          <w:p w14:paraId="4EA0F58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37.7</w:t>
            </w:r>
          </w:p>
        </w:tc>
        <w:tc>
          <w:tcPr>
            <w:tcW w:w="478" w:type="pct"/>
            <w:vAlign w:val="bottom"/>
          </w:tcPr>
          <w:p w14:paraId="0FF741B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33.3</w:t>
            </w:r>
          </w:p>
        </w:tc>
        <w:tc>
          <w:tcPr>
            <w:tcW w:w="487" w:type="pct"/>
            <w:vAlign w:val="bottom"/>
          </w:tcPr>
          <w:p w14:paraId="1B9FBF07"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36.9</w:t>
            </w:r>
          </w:p>
        </w:tc>
      </w:tr>
      <w:tr w:rsidR="00C4521E" w:rsidRPr="0067297E" w14:paraId="33F1F513" w14:textId="77777777" w:rsidTr="00C4521E">
        <w:tc>
          <w:tcPr>
            <w:tcW w:w="655" w:type="pct"/>
            <w:noWrap/>
            <w:vAlign w:val="center"/>
          </w:tcPr>
          <w:p w14:paraId="1C2CFAC8" w14:textId="77777777" w:rsidR="00C4521E" w:rsidRPr="0067297E" w:rsidRDefault="00C4521E" w:rsidP="00FA273F">
            <w:pP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3</w:t>
            </w:r>
          </w:p>
        </w:tc>
        <w:tc>
          <w:tcPr>
            <w:tcW w:w="394" w:type="pct"/>
            <w:noWrap/>
            <w:vAlign w:val="center"/>
          </w:tcPr>
          <w:p w14:paraId="049D953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1046</w:t>
            </w:r>
          </w:p>
        </w:tc>
        <w:tc>
          <w:tcPr>
            <w:tcW w:w="422" w:type="pct"/>
            <w:noWrap/>
            <w:vAlign w:val="center"/>
          </w:tcPr>
          <w:p w14:paraId="2C72083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397" w:type="pct"/>
            <w:noWrap/>
            <w:vAlign w:val="center"/>
          </w:tcPr>
          <w:p w14:paraId="2DB115E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1048</w:t>
            </w:r>
          </w:p>
        </w:tc>
        <w:tc>
          <w:tcPr>
            <w:tcW w:w="566" w:type="pct"/>
            <w:noWrap/>
            <w:vAlign w:val="center"/>
          </w:tcPr>
          <w:p w14:paraId="7DA1C0B6"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3394</w:t>
            </w:r>
          </w:p>
        </w:tc>
        <w:tc>
          <w:tcPr>
            <w:tcW w:w="617" w:type="pct"/>
            <w:vAlign w:val="center"/>
          </w:tcPr>
          <w:p w14:paraId="416B141B" w14:textId="77777777" w:rsidR="00C4521E" w:rsidRPr="0067297E" w:rsidRDefault="00C4521E" w:rsidP="00FA273F">
            <w:pPr>
              <w:pStyle w:val="NoSpacing"/>
              <w:rPr>
                <w:rFonts w:asciiTheme="minorHAnsi" w:hAnsiTheme="minorHAnsi" w:cs="Calibri"/>
                <w:b/>
                <w:bCs/>
                <w:lang w:eastAsia="en-GB"/>
              </w:rPr>
            </w:pPr>
            <w:r w:rsidRPr="0067297E">
              <w:rPr>
                <w:rFonts w:asciiTheme="minorHAnsi" w:hAnsiTheme="minorHAnsi" w:cs="Calibri"/>
                <w:b/>
                <w:bCs/>
                <w:lang w:eastAsia="en-GB"/>
              </w:rPr>
              <w:t>3</w:t>
            </w:r>
          </w:p>
        </w:tc>
        <w:tc>
          <w:tcPr>
            <w:tcW w:w="475" w:type="pct"/>
            <w:vAlign w:val="bottom"/>
          </w:tcPr>
          <w:p w14:paraId="43EF31B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12.7</w:t>
            </w:r>
          </w:p>
        </w:tc>
        <w:tc>
          <w:tcPr>
            <w:tcW w:w="510" w:type="pct"/>
            <w:vAlign w:val="bottom"/>
          </w:tcPr>
          <w:p w14:paraId="4A54090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10.9</w:t>
            </w:r>
          </w:p>
        </w:tc>
        <w:tc>
          <w:tcPr>
            <w:tcW w:w="478" w:type="pct"/>
            <w:vAlign w:val="bottom"/>
          </w:tcPr>
          <w:p w14:paraId="14EA7A6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w:t>
            </w:r>
          </w:p>
        </w:tc>
        <w:tc>
          <w:tcPr>
            <w:tcW w:w="487" w:type="pct"/>
            <w:vAlign w:val="bottom"/>
          </w:tcPr>
          <w:p w14:paraId="026691BF"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12.0</w:t>
            </w:r>
          </w:p>
        </w:tc>
      </w:tr>
      <w:tr w:rsidR="00C4521E" w:rsidRPr="0067297E" w14:paraId="62C641B8" w14:textId="77777777" w:rsidTr="00C4521E">
        <w:tc>
          <w:tcPr>
            <w:tcW w:w="655" w:type="pct"/>
            <w:noWrap/>
            <w:vAlign w:val="center"/>
          </w:tcPr>
          <w:p w14:paraId="6453A595" w14:textId="77777777" w:rsidR="00C4521E" w:rsidRPr="0067297E" w:rsidRDefault="00C4521E" w:rsidP="00FA273F">
            <w:pP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4+</w:t>
            </w:r>
          </w:p>
        </w:tc>
        <w:tc>
          <w:tcPr>
            <w:tcW w:w="394" w:type="pct"/>
            <w:noWrap/>
            <w:vAlign w:val="center"/>
          </w:tcPr>
          <w:p w14:paraId="7804212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566</w:t>
            </w:r>
          </w:p>
        </w:tc>
        <w:tc>
          <w:tcPr>
            <w:tcW w:w="422" w:type="pct"/>
            <w:noWrap/>
            <w:vAlign w:val="center"/>
          </w:tcPr>
          <w:p w14:paraId="51783E0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700</w:t>
            </w:r>
          </w:p>
        </w:tc>
        <w:tc>
          <w:tcPr>
            <w:tcW w:w="397" w:type="pct"/>
            <w:noWrap/>
            <w:vAlign w:val="center"/>
          </w:tcPr>
          <w:p w14:paraId="0CEFF48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487</w:t>
            </w:r>
          </w:p>
        </w:tc>
        <w:tc>
          <w:tcPr>
            <w:tcW w:w="566" w:type="pct"/>
            <w:noWrap/>
            <w:vAlign w:val="center"/>
          </w:tcPr>
          <w:p w14:paraId="6C838C31"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1753</w:t>
            </w:r>
          </w:p>
        </w:tc>
        <w:tc>
          <w:tcPr>
            <w:tcW w:w="617" w:type="pct"/>
            <w:vAlign w:val="center"/>
          </w:tcPr>
          <w:p w14:paraId="0DA62EC3" w14:textId="77777777" w:rsidR="00C4521E" w:rsidRPr="0067297E" w:rsidRDefault="00C4521E" w:rsidP="00FA273F">
            <w:pPr>
              <w:pStyle w:val="NoSpacing"/>
              <w:rPr>
                <w:rFonts w:asciiTheme="minorHAnsi" w:hAnsiTheme="minorHAnsi" w:cs="Calibri"/>
                <w:b/>
                <w:bCs/>
                <w:lang w:eastAsia="en-GB"/>
              </w:rPr>
            </w:pPr>
            <w:r w:rsidRPr="0067297E">
              <w:rPr>
                <w:rFonts w:asciiTheme="minorHAnsi" w:hAnsiTheme="minorHAnsi" w:cs="Calibri"/>
                <w:b/>
                <w:bCs/>
                <w:lang w:eastAsia="en-GB"/>
              </w:rPr>
              <w:t>4+</w:t>
            </w:r>
          </w:p>
        </w:tc>
        <w:tc>
          <w:tcPr>
            <w:tcW w:w="475" w:type="pct"/>
            <w:vAlign w:val="bottom"/>
          </w:tcPr>
          <w:p w14:paraId="3B5CA52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6.9</w:t>
            </w:r>
          </w:p>
        </w:tc>
        <w:tc>
          <w:tcPr>
            <w:tcW w:w="510" w:type="pct"/>
            <w:vAlign w:val="bottom"/>
          </w:tcPr>
          <w:p w14:paraId="6C390A2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5.9</w:t>
            </w:r>
          </w:p>
        </w:tc>
        <w:tc>
          <w:tcPr>
            <w:tcW w:w="478" w:type="pct"/>
            <w:vAlign w:val="bottom"/>
          </w:tcPr>
          <w:p w14:paraId="6348835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6.1</w:t>
            </w:r>
          </w:p>
        </w:tc>
        <w:tc>
          <w:tcPr>
            <w:tcW w:w="487" w:type="pct"/>
            <w:vAlign w:val="bottom"/>
          </w:tcPr>
          <w:p w14:paraId="6FE296F6"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6.2</w:t>
            </w:r>
          </w:p>
        </w:tc>
      </w:tr>
      <w:tr w:rsidR="00C4521E" w:rsidRPr="0067297E" w14:paraId="3F6DECE9" w14:textId="77777777" w:rsidTr="00C4521E">
        <w:tc>
          <w:tcPr>
            <w:tcW w:w="655" w:type="pct"/>
            <w:noWrap/>
            <w:vAlign w:val="center"/>
          </w:tcPr>
          <w:p w14:paraId="6AD40E7A" w14:textId="77777777" w:rsidR="00C4521E" w:rsidRPr="0067297E" w:rsidRDefault="00C4521E" w:rsidP="00FA273F">
            <w:pP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Lewisham</w:t>
            </w:r>
          </w:p>
        </w:tc>
        <w:tc>
          <w:tcPr>
            <w:tcW w:w="394" w:type="pct"/>
            <w:noWrap/>
            <w:vAlign w:val="bottom"/>
          </w:tcPr>
          <w:p w14:paraId="643C47F8"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8259</w:t>
            </w:r>
          </w:p>
        </w:tc>
        <w:tc>
          <w:tcPr>
            <w:tcW w:w="422" w:type="pct"/>
            <w:noWrap/>
            <w:vAlign w:val="bottom"/>
          </w:tcPr>
          <w:p w14:paraId="77A1D36D"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11941</w:t>
            </w:r>
          </w:p>
        </w:tc>
        <w:tc>
          <w:tcPr>
            <w:tcW w:w="397" w:type="pct"/>
            <w:noWrap/>
            <w:vAlign w:val="bottom"/>
          </w:tcPr>
          <w:p w14:paraId="1638F0BD"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8038</w:t>
            </w:r>
          </w:p>
        </w:tc>
        <w:tc>
          <w:tcPr>
            <w:tcW w:w="566" w:type="pct"/>
            <w:noWrap/>
            <w:vAlign w:val="bottom"/>
          </w:tcPr>
          <w:p w14:paraId="21784B1E"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28238</w:t>
            </w:r>
          </w:p>
        </w:tc>
        <w:tc>
          <w:tcPr>
            <w:tcW w:w="617" w:type="pct"/>
            <w:noWrap/>
            <w:vAlign w:val="center"/>
          </w:tcPr>
          <w:p w14:paraId="1EE68A2E" w14:textId="77777777" w:rsidR="00C4521E" w:rsidRPr="0067297E" w:rsidRDefault="00C4521E" w:rsidP="00FA273F">
            <w:pPr>
              <w:pStyle w:val="NoSpacing"/>
              <w:rPr>
                <w:rFonts w:asciiTheme="minorHAnsi" w:hAnsiTheme="minorHAnsi" w:cs="Calibri"/>
                <w:b/>
                <w:bCs/>
                <w:lang w:eastAsia="en-GB"/>
              </w:rPr>
            </w:pPr>
            <w:r w:rsidRPr="0067297E">
              <w:rPr>
                <w:rFonts w:asciiTheme="minorHAnsi" w:hAnsiTheme="minorHAnsi" w:cs="Calibri"/>
                <w:b/>
                <w:bCs/>
                <w:lang w:eastAsia="en-GB"/>
              </w:rPr>
              <w:t>Lewisham</w:t>
            </w:r>
          </w:p>
        </w:tc>
        <w:tc>
          <w:tcPr>
            <w:tcW w:w="475" w:type="pct"/>
            <w:vAlign w:val="center"/>
          </w:tcPr>
          <w:p w14:paraId="0D4FB6BE"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b/>
                <w:color w:val="000000"/>
                <w:sz w:val="22"/>
                <w:szCs w:val="22"/>
              </w:rPr>
              <w:t>100</w:t>
            </w:r>
          </w:p>
        </w:tc>
        <w:tc>
          <w:tcPr>
            <w:tcW w:w="510" w:type="pct"/>
            <w:vAlign w:val="center"/>
          </w:tcPr>
          <w:p w14:paraId="46225B0F"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b/>
                <w:color w:val="000000"/>
                <w:sz w:val="22"/>
                <w:szCs w:val="22"/>
              </w:rPr>
              <w:t>100</w:t>
            </w:r>
          </w:p>
        </w:tc>
        <w:tc>
          <w:tcPr>
            <w:tcW w:w="478" w:type="pct"/>
            <w:vAlign w:val="center"/>
          </w:tcPr>
          <w:p w14:paraId="2F0C2598"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b/>
                <w:color w:val="000000"/>
                <w:sz w:val="22"/>
                <w:szCs w:val="22"/>
              </w:rPr>
              <w:t>100</w:t>
            </w:r>
          </w:p>
        </w:tc>
        <w:tc>
          <w:tcPr>
            <w:tcW w:w="487" w:type="pct"/>
            <w:vAlign w:val="center"/>
          </w:tcPr>
          <w:p w14:paraId="000AF537"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b/>
                <w:sz w:val="22"/>
                <w:szCs w:val="22"/>
              </w:rPr>
              <w:t>100</w:t>
            </w:r>
          </w:p>
        </w:tc>
      </w:tr>
    </w:tbl>
    <w:bookmarkEnd w:id="733"/>
    <w:p w14:paraId="77268DBF" w14:textId="77777777" w:rsidR="00C4521E" w:rsidRPr="0067297E" w:rsidRDefault="00C4521E" w:rsidP="00543A76">
      <w:pPr>
        <w:rPr>
          <w:rFonts w:asciiTheme="minorHAnsi" w:hAnsiTheme="minorHAnsi"/>
          <w:sz w:val="20"/>
          <w:szCs w:val="20"/>
        </w:rPr>
      </w:pPr>
      <w:r w:rsidRPr="0067297E">
        <w:rPr>
          <w:rFonts w:asciiTheme="minorHAnsi" w:hAnsiTheme="minorHAnsi" w:cs="Arial"/>
          <w:sz w:val="20"/>
          <w:szCs w:val="22"/>
        </w:rPr>
        <w:t>So</w:t>
      </w:r>
      <w:r w:rsidRPr="0067297E">
        <w:rPr>
          <w:rFonts w:asciiTheme="minorHAnsi" w:hAnsiTheme="minorHAnsi"/>
          <w:sz w:val="20"/>
          <w:szCs w:val="20"/>
        </w:rPr>
        <w:t>urce: Zoopla</w:t>
      </w:r>
    </w:p>
    <w:p w14:paraId="1D18BD78" w14:textId="77777777" w:rsidR="00C4521E" w:rsidRPr="0067297E" w:rsidRDefault="00C4521E" w:rsidP="00543A76">
      <w:pPr>
        <w:rPr>
          <w:rFonts w:asciiTheme="minorHAnsi" w:hAnsiTheme="minorHAnsi"/>
        </w:rPr>
      </w:pPr>
    </w:p>
    <w:p w14:paraId="5929596B" w14:textId="1AAF6E27" w:rsidR="00C4521E" w:rsidRPr="0067297E" w:rsidRDefault="00C4521E" w:rsidP="0002512B">
      <w:pPr>
        <w:pStyle w:val="figureheading"/>
        <w:rPr>
          <w:rFonts w:asciiTheme="minorHAnsi" w:hAnsiTheme="minorHAnsi"/>
        </w:rPr>
      </w:pPr>
      <w:bookmarkStart w:id="734" w:name="_Toc23151235"/>
      <w:r w:rsidRPr="0067297E">
        <w:rPr>
          <w:rFonts w:asciiTheme="minorHAnsi" w:hAnsiTheme="minorHAnsi"/>
        </w:rPr>
        <w:t>Chart 4.1</w:t>
      </w:r>
      <w:r w:rsidRPr="0067297E">
        <w:rPr>
          <w:rFonts w:asciiTheme="minorHAnsi" w:hAnsiTheme="minorHAnsi"/>
        </w:rPr>
        <w:tab/>
        <w:t>The percentage of properties coming onto the market by bed</w:t>
      </w:r>
      <w:bookmarkStart w:id="735" w:name="_Toc400488726"/>
      <w:r w:rsidRPr="0067297E">
        <w:rPr>
          <w:rFonts w:asciiTheme="minorHAnsi" w:hAnsiTheme="minorHAnsi"/>
        </w:rPr>
        <w:t xml:space="preserve"> size 2015-201</w:t>
      </w:r>
      <w:bookmarkEnd w:id="735"/>
      <w:r w:rsidRPr="0067297E">
        <w:rPr>
          <w:rFonts w:asciiTheme="minorHAnsi" w:hAnsiTheme="minorHAnsi"/>
        </w:rPr>
        <w:t>7</w:t>
      </w:r>
      <w:bookmarkEnd w:id="734"/>
    </w:p>
    <w:p w14:paraId="225839E3" w14:textId="77777777" w:rsidR="00C4521E" w:rsidRPr="0067297E" w:rsidRDefault="00C4521E" w:rsidP="00543A76">
      <w:pPr>
        <w:rPr>
          <w:rFonts w:asciiTheme="minorHAnsi" w:hAnsiTheme="minorHAnsi"/>
        </w:rPr>
      </w:pPr>
      <w:r w:rsidRPr="0067297E">
        <w:rPr>
          <w:rFonts w:asciiTheme="minorHAnsi" w:hAnsiTheme="minorHAnsi"/>
          <w:noProof/>
          <w:lang w:eastAsia="en-GB"/>
        </w:rPr>
        <w:drawing>
          <wp:inline distT="0" distB="0" distL="0" distR="0" wp14:anchorId="605EE85F" wp14:editId="2D828015">
            <wp:extent cx="5810250" cy="3333750"/>
            <wp:effectExtent l="0" t="0" r="0" b="0"/>
            <wp:docPr id="37" name="Chart 37" descr="Chart showing % of properties grouped by number of bedrooms, from 2015-2017 (colour coded). " title="Chart 4.1 The percentage of properties coming onto the market by bed size 2015-20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BE3BCF-792D-46F3-83D2-6FE8A45B4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DB16F0A" w14:textId="77777777" w:rsidR="00C4521E" w:rsidRPr="0067297E" w:rsidRDefault="00C4521E" w:rsidP="00543A76">
      <w:pPr>
        <w:rPr>
          <w:rFonts w:asciiTheme="minorHAnsi" w:hAnsiTheme="minorHAnsi"/>
          <w:sz w:val="20"/>
          <w:szCs w:val="20"/>
        </w:rPr>
      </w:pPr>
      <w:r w:rsidRPr="0067297E">
        <w:rPr>
          <w:rFonts w:asciiTheme="minorHAnsi" w:hAnsiTheme="minorHAnsi"/>
          <w:sz w:val="20"/>
          <w:szCs w:val="20"/>
        </w:rPr>
        <w:t>Source: Zoopla</w:t>
      </w:r>
    </w:p>
    <w:p w14:paraId="0AFDA79B" w14:textId="77777777" w:rsidR="00C4521E" w:rsidRPr="0067297E" w:rsidRDefault="00C4521E" w:rsidP="000256AC">
      <w:pPr>
        <w:rPr>
          <w:rFonts w:asciiTheme="minorHAnsi" w:hAnsiTheme="minorHAnsi"/>
        </w:rPr>
      </w:pPr>
    </w:p>
    <w:p w14:paraId="40139809" w14:textId="77777777" w:rsidR="00C4521E" w:rsidRPr="0067297E" w:rsidRDefault="00C4521E">
      <w:pPr>
        <w:rPr>
          <w:rFonts w:asciiTheme="minorHAnsi" w:hAnsiTheme="minorHAnsi"/>
          <w:sz w:val="20"/>
          <w:szCs w:val="20"/>
        </w:rPr>
      </w:pPr>
      <w:r w:rsidRPr="0067297E">
        <w:rPr>
          <w:rFonts w:asciiTheme="minorHAnsi" w:hAnsiTheme="minorHAnsi"/>
          <w:sz w:val="20"/>
          <w:szCs w:val="20"/>
        </w:rPr>
        <w:br w:type="page"/>
      </w:r>
    </w:p>
    <w:p w14:paraId="4ABC69FC" w14:textId="710956BB" w:rsidR="00C4521E" w:rsidRPr="0067297E" w:rsidRDefault="00C4521E" w:rsidP="002C70BC">
      <w:pPr>
        <w:pStyle w:val="Heading1"/>
        <w:numPr>
          <w:ilvl w:val="0"/>
          <w:numId w:val="34"/>
        </w:numPr>
        <w:rPr>
          <w:rFonts w:asciiTheme="minorHAnsi" w:hAnsiTheme="minorHAnsi"/>
        </w:rPr>
      </w:pPr>
      <w:bookmarkStart w:id="736" w:name="_Toc350071219"/>
      <w:bookmarkStart w:id="737" w:name="_Toc400488695"/>
      <w:bookmarkStart w:id="738" w:name="_Toc529887300"/>
      <w:bookmarkStart w:id="739" w:name="_Toc1385818"/>
      <w:bookmarkStart w:id="740" w:name="_Toc23151135"/>
      <w:r w:rsidRPr="0067297E">
        <w:rPr>
          <w:rFonts w:asciiTheme="minorHAnsi" w:hAnsiTheme="minorHAnsi"/>
        </w:rPr>
        <w:t>Rent levels</w:t>
      </w:r>
      <w:bookmarkEnd w:id="736"/>
      <w:bookmarkEnd w:id="737"/>
      <w:bookmarkEnd w:id="738"/>
      <w:bookmarkEnd w:id="739"/>
      <w:bookmarkEnd w:id="740"/>
    </w:p>
    <w:p w14:paraId="393AC4C9"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Chart 5.1 illustrates the rent levels recorded for apartments, houses and overall in Lewisham since 2010. This longer-term trend shows the significant increases that have taken place and can be compared to a much more static position over the past 3 years.</w:t>
      </w:r>
    </w:p>
    <w:p w14:paraId="1E9C1D80" w14:textId="7AA3DE2E"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Apartment</w:t>
      </w:r>
      <w:r w:rsidR="00FA6490">
        <w:rPr>
          <w:rFonts w:asciiTheme="minorHAnsi" w:hAnsiTheme="minorHAnsi"/>
          <w:lang w:val="en-US"/>
        </w:rPr>
        <w:t xml:space="preserve"> rents </w:t>
      </w:r>
      <w:r w:rsidRPr="0067297E">
        <w:rPr>
          <w:rFonts w:asciiTheme="minorHAnsi" w:hAnsiTheme="minorHAnsi"/>
        </w:rPr>
        <w:t>have increased by 41.3% during this period, houses by 16.3% and overall median rents for property has increased by 37.7%</w:t>
      </w:r>
      <w:r w:rsidR="00B61903" w:rsidRPr="0067297E">
        <w:rPr>
          <w:rFonts w:asciiTheme="minorHAnsi" w:hAnsiTheme="minorHAnsi"/>
          <w:lang w:val="en-GB"/>
        </w:rPr>
        <w:t>.</w:t>
      </w:r>
    </w:p>
    <w:p w14:paraId="63E80F99" w14:textId="77777777" w:rsidR="0002512B" w:rsidRPr="0067297E" w:rsidRDefault="0002512B" w:rsidP="0002512B">
      <w:pPr>
        <w:pStyle w:val="Reporttext"/>
        <w:numPr>
          <w:ilvl w:val="0"/>
          <w:numId w:val="0"/>
        </w:numPr>
        <w:tabs>
          <w:tab w:val="clear" w:pos="709"/>
        </w:tabs>
        <w:ind w:left="709"/>
        <w:rPr>
          <w:rFonts w:asciiTheme="minorHAnsi" w:hAnsiTheme="minorHAnsi"/>
        </w:rPr>
      </w:pPr>
    </w:p>
    <w:p w14:paraId="6624801A" w14:textId="57219520" w:rsidR="00C4521E" w:rsidRPr="0067297E" w:rsidRDefault="00C4521E" w:rsidP="00FA273F">
      <w:pPr>
        <w:pStyle w:val="figureheading"/>
        <w:rPr>
          <w:rFonts w:asciiTheme="minorHAnsi" w:hAnsiTheme="minorHAnsi"/>
        </w:rPr>
      </w:pPr>
      <w:bookmarkStart w:id="741" w:name="_Toc23151236"/>
      <w:r w:rsidRPr="0067297E">
        <w:rPr>
          <w:rFonts w:asciiTheme="minorHAnsi" w:hAnsiTheme="minorHAnsi"/>
        </w:rPr>
        <w:t>Chart 5.1</w:t>
      </w:r>
      <w:r w:rsidRPr="0067297E">
        <w:rPr>
          <w:rFonts w:asciiTheme="minorHAnsi" w:hAnsiTheme="minorHAnsi"/>
        </w:rPr>
        <w:tab/>
        <w:t>The rent levels and change for apartments and houses in Lewisham since 2010</w:t>
      </w:r>
      <w:bookmarkEnd w:id="741"/>
    </w:p>
    <w:p w14:paraId="21536606" w14:textId="77777777" w:rsidR="00C4521E" w:rsidRPr="0067297E" w:rsidRDefault="00C4521E">
      <w:pPr>
        <w:pStyle w:val="Figureheading0"/>
      </w:pPr>
      <w:bookmarkStart w:id="742" w:name="_Toc519477541"/>
      <w:bookmarkStart w:id="743" w:name="_Toc1385713"/>
      <w:r w:rsidRPr="0067297E">
        <w:rPr>
          <w:noProof/>
          <w:lang w:eastAsia="en-GB"/>
        </w:rPr>
        <w:drawing>
          <wp:inline distT="0" distB="0" distL="0" distR="0" wp14:anchorId="4FBBF4F1" wp14:editId="5D727347">
            <wp:extent cx="5810250" cy="2743200"/>
            <wp:effectExtent l="0" t="0" r="0" b="0"/>
            <wp:docPr id="38" name="Chart 38" descr="Chart showing change in rent levels for Aparments, Houses and Lewisham (different curves) from 2010 to 2017. " title="Chart 5.1 The rent levels and change for apartments and houses in Lewisham since 20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7E034A-D441-414B-8A68-3D77073B5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bookmarkEnd w:id="742"/>
      <w:bookmarkEnd w:id="743"/>
    </w:p>
    <w:p w14:paraId="177DC255" w14:textId="77777777" w:rsidR="00C4521E" w:rsidRPr="0067297E" w:rsidRDefault="00C4521E">
      <w:pPr>
        <w:rPr>
          <w:rFonts w:asciiTheme="minorHAnsi" w:hAnsiTheme="minorHAnsi"/>
          <w:sz w:val="20"/>
          <w:szCs w:val="20"/>
        </w:rPr>
      </w:pPr>
      <w:r w:rsidRPr="0067297E">
        <w:rPr>
          <w:rFonts w:asciiTheme="minorHAnsi" w:hAnsiTheme="minorHAnsi"/>
          <w:sz w:val="20"/>
          <w:szCs w:val="20"/>
        </w:rPr>
        <w:t>Source: Zoopla</w:t>
      </w:r>
    </w:p>
    <w:p w14:paraId="4E94FBAA" w14:textId="77777777" w:rsidR="00C4521E" w:rsidRPr="0067297E" w:rsidRDefault="00C4521E" w:rsidP="00FA273F">
      <w:pPr>
        <w:pStyle w:val="Reporttext"/>
        <w:numPr>
          <w:ilvl w:val="0"/>
          <w:numId w:val="0"/>
        </w:numPr>
        <w:ind w:left="709"/>
        <w:rPr>
          <w:rFonts w:asciiTheme="minorHAnsi" w:hAnsiTheme="minorHAnsi"/>
        </w:rPr>
      </w:pPr>
    </w:p>
    <w:p w14:paraId="448778DB" w14:textId="7CE9BAC5" w:rsidR="00C4521E" w:rsidRPr="0067297E" w:rsidRDefault="00134099" w:rsidP="002C70BC">
      <w:pPr>
        <w:pStyle w:val="Reporttext"/>
        <w:numPr>
          <w:ilvl w:val="1"/>
          <w:numId w:val="34"/>
        </w:numPr>
        <w:tabs>
          <w:tab w:val="clear" w:pos="709"/>
        </w:tabs>
        <w:rPr>
          <w:rFonts w:asciiTheme="minorHAnsi" w:hAnsiTheme="minorHAnsi"/>
        </w:rPr>
      </w:pPr>
      <w:r w:rsidRPr="0067297E">
        <w:rPr>
          <w:rFonts w:asciiTheme="minorHAnsi" w:hAnsiTheme="minorHAnsi"/>
          <w:lang w:val="en-GB"/>
        </w:rPr>
        <w:t xml:space="preserve">Table </w:t>
      </w:r>
      <w:r w:rsidR="00C4521E" w:rsidRPr="0067297E">
        <w:rPr>
          <w:rFonts w:asciiTheme="minorHAnsi" w:hAnsiTheme="minorHAnsi"/>
        </w:rPr>
        <w:t>5.1 shows the median rent levels for all property let in each ward for the three years 2015-2017. It then shows the percentage change in rents for this period.</w:t>
      </w:r>
    </w:p>
    <w:p w14:paraId="1C344A12" w14:textId="77777777" w:rsidR="00C4521E" w:rsidRPr="0067297E" w:rsidRDefault="00C4521E" w:rsidP="002C70BC">
      <w:pPr>
        <w:pStyle w:val="Reporttext"/>
        <w:numPr>
          <w:ilvl w:val="1"/>
          <w:numId w:val="34"/>
        </w:numPr>
        <w:tabs>
          <w:tab w:val="clear" w:pos="709"/>
        </w:tabs>
        <w:rPr>
          <w:rFonts w:asciiTheme="minorHAnsi" w:hAnsiTheme="minorHAnsi"/>
        </w:rPr>
      </w:pPr>
      <w:bookmarkStart w:id="744" w:name="_Hlk488649288"/>
      <w:r w:rsidRPr="0067297E">
        <w:rPr>
          <w:rFonts w:asciiTheme="minorHAnsi" w:hAnsiTheme="minorHAnsi"/>
        </w:rPr>
        <w:t>The median rent for property let in Lewisham in 2017 was £1,248pcm. Since 2015 this has been relatively static and over the 3 years has shown no overall increase.</w:t>
      </w:r>
    </w:p>
    <w:p w14:paraId="1D0A4638" w14:textId="0635F88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There are 8 wards where rents have reduced overall and 5 wards where there has been no change. In 5 wards where rents have shown increases. The largest increases are in Downham, followed by Grove Park, and Lee Green. Two of those location</w:t>
      </w:r>
      <w:r w:rsidR="00B61903" w:rsidRPr="0067297E">
        <w:rPr>
          <w:rFonts w:asciiTheme="minorHAnsi" w:hAnsiTheme="minorHAnsi"/>
          <w:lang w:val="en-GB"/>
        </w:rPr>
        <w:t>s</w:t>
      </w:r>
      <w:r w:rsidRPr="0067297E">
        <w:rPr>
          <w:rFonts w:asciiTheme="minorHAnsi" w:hAnsiTheme="minorHAnsi"/>
        </w:rPr>
        <w:t>, Downham and Grove Park</w:t>
      </w:r>
      <w:r w:rsidR="00B61903" w:rsidRPr="0067297E">
        <w:rPr>
          <w:rFonts w:asciiTheme="minorHAnsi" w:hAnsiTheme="minorHAnsi"/>
          <w:lang w:val="en-GB"/>
        </w:rPr>
        <w:t>,</w:t>
      </w:r>
      <w:r w:rsidRPr="0067297E">
        <w:rPr>
          <w:rFonts w:asciiTheme="minorHAnsi" w:hAnsiTheme="minorHAnsi"/>
        </w:rPr>
        <w:t xml:space="preserve"> have markets where houses are offered onto the market in larger proportions and could be pressured through family markets.</w:t>
      </w:r>
    </w:p>
    <w:bookmarkEnd w:id="744"/>
    <w:p w14:paraId="2E34963B" w14:textId="58AB5ED6" w:rsidR="00C4521E" w:rsidRPr="0067297E" w:rsidRDefault="00C4521E" w:rsidP="00543A76">
      <w:pPr>
        <w:pStyle w:val="Maintext"/>
        <w:numPr>
          <w:ilvl w:val="0"/>
          <w:numId w:val="0"/>
        </w:numPr>
        <w:tabs>
          <w:tab w:val="left" w:pos="720"/>
        </w:tabs>
        <w:rPr>
          <w:rFonts w:asciiTheme="minorHAnsi" w:hAnsiTheme="minorHAnsi"/>
        </w:rPr>
      </w:pPr>
    </w:p>
    <w:p w14:paraId="4162140E" w14:textId="21795234" w:rsidR="0002512B" w:rsidRPr="0067297E" w:rsidRDefault="0002512B">
      <w:pPr>
        <w:rPr>
          <w:rFonts w:asciiTheme="minorHAnsi" w:hAnsiTheme="minorHAnsi"/>
          <w:lang w:val="x-none"/>
        </w:rPr>
      </w:pPr>
      <w:r w:rsidRPr="0067297E">
        <w:rPr>
          <w:rFonts w:asciiTheme="minorHAnsi" w:hAnsiTheme="minorHAnsi"/>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0A0" w:firstRow="1" w:lastRow="0" w:firstColumn="1" w:lastColumn="0" w:noHBand="0" w:noVBand="0"/>
      </w:tblPr>
      <w:tblGrid>
        <w:gridCol w:w="3207"/>
        <w:gridCol w:w="1243"/>
        <w:gridCol w:w="1423"/>
        <w:gridCol w:w="1418"/>
        <w:gridCol w:w="1891"/>
      </w:tblGrid>
      <w:tr w:rsidR="00C4521E" w:rsidRPr="0067297E" w14:paraId="2BC83ED0" w14:textId="77777777" w:rsidTr="00FD050C">
        <w:trPr>
          <w:tblHeader/>
        </w:trPr>
        <w:tc>
          <w:tcPr>
            <w:tcW w:w="5000" w:type="pct"/>
            <w:gridSpan w:val="5"/>
            <w:shd w:val="clear" w:color="auto" w:fill="009999"/>
            <w:tcMar>
              <w:left w:w="108" w:type="dxa"/>
              <w:right w:w="108" w:type="dxa"/>
            </w:tcMar>
            <w:vAlign w:val="center"/>
          </w:tcPr>
          <w:p w14:paraId="32741EA4" w14:textId="77777777" w:rsidR="00C4521E" w:rsidRPr="0067297E" w:rsidRDefault="00C4521E" w:rsidP="001B5150">
            <w:pPr>
              <w:pStyle w:val="tableheading"/>
              <w:rPr>
                <w:rFonts w:asciiTheme="minorHAnsi" w:hAnsiTheme="minorHAnsi"/>
              </w:rPr>
            </w:pPr>
            <w:bookmarkStart w:id="745" w:name="_Toc23151213"/>
            <w:r w:rsidRPr="0067297E">
              <w:rPr>
                <w:rFonts w:asciiTheme="minorHAnsi" w:hAnsiTheme="minorHAnsi"/>
              </w:rPr>
              <w:t>Table 5.1</w:t>
            </w:r>
            <w:r w:rsidRPr="0067297E">
              <w:rPr>
                <w:rFonts w:asciiTheme="minorHAnsi" w:hAnsiTheme="minorHAnsi"/>
              </w:rPr>
              <w:tab/>
              <w:t>Average rent levels for all property let by ward 2015-2017</w:t>
            </w:r>
            <w:bookmarkEnd w:id="745"/>
          </w:p>
        </w:tc>
      </w:tr>
      <w:tr w:rsidR="00C4521E" w:rsidRPr="0067297E" w14:paraId="07BFFCFC" w14:textId="77777777" w:rsidTr="00C4521E">
        <w:tc>
          <w:tcPr>
            <w:tcW w:w="1746" w:type="pct"/>
            <w:shd w:val="clear" w:color="auto" w:fill="009999"/>
            <w:tcMar>
              <w:left w:w="108" w:type="dxa"/>
              <w:right w:w="108" w:type="dxa"/>
            </w:tcMar>
            <w:vAlign w:val="bottom"/>
          </w:tcPr>
          <w:p w14:paraId="3C1E851C" w14:textId="77777777" w:rsidR="00C4521E" w:rsidRPr="0067297E" w:rsidRDefault="00C4521E" w:rsidP="0002512B">
            <w:pP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Ward</w:t>
            </w:r>
          </w:p>
        </w:tc>
        <w:tc>
          <w:tcPr>
            <w:tcW w:w="677" w:type="pct"/>
            <w:shd w:val="clear" w:color="auto" w:fill="009999"/>
            <w:tcMar>
              <w:left w:w="108" w:type="dxa"/>
              <w:right w:w="108" w:type="dxa"/>
            </w:tcMar>
            <w:vAlign w:val="bottom"/>
          </w:tcPr>
          <w:p w14:paraId="79E54AF3" w14:textId="77777777" w:rsidR="00C4521E" w:rsidRPr="0067297E" w:rsidRDefault="00C4521E" w:rsidP="0002512B">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2015 £pcm</w:t>
            </w:r>
          </w:p>
        </w:tc>
        <w:tc>
          <w:tcPr>
            <w:tcW w:w="775" w:type="pct"/>
            <w:shd w:val="clear" w:color="auto" w:fill="009999"/>
            <w:tcMar>
              <w:left w:w="108" w:type="dxa"/>
              <w:right w:w="108" w:type="dxa"/>
            </w:tcMar>
            <w:vAlign w:val="bottom"/>
          </w:tcPr>
          <w:p w14:paraId="6C794CED" w14:textId="77777777" w:rsidR="00C4521E" w:rsidRPr="0067297E" w:rsidRDefault="00C4521E" w:rsidP="0002512B">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2016 £pcm</w:t>
            </w:r>
          </w:p>
        </w:tc>
        <w:tc>
          <w:tcPr>
            <w:tcW w:w="772" w:type="pct"/>
            <w:shd w:val="clear" w:color="auto" w:fill="009999"/>
            <w:tcMar>
              <w:left w:w="108" w:type="dxa"/>
              <w:right w:w="108" w:type="dxa"/>
            </w:tcMar>
            <w:vAlign w:val="bottom"/>
          </w:tcPr>
          <w:p w14:paraId="04891BA9" w14:textId="77777777" w:rsidR="00C4521E" w:rsidRPr="0067297E" w:rsidRDefault="00C4521E" w:rsidP="0002512B">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2017 £pcm</w:t>
            </w:r>
          </w:p>
        </w:tc>
        <w:tc>
          <w:tcPr>
            <w:tcW w:w="1030" w:type="pct"/>
            <w:shd w:val="clear" w:color="auto" w:fill="009999"/>
            <w:tcMar>
              <w:left w:w="108" w:type="dxa"/>
              <w:right w:w="108" w:type="dxa"/>
            </w:tcMar>
            <w:vAlign w:val="bottom"/>
          </w:tcPr>
          <w:p w14:paraId="1AF6C3BD" w14:textId="77777777" w:rsidR="00C4521E" w:rsidRPr="0067297E" w:rsidRDefault="00C4521E" w:rsidP="0002512B">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 change 2015-2017</w:t>
            </w:r>
          </w:p>
        </w:tc>
      </w:tr>
      <w:tr w:rsidR="00C4521E" w:rsidRPr="0067297E" w14:paraId="7476B2B6" w14:textId="77777777" w:rsidTr="00C4521E">
        <w:tc>
          <w:tcPr>
            <w:tcW w:w="1746" w:type="pct"/>
            <w:noWrap/>
            <w:tcMar>
              <w:left w:w="108" w:type="dxa"/>
              <w:right w:w="108" w:type="dxa"/>
            </w:tcMar>
            <w:vAlign w:val="bottom"/>
          </w:tcPr>
          <w:p w14:paraId="6B59026C" w14:textId="77777777" w:rsidR="00C4521E" w:rsidRPr="0067297E" w:rsidRDefault="00C4521E" w:rsidP="00FA273F">
            <w:pPr>
              <w:rPr>
                <w:rFonts w:asciiTheme="minorHAnsi" w:hAnsiTheme="minorHAnsi" w:cs="Calibri"/>
                <w:color w:val="000000"/>
                <w:sz w:val="22"/>
                <w:szCs w:val="22"/>
                <w:lang w:eastAsia="en-GB"/>
              </w:rPr>
            </w:pPr>
            <w:r w:rsidRPr="0067297E">
              <w:rPr>
                <w:rFonts w:asciiTheme="minorHAnsi" w:hAnsiTheme="minorHAnsi" w:cs="Calibri"/>
                <w:color w:val="000000"/>
                <w:sz w:val="22"/>
                <w:szCs w:val="22"/>
              </w:rPr>
              <w:t>Bellingham</w:t>
            </w:r>
          </w:p>
        </w:tc>
        <w:tc>
          <w:tcPr>
            <w:tcW w:w="677" w:type="pct"/>
            <w:noWrap/>
            <w:tcMar>
              <w:left w:w="108" w:type="dxa"/>
              <w:right w:w="108" w:type="dxa"/>
            </w:tcMar>
            <w:vAlign w:val="center"/>
          </w:tcPr>
          <w:p w14:paraId="50BECFE3" w14:textId="77777777" w:rsidR="00C4521E" w:rsidRPr="0067297E" w:rsidRDefault="00C4521E" w:rsidP="00FA273F">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1148</w:t>
            </w:r>
          </w:p>
        </w:tc>
        <w:tc>
          <w:tcPr>
            <w:tcW w:w="775" w:type="pct"/>
            <w:noWrap/>
            <w:tcMar>
              <w:left w:w="108" w:type="dxa"/>
              <w:right w:w="108" w:type="dxa"/>
            </w:tcMar>
            <w:vAlign w:val="center"/>
          </w:tcPr>
          <w:p w14:paraId="433A0B9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1196</w:t>
            </w:r>
          </w:p>
        </w:tc>
        <w:tc>
          <w:tcPr>
            <w:tcW w:w="772" w:type="pct"/>
            <w:noWrap/>
            <w:tcMar>
              <w:left w:w="108" w:type="dxa"/>
              <w:right w:w="108" w:type="dxa"/>
            </w:tcMar>
            <w:vAlign w:val="center"/>
          </w:tcPr>
          <w:p w14:paraId="24DC38D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1148</w:t>
            </w:r>
          </w:p>
        </w:tc>
        <w:tc>
          <w:tcPr>
            <w:tcW w:w="1030" w:type="pct"/>
            <w:tcMar>
              <w:left w:w="108" w:type="dxa"/>
              <w:right w:w="108" w:type="dxa"/>
            </w:tcMar>
            <w:vAlign w:val="bottom"/>
          </w:tcPr>
          <w:p w14:paraId="2F7D496D" w14:textId="77777777" w:rsidR="00C4521E" w:rsidRPr="0067297E" w:rsidRDefault="00C4521E" w:rsidP="00FA273F">
            <w:pPr>
              <w:jc w:val="center"/>
              <w:rPr>
                <w:rFonts w:asciiTheme="minorHAnsi" w:hAnsiTheme="minorHAnsi" w:cs="Calibri"/>
                <w:sz w:val="22"/>
                <w:szCs w:val="22"/>
                <w:lang w:eastAsia="en-GB"/>
              </w:rPr>
            </w:pPr>
            <w:r w:rsidRPr="0067297E">
              <w:rPr>
                <w:rFonts w:asciiTheme="minorHAnsi" w:hAnsiTheme="minorHAnsi" w:cs="Calibri"/>
                <w:color w:val="000000"/>
                <w:sz w:val="22"/>
                <w:szCs w:val="22"/>
              </w:rPr>
              <w:t>0.0</w:t>
            </w:r>
          </w:p>
        </w:tc>
      </w:tr>
      <w:tr w:rsidR="00C4521E" w:rsidRPr="0067297E" w14:paraId="73F93AFF" w14:textId="77777777" w:rsidTr="00C4521E">
        <w:tc>
          <w:tcPr>
            <w:tcW w:w="1746" w:type="pct"/>
            <w:noWrap/>
            <w:tcMar>
              <w:left w:w="108" w:type="dxa"/>
              <w:right w:w="108" w:type="dxa"/>
            </w:tcMar>
            <w:vAlign w:val="bottom"/>
          </w:tcPr>
          <w:p w14:paraId="08B2E156"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Blackheath</w:t>
            </w:r>
          </w:p>
        </w:tc>
        <w:tc>
          <w:tcPr>
            <w:tcW w:w="677" w:type="pct"/>
            <w:noWrap/>
            <w:tcMar>
              <w:left w:w="108" w:type="dxa"/>
              <w:right w:w="108" w:type="dxa"/>
            </w:tcMar>
            <w:vAlign w:val="center"/>
          </w:tcPr>
          <w:p w14:paraId="517B656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1352</w:t>
            </w:r>
          </w:p>
        </w:tc>
        <w:tc>
          <w:tcPr>
            <w:tcW w:w="775" w:type="pct"/>
            <w:noWrap/>
            <w:tcMar>
              <w:left w:w="108" w:type="dxa"/>
              <w:right w:w="108" w:type="dxa"/>
            </w:tcMar>
            <w:vAlign w:val="center"/>
          </w:tcPr>
          <w:p w14:paraId="05EDED0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1348</w:t>
            </w:r>
          </w:p>
        </w:tc>
        <w:tc>
          <w:tcPr>
            <w:tcW w:w="772" w:type="pct"/>
            <w:noWrap/>
            <w:tcMar>
              <w:left w:w="108" w:type="dxa"/>
              <w:right w:w="108" w:type="dxa"/>
            </w:tcMar>
            <w:vAlign w:val="center"/>
          </w:tcPr>
          <w:p w14:paraId="13A9BE8B"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1030" w:type="pct"/>
            <w:tcMar>
              <w:left w:w="108" w:type="dxa"/>
              <w:right w:w="108" w:type="dxa"/>
            </w:tcMar>
            <w:vAlign w:val="bottom"/>
          </w:tcPr>
          <w:p w14:paraId="71FF8E0B"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-3.8</w:t>
            </w:r>
          </w:p>
        </w:tc>
      </w:tr>
      <w:tr w:rsidR="00C4521E" w:rsidRPr="0067297E" w14:paraId="084D7109" w14:textId="77777777" w:rsidTr="00C4521E">
        <w:tc>
          <w:tcPr>
            <w:tcW w:w="1746" w:type="pct"/>
            <w:noWrap/>
            <w:tcMar>
              <w:left w:w="108" w:type="dxa"/>
              <w:right w:w="108" w:type="dxa"/>
            </w:tcMar>
            <w:vAlign w:val="bottom"/>
          </w:tcPr>
          <w:p w14:paraId="3B594458"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Brockley</w:t>
            </w:r>
          </w:p>
        </w:tc>
        <w:tc>
          <w:tcPr>
            <w:tcW w:w="677" w:type="pct"/>
            <w:noWrap/>
            <w:tcMar>
              <w:left w:w="108" w:type="dxa"/>
              <w:right w:w="108" w:type="dxa"/>
            </w:tcMar>
            <w:vAlign w:val="center"/>
          </w:tcPr>
          <w:p w14:paraId="6A9FB99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775" w:type="pct"/>
            <w:noWrap/>
            <w:tcMar>
              <w:left w:w="108" w:type="dxa"/>
              <w:right w:w="108" w:type="dxa"/>
            </w:tcMar>
            <w:vAlign w:val="center"/>
          </w:tcPr>
          <w:p w14:paraId="0CA0871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772" w:type="pct"/>
            <w:noWrap/>
            <w:tcMar>
              <w:left w:w="108" w:type="dxa"/>
              <w:right w:w="108" w:type="dxa"/>
            </w:tcMar>
            <w:vAlign w:val="center"/>
          </w:tcPr>
          <w:p w14:paraId="056C3D8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1276</w:t>
            </w:r>
          </w:p>
        </w:tc>
        <w:tc>
          <w:tcPr>
            <w:tcW w:w="1030" w:type="pct"/>
            <w:tcMar>
              <w:left w:w="108" w:type="dxa"/>
              <w:right w:w="108" w:type="dxa"/>
            </w:tcMar>
            <w:vAlign w:val="bottom"/>
          </w:tcPr>
          <w:p w14:paraId="24811D4A"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-1.8</w:t>
            </w:r>
          </w:p>
        </w:tc>
      </w:tr>
      <w:tr w:rsidR="00C4521E" w:rsidRPr="0067297E" w14:paraId="5200298B" w14:textId="77777777" w:rsidTr="00C4521E">
        <w:tc>
          <w:tcPr>
            <w:tcW w:w="1746" w:type="pct"/>
            <w:noWrap/>
            <w:tcMar>
              <w:left w:w="108" w:type="dxa"/>
              <w:right w:w="108" w:type="dxa"/>
            </w:tcMar>
            <w:vAlign w:val="bottom"/>
          </w:tcPr>
          <w:p w14:paraId="1DF60EE2"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Catford South</w:t>
            </w:r>
          </w:p>
        </w:tc>
        <w:tc>
          <w:tcPr>
            <w:tcW w:w="677" w:type="pct"/>
            <w:noWrap/>
            <w:tcMar>
              <w:left w:w="108" w:type="dxa"/>
              <w:right w:w="108" w:type="dxa"/>
            </w:tcMar>
            <w:vAlign w:val="center"/>
          </w:tcPr>
          <w:p w14:paraId="03A5B8D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775" w:type="pct"/>
            <w:noWrap/>
            <w:tcMar>
              <w:left w:w="108" w:type="dxa"/>
              <w:right w:w="108" w:type="dxa"/>
            </w:tcMar>
            <w:vAlign w:val="center"/>
          </w:tcPr>
          <w:p w14:paraId="07AFCCB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772" w:type="pct"/>
            <w:noWrap/>
            <w:tcMar>
              <w:left w:w="108" w:type="dxa"/>
              <w:right w:w="108" w:type="dxa"/>
            </w:tcMar>
            <w:vAlign w:val="center"/>
          </w:tcPr>
          <w:p w14:paraId="7E4C86E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1101</w:t>
            </w:r>
          </w:p>
        </w:tc>
        <w:tc>
          <w:tcPr>
            <w:tcW w:w="1030" w:type="pct"/>
            <w:tcMar>
              <w:left w:w="108" w:type="dxa"/>
              <w:right w:w="108" w:type="dxa"/>
            </w:tcMar>
            <w:vAlign w:val="bottom"/>
          </w:tcPr>
          <w:p w14:paraId="58E13020"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-8.3</w:t>
            </w:r>
          </w:p>
        </w:tc>
      </w:tr>
      <w:tr w:rsidR="00C4521E" w:rsidRPr="0067297E" w14:paraId="171E4A77" w14:textId="77777777" w:rsidTr="00C4521E">
        <w:tc>
          <w:tcPr>
            <w:tcW w:w="1746" w:type="pct"/>
            <w:noWrap/>
            <w:tcMar>
              <w:left w:w="108" w:type="dxa"/>
              <w:right w:w="108" w:type="dxa"/>
            </w:tcMar>
            <w:vAlign w:val="bottom"/>
          </w:tcPr>
          <w:p w14:paraId="6B46A53E"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Crofton Park</w:t>
            </w:r>
          </w:p>
        </w:tc>
        <w:tc>
          <w:tcPr>
            <w:tcW w:w="677" w:type="pct"/>
            <w:noWrap/>
            <w:tcMar>
              <w:left w:w="108" w:type="dxa"/>
              <w:right w:w="108" w:type="dxa"/>
            </w:tcMar>
            <w:vAlign w:val="center"/>
          </w:tcPr>
          <w:p w14:paraId="103E1D0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1248</w:t>
            </w:r>
          </w:p>
        </w:tc>
        <w:tc>
          <w:tcPr>
            <w:tcW w:w="775" w:type="pct"/>
            <w:noWrap/>
            <w:tcMar>
              <w:left w:w="108" w:type="dxa"/>
              <w:right w:w="108" w:type="dxa"/>
            </w:tcMar>
            <w:vAlign w:val="center"/>
          </w:tcPr>
          <w:p w14:paraId="39EB955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772" w:type="pct"/>
            <w:noWrap/>
            <w:tcMar>
              <w:left w:w="108" w:type="dxa"/>
              <w:right w:w="108" w:type="dxa"/>
            </w:tcMar>
            <w:vAlign w:val="center"/>
          </w:tcPr>
          <w:p w14:paraId="1DCD0C9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1274</w:t>
            </w:r>
          </w:p>
        </w:tc>
        <w:tc>
          <w:tcPr>
            <w:tcW w:w="1030" w:type="pct"/>
            <w:tcMar>
              <w:left w:w="108" w:type="dxa"/>
              <w:right w:w="108" w:type="dxa"/>
            </w:tcMar>
            <w:vAlign w:val="bottom"/>
          </w:tcPr>
          <w:p w14:paraId="5E69ACFD"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2.1</w:t>
            </w:r>
          </w:p>
        </w:tc>
      </w:tr>
      <w:tr w:rsidR="00C4521E" w:rsidRPr="0067297E" w14:paraId="15BA0318" w14:textId="77777777" w:rsidTr="00C4521E">
        <w:tc>
          <w:tcPr>
            <w:tcW w:w="1746" w:type="pct"/>
            <w:noWrap/>
            <w:tcMar>
              <w:left w:w="108" w:type="dxa"/>
              <w:right w:w="108" w:type="dxa"/>
            </w:tcMar>
            <w:vAlign w:val="bottom"/>
          </w:tcPr>
          <w:p w14:paraId="001B87EF"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Downham</w:t>
            </w:r>
          </w:p>
        </w:tc>
        <w:tc>
          <w:tcPr>
            <w:tcW w:w="677" w:type="pct"/>
            <w:noWrap/>
            <w:tcMar>
              <w:left w:w="108" w:type="dxa"/>
              <w:right w:w="108" w:type="dxa"/>
            </w:tcMar>
            <w:vAlign w:val="center"/>
          </w:tcPr>
          <w:p w14:paraId="3B3A80F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1174</w:t>
            </w:r>
          </w:p>
        </w:tc>
        <w:tc>
          <w:tcPr>
            <w:tcW w:w="775" w:type="pct"/>
            <w:noWrap/>
            <w:tcMar>
              <w:left w:w="108" w:type="dxa"/>
              <w:right w:w="108" w:type="dxa"/>
            </w:tcMar>
            <w:vAlign w:val="center"/>
          </w:tcPr>
          <w:p w14:paraId="4E73475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772" w:type="pct"/>
            <w:noWrap/>
            <w:tcMar>
              <w:left w:w="108" w:type="dxa"/>
              <w:right w:w="108" w:type="dxa"/>
            </w:tcMar>
            <w:vAlign w:val="center"/>
          </w:tcPr>
          <w:p w14:paraId="3784F69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1274</w:t>
            </w:r>
          </w:p>
        </w:tc>
        <w:tc>
          <w:tcPr>
            <w:tcW w:w="1030" w:type="pct"/>
            <w:tcMar>
              <w:left w:w="108" w:type="dxa"/>
              <w:right w:w="108" w:type="dxa"/>
            </w:tcMar>
            <w:vAlign w:val="bottom"/>
          </w:tcPr>
          <w:p w14:paraId="02F5408D"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8.5</w:t>
            </w:r>
          </w:p>
        </w:tc>
      </w:tr>
      <w:tr w:rsidR="00C4521E" w:rsidRPr="0067297E" w14:paraId="57A55FB6" w14:textId="77777777" w:rsidTr="00C4521E">
        <w:tc>
          <w:tcPr>
            <w:tcW w:w="1746" w:type="pct"/>
            <w:noWrap/>
            <w:tcMar>
              <w:left w:w="108" w:type="dxa"/>
              <w:right w:w="108" w:type="dxa"/>
            </w:tcMar>
            <w:vAlign w:val="bottom"/>
          </w:tcPr>
          <w:p w14:paraId="1C156718"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Evelyn</w:t>
            </w:r>
          </w:p>
        </w:tc>
        <w:tc>
          <w:tcPr>
            <w:tcW w:w="677" w:type="pct"/>
            <w:noWrap/>
            <w:tcMar>
              <w:left w:w="108" w:type="dxa"/>
              <w:right w:w="108" w:type="dxa"/>
            </w:tcMar>
            <w:vAlign w:val="center"/>
          </w:tcPr>
          <w:p w14:paraId="7C20D71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1430</w:t>
            </w:r>
          </w:p>
        </w:tc>
        <w:tc>
          <w:tcPr>
            <w:tcW w:w="775" w:type="pct"/>
            <w:noWrap/>
            <w:tcMar>
              <w:left w:w="108" w:type="dxa"/>
              <w:right w:w="108" w:type="dxa"/>
            </w:tcMar>
            <w:vAlign w:val="center"/>
          </w:tcPr>
          <w:p w14:paraId="12E953BF"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1517</w:t>
            </w:r>
          </w:p>
        </w:tc>
        <w:tc>
          <w:tcPr>
            <w:tcW w:w="772" w:type="pct"/>
            <w:noWrap/>
            <w:tcMar>
              <w:left w:w="108" w:type="dxa"/>
              <w:right w:w="108" w:type="dxa"/>
            </w:tcMar>
            <w:vAlign w:val="center"/>
          </w:tcPr>
          <w:p w14:paraId="1C3E828F"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1365</w:t>
            </w:r>
          </w:p>
        </w:tc>
        <w:tc>
          <w:tcPr>
            <w:tcW w:w="1030" w:type="pct"/>
            <w:tcMar>
              <w:left w:w="108" w:type="dxa"/>
              <w:right w:w="108" w:type="dxa"/>
            </w:tcMar>
            <w:vAlign w:val="bottom"/>
          </w:tcPr>
          <w:p w14:paraId="252355F5"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-4.5</w:t>
            </w:r>
          </w:p>
        </w:tc>
      </w:tr>
      <w:tr w:rsidR="00C4521E" w:rsidRPr="0067297E" w14:paraId="1661512B" w14:textId="77777777" w:rsidTr="00C4521E">
        <w:tc>
          <w:tcPr>
            <w:tcW w:w="1746" w:type="pct"/>
            <w:noWrap/>
            <w:tcMar>
              <w:left w:w="108" w:type="dxa"/>
              <w:right w:w="108" w:type="dxa"/>
            </w:tcMar>
            <w:vAlign w:val="bottom"/>
          </w:tcPr>
          <w:p w14:paraId="7E559C6F"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Forest Hill</w:t>
            </w:r>
          </w:p>
        </w:tc>
        <w:tc>
          <w:tcPr>
            <w:tcW w:w="677" w:type="pct"/>
            <w:noWrap/>
            <w:tcMar>
              <w:left w:w="108" w:type="dxa"/>
              <w:right w:w="108" w:type="dxa"/>
            </w:tcMar>
            <w:vAlign w:val="center"/>
          </w:tcPr>
          <w:p w14:paraId="355F4DE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775" w:type="pct"/>
            <w:noWrap/>
            <w:tcMar>
              <w:left w:w="108" w:type="dxa"/>
              <w:right w:w="108" w:type="dxa"/>
            </w:tcMar>
            <w:vAlign w:val="center"/>
          </w:tcPr>
          <w:p w14:paraId="243D63D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1248</w:t>
            </w:r>
          </w:p>
        </w:tc>
        <w:tc>
          <w:tcPr>
            <w:tcW w:w="772" w:type="pct"/>
            <w:noWrap/>
            <w:tcMar>
              <w:left w:w="108" w:type="dxa"/>
              <w:right w:w="108" w:type="dxa"/>
            </w:tcMar>
            <w:vAlign w:val="center"/>
          </w:tcPr>
          <w:p w14:paraId="622B709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1030" w:type="pct"/>
            <w:tcMar>
              <w:left w:w="108" w:type="dxa"/>
              <w:right w:w="108" w:type="dxa"/>
            </w:tcMar>
            <w:vAlign w:val="bottom"/>
          </w:tcPr>
          <w:p w14:paraId="378C2482"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0.0</w:t>
            </w:r>
          </w:p>
        </w:tc>
      </w:tr>
      <w:tr w:rsidR="00C4521E" w:rsidRPr="0067297E" w14:paraId="43ADA9A2" w14:textId="77777777" w:rsidTr="00C4521E">
        <w:tc>
          <w:tcPr>
            <w:tcW w:w="1746" w:type="pct"/>
            <w:noWrap/>
            <w:tcMar>
              <w:left w:w="108" w:type="dxa"/>
              <w:right w:w="108" w:type="dxa"/>
            </w:tcMar>
            <w:vAlign w:val="bottom"/>
          </w:tcPr>
          <w:p w14:paraId="2E738C1B"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Grove Park</w:t>
            </w:r>
          </w:p>
        </w:tc>
        <w:tc>
          <w:tcPr>
            <w:tcW w:w="677" w:type="pct"/>
            <w:noWrap/>
            <w:tcMar>
              <w:left w:w="108" w:type="dxa"/>
              <w:right w:w="108" w:type="dxa"/>
            </w:tcMar>
            <w:vAlign w:val="center"/>
          </w:tcPr>
          <w:p w14:paraId="21D2A51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1148</w:t>
            </w:r>
          </w:p>
        </w:tc>
        <w:tc>
          <w:tcPr>
            <w:tcW w:w="775" w:type="pct"/>
            <w:noWrap/>
            <w:tcMar>
              <w:left w:w="108" w:type="dxa"/>
              <w:right w:w="108" w:type="dxa"/>
            </w:tcMar>
            <w:vAlign w:val="center"/>
          </w:tcPr>
          <w:p w14:paraId="2914A04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772" w:type="pct"/>
            <w:noWrap/>
            <w:tcMar>
              <w:left w:w="108" w:type="dxa"/>
              <w:right w:w="108" w:type="dxa"/>
            </w:tcMar>
            <w:vAlign w:val="center"/>
          </w:tcPr>
          <w:p w14:paraId="17548DDF"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1030" w:type="pct"/>
            <w:tcMar>
              <w:left w:w="108" w:type="dxa"/>
              <w:right w:w="108" w:type="dxa"/>
            </w:tcMar>
            <w:vAlign w:val="bottom"/>
          </w:tcPr>
          <w:p w14:paraId="21D35697"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4.5</w:t>
            </w:r>
          </w:p>
        </w:tc>
      </w:tr>
      <w:tr w:rsidR="00C4521E" w:rsidRPr="0067297E" w14:paraId="05503C7A" w14:textId="77777777" w:rsidTr="00C4521E">
        <w:tc>
          <w:tcPr>
            <w:tcW w:w="1746" w:type="pct"/>
            <w:noWrap/>
            <w:tcMar>
              <w:left w:w="108" w:type="dxa"/>
              <w:right w:w="108" w:type="dxa"/>
            </w:tcMar>
            <w:vAlign w:val="bottom"/>
          </w:tcPr>
          <w:p w14:paraId="78519054"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Ladywell</w:t>
            </w:r>
          </w:p>
        </w:tc>
        <w:tc>
          <w:tcPr>
            <w:tcW w:w="677" w:type="pct"/>
            <w:noWrap/>
            <w:tcMar>
              <w:left w:w="108" w:type="dxa"/>
              <w:right w:w="108" w:type="dxa"/>
            </w:tcMar>
            <w:vAlign w:val="center"/>
          </w:tcPr>
          <w:p w14:paraId="6C1AD69B"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775" w:type="pct"/>
            <w:noWrap/>
            <w:tcMar>
              <w:left w:w="108" w:type="dxa"/>
              <w:right w:w="108" w:type="dxa"/>
            </w:tcMar>
            <w:vAlign w:val="center"/>
          </w:tcPr>
          <w:p w14:paraId="5CA7EE5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1248</w:t>
            </w:r>
          </w:p>
        </w:tc>
        <w:tc>
          <w:tcPr>
            <w:tcW w:w="772" w:type="pct"/>
            <w:noWrap/>
            <w:tcMar>
              <w:left w:w="108" w:type="dxa"/>
              <w:right w:w="108" w:type="dxa"/>
            </w:tcMar>
            <w:vAlign w:val="center"/>
          </w:tcPr>
          <w:p w14:paraId="316E9CE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1030" w:type="pct"/>
            <w:tcMar>
              <w:left w:w="108" w:type="dxa"/>
              <w:right w:w="108" w:type="dxa"/>
            </w:tcMar>
            <w:vAlign w:val="bottom"/>
          </w:tcPr>
          <w:p w14:paraId="7B870177"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0.0</w:t>
            </w:r>
          </w:p>
        </w:tc>
      </w:tr>
      <w:tr w:rsidR="00C4521E" w:rsidRPr="0067297E" w14:paraId="368FFCB1" w14:textId="77777777" w:rsidTr="00C4521E">
        <w:tc>
          <w:tcPr>
            <w:tcW w:w="1746" w:type="pct"/>
            <w:noWrap/>
            <w:tcMar>
              <w:left w:w="108" w:type="dxa"/>
              <w:right w:w="108" w:type="dxa"/>
            </w:tcMar>
            <w:vAlign w:val="bottom"/>
          </w:tcPr>
          <w:p w14:paraId="722CCCBD"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Lee Green</w:t>
            </w:r>
          </w:p>
        </w:tc>
        <w:tc>
          <w:tcPr>
            <w:tcW w:w="677" w:type="pct"/>
            <w:noWrap/>
            <w:tcMar>
              <w:left w:w="108" w:type="dxa"/>
              <w:right w:w="108" w:type="dxa"/>
            </w:tcMar>
            <w:vAlign w:val="center"/>
          </w:tcPr>
          <w:p w14:paraId="3BB7663F"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775" w:type="pct"/>
            <w:noWrap/>
            <w:tcMar>
              <w:left w:w="108" w:type="dxa"/>
              <w:right w:w="108" w:type="dxa"/>
            </w:tcMar>
            <w:vAlign w:val="center"/>
          </w:tcPr>
          <w:p w14:paraId="05DA54D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1248</w:t>
            </w:r>
          </w:p>
        </w:tc>
        <w:tc>
          <w:tcPr>
            <w:tcW w:w="772" w:type="pct"/>
            <w:noWrap/>
            <w:tcMar>
              <w:left w:w="108" w:type="dxa"/>
              <w:right w:w="108" w:type="dxa"/>
            </w:tcMar>
            <w:vAlign w:val="center"/>
          </w:tcPr>
          <w:p w14:paraId="23F52FF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1248</w:t>
            </w:r>
          </w:p>
        </w:tc>
        <w:tc>
          <w:tcPr>
            <w:tcW w:w="1030" w:type="pct"/>
            <w:tcMar>
              <w:left w:w="108" w:type="dxa"/>
              <w:right w:w="108" w:type="dxa"/>
            </w:tcMar>
            <w:vAlign w:val="bottom"/>
          </w:tcPr>
          <w:p w14:paraId="103E069A"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4.0</w:t>
            </w:r>
          </w:p>
        </w:tc>
      </w:tr>
      <w:tr w:rsidR="00C4521E" w:rsidRPr="0067297E" w14:paraId="198BD88A" w14:textId="77777777" w:rsidTr="00C4521E">
        <w:tc>
          <w:tcPr>
            <w:tcW w:w="1746" w:type="pct"/>
            <w:noWrap/>
            <w:tcMar>
              <w:left w:w="108" w:type="dxa"/>
              <w:right w:w="108" w:type="dxa"/>
            </w:tcMar>
            <w:vAlign w:val="bottom"/>
          </w:tcPr>
          <w:p w14:paraId="4CDDD55C"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Lewisham Central</w:t>
            </w:r>
          </w:p>
        </w:tc>
        <w:tc>
          <w:tcPr>
            <w:tcW w:w="677" w:type="pct"/>
            <w:noWrap/>
            <w:tcMar>
              <w:left w:w="108" w:type="dxa"/>
              <w:right w:w="108" w:type="dxa"/>
            </w:tcMar>
            <w:vAlign w:val="center"/>
          </w:tcPr>
          <w:p w14:paraId="754F1A10"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1248</w:t>
            </w:r>
          </w:p>
        </w:tc>
        <w:tc>
          <w:tcPr>
            <w:tcW w:w="775" w:type="pct"/>
            <w:noWrap/>
            <w:tcMar>
              <w:left w:w="108" w:type="dxa"/>
              <w:right w:w="108" w:type="dxa"/>
            </w:tcMar>
            <w:vAlign w:val="center"/>
          </w:tcPr>
          <w:p w14:paraId="76A7CA60"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1257</w:t>
            </w:r>
          </w:p>
        </w:tc>
        <w:tc>
          <w:tcPr>
            <w:tcW w:w="772" w:type="pct"/>
            <w:noWrap/>
            <w:tcMar>
              <w:left w:w="108" w:type="dxa"/>
              <w:right w:w="108" w:type="dxa"/>
            </w:tcMar>
            <w:vAlign w:val="center"/>
          </w:tcPr>
          <w:p w14:paraId="1E0BBABD"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1248</w:t>
            </w:r>
          </w:p>
        </w:tc>
        <w:tc>
          <w:tcPr>
            <w:tcW w:w="1030" w:type="pct"/>
            <w:tcMar>
              <w:left w:w="108" w:type="dxa"/>
              <w:right w:w="108" w:type="dxa"/>
            </w:tcMar>
            <w:vAlign w:val="bottom"/>
          </w:tcPr>
          <w:p w14:paraId="4307B3DC"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0.0</w:t>
            </w:r>
          </w:p>
        </w:tc>
      </w:tr>
      <w:tr w:rsidR="00C4521E" w:rsidRPr="0067297E" w14:paraId="5AAA62E6" w14:textId="77777777" w:rsidTr="00C4521E">
        <w:tc>
          <w:tcPr>
            <w:tcW w:w="1746" w:type="pct"/>
            <w:noWrap/>
            <w:tcMar>
              <w:left w:w="108" w:type="dxa"/>
              <w:right w:w="108" w:type="dxa"/>
            </w:tcMar>
            <w:vAlign w:val="bottom"/>
          </w:tcPr>
          <w:p w14:paraId="24FEE2E7"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New Cross</w:t>
            </w:r>
          </w:p>
        </w:tc>
        <w:tc>
          <w:tcPr>
            <w:tcW w:w="677" w:type="pct"/>
            <w:noWrap/>
            <w:tcMar>
              <w:left w:w="108" w:type="dxa"/>
              <w:right w:w="108" w:type="dxa"/>
            </w:tcMar>
            <w:vAlign w:val="center"/>
          </w:tcPr>
          <w:p w14:paraId="6153774E"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1170</w:t>
            </w:r>
          </w:p>
        </w:tc>
        <w:tc>
          <w:tcPr>
            <w:tcW w:w="775" w:type="pct"/>
            <w:noWrap/>
            <w:tcMar>
              <w:left w:w="108" w:type="dxa"/>
              <w:right w:w="108" w:type="dxa"/>
            </w:tcMar>
            <w:vAlign w:val="center"/>
          </w:tcPr>
          <w:p w14:paraId="5A14DECD"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1257</w:t>
            </w:r>
          </w:p>
        </w:tc>
        <w:tc>
          <w:tcPr>
            <w:tcW w:w="772" w:type="pct"/>
            <w:noWrap/>
            <w:tcMar>
              <w:left w:w="108" w:type="dxa"/>
              <w:right w:w="108" w:type="dxa"/>
            </w:tcMar>
            <w:vAlign w:val="center"/>
          </w:tcPr>
          <w:p w14:paraId="6DB434CA"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1181</w:t>
            </w:r>
          </w:p>
        </w:tc>
        <w:tc>
          <w:tcPr>
            <w:tcW w:w="1030" w:type="pct"/>
            <w:tcMar>
              <w:left w:w="108" w:type="dxa"/>
              <w:right w:w="108" w:type="dxa"/>
            </w:tcMar>
            <w:vAlign w:val="bottom"/>
          </w:tcPr>
          <w:p w14:paraId="355A0CD0"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0.9</w:t>
            </w:r>
          </w:p>
        </w:tc>
      </w:tr>
      <w:tr w:rsidR="00C4521E" w:rsidRPr="0067297E" w14:paraId="41BC3E65" w14:textId="77777777" w:rsidTr="00C4521E">
        <w:tc>
          <w:tcPr>
            <w:tcW w:w="1746" w:type="pct"/>
            <w:noWrap/>
            <w:tcMar>
              <w:left w:w="108" w:type="dxa"/>
              <w:right w:w="108" w:type="dxa"/>
            </w:tcMar>
            <w:vAlign w:val="bottom"/>
          </w:tcPr>
          <w:p w14:paraId="55A0FB81"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Perry Vale</w:t>
            </w:r>
          </w:p>
        </w:tc>
        <w:tc>
          <w:tcPr>
            <w:tcW w:w="677" w:type="pct"/>
            <w:noWrap/>
            <w:tcMar>
              <w:left w:w="108" w:type="dxa"/>
              <w:right w:w="108" w:type="dxa"/>
            </w:tcMar>
            <w:vAlign w:val="center"/>
          </w:tcPr>
          <w:p w14:paraId="1BDD5790"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1248</w:t>
            </w:r>
          </w:p>
        </w:tc>
        <w:tc>
          <w:tcPr>
            <w:tcW w:w="775" w:type="pct"/>
            <w:noWrap/>
            <w:tcMar>
              <w:left w:w="108" w:type="dxa"/>
              <w:right w:w="108" w:type="dxa"/>
            </w:tcMar>
            <w:vAlign w:val="center"/>
          </w:tcPr>
          <w:p w14:paraId="1574DEAC"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1248</w:t>
            </w:r>
          </w:p>
        </w:tc>
        <w:tc>
          <w:tcPr>
            <w:tcW w:w="772" w:type="pct"/>
            <w:noWrap/>
            <w:tcMar>
              <w:left w:w="108" w:type="dxa"/>
              <w:right w:w="108" w:type="dxa"/>
            </w:tcMar>
            <w:vAlign w:val="center"/>
          </w:tcPr>
          <w:p w14:paraId="3F8F182B"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1200</w:t>
            </w:r>
          </w:p>
        </w:tc>
        <w:tc>
          <w:tcPr>
            <w:tcW w:w="1030" w:type="pct"/>
            <w:tcMar>
              <w:left w:w="108" w:type="dxa"/>
              <w:right w:w="108" w:type="dxa"/>
            </w:tcMar>
            <w:vAlign w:val="bottom"/>
          </w:tcPr>
          <w:p w14:paraId="6F9EFF7D"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-3.8</w:t>
            </w:r>
          </w:p>
        </w:tc>
      </w:tr>
      <w:tr w:rsidR="00C4521E" w:rsidRPr="0067297E" w14:paraId="617ABFF5" w14:textId="77777777" w:rsidTr="00C4521E">
        <w:tc>
          <w:tcPr>
            <w:tcW w:w="1746" w:type="pct"/>
            <w:noWrap/>
            <w:tcMar>
              <w:left w:w="108" w:type="dxa"/>
              <w:right w:w="108" w:type="dxa"/>
            </w:tcMar>
            <w:vAlign w:val="bottom"/>
          </w:tcPr>
          <w:p w14:paraId="6DB27664"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Rushey Green</w:t>
            </w:r>
          </w:p>
        </w:tc>
        <w:tc>
          <w:tcPr>
            <w:tcW w:w="677" w:type="pct"/>
            <w:noWrap/>
            <w:tcMar>
              <w:left w:w="108" w:type="dxa"/>
              <w:right w:w="108" w:type="dxa"/>
            </w:tcMar>
            <w:vAlign w:val="center"/>
          </w:tcPr>
          <w:p w14:paraId="7274C207"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1148</w:t>
            </w:r>
          </w:p>
        </w:tc>
        <w:tc>
          <w:tcPr>
            <w:tcW w:w="775" w:type="pct"/>
            <w:noWrap/>
            <w:tcMar>
              <w:left w:w="108" w:type="dxa"/>
              <w:right w:w="108" w:type="dxa"/>
            </w:tcMar>
            <w:vAlign w:val="center"/>
          </w:tcPr>
          <w:p w14:paraId="04446F5F"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1101</w:t>
            </w:r>
          </w:p>
        </w:tc>
        <w:tc>
          <w:tcPr>
            <w:tcW w:w="772" w:type="pct"/>
            <w:noWrap/>
            <w:tcMar>
              <w:left w:w="108" w:type="dxa"/>
              <w:right w:w="108" w:type="dxa"/>
            </w:tcMar>
            <w:vAlign w:val="center"/>
          </w:tcPr>
          <w:p w14:paraId="5071477C"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1101</w:t>
            </w:r>
          </w:p>
        </w:tc>
        <w:tc>
          <w:tcPr>
            <w:tcW w:w="1030" w:type="pct"/>
            <w:tcMar>
              <w:left w:w="108" w:type="dxa"/>
              <w:right w:w="108" w:type="dxa"/>
            </w:tcMar>
            <w:vAlign w:val="bottom"/>
          </w:tcPr>
          <w:p w14:paraId="24D02DD3"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-4.1</w:t>
            </w:r>
          </w:p>
        </w:tc>
      </w:tr>
      <w:tr w:rsidR="00C4521E" w:rsidRPr="0067297E" w14:paraId="3BF8B1B4" w14:textId="77777777" w:rsidTr="00C4521E">
        <w:tc>
          <w:tcPr>
            <w:tcW w:w="1746" w:type="pct"/>
            <w:noWrap/>
            <w:tcMar>
              <w:left w:w="108" w:type="dxa"/>
              <w:right w:w="108" w:type="dxa"/>
            </w:tcMar>
            <w:vAlign w:val="bottom"/>
          </w:tcPr>
          <w:p w14:paraId="3D22FEB5"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Sydenham</w:t>
            </w:r>
          </w:p>
        </w:tc>
        <w:tc>
          <w:tcPr>
            <w:tcW w:w="677" w:type="pct"/>
            <w:noWrap/>
            <w:tcMar>
              <w:left w:w="108" w:type="dxa"/>
              <w:right w:w="108" w:type="dxa"/>
            </w:tcMar>
            <w:vAlign w:val="center"/>
          </w:tcPr>
          <w:p w14:paraId="02924464"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1200</w:t>
            </w:r>
          </w:p>
        </w:tc>
        <w:tc>
          <w:tcPr>
            <w:tcW w:w="775" w:type="pct"/>
            <w:noWrap/>
            <w:tcMar>
              <w:left w:w="108" w:type="dxa"/>
              <w:right w:w="108" w:type="dxa"/>
            </w:tcMar>
            <w:vAlign w:val="center"/>
          </w:tcPr>
          <w:p w14:paraId="4056739D"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1248</w:t>
            </w:r>
          </w:p>
        </w:tc>
        <w:tc>
          <w:tcPr>
            <w:tcW w:w="772" w:type="pct"/>
            <w:noWrap/>
            <w:tcMar>
              <w:left w:w="108" w:type="dxa"/>
              <w:right w:w="108" w:type="dxa"/>
            </w:tcMar>
            <w:vAlign w:val="center"/>
          </w:tcPr>
          <w:p w14:paraId="4F9E2C39"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1200</w:t>
            </w:r>
          </w:p>
        </w:tc>
        <w:tc>
          <w:tcPr>
            <w:tcW w:w="1030" w:type="pct"/>
            <w:tcMar>
              <w:left w:w="108" w:type="dxa"/>
              <w:right w:w="108" w:type="dxa"/>
            </w:tcMar>
            <w:vAlign w:val="bottom"/>
          </w:tcPr>
          <w:p w14:paraId="02135D8E"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0.0</w:t>
            </w:r>
          </w:p>
        </w:tc>
      </w:tr>
      <w:tr w:rsidR="00C4521E" w:rsidRPr="0067297E" w14:paraId="6AC18E3F" w14:textId="77777777" w:rsidTr="00C4521E">
        <w:tc>
          <w:tcPr>
            <w:tcW w:w="1746" w:type="pct"/>
            <w:noWrap/>
            <w:tcMar>
              <w:left w:w="108" w:type="dxa"/>
              <w:right w:w="108" w:type="dxa"/>
            </w:tcMar>
            <w:vAlign w:val="bottom"/>
          </w:tcPr>
          <w:p w14:paraId="4EC62B2C"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Telegraph Hill</w:t>
            </w:r>
          </w:p>
        </w:tc>
        <w:tc>
          <w:tcPr>
            <w:tcW w:w="677" w:type="pct"/>
            <w:noWrap/>
            <w:tcMar>
              <w:left w:w="108" w:type="dxa"/>
              <w:right w:w="108" w:type="dxa"/>
            </w:tcMar>
            <w:vAlign w:val="center"/>
          </w:tcPr>
          <w:p w14:paraId="23730D3B"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1300</w:t>
            </w:r>
          </w:p>
        </w:tc>
        <w:tc>
          <w:tcPr>
            <w:tcW w:w="775" w:type="pct"/>
            <w:noWrap/>
            <w:tcMar>
              <w:left w:w="108" w:type="dxa"/>
              <w:right w:w="108" w:type="dxa"/>
            </w:tcMar>
            <w:vAlign w:val="center"/>
          </w:tcPr>
          <w:p w14:paraId="0FCF4689"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1300</w:t>
            </w:r>
          </w:p>
        </w:tc>
        <w:tc>
          <w:tcPr>
            <w:tcW w:w="772" w:type="pct"/>
            <w:noWrap/>
            <w:tcMar>
              <w:left w:w="108" w:type="dxa"/>
              <w:right w:w="108" w:type="dxa"/>
            </w:tcMar>
            <w:vAlign w:val="center"/>
          </w:tcPr>
          <w:p w14:paraId="1DD1AECB"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1224</w:t>
            </w:r>
          </w:p>
        </w:tc>
        <w:tc>
          <w:tcPr>
            <w:tcW w:w="1030" w:type="pct"/>
            <w:tcMar>
              <w:left w:w="108" w:type="dxa"/>
              <w:right w:w="108" w:type="dxa"/>
            </w:tcMar>
            <w:vAlign w:val="bottom"/>
          </w:tcPr>
          <w:p w14:paraId="102B5DFE"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-5.8</w:t>
            </w:r>
          </w:p>
        </w:tc>
      </w:tr>
      <w:tr w:rsidR="00C4521E" w:rsidRPr="0067297E" w14:paraId="1874CA16" w14:textId="77777777" w:rsidTr="00C4521E">
        <w:tc>
          <w:tcPr>
            <w:tcW w:w="1746" w:type="pct"/>
            <w:noWrap/>
            <w:tcMar>
              <w:left w:w="108" w:type="dxa"/>
              <w:right w:w="108" w:type="dxa"/>
            </w:tcMar>
            <w:vAlign w:val="bottom"/>
          </w:tcPr>
          <w:p w14:paraId="1E7AF0D6"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Whitefoot</w:t>
            </w:r>
          </w:p>
        </w:tc>
        <w:tc>
          <w:tcPr>
            <w:tcW w:w="677" w:type="pct"/>
            <w:noWrap/>
            <w:tcMar>
              <w:left w:w="108" w:type="dxa"/>
              <w:right w:w="108" w:type="dxa"/>
            </w:tcMar>
            <w:vAlign w:val="center"/>
          </w:tcPr>
          <w:p w14:paraId="6D76156F"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1200</w:t>
            </w:r>
          </w:p>
        </w:tc>
        <w:tc>
          <w:tcPr>
            <w:tcW w:w="775" w:type="pct"/>
            <w:noWrap/>
            <w:tcMar>
              <w:left w:w="108" w:type="dxa"/>
              <w:right w:w="108" w:type="dxa"/>
            </w:tcMar>
            <w:vAlign w:val="center"/>
          </w:tcPr>
          <w:p w14:paraId="66213F67"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1114</w:t>
            </w:r>
          </w:p>
        </w:tc>
        <w:tc>
          <w:tcPr>
            <w:tcW w:w="772" w:type="pct"/>
            <w:noWrap/>
            <w:tcMar>
              <w:left w:w="108" w:type="dxa"/>
              <w:right w:w="108" w:type="dxa"/>
            </w:tcMar>
            <w:vAlign w:val="center"/>
          </w:tcPr>
          <w:p w14:paraId="248A4AD4"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1049</w:t>
            </w:r>
          </w:p>
        </w:tc>
        <w:tc>
          <w:tcPr>
            <w:tcW w:w="1030" w:type="pct"/>
            <w:tcMar>
              <w:left w:w="108" w:type="dxa"/>
              <w:right w:w="108" w:type="dxa"/>
            </w:tcMar>
            <w:vAlign w:val="bottom"/>
          </w:tcPr>
          <w:p w14:paraId="68657CE2"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-12.6</w:t>
            </w:r>
          </w:p>
        </w:tc>
      </w:tr>
      <w:tr w:rsidR="00C4521E" w:rsidRPr="0067297E" w14:paraId="0FD55B3B" w14:textId="77777777" w:rsidTr="00C4521E">
        <w:tc>
          <w:tcPr>
            <w:tcW w:w="1746" w:type="pct"/>
            <w:noWrap/>
            <w:tcMar>
              <w:left w:w="108" w:type="dxa"/>
              <w:right w:w="108" w:type="dxa"/>
            </w:tcMar>
            <w:vAlign w:val="bottom"/>
          </w:tcPr>
          <w:p w14:paraId="53797B9E" w14:textId="77777777" w:rsidR="00C4521E" w:rsidRPr="0067297E" w:rsidRDefault="00C4521E" w:rsidP="00FA273F">
            <w:pPr>
              <w:pStyle w:val="NoSpacing"/>
              <w:rPr>
                <w:rFonts w:asciiTheme="minorHAnsi" w:hAnsiTheme="minorHAnsi" w:cs="Calibri"/>
                <w:color w:val="000000"/>
              </w:rPr>
            </w:pPr>
            <w:r w:rsidRPr="0067297E">
              <w:rPr>
                <w:rFonts w:asciiTheme="minorHAnsi" w:hAnsiTheme="minorHAnsi" w:cs="Calibri"/>
                <w:color w:val="000000"/>
              </w:rPr>
              <w:t>Lewisham</w:t>
            </w:r>
          </w:p>
        </w:tc>
        <w:tc>
          <w:tcPr>
            <w:tcW w:w="677" w:type="pct"/>
            <w:noWrap/>
            <w:tcMar>
              <w:left w:w="108" w:type="dxa"/>
              <w:right w:w="108" w:type="dxa"/>
            </w:tcMar>
            <w:vAlign w:val="center"/>
          </w:tcPr>
          <w:p w14:paraId="76883D21"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1248</w:t>
            </w:r>
          </w:p>
        </w:tc>
        <w:tc>
          <w:tcPr>
            <w:tcW w:w="775" w:type="pct"/>
            <w:noWrap/>
            <w:tcMar>
              <w:left w:w="108" w:type="dxa"/>
              <w:right w:w="108" w:type="dxa"/>
            </w:tcMar>
            <w:vAlign w:val="center"/>
          </w:tcPr>
          <w:p w14:paraId="639E07EF"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1300</w:t>
            </w:r>
          </w:p>
        </w:tc>
        <w:tc>
          <w:tcPr>
            <w:tcW w:w="772" w:type="pct"/>
            <w:noWrap/>
            <w:tcMar>
              <w:left w:w="108" w:type="dxa"/>
              <w:right w:w="108" w:type="dxa"/>
            </w:tcMar>
            <w:vAlign w:val="center"/>
          </w:tcPr>
          <w:p w14:paraId="40A339DC"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1248</w:t>
            </w:r>
          </w:p>
        </w:tc>
        <w:tc>
          <w:tcPr>
            <w:tcW w:w="1030" w:type="pct"/>
            <w:tcMar>
              <w:left w:w="108" w:type="dxa"/>
              <w:right w:w="108" w:type="dxa"/>
            </w:tcMar>
            <w:vAlign w:val="bottom"/>
          </w:tcPr>
          <w:p w14:paraId="50EF8530"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0.0</w:t>
            </w:r>
          </w:p>
        </w:tc>
      </w:tr>
    </w:tbl>
    <w:p w14:paraId="0719A347" w14:textId="77777777" w:rsidR="00C4521E" w:rsidRPr="0067297E" w:rsidRDefault="00C4521E" w:rsidP="00543A76">
      <w:pPr>
        <w:rPr>
          <w:rFonts w:asciiTheme="minorHAnsi" w:hAnsiTheme="minorHAnsi"/>
          <w:sz w:val="20"/>
          <w:szCs w:val="20"/>
        </w:rPr>
      </w:pPr>
      <w:r w:rsidRPr="0067297E">
        <w:rPr>
          <w:rFonts w:asciiTheme="minorHAnsi" w:hAnsiTheme="minorHAnsi"/>
          <w:sz w:val="20"/>
          <w:szCs w:val="20"/>
        </w:rPr>
        <w:t>Source: Zoopla</w:t>
      </w:r>
    </w:p>
    <w:p w14:paraId="7D99A126" w14:textId="77777777" w:rsidR="00C4521E" w:rsidRPr="0067297E" w:rsidRDefault="00C4521E" w:rsidP="00543A76">
      <w:pPr>
        <w:rPr>
          <w:rFonts w:asciiTheme="minorHAnsi" w:hAnsiTheme="minorHAnsi"/>
        </w:rPr>
      </w:pPr>
    </w:p>
    <w:p w14:paraId="09C81E27" w14:textId="283A73F6"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Table 5.2 shows the median rent levels for apartments let in each </w:t>
      </w:r>
      <w:r w:rsidR="00272814" w:rsidRPr="0067297E">
        <w:rPr>
          <w:rFonts w:asciiTheme="minorHAnsi" w:hAnsiTheme="minorHAnsi"/>
          <w:lang w:val="en-GB"/>
        </w:rPr>
        <w:t xml:space="preserve">ward </w:t>
      </w:r>
      <w:r w:rsidRPr="0067297E">
        <w:rPr>
          <w:rFonts w:asciiTheme="minorHAnsi" w:hAnsiTheme="minorHAnsi"/>
        </w:rPr>
        <w:t>for the three years 201</w:t>
      </w:r>
      <w:r w:rsidR="00B61903" w:rsidRPr="0067297E">
        <w:rPr>
          <w:rFonts w:asciiTheme="minorHAnsi" w:hAnsiTheme="minorHAnsi"/>
          <w:lang w:val="en-GB"/>
        </w:rPr>
        <w:t>5</w:t>
      </w:r>
      <w:r w:rsidRPr="0067297E">
        <w:rPr>
          <w:rFonts w:asciiTheme="minorHAnsi" w:hAnsiTheme="minorHAnsi"/>
        </w:rPr>
        <w:t>-201</w:t>
      </w:r>
      <w:r w:rsidR="00B61903" w:rsidRPr="0067297E">
        <w:rPr>
          <w:rFonts w:asciiTheme="minorHAnsi" w:hAnsiTheme="minorHAnsi"/>
          <w:lang w:val="en-GB"/>
        </w:rPr>
        <w:t>7</w:t>
      </w:r>
      <w:r w:rsidRPr="0067297E">
        <w:rPr>
          <w:rFonts w:asciiTheme="minorHAnsi" w:hAnsiTheme="minorHAnsi"/>
        </w:rPr>
        <w:t xml:space="preserve">. It then shows the percentage change in rents for this period. </w:t>
      </w:r>
    </w:p>
    <w:p w14:paraId="5D396EA5" w14:textId="657F609C"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The median rent for apartments let in Lewisham in 2017 was </w:t>
      </w:r>
      <w:r w:rsidRPr="0067297E">
        <w:rPr>
          <w:rFonts w:asciiTheme="minorHAnsi" w:hAnsiTheme="minorHAnsi"/>
          <w:shd w:val="clear" w:color="auto" w:fill="FFFFFF"/>
        </w:rPr>
        <w:t>£1,200pcm</w:t>
      </w:r>
      <w:r w:rsidRPr="0067297E">
        <w:rPr>
          <w:rFonts w:asciiTheme="minorHAnsi" w:hAnsiTheme="minorHAnsi"/>
        </w:rPr>
        <w:t>, slightly lower than the borough median. Over the past 3 years, apartment median rent levels have remained static</w:t>
      </w:r>
      <w:r w:rsidR="00B61903" w:rsidRPr="0067297E">
        <w:rPr>
          <w:rFonts w:asciiTheme="minorHAnsi" w:hAnsiTheme="minorHAnsi"/>
          <w:lang w:val="en-GB"/>
        </w:rPr>
        <w:t>.</w:t>
      </w:r>
    </w:p>
    <w:p w14:paraId="7F569DC8" w14:textId="2DD303A1" w:rsidR="0002512B" w:rsidRPr="0067297E" w:rsidRDefault="0002512B">
      <w:pPr>
        <w:rPr>
          <w:rFonts w:asciiTheme="minorHAnsi" w:hAnsiTheme="minorHAnsi"/>
          <w:lang w:val="x-none"/>
        </w:rPr>
      </w:pPr>
      <w:r w:rsidRPr="0067297E">
        <w:rPr>
          <w:rFonts w:asciiTheme="minorHAnsi" w:hAnsiTheme="minorHAnsi"/>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0A0" w:firstRow="1" w:lastRow="0" w:firstColumn="1" w:lastColumn="0" w:noHBand="0" w:noVBand="0"/>
      </w:tblPr>
      <w:tblGrid>
        <w:gridCol w:w="3207"/>
        <w:gridCol w:w="1243"/>
        <w:gridCol w:w="1423"/>
        <w:gridCol w:w="1418"/>
        <w:gridCol w:w="1891"/>
      </w:tblGrid>
      <w:tr w:rsidR="00C4521E" w:rsidRPr="0067297E" w14:paraId="6C27D3C9" w14:textId="77777777" w:rsidTr="00FD050C">
        <w:trPr>
          <w:tblHeader/>
        </w:trPr>
        <w:tc>
          <w:tcPr>
            <w:tcW w:w="5000" w:type="pct"/>
            <w:gridSpan w:val="5"/>
            <w:shd w:val="clear" w:color="auto" w:fill="009999"/>
            <w:tcMar>
              <w:left w:w="108" w:type="dxa"/>
              <w:right w:w="108" w:type="dxa"/>
            </w:tcMar>
            <w:vAlign w:val="center"/>
          </w:tcPr>
          <w:p w14:paraId="38F00CCD" w14:textId="77777777" w:rsidR="00C4521E" w:rsidRPr="0067297E" w:rsidRDefault="00C4521E" w:rsidP="001B5150">
            <w:pPr>
              <w:pStyle w:val="tableheading"/>
              <w:rPr>
                <w:rFonts w:asciiTheme="minorHAnsi" w:hAnsiTheme="minorHAnsi"/>
              </w:rPr>
            </w:pPr>
            <w:bookmarkStart w:id="746" w:name="_Toc400488714"/>
            <w:bookmarkStart w:id="747" w:name="_Toc23151214"/>
            <w:r w:rsidRPr="0067297E">
              <w:rPr>
                <w:rFonts w:asciiTheme="minorHAnsi" w:hAnsiTheme="minorHAnsi"/>
              </w:rPr>
              <w:t>Table 5.2</w:t>
            </w:r>
            <w:r w:rsidRPr="0067297E">
              <w:rPr>
                <w:rFonts w:asciiTheme="minorHAnsi" w:hAnsiTheme="minorHAnsi"/>
              </w:rPr>
              <w:tab/>
              <w:t>Average rent levels for apartments let by ward 2015-201</w:t>
            </w:r>
            <w:bookmarkEnd w:id="746"/>
            <w:r w:rsidRPr="0067297E">
              <w:rPr>
                <w:rFonts w:asciiTheme="minorHAnsi" w:hAnsiTheme="minorHAnsi"/>
              </w:rPr>
              <w:t>7</w:t>
            </w:r>
            <w:bookmarkEnd w:id="747"/>
          </w:p>
        </w:tc>
      </w:tr>
      <w:tr w:rsidR="00C4521E" w:rsidRPr="0067297E" w14:paraId="0A389762" w14:textId="77777777" w:rsidTr="00C4521E">
        <w:tc>
          <w:tcPr>
            <w:tcW w:w="1746" w:type="pct"/>
            <w:shd w:val="clear" w:color="auto" w:fill="009999"/>
            <w:tcMar>
              <w:left w:w="108" w:type="dxa"/>
              <w:right w:w="108" w:type="dxa"/>
            </w:tcMar>
            <w:vAlign w:val="center"/>
          </w:tcPr>
          <w:p w14:paraId="4EF4B284" w14:textId="77777777" w:rsidR="00C4521E" w:rsidRPr="0067297E" w:rsidRDefault="00C4521E" w:rsidP="00FA273F">
            <w:pP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Ward</w:t>
            </w:r>
          </w:p>
        </w:tc>
        <w:tc>
          <w:tcPr>
            <w:tcW w:w="677" w:type="pct"/>
            <w:shd w:val="clear" w:color="auto" w:fill="009999"/>
            <w:tcMar>
              <w:left w:w="108" w:type="dxa"/>
              <w:right w:w="108" w:type="dxa"/>
            </w:tcMar>
            <w:vAlign w:val="bottom"/>
          </w:tcPr>
          <w:p w14:paraId="1C714C65"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2015 £pcm</w:t>
            </w:r>
          </w:p>
        </w:tc>
        <w:tc>
          <w:tcPr>
            <w:tcW w:w="775" w:type="pct"/>
            <w:shd w:val="clear" w:color="auto" w:fill="009999"/>
            <w:tcMar>
              <w:left w:w="108" w:type="dxa"/>
              <w:right w:w="108" w:type="dxa"/>
            </w:tcMar>
            <w:vAlign w:val="bottom"/>
          </w:tcPr>
          <w:p w14:paraId="418C7B62"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2016 £pcm</w:t>
            </w:r>
          </w:p>
        </w:tc>
        <w:tc>
          <w:tcPr>
            <w:tcW w:w="772" w:type="pct"/>
            <w:shd w:val="clear" w:color="auto" w:fill="009999"/>
            <w:tcMar>
              <w:left w:w="108" w:type="dxa"/>
              <w:right w:w="108" w:type="dxa"/>
            </w:tcMar>
            <w:vAlign w:val="bottom"/>
          </w:tcPr>
          <w:p w14:paraId="45663D63"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2017 £pcm</w:t>
            </w:r>
          </w:p>
        </w:tc>
        <w:tc>
          <w:tcPr>
            <w:tcW w:w="1030" w:type="pct"/>
            <w:shd w:val="clear" w:color="auto" w:fill="009999"/>
            <w:tcMar>
              <w:left w:w="108" w:type="dxa"/>
              <w:right w:w="108" w:type="dxa"/>
            </w:tcMar>
            <w:vAlign w:val="bottom"/>
          </w:tcPr>
          <w:p w14:paraId="7E4DD02F"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 change  2015-2017</w:t>
            </w:r>
          </w:p>
        </w:tc>
      </w:tr>
      <w:tr w:rsidR="00C4521E" w:rsidRPr="0067297E" w14:paraId="1FDC86F2" w14:textId="77777777" w:rsidTr="00C4521E">
        <w:tc>
          <w:tcPr>
            <w:tcW w:w="1746" w:type="pct"/>
            <w:noWrap/>
            <w:tcMar>
              <w:left w:w="108" w:type="dxa"/>
              <w:right w:w="108" w:type="dxa"/>
            </w:tcMar>
            <w:vAlign w:val="bottom"/>
          </w:tcPr>
          <w:p w14:paraId="38144B44" w14:textId="77777777" w:rsidR="00C4521E" w:rsidRPr="0067297E" w:rsidRDefault="00C4521E" w:rsidP="00FA273F">
            <w:pPr>
              <w:rPr>
                <w:rFonts w:asciiTheme="minorHAnsi" w:hAnsiTheme="minorHAnsi" w:cs="Calibri"/>
                <w:color w:val="000000"/>
                <w:sz w:val="22"/>
                <w:szCs w:val="22"/>
                <w:lang w:eastAsia="en-GB"/>
              </w:rPr>
            </w:pPr>
            <w:r w:rsidRPr="0067297E">
              <w:rPr>
                <w:rFonts w:asciiTheme="minorHAnsi" w:hAnsiTheme="minorHAnsi" w:cs="Calibri"/>
                <w:color w:val="000000"/>
                <w:sz w:val="22"/>
                <w:szCs w:val="22"/>
              </w:rPr>
              <w:t>Bellingham</w:t>
            </w:r>
          </w:p>
        </w:tc>
        <w:tc>
          <w:tcPr>
            <w:tcW w:w="677" w:type="pct"/>
            <w:noWrap/>
            <w:tcMar>
              <w:left w:w="108" w:type="dxa"/>
              <w:right w:w="108" w:type="dxa"/>
            </w:tcMar>
            <w:vAlign w:val="center"/>
          </w:tcPr>
          <w:p w14:paraId="7D98402C" w14:textId="77777777" w:rsidR="00C4521E" w:rsidRPr="0067297E" w:rsidRDefault="00C4521E" w:rsidP="00FA273F">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1049</w:t>
            </w:r>
          </w:p>
        </w:tc>
        <w:tc>
          <w:tcPr>
            <w:tcW w:w="775" w:type="pct"/>
            <w:noWrap/>
            <w:tcMar>
              <w:left w:w="108" w:type="dxa"/>
              <w:right w:w="108" w:type="dxa"/>
            </w:tcMar>
            <w:vAlign w:val="center"/>
          </w:tcPr>
          <w:p w14:paraId="54E2DB5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1127</w:t>
            </w:r>
          </w:p>
        </w:tc>
        <w:tc>
          <w:tcPr>
            <w:tcW w:w="772" w:type="pct"/>
            <w:noWrap/>
            <w:tcMar>
              <w:left w:w="108" w:type="dxa"/>
              <w:right w:w="108" w:type="dxa"/>
            </w:tcMar>
            <w:vAlign w:val="center"/>
          </w:tcPr>
          <w:p w14:paraId="1E0535C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1101</w:t>
            </w:r>
          </w:p>
        </w:tc>
        <w:tc>
          <w:tcPr>
            <w:tcW w:w="1030" w:type="pct"/>
            <w:tcMar>
              <w:left w:w="108" w:type="dxa"/>
              <w:right w:w="108" w:type="dxa"/>
            </w:tcMar>
            <w:vAlign w:val="bottom"/>
          </w:tcPr>
          <w:p w14:paraId="48EBF9D7" w14:textId="77777777" w:rsidR="00C4521E" w:rsidRPr="0067297E" w:rsidRDefault="00C4521E" w:rsidP="00FA273F">
            <w:pPr>
              <w:jc w:val="center"/>
              <w:rPr>
                <w:rFonts w:asciiTheme="minorHAnsi" w:hAnsiTheme="minorHAnsi" w:cs="Calibri"/>
                <w:sz w:val="22"/>
                <w:szCs w:val="22"/>
                <w:lang w:eastAsia="en-GB"/>
              </w:rPr>
            </w:pPr>
            <w:r w:rsidRPr="0067297E">
              <w:rPr>
                <w:rFonts w:asciiTheme="minorHAnsi" w:hAnsiTheme="minorHAnsi" w:cs="Calibri"/>
                <w:color w:val="000000"/>
                <w:sz w:val="22"/>
                <w:szCs w:val="22"/>
              </w:rPr>
              <w:t>5.0</w:t>
            </w:r>
          </w:p>
        </w:tc>
      </w:tr>
      <w:tr w:rsidR="00C4521E" w:rsidRPr="0067297E" w14:paraId="69BAD5E0" w14:textId="77777777" w:rsidTr="00C4521E">
        <w:tc>
          <w:tcPr>
            <w:tcW w:w="1746" w:type="pct"/>
            <w:noWrap/>
            <w:tcMar>
              <w:left w:w="108" w:type="dxa"/>
              <w:right w:w="108" w:type="dxa"/>
            </w:tcMar>
            <w:vAlign w:val="bottom"/>
          </w:tcPr>
          <w:p w14:paraId="6A31C395"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Blackheath</w:t>
            </w:r>
          </w:p>
        </w:tc>
        <w:tc>
          <w:tcPr>
            <w:tcW w:w="677" w:type="pct"/>
            <w:noWrap/>
            <w:tcMar>
              <w:left w:w="108" w:type="dxa"/>
              <w:right w:w="108" w:type="dxa"/>
            </w:tcMar>
            <w:vAlign w:val="center"/>
          </w:tcPr>
          <w:p w14:paraId="12292AE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775" w:type="pct"/>
            <w:noWrap/>
            <w:tcMar>
              <w:left w:w="108" w:type="dxa"/>
              <w:right w:w="108" w:type="dxa"/>
            </w:tcMar>
            <w:vAlign w:val="center"/>
          </w:tcPr>
          <w:p w14:paraId="505EEE5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772" w:type="pct"/>
            <w:noWrap/>
            <w:tcMar>
              <w:left w:w="108" w:type="dxa"/>
              <w:right w:w="108" w:type="dxa"/>
            </w:tcMar>
            <w:vAlign w:val="center"/>
          </w:tcPr>
          <w:p w14:paraId="64E9D84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1030" w:type="pct"/>
            <w:tcMar>
              <w:left w:w="108" w:type="dxa"/>
              <w:right w:w="108" w:type="dxa"/>
            </w:tcMar>
            <w:vAlign w:val="bottom"/>
          </w:tcPr>
          <w:p w14:paraId="7A1A9B0A"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0.0</w:t>
            </w:r>
          </w:p>
        </w:tc>
      </w:tr>
      <w:tr w:rsidR="00C4521E" w:rsidRPr="0067297E" w14:paraId="3E57AC50" w14:textId="77777777" w:rsidTr="00C4521E">
        <w:tc>
          <w:tcPr>
            <w:tcW w:w="1746" w:type="pct"/>
            <w:noWrap/>
            <w:tcMar>
              <w:left w:w="108" w:type="dxa"/>
              <w:right w:w="108" w:type="dxa"/>
            </w:tcMar>
            <w:vAlign w:val="bottom"/>
          </w:tcPr>
          <w:p w14:paraId="3FABED55"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Brockley</w:t>
            </w:r>
          </w:p>
        </w:tc>
        <w:tc>
          <w:tcPr>
            <w:tcW w:w="677" w:type="pct"/>
            <w:noWrap/>
            <w:tcMar>
              <w:left w:w="108" w:type="dxa"/>
              <w:right w:w="108" w:type="dxa"/>
            </w:tcMar>
            <w:vAlign w:val="center"/>
          </w:tcPr>
          <w:p w14:paraId="41BCB27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1296</w:t>
            </w:r>
          </w:p>
        </w:tc>
        <w:tc>
          <w:tcPr>
            <w:tcW w:w="775" w:type="pct"/>
            <w:noWrap/>
            <w:tcMar>
              <w:left w:w="108" w:type="dxa"/>
              <w:right w:w="108" w:type="dxa"/>
            </w:tcMar>
            <w:vAlign w:val="center"/>
          </w:tcPr>
          <w:p w14:paraId="7F1852B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772" w:type="pct"/>
            <w:noWrap/>
            <w:tcMar>
              <w:left w:w="108" w:type="dxa"/>
              <w:right w:w="108" w:type="dxa"/>
            </w:tcMar>
            <w:vAlign w:val="center"/>
          </w:tcPr>
          <w:p w14:paraId="632AAA4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1248</w:t>
            </w:r>
          </w:p>
        </w:tc>
        <w:tc>
          <w:tcPr>
            <w:tcW w:w="1030" w:type="pct"/>
            <w:tcMar>
              <w:left w:w="108" w:type="dxa"/>
              <w:right w:w="108" w:type="dxa"/>
            </w:tcMar>
            <w:vAlign w:val="bottom"/>
          </w:tcPr>
          <w:p w14:paraId="76D401D8"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-3.7</w:t>
            </w:r>
          </w:p>
        </w:tc>
      </w:tr>
      <w:tr w:rsidR="00C4521E" w:rsidRPr="0067297E" w14:paraId="1C6AC245" w14:textId="77777777" w:rsidTr="00C4521E">
        <w:tc>
          <w:tcPr>
            <w:tcW w:w="1746" w:type="pct"/>
            <w:noWrap/>
            <w:tcMar>
              <w:left w:w="108" w:type="dxa"/>
              <w:right w:w="108" w:type="dxa"/>
            </w:tcMar>
            <w:vAlign w:val="bottom"/>
          </w:tcPr>
          <w:p w14:paraId="447A41D1"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Catford South</w:t>
            </w:r>
          </w:p>
        </w:tc>
        <w:tc>
          <w:tcPr>
            <w:tcW w:w="677" w:type="pct"/>
            <w:noWrap/>
            <w:tcMar>
              <w:left w:w="108" w:type="dxa"/>
              <w:right w:w="108" w:type="dxa"/>
            </w:tcMar>
            <w:vAlign w:val="center"/>
          </w:tcPr>
          <w:p w14:paraId="213BD71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1096</w:t>
            </w:r>
          </w:p>
        </w:tc>
        <w:tc>
          <w:tcPr>
            <w:tcW w:w="775" w:type="pct"/>
            <w:noWrap/>
            <w:tcMar>
              <w:left w:w="108" w:type="dxa"/>
              <w:right w:w="108" w:type="dxa"/>
            </w:tcMar>
            <w:vAlign w:val="center"/>
          </w:tcPr>
          <w:p w14:paraId="0FB6E02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1001</w:t>
            </w:r>
          </w:p>
        </w:tc>
        <w:tc>
          <w:tcPr>
            <w:tcW w:w="772" w:type="pct"/>
            <w:noWrap/>
            <w:tcMar>
              <w:left w:w="108" w:type="dxa"/>
              <w:right w:w="108" w:type="dxa"/>
            </w:tcMar>
            <w:vAlign w:val="center"/>
          </w:tcPr>
          <w:p w14:paraId="75C2E3E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1049</w:t>
            </w:r>
          </w:p>
        </w:tc>
        <w:tc>
          <w:tcPr>
            <w:tcW w:w="1030" w:type="pct"/>
            <w:tcMar>
              <w:left w:w="108" w:type="dxa"/>
              <w:right w:w="108" w:type="dxa"/>
            </w:tcMar>
            <w:vAlign w:val="bottom"/>
          </w:tcPr>
          <w:p w14:paraId="50AD1E28"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-4.3</w:t>
            </w:r>
          </w:p>
        </w:tc>
      </w:tr>
      <w:tr w:rsidR="00C4521E" w:rsidRPr="0067297E" w14:paraId="487ED78F" w14:textId="77777777" w:rsidTr="00C4521E">
        <w:tc>
          <w:tcPr>
            <w:tcW w:w="1746" w:type="pct"/>
            <w:noWrap/>
            <w:tcMar>
              <w:left w:w="108" w:type="dxa"/>
              <w:right w:w="108" w:type="dxa"/>
            </w:tcMar>
            <w:vAlign w:val="bottom"/>
          </w:tcPr>
          <w:p w14:paraId="46AB8D75"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Crofton Park</w:t>
            </w:r>
          </w:p>
        </w:tc>
        <w:tc>
          <w:tcPr>
            <w:tcW w:w="677" w:type="pct"/>
            <w:noWrap/>
            <w:tcMar>
              <w:left w:w="108" w:type="dxa"/>
              <w:right w:w="108" w:type="dxa"/>
            </w:tcMar>
            <w:vAlign w:val="center"/>
          </w:tcPr>
          <w:p w14:paraId="3E5EAAC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1183</w:t>
            </w:r>
          </w:p>
        </w:tc>
        <w:tc>
          <w:tcPr>
            <w:tcW w:w="775" w:type="pct"/>
            <w:noWrap/>
            <w:tcMar>
              <w:left w:w="108" w:type="dxa"/>
              <w:right w:w="108" w:type="dxa"/>
            </w:tcMar>
            <w:vAlign w:val="center"/>
          </w:tcPr>
          <w:p w14:paraId="50CA760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1235</w:t>
            </w:r>
          </w:p>
        </w:tc>
        <w:tc>
          <w:tcPr>
            <w:tcW w:w="772" w:type="pct"/>
            <w:noWrap/>
            <w:tcMar>
              <w:left w:w="108" w:type="dxa"/>
              <w:right w:w="108" w:type="dxa"/>
            </w:tcMar>
            <w:vAlign w:val="center"/>
          </w:tcPr>
          <w:p w14:paraId="021DB27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1030" w:type="pct"/>
            <w:tcMar>
              <w:left w:w="108" w:type="dxa"/>
              <w:right w:w="108" w:type="dxa"/>
            </w:tcMar>
            <w:vAlign w:val="bottom"/>
          </w:tcPr>
          <w:p w14:paraId="48538E17"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1.4</w:t>
            </w:r>
          </w:p>
        </w:tc>
      </w:tr>
      <w:tr w:rsidR="00C4521E" w:rsidRPr="0067297E" w14:paraId="41196579" w14:textId="77777777" w:rsidTr="00C4521E">
        <w:tc>
          <w:tcPr>
            <w:tcW w:w="1746" w:type="pct"/>
            <w:noWrap/>
            <w:tcMar>
              <w:left w:w="108" w:type="dxa"/>
              <w:right w:w="108" w:type="dxa"/>
            </w:tcMar>
            <w:vAlign w:val="bottom"/>
          </w:tcPr>
          <w:p w14:paraId="45205334"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Downham</w:t>
            </w:r>
          </w:p>
        </w:tc>
        <w:tc>
          <w:tcPr>
            <w:tcW w:w="677" w:type="pct"/>
            <w:noWrap/>
            <w:tcMar>
              <w:left w:w="108" w:type="dxa"/>
              <w:right w:w="108" w:type="dxa"/>
            </w:tcMar>
            <w:vAlign w:val="center"/>
          </w:tcPr>
          <w:p w14:paraId="0424CBF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949</w:t>
            </w:r>
          </w:p>
        </w:tc>
        <w:tc>
          <w:tcPr>
            <w:tcW w:w="775" w:type="pct"/>
            <w:noWrap/>
            <w:tcMar>
              <w:left w:w="108" w:type="dxa"/>
              <w:right w:w="108" w:type="dxa"/>
            </w:tcMar>
            <w:vAlign w:val="center"/>
          </w:tcPr>
          <w:p w14:paraId="12B1363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1049</w:t>
            </w:r>
          </w:p>
        </w:tc>
        <w:tc>
          <w:tcPr>
            <w:tcW w:w="772" w:type="pct"/>
            <w:noWrap/>
            <w:tcMar>
              <w:left w:w="108" w:type="dxa"/>
              <w:right w:w="108" w:type="dxa"/>
            </w:tcMar>
            <w:vAlign w:val="center"/>
          </w:tcPr>
          <w:p w14:paraId="3379CF5F"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1125</w:t>
            </w:r>
          </w:p>
        </w:tc>
        <w:tc>
          <w:tcPr>
            <w:tcW w:w="1030" w:type="pct"/>
            <w:tcMar>
              <w:left w:w="108" w:type="dxa"/>
              <w:right w:w="108" w:type="dxa"/>
            </w:tcMar>
            <w:vAlign w:val="bottom"/>
          </w:tcPr>
          <w:p w14:paraId="63153EDC"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18.5</w:t>
            </w:r>
          </w:p>
        </w:tc>
      </w:tr>
      <w:tr w:rsidR="00C4521E" w:rsidRPr="0067297E" w14:paraId="16BF668F" w14:textId="77777777" w:rsidTr="00C4521E">
        <w:tc>
          <w:tcPr>
            <w:tcW w:w="1746" w:type="pct"/>
            <w:noWrap/>
            <w:tcMar>
              <w:left w:w="108" w:type="dxa"/>
              <w:right w:w="108" w:type="dxa"/>
            </w:tcMar>
            <w:vAlign w:val="bottom"/>
          </w:tcPr>
          <w:p w14:paraId="0656ADD9"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Evelyn</w:t>
            </w:r>
          </w:p>
        </w:tc>
        <w:tc>
          <w:tcPr>
            <w:tcW w:w="677" w:type="pct"/>
            <w:noWrap/>
            <w:tcMar>
              <w:left w:w="108" w:type="dxa"/>
              <w:right w:w="108" w:type="dxa"/>
            </w:tcMar>
            <w:vAlign w:val="center"/>
          </w:tcPr>
          <w:p w14:paraId="46581DF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1430</w:t>
            </w:r>
          </w:p>
        </w:tc>
        <w:tc>
          <w:tcPr>
            <w:tcW w:w="775" w:type="pct"/>
            <w:noWrap/>
            <w:tcMar>
              <w:left w:w="108" w:type="dxa"/>
              <w:right w:w="108" w:type="dxa"/>
            </w:tcMar>
            <w:vAlign w:val="center"/>
          </w:tcPr>
          <w:p w14:paraId="3D829F8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1517</w:t>
            </w:r>
          </w:p>
        </w:tc>
        <w:tc>
          <w:tcPr>
            <w:tcW w:w="772" w:type="pct"/>
            <w:noWrap/>
            <w:tcMar>
              <w:left w:w="108" w:type="dxa"/>
              <w:right w:w="108" w:type="dxa"/>
            </w:tcMar>
            <w:vAlign w:val="center"/>
          </w:tcPr>
          <w:p w14:paraId="572E5E6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1400</w:t>
            </w:r>
          </w:p>
        </w:tc>
        <w:tc>
          <w:tcPr>
            <w:tcW w:w="1030" w:type="pct"/>
            <w:tcMar>
              <w:left w:w="108" w:type="dxa"/>
              <w:right w:w="108" w:type="dxa"/>
            </w:tcMar>
            <w:vAlign w:val="bottom"/>
          </w:tcPr>
          <w:p w14:paraId="28E93C6A"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-2.1</w:t>
            </w:r>
          </w:p>
        </w:tc>
      </w:tr>
      <w:tr w:rsidR="00C4521E" w:rsidRPr="0067297E" w14:paraId="6FFE2346" w14:textId="77777777" w:rsidTr="00C4521E">
        <w:tc>
          <w:tcPr>
            <w:tcW w:w="1746" w:type="pct"/>
            <w:noWrap/>
            <w:tcMar>
              <w:left w:w="108" w:type="dxa"/>
              <w:right w:w="108" w:type="dxa"/>
            </w:tcMar>
            <w:vAlign w:val="bottom"/>
          </w:tcPr>
          <w:p w14:paraId="47CE2A54"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Forest Hill</w:t>
            </w:r>
          </w:p>
        </w:tc>
        <w:tc>
          <w:tcPr>
            <w:tcW w:w="677" w:type="pct"/>
            <w:noWrap/>
            <w:tcMar>
              <w:left w:w="108" w:type="dxa"/>
              <w:right w:w="108" w:type="dxa"/>
            </w:tcMar>
            <w:vAlign w:val="center"/>
          </w:tcPr>
          <w:p w14:paraId="4B3AC31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1148</w:t>
            </w:r>
          </w:p>
        </w:tc>
        <w:tc>
          <w:tcPr>
            <w:tcW w:w="775" w:type="pct"/>
            <w:noWrap/>
            <w:tcMar>
              <w:left w:w="108" w:type="dxa"/>
              <w:right w:w="108" w:type="dxa"/>
            </w:tcMar>
            <w:vAlign w:val="center"/>
          </w:tcPr>
          <w:p w14:paraId="285A21E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772" w:type="pct"/>
            <w:noWrap/>
            <w:tcMar>
              <w:left w:w="108" w:type="dxa"/>
              <w:right w:w="108" w:type="dxa"/>
            </w:tcMar>
            <w:vAlign w:val="center"/>
          </w:tcPr>
          <w:p w14:paraId="24D302F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1196</w:t>
            </w:r>
          </w:p>
        </w:tc>
        <w:tc>
          <w:tcPr>
            <w:tcW w:w="1030" w:type="pct"/>
            <w:tcMar>
              <w:left w:w="108" w:type="dxa"/>
              <w:right w:w="108" w:type="dxa"/>
            </w:tcMar>
            <w:vAlign w:val="bottom"/>
          </w:tcPr>
          <w:p w14:paraId="4E24AC98"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4.2</w:t>
            </w:r>
          </w:p>
        </w:tc>
      </w:tr>
      <w:tr w:rsidR="00C4521E" w:rsidRPr="0067297E" w14:paraId="0E66330D" w14:textId="77777777" w:rsidTr="00C4521E">
        <w:tc>
          <w:tcPr>
            <w:tcW w:w="1746" w:type="pct"/>
            <w:noWrap/>
            <w:tcMar>
              <w:left w:w="108" w:type="dxa"/>
              <w:right w:w="108" w:type="dxa"/>
            </w:tcMar>
            <w:vAlign w:val="bottom"/>
          </w:tcPr>
          <w:p w14:paraId="039C2F64"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Grove Park</w:t>
            </w:r>
          </w:p>
        </w:tc>
        <w:tc>
          <w:tcPr>
            <w:tcW w:w="677" w:type="pct"/>
            <w:noWrap/>
            <w:tcMar>
              <w:left w:w="108" w:type="dxa"/>
              <w:right w:w="108" w:type="dxa"/>
            </w:tcMar>
            <w:vAlign w:val="center"/>
          </w:tcPr>
          <w:p w14:paraId="19D2C5A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1101</w:t>
            </w:r>
          </w:p>
        </w:tc>
        <w:tc>
          <w:tcPr>
            <w:tcW w:w="775" w:type="pct"/>
            <w:noWrap/>
            <w:tcMar>
              <w:left w:w="108" w:type="dxa"/>
              <w:right w:w="108" w:type="dxa"/>
            </w:tcMar>
            <w:vAlign w:val="center"/>
          </w:tcPr>
          <w:p w14:paraId="45F5659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1148</w:t>
            </w:r>
          </w:p>
        </w:tc>
        <w:tc>
          <w:tcPr>
            <w:tcW w:w="772" w:type="pct"/>
            <w:noWrap/>
            <w:tcMar>
              <w:left w:w="108" w:type="dxa"/>
              <w:right w:w="108" w:type="dxa"/>
            </w:tcMar>
            <w:vAlign w:val="center"/>
          </w:tcPr>
          <w:p w14:paraId="72474E7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1049</w:t>
            </w:r>
          </w:p>
        </w:tc>
        <w:tc>
          <w:tcPr>
            <w:tcW w:w="1030" w:type="pct"/>
            <w:tcMar>
              <w:left w:w="108" w:type="dxa"/>
              <w:right w:w="108" w:type="dxa"/>
            </w:tcMar>
            <w:vAlign w:val="bottom"/>
          </w:tcPr>
          <w:p w14:paraId="3499E154"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-4.7</w:t>
            </w:r>
          </w:p>
        </w:tc>
      </w:tr>
      <w:tr w:rsidR="00C4521E" w:rsidRPr="0067297E" w14:paraId="63CED832" w14:textId="77777777" w:rsidTr="00C4521E">
        <w:tc>
          <w:tcPr>
            <w:tcW w:w="1746" w:type="pct"/>
            <w:noWrap/>
            <w:tcMar>
              <w:left w:w="108" w:type="dxa"/>
              <w:right w:w="108" w:type="dxa"/>
            </w:tcMar>
            <w:vAlign w:val="bottom"/>
          </w:tcPr>
          <w:p w14:paraId="01C143E8"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Ladywell</w:t>
            </w:r>
          </w:p>
        </w:tc>
        <w:tc>
          <w:tcPr>
            <w:tcW w:w="677" w:type="pct"/>
            <w:noWrap/>
            <w:tcMar>
              <w:left w:w="108" w:type="dxa"/>
              <w:right w:w="108" w:type="dxa"/>
            </w:tcMar>
            <w:vAlign w:val="center"/>
          </w:tcPr>
          <w:p w14:paraId="6E56C80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1248</w:t>
            </w:r>
          </w:p>
        </w:tc>
        <w:tc>
          <w:tcPr>
            <w:tcW w:w="775" w:type="pct"/>
            <w:noWrap/>
            <w:tcMar>
              <w:left w:w="108" w:type="dxa"/>
              <w:right w:w="108" w:type="dxa"/>
            </w:tcMar>
            <w:vAlign w:val="center"/>
          </w:tcPr>
          <w:p w14:paraId="124405CB"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772" w:type="pct"/>
            <w:noWrap/>
            <w:tcMar>
              <w:left w:w="108" w:type="dxa"/>
              <w:right w:w="108" w:type="dxa"/>
            </w:tcMar>
            <w:vAlign w:val="center"/>
          </w:tcPr>
          <w:p w14:paraId="569EFA1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1274</w:t>
            </w:r>
          </w:p>
        </w:tc>
        <w:tc>
          <w:tcPr>
            <w:tcW w:w="1030" w:type="pct"/>
            <w:tcMar>
              <w:left w:w="108" w:type="dxa"/>
              <w:right w:w="108" w:type="dxa"/>
            </w:tcMar>
            <w:vAlign w:val="bottom"/>
          </w:tcPr>
          <w:p w14:paraId="2BEDFB4F"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2.1</w:t>
            </w:r>
          </w:p>
        </w:tc>
      </w:tr>
      <w:tr w:rsidR="00C4521E" w:rsidRPr="0067297E" w14:paraId="7D676D95" w14:textId="77777777" w:rsidTr="00C4521E">
        <w:tc>
          <w:tcPr>
            <w:tcW w:w="1746" w:type="pct"/>
            <w:noWrap/>
            <w:tcMar>
              <w:left w:w="108" w:type="dxa"/>
              <w:right w:w="108" w:type="dxa"/>
            </w:tcMar>
            <w:vAlign w:val="bottom"/>
          </w:tcPr>
          <w:p w14:paraId="1148CF7B"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Lee Green</w:t>
            </w:r>
          </w:p>
        </w:tc>
        <w:tc>
          <w:tcPr>
            <w:tcW w:w="677" w:type="pct"/>
            <w:noWrap/>
            <w:tcMar>
              <w:left w:w="108" w:type="dxa"/>
              <w:right w:w="108" w:type="dxa"/>
            </w:tcMar>
            <w:vAlign w:val="center"/>
          </w:tcPr>
          <w:p w14:paraId="314C68F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1148</w:t>
            </w:r>
          </w:p>
        </w:tc>
        <w:tc>
          <w:tcPr>
            <w:tcW w:w="775" w:type="pct"/>
            <w:noWrap/>
            <w:tcMar>
              <w:left w:w="108" w:type="dxa"/>
              <w:right w:w="108" w:type="dxa"/>
            </w:tcMar>
            <w:vAlign w:val="center"/>
          </w:tcPr>
          <w:p w14:paraId="5B62B56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772" w:type="pct"/>
            <w:noWrap/>
            <w:tcMar>
              <w:left w:w="108" w:type="dxa"/>
              <w:right w:w="108" w:type="dxa"/>
            </w:tcMar>
            <w:vAlign w:val="center"/>
          </w:tcPr>
          <w:p w14:paraId="74D6E23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1030" w:type="pct"/>
            <w:tcMar>
              <w:left w:w="108" w:type="dxa"/>
              <w:right w:w="108" w:type="dxa"/>
            </w:tcMar>
            <w:vAlign w:val="bottom"/>
          </w:tcPr>
          <w:p w14:paraId="72B0A2EE"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4.5</w:t>
            </w:r>
          </w:p>
        </w:tc>
      </w:tr>
      <w:tr w:rsidR="00C4521E" w:rsidRPr="0067297E" w14:paraId="251DE77F" w14:textId="77777777" w:rsidTr="00C4521E">
        <w:tc>
          <w:tcPr>
            <w:tcW w:w="1746" w:type="pct"/>
            <w:noWrap/>
            <w:tcMar>
              <w:left w:w="108" w:type="dxa"/>
              <w:right w:w="108" w:type="dxa"/>
            </w:tcMar>
            <w:vAlign w:val="bottom"/>
          </w:tcPr>
          <w:p w14:paraId="03E3E757"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Lewisham Central</w:t>
            </w:r>
          </w:p>
        </w:tc>
        <w:tc>
          <w:tcPr>
            <w:tcW w:w="677" w:type="pct"/>
            <w:noWrap/>
            <w:tcMar>
              <w:left w:w="108" w:type="dxa"/>
              <w:right w:w="108" w:type="dxa"/>
            </w:tcMar>
            <w:vAlign w:val="center"/>
          </w:tcPr>
          <w:p w14:paraId="592EB1F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1213</w:t>
            </w:r>
          </w:p>
        </w:tc>
        <w:tc>
          <w:tcPr>
            <w:tcW w:w="775" w:type="pct"/>
            <w:noWrap/>
            <w:tcMar>
              <w:left w:w="108" w:type="dxa"/>
              <w:right w:w="108" w:type="dxa"/>
            </w:tcMar>
            <w:vAlign w:val="center"/>
          </w:tcPr>
          <w:p w14:paraId="6F6E6E3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1248</w:t>
            </w:r>
          </w:p>
        </w:tc>
        <w:tc>
          <w:tcPr>
            <w:tcW w:w="772" w:type="pct"/>
            <w:noWrap/>
            <w:tcMar>
              <w:left w:w="108" w:type="dxa"/>
              <w:right w:w="108" w:type="dxa"/>
            </w:tcMar>
            <w:vAlign w:val="center"/>
          </w:tcPr>
          <w:p w14:paraId="7A879FE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1248</w:t>
            </w:r>
          </w:p>
        </w:tc>
        <w:tc>
          <w:tcPr>
            <w:tcW w:w="1030" w:type="pct"/>
            <w:tcMar>
              <w:left w:w="108" w:type="dxa"/>
              <w:right w:w="108" w:type="dxa"/>
            </w:tcMar>
            <w:vAlign w:val="bottom"/>
          </w:tcPr>
          <w:p w14:paraId="400F46DA"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2.9</w:t>
            </w:r>
          </w:p>
        </w:tc>
      </w:tr>
      <w:tr w:rsidR="00C4521E" w:rsidRPr="0067297E" w14:paraId="06687C58" w14:textId="77777777" w:rsidTr="00C4521E">
        <w:tc>
          <w:tcPr>
            <w:tcW w:w="1746" w:type="pct"/>
            <w:noWrap/>
            <w:tcMar>
              <w:left w:w="108" w:type="dxa"/>
              <w:right w:w="108" w:type="dxa"/>
            </w:tcMar>
            <w:vAlign w:val="bottom"/>
          </w:tcPr>
          <w:p w14:paraId="0746C5DD"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New Cross</w:t>
            </w:r>
          </w:p>
        </w:tc>
        <w:tc>
          <w:tcPr>
            <w:tcW w:w="677" w:type="pct"/>
            <w:noWrap/>
            <w:tcMar>
              <w:left w:w="108" w:type="dxa"/>
              <w:right w:w="108" w:type="dxa"/>
            </w:tcMar>
            <w:vAlign w:val="center"/>
          </w:tcPr>
          <w:p w14:paraId="412150C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1096</w:t>
            </w:r>
          </w:p>
        </w:tc>
        <w:tc>
          <w:tcPr>
            <w:tcW w:w="775" w:type="pct"/>
            <w:noWrap/>
            <w:tcMar>
              <w:left w:w="108" w:type="dxa"/>
              <w:right w:w="108" w:type="dxa"/>
            </w:tcMar>
            <w:vAlign w:val="center"/>
          </w:tcPr>
          <w:p w14:paraId="3624C38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1148</w:t>
            </w:r>
          </w:p>
        </w:tc>
        <w:tc>
          <w:tcPr>
            <w:tcW w:w="772" w:type="pct"/>
            <w:noWrap/>
            <w:tcMar>
              <w:left w:w="108" w:type="dxa"/>
              <w:right w:w="108" w:type="dxa"/>
            </w:tcMar>
            <w:vAlign w:val="center"/>
          </w:tcPr>
          <w:p w14:paraId="3B6EC93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1101</w:t>
            </w:r>
          </w:p>
        </w:tc>
        <w:tc>
          <w:tcPr>
            <w:tcW w:w="1030" w:type="pct"/>
            <w:tcMar>
              <w:left w:w="108" w:type="dxa"/>
              <w:right w:w="108" w:type="dxa"/>
            </w:tcMar>
            <w:vAlign w:val="bottom"/>
          </w:tcPr>
          <w:p w14:paraId="242A50BF"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0.5</w:t>
            </w:r>
          </w:p>
        </w:tc>
      </w:tr>
      <w:tr w:rsidR="00C4521E" w:rsidRPr="0067297E" w14:paraId="7E4B2E6F" w14:textId="77777777" w:rsidTr="00C4521E">
        <w:tc>
          <w:tcPr>
            <w:tcW w:w="1746" w:type="pct"/>
            <w:noWrap/>
            <w:tcMar>
              <w:left w:w="108" w:type="dxa"/>
              <w:right w:w="108" w:type="dxa"/>
            </w:tcMar>
            <w:vAlign w:val="bottom"/>
          </w:tcPr>
          <w:p w14:paraId="7176DDFC"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Perry Vale</w:t>
            </w:r>
          </w:p>
        </w:tc>
        <w:tc>
          <w:tcPr>
            <w:tcW w:w="677" w:type="pct"/>
            <w:noWrap/>
            <w:tcMar>
              <w:left w:w="108" w:type="dxa"/>
              <w:right w:w="108" w:type="dxa"/>
            </w:tcMar>
            <w:vAlign w:val="center"/>
          </w:tcPr>
          <w:p w14:paraId="782EF83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775" w:type="pct"/>
            <w:noWrap/>
            <w:tcMar>
              <w:left w:w="108" w:type="dxa"/>
              <w:right w:w="108" w:type="dxa"/>
            </w:tcMar>
            <w:vAlign w:val="center"/>
          </w:tcPr>
          <w:p w14:paraId="3CF556EF"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1248</w:t>
            </w:r>
          </w:p>
        </w:tc>
        <w:tc>
          <w:tcPr>
            <w:tcW w:w="772" w:type="pct"/>
            <w:noWrap/>
            <w:tcMar>
              <w:left w:w="108" w:type="dxa"/>
              <w:right w:w="108" w:type="dxa"/>
            </w:tcMar>
            <w:vAlign w:val="center"/>
          </w:tcPr>
          <w:p w14:paraId="2B14D98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1030" w:type="pct"/>
            <w:tcMar>
              <w:left w:w="108" w:type="dxa"/>
              <w:right w:w="108" w:type="dxa"/>
            </w:tcMar>
            <w:vAlign w:val="bottom"/>
          </w:tcPr>
          <w:p w14:paraId="59E9ED8D"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0.0</w:t>
            </w:r>
          </w:p>
        </w:tc>
      </w:tr>
      <w:tr w:rsidR="00C4521E" w:rsidRPr="0067297E" w14:paraId="778EE2E9" w14:textId="77777777" w:rsidTr="00C4521E">
        <w:tc>
          <w:tcPr>
            <w:tcW w:w="1746" w:type="pct"/>
            <w:noWrap/>
            <w:tcMar>
              <w:left w:w="108" w:type="dxa"/>
              <w:right w:w="108" w:type="dxa"/>
            </w:tcMar>
            <w:vAlign w:val="bottom"/>
          </w:tcPr>
          <w:p w14:paraId="25414DF7"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Rushey Green</w:t>
            </w:r>
          </w:p>
        </w:tc>
        <w:tc>
          <w:tcPr>
            <w:tcW w:w="677" w:type="pct"/>
            <w:noWrap/>
            <w:tcMar>
              <w:left w:w="108" w:type="dxa"/>
              <w:right w:w="108" w:type="dxa"/>
            </w:tcMar>
            <w:vAlign w:val="center"/>
          </w:tcPr>
          <w:p w14:paraId="5558B71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1148</w:t>
            </w:r>
          </w:p>
        </w:tc>
        <w:tc>
          <w:tcPr>
            <w:tcW w:w="775" w:type="pct"/>
            <w:noWrap/>
            <w:tcMar>
              <w:left w:w="108" w:type="dxa"/>
              <w:right w:w="108" w:type="dxa"/>
            </w:tcMar>
            <w:vAlign w:val="center"/>
          </w:tcPr>
          <w:p w14:paraId="4775270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1101</w:t>
            </w:r>
          </w:p>
        </w:tc>
        <w:tc>
          <w:tcPr>
            <w:tcW w:w="772" w:type="pct"/>
            <w:noWrap/>
            <w:tcMar>
              <w:left w:w="108" w:type="dxa"/>
              <w:right w:w="108" w:type="dxa"/>
            </w:tcMar>
            <w:vAlign w:val="center"/>
          </w:tcPr>
          <w:p w14:paraId="7467156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1044</w:t>
            </w:r>
          </w:p>
        </w:tc>
        <w:tc>
          <w:tcPr>
            <w:tcW w:w="1030" w:type="pct"/>
            <w:tcMar>
              <w:left w:w="108" w:type="dxa"/>
              <w:right w:w="108" w:type="dxa"/>
            </w:tcMar>
            <w:vAlign w:val="bottom"/>
          </w:tcPr>
          <w:p w14:paraId="31ADE74A"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-9.1</w:t>
            </w:r>
          </w:p>
        </w:tc>
      </w:tr>
      <w:tr w:rsidR="00C4521E" w:rsidRPr="0067297E" w14:paraId="33738AE1" w14:textId="77777777" w:rsidTr="00C4521E">
        <w:tc>
          <w:tcPr>
            <w:tcW w:w="1746" w:type="pct"/>
            <w:noWrap/>
            <w:tcMar>
              <w:left w:w="108" w:type="dxa"/>
              <w:right w:w="108" w:type="dxa"/>
            </w:tcMar>
            <w:vAlign w:val="bottom"/>
          </w:tcPr>
          <w:p w14:paraId="3FA40D77"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Sydenham</w:t>
            </w:r>
          </w:p>
        </w:tc>
        <w:tc>
          <w:tcPr>
            <w:tcW w:w="677" w:type="pct"/>
            <w:noWrap/>
            <w:tcMar>
              <w:left w:w="108" w:type="dxa"/>
              <w:right w:w="108" w:type="dxa"/>
            </w:tcMar>
            <w:vAlign w:val="center"/>
          </w:tcPr>
          <w:p w14:paraId="13A55BC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775" w:type="pct"/>
            <w:noWrap/>
            <w:tcMar>
              <w:left w:w="108" w:type="dxa"/>
              <w:right w:w="108" w:type="dxa"/>
            </w:tcMar>
            <w:vAlign w:val="center"/>
          </w:tcPr>
          <w:p w14:paraId="49BEE16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772" w:type="pct"/>
            <w:noWrap/>
            <w:tcMar>
              <w:left w:w="108" w:type="dxa"/>
              <w:right w:w="108" w:type="dxa"/>
            </w:tcMar>
            <w:vAlign w:val="center"/>
          </w:tcPr>
          <w:p w14:paraId="3ADAB6F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1172</w:t>
            </w:r>
          </w:p>
        </w:tc>
        <w:tc>
          <w:tcPr>
            <w:tcW w:w="1030" w:type="pct"/>
            <w:tcMar>
              <w:left w:w="108" w:type="dxa"/>
              <w:right w:w="108" w:type="dxa"/>
            </w:tcMar>
            <w:vAlign w:val="bottom"/>
          </w:tcPr>
          <w:p w14:paraId="73A8F2B2"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-2.3</w:t>
            </w:r>
          </w:p>
        </w:tc>
      </w:tr>
      <w:tr w:rsidR="00C4521E" w:rsidRPr="0067297E" w14:paraId="480DEE86" w14:textId="77777777" w:rsidTr="00C4521E">
        <w:tc>
          <w:tcPr>
            <w:tcW w:w="1746" w:type="pct"/>
            <w:noWrap/>
            <w:tcMar>
              <w:left w:w="108" w:type="dxa"/>
              <w:right w:w="108" w:type="dxa"/>
            </w:tcMar>
            <w:vAlign w:val="bottom"/>
          </w:tcPr>
          <w:p w14:paraId="72A3A916"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Telegraph Hill</w:t>
            </w:r>
          </w:p>
        </w:tc>
        <w:tc>
          <w:tcPr>
            <w:tcW w:w="677" w:type="pct"/>
            <w:noWrap/>
            <w:tcMar>
              <w:left w:w="108" w:type="dxa"/>
              <w:right w:w="108" w:type="dxa"/>
            </w:tcMar>
            <w:vAlign w:val="center"/>
          </w:tcPr>
          <w:p w14:paraId="0B9A988C"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1274</w:t>
            </w:r>
          </w:p>
        </w:tc>
        <w:tc>
          <w:tcPr>
            <w:tcW w:w="775" w:type="pct"/>
            <w:noWrap/>
            <w:tcMar>
              <w:left w:w="108" w:type="dxa"/>
              <w:right w:w="108" w:type="dxa"/>
            </w:tcMar>
            <w:vAlign w:val="center"/>
          </w:tcPr>
          <w:p w14:paraId="44DAE789"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1248</w:t>
            </w:r>
          </w:p>
        </w:tc>
        <w:tc>
          <w:tcPr>
            <w:tcW w:w="772" w:type="pct"/>
            <w:noWrap/>
            <w:tcMar>
              <w:left w:w="108" w:type="dxa"/>
              <w:right w:w="108" w:type="dxa"/>
            </w:tcMar>
            <w:vAlign w:val="center"/>
          </w:tcPr>
          <w:p w14:paraId="1CF140D9"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1200</w:t>
            </w:r>
          </w:p>
        </w:tc>
        <w:tc>
          <w:tcPr>
            <w:tcW w:w="1030" w:type="pct"/>
            <w:tcMar>
              <w:left w:w="108" w:type="dxa"/>
              <w:right w:w="108" w:type="dxa"/>
            </w:tcMar>
            <w:vAlign w:val="bottom"/>
          </w:tcPr>
          <w:p w14:paraId="6E5182A5"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-5.8</w:t>
            </w:r>
          </w:p>
        </w:tc>
      </w:tr>
      <w:tr w:rsidR="00C4521E" w:rsidRPr="0067297E" w14:paraId="4FB2A446" w14:textId="77777777" w:rsidTr="00C4521E">
        <w:tc>
          <w:tcPr>
            <w:tcW w:w="1746" w:type="pct"/>
            <w:noWrap/>
            <w:tcMar>
              <w:left w:w="108" w:type="dxa"/>
              <w:right w:w="108" w:type="dxa"/>
            </w:tcMar>
            <w:vAlign w:val="bottom"/>
          </w:tcPr>
          <w:p w14:paraId="59846AD0"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Whitefoot</w:t>
            </w:r>
          </w:p>
        </w:tc>
        <w:tc>
          <w:tcPr>
            <w:tcW w:w="677" w:type="pct"/>
            <w:noWrap/>
            <w:tcMar>
              <w:left w:w="108" w:type="dxa"/>
              <w:right w:w="108" w:type="dxa"/>
            </w:tcMar>
            <w:vAlign w:val="center"/>
          </w:tcPr>
          <w:p w14:paraId="48028920"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975</w:t>
            </w:r>
          </w:p>
        </w:tc>
        <w:tc>
          <w:tcPr>
            <w:tcW w:w="775" w:type="pct"/>
            <w:noWrap/>
            <w:tcMar>
              <w:left w:w="108" w:type="dxa"/>
              <w:right w:w="108" w:type="dxa"/>
            </w:tcMar>
            <w:vAlign w:val="center"/>
          </w:tcPr>
          <w:p w14:paraId="2453691E"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997</w:t>
            </w:r>
          </w:p>
        </w:tc>
        <w:tc>
          <w:tcPr>
            <w:tcW w:w="772" w:type="pct"/>
            <w:noWrap/>
            <w:tcMar>
              <w:left w:w="108" w:type="dxa"/>
              <w:right w:w="108" w:type="dxa"/>
            </w:tcMar>
            <w:vAlign w:val="center"/>
          </w:tcPr>
          <w:p w14:paraId="2EF46B3B"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color w:val="000000"/>
                <w:sz w:val="22"/>
                <w:szCs w:val="22"/>
              </w:rPr>
              <w:t>901</w:t>
            </w:r>
          </w:p>
        </w:tc>
        <w:tc>
          <w:tcPr>
            <w:tcW w:w="1030" w:type="pct"/>
            <w:tcMar>
              <w:left w:w="108" w:type="dxa"/>
              <w:right w:w="108" w:type="dxa"/>
            </w:tcMar>
            <w:vAlign w:val="bottom"/>
          </w:tcPr>
          <w:p w14:paraId="71C28D46"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color w:val="000000"/>
                <w:sz w:val="22"/>
                <w:szCs w:val="22"/>
              </w:rPr>
              <w:t>-7.6</w:t>
            </w:r>
          </w:p>
        </w:tc>
      </w:tr>
      <w:tr w:rsidR="00C4521E" w:rsidRPr="0067297E" w14:paraId="68C51E09" w14:textId="77777777" w:rsidTr="00C4521E">
        <w:tc>
          <w:tcPr>
            <w:tcW w:w="1746" w:type="pct"/>
            <w:noWrap/>
            <w:tcMar>
              <w:left w:w="108" w:type="dxa"/>
              <w:right w:w="108" w:type="dxa"/>
            </w:tcMar>
            <w:vAlign w:val="bottom"/>
          </w:tcPr>
          <w:p w14:paraId="1354F65C" w14:textId="77777777" w:rsidR="00C4521E" w:rsidRPr="0067297E" w:rsidRDefault="00C4521E" w:rsidP="00FA273F">
            <w:pPr>
              <w:pStyle w:val="NoSpacing"/>
              <w:rPr>
                <w:rFonts w:asciiTheme="minorHAnsi" w:hAnsiTheme="minorHAnsi" w:cs="Calibri"/>
                <w:b/>
                <w:color w:val="000000"/>
              </w:rPr>
            </w:pPr>
            <w:r w:rsidRPr="0067297E">
              <w:rPr>
                <w:rFonts w:asciiTheme="minorHAnsi" w:hAnsiTheme="minorHAnsi" w:cs="Calibri"/>
                <w:b/>
                <w:color w:val="000000"/>
              </w:rPr>
              <w:t>Lewisham</w:t>
            </w:r>
          </w:p>
        </w:tc>
        <w:tc>
          <w:tcPr>
            <w:tcW w:w="677" w:type="pct"/>
            <w:noWrap/>
            <w:tcMar>
              <w:left w:w="108" w:type="dxa"/>
              <w:right w:w="108" w:type="dxa"/>
            </w:tcMar>
            <w:vAlign w:val="center"/>
          </w:tcPr>
          <w:p w14:paraId="3D7BF499"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b/>
                <w:color w:val="000000"/>
                <w:sz w:val="22"/>
                <w:szCs w:val="22"/>
              </w:rPr>
              <w:t>1200</w:t>
            </w:r>
          </w:p>
        </w:tc>
        <w:tc>
          <w:tcPr>
            <w:tcW w:w="775" w:type="pct"/>
            <w:noWrap/>
            <w:tcMar>
              <w:left w:w="108" w:type="dxa"/>
              <w:right w:w="108" w:type="dxa"/>
            </w:tcMar>
            <w:vAlign w:val="center"/>
          </w:tcPr>
          <w:p w14:paraId="57636EDE"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b/>
                <w:color w:val="000000"/>
                <w:sz w:val="22"/>
                <w:szCs w:val="22"/>
              </w:rPr>
              <w:t>1248</w:t>
            </w:r>
          </w:p>
        </w:tc>
        <w:tc>
          <w:tcPr>
            <w:tcW w:w="772" w:type="pct"/>
            <w:noWrap/>
            <w:tcMar>
              <w:left w:w="108" w:type="dxa"/>
              <w:right w:w="108" w:type="dxa"/>
            </w:tcMar>
            <w:vAlign w:val="center"/>
          </w:tcPr>
          <w:p w14:paraId="1CA119F6" w14:textId="77777777" w:rsidR="00C4521E" w:rsidRPr="0067297E" w:rsidRDefault="00C4521E" w:rsidP="00FA273F">
            <w:pPr>
              <w:jc w:val="center"/>
              <w:rPr>
                <w:rFonts w:asciiTheme="minorHAnsi" w:hAnsiTheme="minorHAnsi" w:cs="Calibri"/>
                <w:b/>
                <w:color w:val="000000"/>
                <w:sz w:val="22"/>
                <w:szCs w:val="22"/>
              </w:rPr>
            </w:pPr>
            <w:r w:rsidRPr="0067297E">
              <w:rPr>
                <w:rFonts w:asciiTheme="minorHAnsi" w:hAnsiTheme="minorHAnsi" w:cs="Calibri"/>
                <w:b/>
                <w:color w:val="000000"/>
                <w:sz w:val="22"/>
                <w:szCs w:val="22"/>
              </w:rPr>
              <w:t>1200</w:t>
            </w:r>
          </w:p>
        </w:tc>
        <w:tc>
          <w:tcPr>
            <w:tcW w:w="1030" w:type="pct"/>
            <w:tcMar>
              <w:left w:w="108" w:type="dxa"/>
              <w:right w:w="108" w:type="dxa"/>
            </w:tcMar>
            <w:vAlign w:val="bottom"/>
          </w:tcPr>
          <w:p w14:paraId="6B6DA7A4"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b/>
                <w:color w:val="000000"/>
                <w:sz w:val="22"/>
                <w:szCs w:val="22"/>
              </w:rPr>
              <w:t>0.0</w:t>
            </w:r>
          </w:p>
        </w:tc>
      </w:tr>
    </w:tbl>
    <w:p w14:paraId="6D1E28FE" w14:textId="77777777" w:rsidR="00C4521E" w:rsidRPr="0067297E" w:rsidRDefault="00C4521E" w:rsidP="00543A76">
      <w:pPr>
        <w:rPr>
          <w:rFonts w:asciiTheme="minorHAnsi" w:hAnsiTheme="minorHAnsi"/>
          <w:sz w:val="20"/>
          <w:szCs w:val="20"/>
        </w:rPr>
      </w:pPr>
      <w:r w:rsidRPr="0067297E">
        <w:rPr>
          <w:rFonts w:asciiTheme="minorHAnsi" w:hAnsiTheme="minorHAnsi"/>
          <w:sz w:val="20"/>
          <w:szCs w:val="20"/>
        </w:rPr>
        <w:t>Source: Zoopla</w:t>
      </w:r>
    </w:p>
    <w:p w14:paraId="39177D6D" w14:textId="77777777" w:rsidR="00C4521E" w:rsidRPr="0067297E" w:rsidRDefault="00C4521E" w:rsidP="00FA273F">
      <w:pPr>
        <w:pStyle w:val="Reporttext"/>
        <w:numPr>
          <w:ilvl w:val="0"/>
          <w:numId w:val="0"/>
        </w:numPr>
        <w:ind w:left="709"/>
        <w:rPr>
          <w:rFonts w:asciiTheme="minorHAnsi" w:hAnsiTheme="minorHAnsi"/>
        </w:rPr>
      </w:pPr>
    </w:p>
    <w:p w14:paraId="5533A0D4"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Table 5.3 shows the median rent levels for houses let in each ward for the three years 2015-2017. It then shows the percentage change in rents for this period. </w:t>
      </w:r>
    </w:p>
    <w:p w14:paraId="38ADC3E0"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The mean rent for houses let in Lewisham in 2017 was </w:t>
      </w:r>
      <w:r w:rsidRPr="0067297E">
        <w:rPr>
          <w:rFonts w:asciiTheme="minorHAnsi" w:hAnsiTheme="minorHAnsi"/>
          <w:shd w:val="clear" w:color="auto" w:fill="FFFFFF"/>
        </w:rPr>
        <w:t>£1,452pcm</w:t>
      </w:r>
      <w:r w:rsidRPr="0067297E">
        <w:rPr>
          <w:rFonts w:asciiTheme="minorHAnsi" w:hAnsiTheme="minorHAnsi"/>
        </w:rPr>
        <w:t>.</w:t>
      </w:r>
    </w:p>
    <w:p w14:paraId="7D404090" w14:textId="15F6891B" w:rsidR="0002512B" w:rsidRPr="0067297E" w:rsidRDefault="0002512B">
      <w:pPr>
        <w:rPr>
          <w:rFonts w:asciiTheme="minorHAnsi" w:hAnsiTheme="minorHAnsi"/>
          <w:lang w:val="x-none"/>
        </w:rPr>
      </w:pPr>
      <w:r w:rsidRPr="0067297E">
        <w:rPr>
          <w:rFonts w:asciiTheme="minorHAnsi" w:hAnsiTheme="minorHAnsi"/>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0A0" w:firstRow="1" w:lastRow="0" w:firstColumn="1" w:lastColumn="0" w:noHBand="0" w:noVBand="0"/>
      </w:tblPr>
      <w:tblGrid>
        <w:gridCol w:w="3207"/>
        <w:gridCol w:w="1243"/>
        <w:gridCol w:w="1423"/>
        <w:gridCol w:w="1418"/>
        <w:gridCol w:w="1891"/>
      </w:tblGrid>
      <w:tr w:rsidR="00C4521E" w:rsidRPr="0067297E" w14:paraId="1E270B77" w14:textId="77777777" w:rsidTr="00FD050C">
        <w:trPr>
          <w:tblHeader/>
        </w:trPr>
        <w:tc>
          <w:tcPr>
            <w:tcW w:w="5000" w:type="pct"/>
            <w:gridSpan w:val="5"/>
            <w:shd w:val="clear" w:color="auto" w:fill="009999"/>
            <w:tcMar>
              <w:left w:w="108" w:type="dxa"/>
              <w:right w:w="108" w:type="dxa"/>
            </w:tcMar>
            <w:vAlign w:val="center"/>
          </w:tcPr>
          <w:p w14:paraId="24F9CC80" w14:textId="77777777" w:rsidR="00C4521E" w:rsidRPr="0067297E" w:rsidRDefault="00C4521E" w:rsidP="001B5150">
            <w:pPr>
              <w:pStyle w:val="tableheading"/>
              <w:rPr>
                <w:rFonts w:asciiTheme="minorHAnsi" w:hAnsiTheme="minorHAnsi"/>
              </w:rPr>
            </w:pPr>
            <w:bookmarkStart w:id="748" w:name="_Toc23151215"/>
            <w:r w:rsidRPr="0067297E">
              <w:rPr>
                <w:rFonts w:asciiTheme="minorHAnsi" w:hAnsiTheme="minorHAnsi"/>
              </w:rPr>
              <w:t>Table 5.3</w:t>
            </w:r>
            <w:r w:rsidRPr="0067297E">
              <w:rPr>
                <w:rFonts w:asciiTheme="minorHAnsi" w:hAnsiTheme="minorHAnsi"/>
              </w:rPr>
              <w:tab/>
              <w:t>Average rent levels for houses let by ward 2015-2017</w:t>
            </w:r>
            <w:bookmarkEnd w:id="748"/>
          </w:p>
        </w:tc>
      </w:tr>
      <w:tr w:rsidR="00C4521E" w:rsidRPr="0067297E" w14:paraId="01761177" w14:textId="77777777" w:rsidTr="0002512B">
        <w:tc>
          <w:tcPr>
            <w:tcW w:w="1746" w:type="pct"/>
            <w:shd w:val="clear" w:color="auto" w:fill="009999"/>
            <w:tcMar>
              <w:left w:w="108" w:type="dxa"/>
              <w:right w:w="108" w:type="dxa"/>
            </w:tcMar>
            <w:vAlign w:val="center"/>
          </w:tcPr>
          <w:p w14:paraId="5AEF9A36" w14:textId="77777777" w:rsidR="00C4521E" w:rsidRPr="0067297E" w:rsidRDefault="00C4521E" w:rsidP="00FA273F">
            <w:pP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Ward</w:t>
            </w:r>
          </w:p>
        </w:tc>
        <w:tc>
          <w:tcPr>
            <w:tcW w:w="677" w:type="pct"/>
            <w:shd w:val="clear" w:color="auto" w:fill="009999"/>
            <w:tcMar>
              <w:left w:w="108" w:type="dxa"/>
              <w:right w:w="108" w:type="dxa"/>
            </w:tcMar>
            <w:vAlign w:val="center"/>
          </w:tcPr>
          <w:p w14:paraId="34FBFC7C"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2015 £pcm</w:t>
            </w:r>
          </w:p>
        </w:tc>
        <w:tc>
          <w:tcPr>
            <w:tcW w:w="775" w:type="pct"/>
            <w:shd w:val="clear" w:color="auto" w:fill="009999"/>
            <w:tcMar>
              <w:left w:w="108" w:type="dxa"/>
              <w:right w:w="108" w:type="dxa"/>
            </w:tcMar>
            <w:vAlign w:val="center"/>
          </w:tcPr>
          <w:p w14:paraId="4211E5FB"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2016 £pcm</w:t>
            </w:r>
          </w:p>
        </w:tc>
        <w:tc>
          <w:tcPr>
            <w:tcW w:w="772" w:type="pct"/>
            <w:shd w:val="clear" w:color="auto" w:fill="009999"/>
            <w:tcMar>
              <w:left w:w="108" w:type="dxa"/>
              <w:right w:w="108" w:type="dxa"/>
            </w:tcMar>
            <w:vAlign w:val="center"/>
          </w:tcPr>
          <w:p w14:paraId="43B0AC38"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2017 £pcm</w:t>
            </w:r>
          </w:p>
        </w:tc>
        <w:tc>
          <w:tcPr>
            <w:tcW w:w="1030" w:type="pct"/>
            <w:shd w:val="clear" w:color="auto" w:fill="009999"/>
            <w:tcMar>
              <w:left w:w="108" w:type="dxa"/>
              <w:right w:w="108" w:type="dxa"/>
            </w:tcMar>
            <w:vAlign w:val="center"/>
          </w:tcPr>
          <w:p w14:paraId="6BCBB89B" w14:textId="50D15004"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 change 2015-2017</w:t>
            </w:r>
          </w:p>
        </w:tc>
      </w:tr>
      <w:tr w:rsidR="00C4521E" w:rsidRPr="0067297E" w14:paraId="2E63BDBF" w14:textId="77777777" w:rsidTr="0002512B">
        <w:tc>
          <w:tcPr>
            <w:tcW w:w="1746" w:type="pct"/>
            <w:noWrap/>
            <w:tcMar>
              <w:left w:w="108" w:type="dxa"/>
              <w:right w:w="108" w:type="dxa"/>
            </w:tcMar>
            <w:vAlign w:val="bottom"/>
          </w:tcPr>
          <w:p w14:paraId="2988BF26" w14:textId="77777777" w:rsidR="00C4521E" w:rsidRPr="0067297E" w:rsidRDefault="00C4521E" w:rsidP="00FA273F">
            <w:pPr>
              <w:rPr>
                <w:rFonts w:asciiTheme="minorHAnsi" w:hAnsiTheme="minorHAnsi" w:cs="Calibri"/>
                <w:color w:val="000000"/>
                <w:sz w:val="22"/>
                <w:szCs w:val="22"/>
                <w:lang w:eastAsia="en-GB"/>
              </w:rPr>
            </w:pPr>
            <w:r w:rsidRPr="0067297E">
              <w:rPr>
                <w:rFonts w:asciiTheme="minorHAnsi" w:hAnsiTheme="minorHAnsi" w:cstheme="minorHAnsi"/>
                <w:color w:val="000000"/>
                <w:sz w:val="22"/>
                <w:szCs w:val="22"/>
              </w:rPr>
              <w:t>Bellingham</w:t>
            </w:r>
          </w:p>
        </w:tc>
        <w:tc>
          <w:tcPr>
            <w:tcW w:w="677" w:type="pct"/>
            <w:noWrap/>
            <w:tcMar>
              <w:left w:w="108" w:type="dxa"/>
              <w:right w:w="108" w:type="dxa"/>
            </w:tcMar>
            <w:vAlign w:val="center"/>
          </w:tcPr>
          <w:p w14:paraId="7E19E221" w14:textId="77777777" w:rsidR="00C4521E" w:rsidRPr="0067297E" w:rsidRDefault="00C4521E" w:rsidP="0002512B">
            <w:pPr>
              <w:jc w:val="center"/>
              <w:rPr>
                <w:rFonts w:asciiTheme="minorHAnsi" w:hAnsiTheme="minorHAnsi" w:cstheme="minorHAnsi"/>
                <w:color w:val="000000"/>
                <w:sz w:val="22"/>
                <w:szCs w:val="22"/>
                <w:lang w:eastAsia="en-GB"/>
              </w:rPr>
            </w:pPr>
            <w:r w:rsidRPr="0067297E">
              <w:rPr>
                <w:rFonts w:asciiTheme="minorHAnsi" w:hAnsiTheme="minorHAnsi" w:cstheme="minorHAnsi"/>
                <w:color w:val="000000"/>
                <w:sz w:val="22"/>
                <w:szCs w:val="22"/>
              </w:rPr>
              <w:t>1452</w:t>
            </w:r>
          </w:p>
        </w:tc>
        <w:tc>
          <w:tcPr>
            <w:tcW w:w="775" w:type="pct"/>
            <w:noWrap/>
            <w:tcMar>
              <w:left w:w="108" w:type="dxa"/>
              <w:right w:w="108" w:type="dxa"/>
            </w:tcMar>
            <w:vAlign w:val="center"/>
          </w:tcPr>
          <w:p w14:paraId="420502B6"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1599</w:t>
            </w:r>
          </w:p>
        </w:tc>
        <w:tc>
          <w:tcPr>
            <w:tcW w:w="772" w:type="pct"/>
            <w:noWrap/>
            <w:tcMar>
              <w:left w:w="108" w:type="dxa"/>
              <w:right w:w="108" w:type="dxa"/>
            </w:tcMar>
            <w:vAlign w:val="center"/>
          </w:tcPr>
          <w:p w14:paraId="5545E5F2"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1426</w:t>
            </w:r>
          </w:p>
        </w:tc>
        <w:tc>
          <w:tcPr>
            <w:tcW w:w="1030" w:type="pct"/>
            <w:tcMar>
              <w:left w:w="108" w:type="dxa"/>
              <w:right w:w="108" w:type="dxa"/>
            </w:tcMar>
            <w:vAlign w:val="bottom"/>
          </w:tcPr>
          <w:p w14:paraId="759348FB" w14:textId="77777777" w:rsidR="00C4521E" w:rsidRPr="0067297E" w:rsidRDefault="00C4521E" w:rsidP="0002512B">
            <w:pPr>
              <w:jc w:val="center"/>
              <w:rPr>
                <w:rFonts w:asciiTheme="minorHAnsi" w:hAnsiTheme="minorHAnsi" w:cstheme="minorHAnsi"/>
                <w:sz w:val="22"/>
                <w:szCs w:val="22"/>
                <w:lang w:eastAsia="en-GB"/>
              </w:rPr>
            </w:pPr>
            <w:r w:rsidRPr="0067297E">
              <w:rPr>
                <w:rFonts w:asciiTheme="minorHAnsi" w:hAnsiTheme="minorHAnsi" w:cstheme="minorHAnsi"/>
                <w:color w:val="000000"/>
                <w:sz w:val="22"/>
                <w:szCs w:val="22"/>
              </w:rPr>
              <w:t>-1.8</w:t>
            </w:r>
          </w:p>
        </w:tc>
      </w:tr>
      <w:tr w:rsidR="00C4521E" w:rsidRPr="0067297E" w14:paraId="72827210" w14:textId="77777777" w:rsidTr="0002512B">
        <w:tc>
          <w:tcPr>
            <w:tcW w:w="1746" w:type="pct"/>
            <w:noWrap/>
            <w:tcMar>
              <w:left w:w="108" w:type="dxa"/>
              <w:right w:w="108" w:type="dxa"/>
            </w:tcMar>
            <w:vAlign w:val="bottom"/>
          </w:tcPr>
          <w:p w14:paraId="437305E7"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theme="minorHAnsi"/>
                <w:color w:val="000000"/>
                <w:sz w:val="22"/>
                <w:szCs w:val="22"/>
              </w:rPr>
              <w:t>Blackheath</w:t>
            </w:r>
          </w:p>
        </w:tc>
        <w:tc>
          <w:tcPr>
            <w:tcW w:w="677" w:type="pct"/>
            <w:noWrap/>
            <w:tcMar>
              <w:left w:w="108" w:type="dxa"/>
              <w:right w:w="108" w:type="dxa"/>
            </w:tcMar>
            <w:vAlign w:val="center"/>
          </w:tcPr>
          <w:p w14:paraId="2EB64DA1"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1751</w:t>
            </w:r>
          </w:p>
        </w:tc>
        <w:tc>
          <w:tcPr>
            <w:tcW w:w="775" w:type="pct"/>
            <w:noWrap/>
            <w:tcMar>
              <w:left w:w="108" w:type="dxa"/>
              <w:right w:w="108" w:type="dxa"/>
            </w:tcMar>
            <w:vAlign w:val="center"/>
          </w:tcPr>
          <w:p w14:paraId="22CCE3BF"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1773</w:t>
            </w:r>
          </w:p>
        </w:tc>
        <w:tc>
          <w:tcPr>
            <w:tcW w:w="772" w:type="pct"/>
            <w:noWrap/>
            <w:tcMar>
              <w:left w:w="108" w:type="dxa"/>
              <w:right w:w="108" w:type="dxa"/>
            </w:tcMar>
            <w:vAlign w:val="center"/>
          </w:tcPr>
          <w:p w14:paraId="2949CA17"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1697</w:t>
            </w:r>
          </w:p>
        </w:tc>
        <w:tc>
          <w:tcPr>
            <w:tcW w:w="1030" w:type="pct"/>
            <w:tcMar>
              <w:left w:w="108" w:type="dxa"/>
              <w:right w:w="108" w:type="dxa"/>
            </w:tcMar>
            <w:vAlign w:val="bottom"/>
          </w:tcPr>
          <w:p w14:paraId="0EDA9493" w14:textId="77777777" w:rsidR="00C4521E" w:rsidRPr="0067297E" w:rsidRDefault="00C4521E" w:rsidP="0002512B">
            <w:pPr>
              <w:jc w:val="center"/>
              <w:rPr>
                <w:rFonts w:asciiTheme="minorHAnsi" w:hAnsiTheme="minorHAnsi" w:cstheme="minorHAnsi"/>
                <w:sz w:val="22"/>
                <w:szCs w:val="22"/>
              </w:rPr>
            </w:pPr>
            <w:r w:rsidRPr="0067297E">
              <w:rPr>
                <w:rFonts w:asciiTheme="minorHAnsi" w:hAnsiTheme="minorHAnsi" w:cstheme="minorHAnsi"/>
                <w:color w:val="000000"/>
                <w:sz w:val="22"/>
                <w:szCs w:val="22"/>
              </w:rPr>
              <w:t>-3.1</w:t>
            </w:r>
          </w:p>
        </w:tc>
      </w:tr>
      <w:tr w:rsidR="00C4521E" w:rsidRPr="0067297E" w14:paraId="44E16CD4" w14:textId="77777777" w:rsidTr="0002512B">
        <w:tc>
          <w:tcPr>
            <w:tcW w:w="1746" w:type="pct"/>
            <w:noWrap/>
            <w:tcMar>
              <w:left w:w="108" w:type="dxa"/>
              <w:right w:w="108" w:type="dxa"/>
            </w:tcMar>
            <w:vAlign w:val="bottom"/>
          </w:tcPr>
          <w:p w14:paraId="115EC587"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theme="minorHAnsi"/>
                <w:color w:val="000000"/>
                <w:sz w:val="22"/>
                <w:szCs w:val="22"/>
              </w:rPr>
              <w:t>Brockley</w:t>
            </w:r>
          </w:p>
        </w:tc>
        <w:tc>
          <w:tcPr>
            <w:tcW w:w="677" w:type="pct"/>
            <w:noWrap/>
            <w:tcMar>
              <w:left w:w="108" w:type="dxa"/>
              <w:right w:w="108" w:type="dxa"/>
            </w:tcMar>
            <w:vAlign w:val="center"/>
          </w:tcPr>
          <w:p w14:paraId="7BCC8D4D"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1898</w:t>
            </w:r>
          </w:p>
        </w:tc>
        <w:tc>
          <w:tcPr>
            <w:tcW w:w="775" w:type="pct"/>
            <w:noWrap/>
            <w:tcMar>
              <w:left w:w="108" w:type="dxa"/>
              <w:right w:w="108" w:type="dxa"/>
            </w:tcMar>
            <w:vAlign w:val="center"/>
          </w:tcPr>
          <w:p w14:paraId="7155CB31"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2002</w:t>
            </w:r>
          </w:p>
        </w:tc>
        <w:tc>
          <w:tcPr>
            <w:tcW w:w="772" w:type="pct"/>
            <w:noWrap/>
            <w:tcMar>
              <w:left w:w="108" w:type="dxa"/>
              <w:right w:w="108" w:type="dxa"/>
            </w:tcMar>
            <w:vAlign w:val="center"/>
          </w:tcPr>
          <w:p w14:paraId="0360F956"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2002</w:t>
            </w:r>
          </w:p>
        </w:tc>
        <w:tc>
          <w:tcPr>
            <w:tcW w:w="1030" w:type="pct"/>
            <w:tcMar>
              <w:left w:w="108" w:type="dxa"/>
              <w:right w:w="108" w:type="dxa"/>
            </w:tcMar>
            <w:vAlign w:val="bottom"/>
          </w:tcPr>
          <w:p w14:paraId="3A4A0653" w14:textId="77777777" w:rsidR="00C4521E" w:rsidRPr="0067297E" w:rsidRDefault="00C4521E" w:rsidP="0002512B">
            <w:pPr>
              <w:jc w:val="center"/>
              <w:rPr>
                <w:rFonts w:asciiTheme="minorHAnsi" w:hAnsiTheme="minorHAnsi" w:cstheme="minorHAnsi"/>
                <w:sz w:val="22"/>
                <w:szCs w:val="22"/>
              </w:rPr>
            </w:pPr>
            <w:r w:rsidRPr="0067297E">
              <w:rPr>
                <w:rFonts w:asciiTheme="minorHAnsi" w:hAnsiTheme="minorHAnsi" w:cstheme="minorHAnsi"/>
                <w:color w:val="000000"/>
                <w:sz w:val="22"/>
                <w:szCs w:val="22"/>
              </w:rPr>
              <w:t>5.5</w:t>
            </w:r>
          </w:p>
        </w:tc>
      </w:tr>
      <w:tr w:rsidR="00C4521E" w:rsidRPr="0067297E" w14:paraId="3338490A" w14:textId="77777777" w:rsidTr="0002512B">
        <w:tc>
          <w:tcPr>
            <w:tcW w:w="1746" w:type="pct"/>
            <w:noWrap/>
            <w:tcMar>
              <w:left w:w="108" w:type="dxa"/>
              <w:right w:w="108" w:type="dxa"/>
            </w:tcMar>
            <w:vAlign w:val="bottom"/>
          </w:tcPr>
          <w:p w14:paraId="1718D038"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theme="minorHAnsi"/>
                <w:color w:val="000000"/>
                <w:sz w:val="22"/>
                <w:szCs w:val="22"/>
              </w:rPr>
              <w:t>Catford South</w:t>
            </w:r>
          </w:p>
        </w:tc>
        <w:tc>
          <w:tcPr>
            <w:tcW w:w="677" w:type="pct"/>
            <w:noWrap/>
            <w:tcMar>
              <w:left w:w="108" w:type="dxa"/>
              <w:right w:w="108" w:type="dxa"/>
            </w:tcMar>
            <w:vAlign w:val="center"/>
          </w:tcPr>
          <w:p w14:paraId="2DF8A799"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1499</w:t>
            </w:r>
          </w:p>
        </w:tc>
        <w:tc>
          <w:tcPr>
            <w:tcW w:w="775" w:type="pct"/>
            <w:noWrap/>
            <w:tcMar>
              <w:left w:w="108" w:type="dxa"/>
              <w:right w:w="108" w:type="dxa"/>
            </w:tcMar>
            <w:vAlign w:val="center"/>
          </w:tcPr>
          <w:p w14:paraId="3742555A"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1499</w:t>
            </w:r>
          </w:p>
        </w:tc>
        <w:tc>
          <w:tcPr>
            <w:tcW w:w="772" w:type="pct"/>
            <w:noWrap/>
            <w:tcMar>
              <w:left w:w="108" w:type="dxa"/>
              <w:right w:w="108" w:type="dxa"/>
            </w:tcMar>
            <w:vAlign w:val="center"/>
          </w:tcPr>
          <w:p w14:paraId="06D11D17"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1426</w:t>
            </w:r>
          </w:p>
        </w:tc>
        <w:tc>
          <w:tcPr>
            <w:tcW w:w="1030" w:type="pct"/>
            <w:tcMar>
              <w:left w:w="108" w:type="dxa"/>
              <w:right w:w="108" w:type="dxa"/>
            </w:tcMar>
            <w:vAlign w:val="bottom"/>
          </w:tcPr>
          <w:p w14:paraId="1F55A219" w14:textId="77777777" w:rsidR="00C4521E" w:rsidRPr="0067297E" w:rsidRDefault="00C4521E" w:rsidP="0002512B">
            <w:pPr>
              <w:jc w:val="center"/>
              <w:rPr>
                <w:rFonts w:asciiTheme="minorHAnsi" w:hAnsiTheme="minorHAnsi" w:cstheme="minorHAnsi"/>
                <w:sz w:val="22"/>
                <w:szCs w:val="22"/>
              </w:rPr>
            </w:pPr>
            <w:r w:rsidRPr="0067297E">
              <w:rPr>
                <w:rFonts w:asciiTheme="minorHAnsi" w:hAnsiTheme="minorHAnsi" w:cstheme="minorHAnsi"/>
                <w:color w:val="000000"/>
                <w:sz w:val="22"/>
                <w:szCs w:val="22"/>
              </w:rPr>
              <w:t>-4.9</w:t>
            </w:r>
          </w:p>
        </w:tc>
      </w:tr>
      <w:tr w:rsidR="00C4521E" w:rsidRPr="0067297E" w14:paraId="0C026AF4" w14:textId="77777777" w:rsidTr="0002512B">
        <w:tc>
          <w:tcPr>
            <w:tcW w:w="1746" w:type="pct"/>
            <w:noWrap/>
            <w:tcMar>
              <w:left w:w="108" w:type="dxa"/>
              <w:right w:w="108" w:type="dxa"/>
            </w:tcMar>
            <w:vAlign w:val="bottom"/>
          </w:tcPr>
          <w:p w14:paraId="1156C1B4"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theme="minorHAnsi"/>
                <w:color w:val="000000"/>
                <w:sz w:val="22"/>
                <w:szCs w:val="22"/>
              </w:rPr>
              <w:t>Crofton Park</w:t>
            </w:r>
          </w:p>
        </w:tc>
        <w:tc>
          <w:tcPr>
            <w:tcW w:w="677" w:type="pct"/>
            <w:noWrap/>
            <w:tcMar>
              <w:left w:w="108" w:type="dxa"/>
              <w:right w:w="108" w:type="dxa"/>
            </w:tcMar>
            <w:vAlign w:val="center"/>
          </w:tcPr>
          <w:p w14:paraId="4851CB4A"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1599</w:t>
            </w:r>
          </w:p>
        </w:tc>
        <w:tc>
          <w:tcPr>
            <w:tcW w:w="775" w:type="pct"/>
            <w:noWrap/>
            <w:tcMar>
              <w:left w:w="108" w:type="dxa"/>
              <w:right w:w="108" w:type="dxa"/>
            </w:tcMar>
            <w:vAlign w:val="center"/>
          </w:tcPr>
          <w:p w14:paraId="04F0B8DE"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1699</w:t>
            </w:r>
          </w:p>
        </w:tc>
        <w:tc>
          <w:tcPr>
            <w:tcW w:w="772" w:type="pct"/>
            <w:noWrap/>
            <w:tcMar>
              <w:left w:w="108" w:type="dxa"/>
              <w:right w:w="108" w:type="dxa"/>
            </w:tcMar>
            <w:vAlign w:val="center"/>
          </w:tcPr>
          <w:p w14:paraId="21F0CE1A"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1846</w:t>
            </w:r>
          </w:p>
        </w:tc>
        <w:tc>
          <w:tcPr>
            <w:tcW w:w="1030" w:type="pct"/>
            <w:tcMar>
              <w:left w:w="108" w:type="dxa"/>
              <w:right w:w="108" w:type="dxa"/>
            </w:tcMar>
            <w:vAlign w:val="bottom"/>
          </w:tcPr>
          <w:p w14:paraId="2E1F90CA" w14:textId="77777777" w:rsidR="00C4521E" w:rsidRPr="0067297E" w:rsidRDefault="00C4521E" w:rsidP="0002512B">
            <w:pPr>
              <w:jc w:val="center"/>
              <w:rPr>
                <w:rFonts w:asciiTheme="minorHAnsi" w:hAnsiTheme="minorHAnsi" w:cstheme="minorHAnsi"/>
                <w:sz w:val="22"/>
                <w:szCs w:val="22"/>
              </w:rPr>
            </w:pPr>
            <w:r w:rsidRPr="0067297E">
              <w:rPr>
                <w:rFonts w:asciiTheme="minorHAnsi" w:hAnsiTheme="minorHAnsi" w:cstheme="minorHAnsi"/>
                <w:color w:val="000000"/>
                <w:sz w:val="22"/>
                <w:szCs w:val="22"/>
              </w:rPr>
              <w:t>15.4</w:t>
            </w:r>
          </w:p>
        </w:tc>
      </w:tr>
      <w:tr w:rsidR="00C4521E" w:rsidRPr="0067297E" w14:paraId="1F6C6C03" w14:textId="77777777" w:rsidTr="0002512B">
        <w:tc>
          <w:tcPr>
            <w:tcW w:w="1746" w:type="pct"/>
            <w:noWrap/>
            <w:tcMar>
              <w:left w:w="108" w:type="dxa"/>
              <w:right w:w="108" w:type="dxa"/>
            </w:tcMar>
            <w:vAlign w:val="bottom"/>
          </w:tcPr>
          <w:p w14:paraId="53CDD6C0"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theme="minorHAnsi"/>
                <w:color w:val="000000"/>
                <w:sz w:val="22"/>
                <w:szCs w:val="22"/>
              </w:rPr>
              <w:t>Downham</w:t>
            </w:r>
          </w:p>
        </w:tc>
        <w:tc>
          <w:tcPr>
            <w:tcW w:w="677" w:type="pct"/>
            <w:noWrap/>
            <w:tcMar>
              <w:left w:w="108" w:type="dxa"/>
              <w:right w:w="108" w:type="dxa"/>
            </w:tcMar>
            <w:vAlign w:val="center"/>
          </w:tcPr>
          <w:p w14:paraId="1AB461DD"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1248</w:t>
            </w:r>
          </w:p>
        </w:tc>
        <w:tc>
          <w:tcPr>
            <w:tcW w:w="775" w:type="pct"/>
            <w:noWrap/>
            <w:tcMar>
              <w:left w:w="108" w:type="dxa"/>
              <w:right w:w="108" w:type="dxa"/>
            </w:tcMar>
            <w:vAlign w:val="center"/>
          </w:tcPr>
          <w:p w14:paraId="151B1429"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1300</w:t>
            </w:r>
          </w:p>
        </w:tc>
        <w:tc>
          <w:tcPr>
            <w:tcW w:w="772" w:type="pct"/>
            <w:noWrap/>
            <w:tcMar>
              <w:left w:w="108" w:type="dxa"/>
              <w:right w:w="108" w:type="dxa"/>
            </w:tcMar>
            <w:vAlign w:val="center"/>
          </w:tcPr>
          <w:p w14:paraId="4AE11733"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1300</w:t>
            </w:r>
          </w:p>
        </w:tc>
        <w:tc>
          <w:tcPr>
            <w:tcW w:w="1030" w:type="pct"/>
            <w:tcMar>
              <w:left w:w="108" w:type="dxa"/>
              <w:right w:w="108" w:type="dxa"/>
            </w:tcMar>
            <w:vAlign w:val="bottom"/>
          </w:tcPr>
          <w:p w14:paraId="3843E31C" w14:textId="77777777" w:rsidR="00C4521E" w:rsidRPr="0067297E" w:rsidRDefault="00C4521E" w:rsidP="0002512B">
            <w:pPr>
              <w:jc w:val="center"/>
              <w:rPr>
                <w:rFonts w:asciiTheme="minorHAnsi" w:hAnsiTheme="minorHAnsi" w:cstheme="minorHAnsi"/>
                <w:sz w:val="22"/>
                <w:szCs w:val="22"/>
              </w:rPr>
            </w:pPr>
            <w:r w:rsidRPr="0067297E">
              <w:rPr>
                <w:rFonts w:asciiTheme="minorHAnsi" w:hAnsiTheme="minorHAnsi" w:cstheme="minorHAnsi"/>
                <w:color w:val="000000"/>
                <w:sz w:val="22"/>
                <w:szCs w:val="22"/>
              </w:rPr>
              <w:t>4.2</w:t>
            </w:r>
          </w:p>
        </w:tc>
      </w:tr>
      <w:tr w:rsidR="00C4521E" w:rsidRPr="0067297E" w14:paraId="428AD41F" w14:textId="77777777" w:rsidTr="0002512B">
        <w:tc>
          <w:tcPr>
            <w:tcW w:w="1746" w:type="pct"/>
            <w:noWrap/>
            <w:tcMar>
              <w:left w:w="108" w:type="dxa"/>
              <w:right w:w="108" w:type="dxa"/>
            </w:tcMar>
            <w:vAlign w:val="bottom"/>
          </w:tcPr>
          <w:p w14:paraId="1D786378"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theme="minorHAnsi"/>
                <w:color w:val="000000"/>
                <w:sz w:val="22"/>
                <w:szCs w:val="22"/>
              </w:rPr>
              <w:t>Evelyn</w:t>
            </w:r>
          </w:p>
        </w:tc>
        <w:tc>
          <w:tcPr>
            <w:tcW w:w="677" w:type="pct"/>
            <w:noWrap/>
            <w:tcMar>
              <w:left w:w="108" w:type="dxa"/>
              <w:right w:w="108" w:type="dxa"/>
            </w:tcMar>
            <w:vAlign w:val="center"/>
          </w:tcPr>
          <w:p w14:paraId="2E8CA4CC"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1603</w:t>
            </w:r>
          </w:p>
        </w:tc>
        <w:tc>
          <w:tcPr>
            <w:tcW w:w="775" w:type="pct"/>
            <w:noWrap/>
            <w:tcMar>
              <w:left w:w="108" w:type="dxa"/>
              <w:right w:w="108" w:type="dxa"/>
            </w:tcMar>
            <w:vAlign w:val="center"/>
          </w:tcPr>
          <w:p w14:paraId="649AF468"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1733</w:t>
            </w:r>
          </w:p>
        </w:tc>
        <w:tc>
          <w:tcPr>
            <w:tcW w:w="772" w:type="pct"/>
            <w:noWrap/>
            <w:tcMar>
              <w:left w:w="108" w:type="dxa"/>
              <w:right w:w="108" w:type="dxa"/>
            </w:tcMar>
            <w:vAlign w:val="center"/>
          </w:tcPr>
          <w:p w14:paraId="279F32DE"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826</w:t>
            </w:r>
          </w:p>
        </w:tc>
        <w:tc>
          <w:tcPr>
            <w:tcW w:w="1030" w:type="pct"/>
            <w:tcMar>
              <w:left w:w="108" w:type="dxa"/>
              <w:right w:w="108" w:type="dxa"/>
            </w:tcMar>
            <w:vAlign w:val="bottom"/>
          </w:tcPr>
          <w:p w14:paraId="216F3682" w14:textId="77777777" w:rsidR="00C4521E" w:rsidRPr="0067297E" w:rsidRDefault="00C4521E" w:rsidP="0002512B">
            <w:pPr>
              <w:jc w:val="center"/>
              <w:rPr>
                <w:rFonts w:asciiTheme="minorHAnsi" w:hAnsiTheme="minorHAnsi" w:cstheme="minorHAnsi"/>
                <w:sz w:val="22"/>
                <w:szCs w:val="22"/>
              </w:rPr>
            </w:pPr>
            <w:r w:rsidRPr="0067297E">
              <w:rPr>
                <w:rFonts w:asciiTheme="minorHAnsi" w:hAnsiTheme="minorHAnsi" w:cstheme="minorHAnsi"/>
                <w:color w:val="000000"/>
                <w:sz w:val="22"/>
                <w:szCs w:val="22"/>
              </w:rPr>
              <w:t>-48.5</w:t>
            </w:r>
          </w:p>
        </w:tc>
      </w:tr>
      <w:tr w:rsidR="00C4521E" w:rsidRPr="0067297E" w14:paraId="42841602" w14:textId="77777777" w:rsidTr="0002512B">
        <w:tc>
          <w:tcPr>
            <w:tcW w:w="1746" w:type="pct"/>
            <w:noWrap/>
            <w:tcMar>
              <w:left w:w="108" w:type="dxa"/>
              <w:right w:w="108" w:type="dxa"/>
            </w:tcMar>
            <w:vAlign w:val="bottom"/>
          </w:tcPr>
          <w:p w14:paraId="62F87A42"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theme="minorHAnsi"/>
                <w:color w:val="000000"/>
                <w:sz w:val="22"/>
                <w:szCs w:val="22"/>
              </w:rPr>
              <w:t>Forest Hill</w:t>
            </w:r>
          </w:p>
        </w:tc>
        <w:tc>
          <w:tcPr>
            <w:tcW w:w="677" w:type="pct"/>
            <w:noWrap/>
            <w:tcMar>
              <w:left w:w="108" w:type="dxa"/>
              <w:right w:w="108" w:type="dxa"/>
            </w:tcMar>
            <w:vAlign w:val="center"/>
          </w:tcPr>
          <w:p w14:paraId="71771D60"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1751</w:t>
            </w:r>
          </w:p>
        </w:tc>
        <w:tc>
          <w:tcPr>
            <w:tcW w:w="775" w:type="pct"/>
            <w:noWrap/>
            <w:tcMar>
              <w:left w:w="108" w:type="dxa"/>
              <w:right w:w="108" w:type="dxa"/>
            </w:tcMar>
            <w:vAlign w:val="center"/>
          </w:tcPr>
          <w:p w14:paraId="01AEDF32"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1749</w:t>
            </w:r>
          </w:p>
        </w:tc>
        <w:tc>
          <w:tcPr>
            <w:tcW w:w="772" w:type="pct"/>
            <w:noWrap/>
            <w:tcMar>
              <w:left w:w="108" w:type="dxa"/>
              <w:right w:w="108" w:type="dxa"/>
            </w:tcMar>
            <w:vAlign w:val="center"/>
          </w:tcPr>
          <w:p w14:paraId="2CB52342"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1595</w:t>
            </w:r>
          </w:p>
        </w:tc>
        <w:tc>
          <w:tcPr>
            <w:tcW w:w="1030" w:type="pct"/>
            <w:tcMar>
              <w:left w:w="108" w:type="dxa"/>
              <w:right w:w="108" w:type="dxa"/>
            </w:tcMar>
            <w:vAlign w:val="bottom"/>
          </w:tcPr>
          <w:p w14:paraId="3C166742" w14:textId="77777777" w:rsidR="00C4521E" w:rsidRPr="0067297E" w:rsidRDefault="00C4521E" w:rsidP="0002512B">
            <w:pPr>
              <w:jc w:val="center"/>
              <w:rPr>
                <w:rFonts w:asciiTheme="minorHAnsi" w:hAnsiTheme="minorHAnsi" w:cstheme="minorHAnsi"/>
                <w:sz w:val="22"/>
                <w:szCs w:val="22"/>
              </w:rPr>
            </w:pPr>
            <w:r w:rsidRPr="0067297E">
              <w:rPr>
                <w:rFonts w:asciiTheme="minorHAnsi" w:hAnsiTheme="minorHAnsi" w:cstheme="minorHAnsi"/>
                <w:color w:val="000000"/>
                <w:sz w:val="22"/>
                <w:szCs w:val="22"/>
              </w:rPr>
              <w:t>-8.9</w:t>
            </w:r>
          </w:p>
        </w:tc>
      </w:tr>
      <w:tr w:rsidR="00C4521E" w:rsidRPr="0067297E" w14:paraId="1F216DE4" w14:textId="77777777" w:rsidTr="0002512B">
        <w:tc>
          <w:tcPr>
            <w:tcW w:w="1746" w:type="pct"/>
            <w:noWrap/>
            <w:tcMar>
              <w:left w:w="108" w:type="dxa"/>
              <w:right w:w="108" w:type="dxa"/>
            </w:tcMar>
            <w:vAlign w:val="bottom"/>
          </w:tcPr>
          <w:p w14:paraId="604D2C0F"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theme="minorHAnsi"/>
                <w:color w:val="000000"/>
                <w:sz w:val="22"/>
                <w:szCs w:val="22"/>
              </w:rPr>
              <w:t>Grove Park</w:t>
            </w:r>
          </w:p>
        </w:tc>
        <w:tc>
          <w:tcPr>
            <w:tcW w:w="677" w:type="pct"/>
            <w:noWrap/>
            <w:tcMar>
              <w:left w:w="108" w:type="dxa"/>
              <w:right w:w="108" w:type="dxa"/>
            </w:tcMar>
            <w:vAlign w:val="center"/>
          </w:tcPr>
          <w:p w14:paraId="0BA0136B"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1326</w:t>
            </w:r>
          </w:p>
        </w:tc>
        <w:tc>
          <w:tcPr>
            <w:tcW w:w="775" w:type="pct"/>
            <w:noWrap/>
            <w:tcMar>
              <w:left w:w="108" w:type="dxa"/>
              <w:right w:w="108" w:type="dxa"/>
            </w:tcMar>
            <w:vAlign w:val="center"/>
          </w:tcPr>
          <w:p w14:paraId="1715ACCA"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1374</w:t>
            </w:r>
          </w:p>
        </w:tc>
        <w:tc>
          <w:tcPr>
            <w:tcW w:w="772" w:type="pct"/>
            <w:noWrap/>
            <w:tcMar>
              <w:left w:w="108" w:type="dxa"/>
              <w:right w:w="108" w:type="dxa"/>
            </w:tcMar>
            <w:vAlign w:val="center"/>
          </w:tcPr>
          <w:p w14:paraId="35928EB6"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1400</w:t>
            </w:r>
          </w:p>
        </w:tc>
        <w:tc>
          <w:tcPr>
            <w:tcW w:w="1030" w:type="pct"/>
            <w:tcMar>
              <w:left w:w="108" w:type="dxa"/>
              <w:right w:w="108" w:type="dxa"/>
            </w:tcMar>
            <w:vAlign w:val="bottom"/>
          </w:tcPr>
          <w:p w14:paraId="5279A0FA" w14:textId="77777777" w:rsidR="00C4521E" w:rsidRPr="0067297E" w:rsidRDefault="00C4521E" w:rsidP="0002512B">
            <w:pPr>
              <w:jc w:val="center"/>
              <w:rPr>
                <w:rFonts w:asciiTheme="minorHAnsi" w:hAnsiTheme="minorHAnsi" w:cstheme="minorHAnsi"/>
                <w:sz w:val="22"/>
                <w:szCs w:val="22"/>
              </w:rPr>
            </w:pPr>
            <w:r w:rsidRPr="0067297E">
              <w:rPr>
                <w:rFonts w:asciiTheme="minorHAnsi" w:hAnsiTheme="minorHAnsi" w:cstheme="minorHAnsi"/>
                <w:color w:val="000000"/>
                <w:sz w:val="22"/>
                <w:szCs w:val="22"/>
              </w:rPr>
              <w:t>5.6</w:t>
            </w:r>
          </w:p>
        </w:tc>
      </w:tr>
      <w:tr w:rsidR="00C4521E" w:rsidRPr="0067297E" w14:paraId="4B6D9309" w14:textId="77777777" w:rsidTr="0002512B">
        <w:tc>
          <w:tcPr>
            <w:tcW w:w="1746" w:type="pct"/>
            <w:noWrap/>
            <w:tcMar>
              <w:left w:w="108" w:type="dxa"/>
              <w:right w:w="108" w:type="dxa"/>
            </w:tcMar>
            <w:vAlign w:val="bottom"/>
          </w:tcPr>
          <w:p w14:paraId="608179DA"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theme="minorHAnsi"/>
                <w:color w:val="000000"/>
                <w:sz w:val="22"/>
                <w:szCs w:val="22"/>
              </w:rPr>
              <w:t>Ladywell</w:t>
            </w:r>
          </w:p>
        </w:tc>
        <w:tc>
          <w:tcPr>
            <w:tcW w:w="677" w:type="pct"/>
            <w:noWrap/>
            <w:tcMar>
              <w:left w:w="108" w:type="dxa"/>
              <w:right w:w="108" w:type="dxa"/>
            </w:tcMar>
            <w:vAlign w:val="center"/>
          </w:tcPr>
          <w:p w14:paraId="622C789C"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1551</w:t>
            </w:r>
          </w:p>
        </w:tc>
        <w:tc>
          <w:tcPr>
            <w:tcW w:w="775" w:type="pct"/>
            <w:noWrap/>
            <w:tcMar>
              <w:left w:w="108" w:type="dxa"/>
              <w:right w:w="108" w:type="dxa"/>
            </w:tcMar>
            <w:vAlign w:val="center"/>
          </w:tcPr>
          <w:p w14:paraId="5F1BDF66"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1599</w:t>
            </w:r>
          </w:p>
        </w:tc>
        <w:tc>
          <w:tcPr>
            <w:tcW w:w="772" w:type="pct"/>
            <w:noWrap/>
            <w:tcMar>
              <w:left w:w="108" w:type="dxa"/>
              <w:right w:w="108" w:type="dxa"/>
            </w:tcMar>
            <w:vAlign w:val="center"/>
          </w:tcPr>
          <w:p w14:paraId="4B562704"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1627</w:t>
            </w:r>
          </w:p>
        </w:tc>
        <w:tc>
          <w:tcPr>
            <w:tcW w:w="1030" w:type="pct"/>
            <w:tcMar>
              <w:left w:w="108" w:type="dxa"/>
              <w:right w:w="108" w:type="dxa"/>
            </w:tcMar>
            <w:vAlign w:val="bottom"/>
          </w:tcPr>
          <w:p w14:paraId="4323B1EC" w14:textId="77777777" w:rsidR="00C4521E" w:rsidRPr="0067297E" w:rsidRDefault="00C4521E" w:rsidP="0002512B">
            <w:pPr>
              <w:jc w:val="center"/>
              <w:rPr>
                <w:rFonts w:asciiTheme="minorHAnsi" w:hAnsiTheme="minorHAnsi" w:cstheme="minorHAnsi"/>
                <w:sz w:val="22"/>
                <w:szCs w:val="22"/>
              </w:rPr>
            </w:pPr>
            <w:r w:rsidRPr="0067297E">
              <w:rPr>
                <w:rFonts w:asciiTheme="minorHAnsi" w:hAnsiTheme="minorHAnsi" w:cstheme="minorHAnsi"/>
                <w:color w:val="000000"/>
                <w:sz w:val="22"/>
                <w:szCs w:val="22"/>
              </w:rPr>
              <w:t>4.9</w:t>
            </w:r>
          </w:p>
        </w:tc>
      </w:tr>
      <w:tr w:rsidR="00C4521E" w:rsidRPr="0067297E" w14:paraId="54404869" w14:textId="77777777" w:rsidTr="0002512B">
        <w:tc>
          <w:tcPr>
            <w:tcW w:w="1746" w:type="pct"/>
            <w:noWrap/>
            <w:tcMar>
              <w:left w:w="108" w:type="dxa"/>
              <w:right w:w="108" w:type="dxa"/>
            </w:tcMar>
            <w:vAlign w:val="bottom"/>
          </w:tcPr>
          <w:p w14:paraId="45AE941D"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theme="minorHAnsi"/>
                <w:color w:val="000000"/>
                <w:sz w:val="22"/>
                <w:szCs w:val="22"/>
              </w:rPr>
              <w:t>Lee Green</w:t>
            </w:r>
          </w:p>
        </w:tc>
        <w:tc>
          <w:tcPr>
            <w:tcW w:w="677" w:type="pct"/>
            <w:noWrap/>
            <w:tcMar>
              <w:left w:w="108" w:type="dxa"/>
              <w:right w:w="108" w:type="dxa"/>
            </w:tcMar>
            <w:vAlign w:val="center"/>
          </w:tcPr>
          <w:p w14:paraId="55750030"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1599</w:t>
            </w:r>
          </w:p>
        </w:tc>
        <w:tc>
          <w:tcPr>
            <w:tcW w:w="775" w:type="pct"/>
            <w:noWrap/>
            <w:tcMar>
              <w:left w:w="108" w:type="dxa"/>
              <w:right w:w="108" w:type="dxa"/>
            </w:tcMar>
            <w:vAlign w:val="center"/>
          </w:tcPr>
          <w:p w14:paraId="0495219C"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1599</w:t>
            </w:r>
          </w:p>
        </w:tc>
        <w:tc>
          <w:tcPr>
            <w:tcW w:w="772" w:type="pct"/>
            <w:noWrap/>
            <w:tcMar>
              <w:left w:w="108" w:type="dxa"/>
              <w:right w:w="108" w:type="dxa"/>
            </w:tcMar>
            <w:vAlign w:val="center"/>
          </w:tcPr>
          <w:p w14:paraId="68370DEC" w14:textId="77777777" w:rsidR="00C4521E" w:rsidRPr="0067297E" w:rsidRDefault="00C4521E" w:rsidP="0002512B">
            <w:pPr>
              <w:jc w:val="center"/>
              <w:rPr>
                <w:rFonts w:asciiTheme="minorHAnsi" w:hAnsiTheme="minorHAnsi" w:cstheme="minorHAnsi"/>
                <w:color w:val="000000"/>
                <w:sz w:val="22"/>
                <w:szCs w:val="22"/>
              </w:rPr>
            </w:pPr>
            <w:r w:rsidRPr="0067297E">
              <w:rPr>
                <w:rFonts w:asciiTheme="minorHAnsi" w:hAnsiTheme="minorHAnsi" w:cstheme="minorHAnsi"/>
                <w:color w:val="000000"/>
                <w:sz w:val="22"/>
                <w:szCs w:val="22"/>
              </w:rPr>
              <w:t>1499</w:t>
            </w:r>
          </w:p>
        </w:tc>
        <w:tc>
          <w:tcPr>
            <w:tcW w:w="1030" w:type="pct"/>
            <w:tcMar>
              <w:left w:w="108" w:type="dxa"/>
              <w:right w:w="108" w:type="dxa"/>
            </w:tcMar>
            <w:vAlign w:val="bottom"/>
          </w:tcPr>
          <w:p w14:paraId="231E160A" w14:textId="77777777" w:rsidR="00C4521E" w:rsidRPr="0067297E" w:rsidRDefault="00C4521E" w:rsidP="0002512B">
            <w:pPr>
              <w:jc w:val="center"/>
              <w:rPr>
                <w:rFonts w:asciiTheme="minorHAnsi" w:hAnsiTheme="minorHAnsi" w:cstheme="minorHAnsi"/>
                <w:sz w:val="22"/>
                <w:szCs w:val="22"/>
              </w:rPr>
            </w:pPr>
            <w:r w:rsidRPr="0067297E">
              <w:rPr>
                <w:rFonts w:asciiTheme="minorHAnsi" w:hAnsiTheme="minorHAnsi" w:cstheme="minorHAnsi"/>
                <w:color w:val="000000"/>
                <w:sz w:val="22"/>
                <w:szCs w:val="22"/>
              </w:rPr>
              <w:t>-6.3</w:t>
            </w:r>
          </w:p>
        </w:tc>
      </w:tr>
      <w:tr w:rsidR="00C4521E" w:rsidRPr="0067297E" w14:paraId="67C5C3C1" w14:textId="77777777" w:rsidTr="0002512B">
        <w:tc>
          <w:tcPr>
            <w:tcW w:w="1746" w:type="pct"/>
            <w:noWrap/>
            <w:tcMar>
              <w:left w:w="108" w:type="dxa"/>
              <w:right w:w="108" w:type="dxa"/>
            </w:tcMar>
            <w:vAlign w:val="bottom"/>
          </w:tcPr>
          <w:p w14:paraId="4126C8A0"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theme="minorHAnsi"/>
                <w:color w:val="000000"/>
              </w:rPr>
              <w:t>Lewisham Central</w:t>
            </w:r>
          </w:p>
        </w:tc>
        <w:tc>
          <w:tcPr>
            <w:tcW w:w="677" w:type="pct"/>
            <w:noWrap/>
            <w:tcMar>
              <w:left w:w="108" w:type="dxa"/>
              <w:right w:w="108" w:type="dxa"/>
            </w:tcMar>
            <w:vAlign w:val="center"/>
          </w:tcPr>
          <w:p w14:paraId="07EB6BDC"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1499</w:t>
            </w:r>
          </w:p>
        </w:tc>
        <w:tc>
          <w:tcPr>
            <w:tcW w:w="775" w:type="pct"/>
            <w:noWrap/>
            <w:tcMar>
              <w:left w:w="108" w:type="dxa"/>
              <w:right w:w="108" w:type="dxa"/>
            </w:tcMar>
            <w:vAlign w:val="center"/>
          </w:tcPr>
          <w:p w14:paraId="6D958034"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1476</w:t>
            </w:r>
          </w:p>
        </w:tc>
        <w:tc>
          <w:tcPr>
            <w:tcW w:w="772" w:type="pct"/>
            <w:noWrap/>
            <w:tcMar>
              <w:left w:w="108" w:type="dxa"/>
              <w:right w:w="108" w:type="dxa"/>
            </w:tcMar>
            <w:vAlign w:val="center"/>
          </w:tcPr>
          <w:p w14:paraId="1B644E51"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1512</w:t>
            </w:r>
          </w:p>
        </w:tc>
        <w:tc>
          <w:tcPr>
            <w:tcW w:w="1030" w:type="pct"/>
            <w:tcMar>
              <w:left w:w="108" w:type="dxa"/>
              <w:right w:w="108" w:type="dxa"/>
            </w:tcMar>
            <w:vAlign w:val="bottom"/>
          </w:tcPr>
          <w:p w14:paraId="721D43FA" w14:textId="77777777" w:rsidR="00C4521E" w:rsidRPr="0067297E" w:rsidRDefault="00C4521E" w:rsidP="0002512B">
            <w:pPr>
              <w:jc w:val="center"/>
              <w:rPr>
                <w:rFonts w:asciiTheme="minorHAnsi" w:hAnsiTheme="minorHAnsi" w:cstheme="minorHAnsi"/>
                <w:b/>
                <w:sz w:val="22"/>
                <w:szCs w:val="22"/>
              </w:rPr>
            </w:pPr>
            <w:r w:rsidRPr="0067297E">
              <w:rPr>
                <w:rFonts w:asciiTheme="minorHAnsi" w:hAnsiTheme="minorHAnsi" w:cstheme="minorHAnsi"/>
                <w:color w:val="000000"/>
                <w:sz w:val="22"/>
                <w:szCs w:val="22"/>
              </w:rPr>
              <w:t>0.9</w:t>
            </w:r>
          </w:p>
        </w:tc>
      </w:tr>
      <w:tr w:rsidR="00C4521E" w:rsidRPr="0067297E" w14:paraId="0958B77D" w14:textId="77777777" w:rsidTr="0002512B">
        <w:tc>
          <w:tcPr>
            <w:tcW w:w="1746" w:type="pct"/>
            <w:noWrap/>
            <w:tcMar>
              <w:left w:w="108" w:type="dxa"/>
              <w:right w:w="108" w:type="dxa"/>
            </w:tcMar>
            <w:vAlign w:val="bottom"/>
          </w:tcPr>
          <w:p w14:paraId="28F3BFB9"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theme="minorHAnsi"/>
                <w:color w:val="000000"/>
              </w:rPr>
              <w:t>New Cross</w:t>
            </w:r>
          </w:p>
        </w:tc>
        <w:tc>
          <w:tcPr>
            <w:tcW w:w="677" w:type="pct"/>
            <w:noWrap/>
            <w:tcMar>
              <w:left w:w="108" w:type="dxa"/>
              <w:right w:w="108" w:type="dxa"/>
            </w:tcMar>
            <w:vAlign w:val="center"/>
          </w:tcPr>
          <w:p w14:paraId="2A0ED24F"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1777</w:t>
            </w:r>
          </w:p>
        </w:tc>
        <w:tc>
          <w:tcPr>
            <w:tcW w:w="775" w:type="pct"/>
            <w:noWrap/>
            <w:tcMar>
              <w:left w:w="108" w:type="dxa"/>
              <w:right w:w="108" w:type="dxa"/>
            </w:tcMar>
            <w:vAlign w:val="center"/>
          </w:tcPr>
          <w:p w14:paraId="15A6D9B9"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1898</w:t>
            </w:r>
          </w:p>
        </w:tc>
        <w:tc>
          <w:tcPr>
            <w:tcW w:w="772" w:type="pct"/>
            <w:noWrap/>
            <w:tcMar>
              <w:left w:w="108" w:type="dxa"/>
              <w:right w:w="108" w:type="dxa"/>
            </w:tcMar>
            <w:vAlign w:val="center"/>
          </w:tcPr>
          <w:p w14:paraId="3CFB4A73"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1898</w:t>
            </w:r>
          </w:p>
        </w:tc>
        <w:tc>
          <w:tcPr>
            <w:tcW w:w="1030" w:type="pct"/>
            <w:tcMar>
              <w:left w:w="108" w:type="dxa"/>
              <w:right w:w="108" w:type="dxa"/>
            </w:tcMar>
            <w:vAlign w:val="bottom"/>
          </w:tcPr>
          <w:p w14:paraId="0F63F91E" w14:textId="77777777" w:rsidR="00C4521E" w:rsidRPr="0067297E" w:rsidRDefault="00C4521E" w:rsidP="0002512B">
            <w:pPr>
              <w:jc w:val="center"/>
              <w:rPr>
                <w:rFonts w:asciiTheme="minorHAnsi" w:hAnsiTheme="minorHAnsi" w:cstheme="minorHAnsi"/>
                <w:b/>
                <w:sz w:val="22"/>
                <w:szCs w:val="22"/>
              </w:rPr>
            </w:pPr>
            <w:r w:rsidRPr="0067297E">
              <w:rPr>
                <w:rFonts w:asciiTheme="minorHAnsi" w:hAnsiTheme="minorHAnsi" w:cstheme="minorHAnsi"/>
                <w:color w:val="000000"/>
                <w:sz w:val="22"/>
                <w:szCs w:val="22"/>
              </w:rPr>
              <w:t>6.8</w:t>
            </w:r>
          </w:p>
        </w:tc>
      </w:tr>
      <w:tr w:rsidR="00C4521E" w:rsidRPr="0067297E" w14:paraId="5F0D3738" w14:textId="77777777" w:rsidTr="0002512B">
        <w:tc>
          <w:tcPr>
            <w:tcW w:w="1746" w:type="pct"/>
            <w:noWrap/>
            <w:tcMar>
              <w:left w:w="108" w:type="dxa"/>
              <w:right w:w="108" w:type="dxa"/>
            </w:tcMar>
            <w:vAlign w:val="bottom"/>
          </w:tcPr>
          <w:p w14:paraId="2B83E3BE"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theme="minorHAnsi"/>
                <w:color w:val="000000"/>
              </w:rPr>
              <w:t>Perry Vale</w:t>
            </w:r>
          </w:p>
        </w:tc>
        <w:tc>
          <w:tcPr>
            <w:tcW w:w="677" w:type="pct"/>
            <w:noWrap/>
            <w:tcMar>
              <w:left w:w="108" w:type="dxa"/>
              <w:right w:w="108" w:type="dxa"/>
            </w:tcMar>
            <w:vAlign w:val="center"/>
          </w:tcPr>
          <w:p w14:paraId="7DC4C5BD"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1499</w:t>
            </w:r>
          </w:p>
        </w:tc>
        <w:tc>
          <w:tcPr>
            <w:tcW w:w="775" w:type="pct"/>
            <w:noWrap/>
            <w:tcMar>
              <w:left w:w="108" w:type="dxa"/>
              <w:right w:w="108" w:type="dxa"/>
            </w:tcMar>
            <w:vAlign w:val="center"/>
          </w:tcPr>
          <w:p w14:paraId="00E2DC13"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1651</w:t>
            </w:r>
          </w:p>
        </w:tc>
        <w:tc>
          <w:tcPr>
            <w:tcW w:w="772" w:type="pct"/>
            <w:noWrap/>
            <w:tcMar>
              <w:left w:w="108" w:type="dxa"/>
              <w:right w:w="108" w:type="dxa"/>
            </w:tcMar>
            <w:vAlign w:val="center"/>
          </w:tcPr>
          <w:p w14:paraId="1A21747C"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1575</w:t>
            </w:r>
          </w:p>
        </w:tc>
        <w:tc>
          <w:tcPr>
            <w:tcW w:w="1030" w:type="pct"/>
            <w:tcMar>
              <w:left w:w="108" w:type="dxa"/>
              <w:right w:w="108" w:type="dxa"/>
            </w:tcMar>
            <w:vAlign w:val="bottom"/>
          </w:tcPr>
          <w:p w14:paraId="107E79A4" w14:textId="77777777" w:rsidR="00C4521E" w:rsidRPr="0067297E" w:rsidRDefault="00C4521E" w:rsidP="0002512B">
            <w:pPr>
              <w:jc w:val="center"/>
              <w:rPr>
                <w:rFonts w:asciiTheme="minorHAnsi" w:hAnsiTheme="minorHAnsi" w:cstheme="minorHAnsi"/>
                <w:b/>
                <w:sz w:val="22"/>
                <w:szCs w:val="22"/>
              </w:rPr>
            </w:pPr>
            <w:r w:rsidRPr="0067297E">
              <w:rPr>
                <w:rFonts w:asciiTheme="minorHAnsi" w:hAnsiTheme="minorHAnsi" w:cstheme="minorHAnsi"/>
                <w:color w:val="000000"/>
                <w:sz w:val="22"/>
                <w:szCs w:val="22"/>
              </w:rPr>
              <w:t>5.1</w:t>
            </w:r>
          </w:p>
        </w:tc>
      </w:tr>
      <w:tr w:rsidR="00C4521E" w:rsidRPr="0067297E" w14:paraId="0A246FF8" w14:textId="77777777" w:rsidTr="0002512B">
        <w:tc>
          <w:tcPr>
            <w:tcW w:w="1746" w:type="pct"/>
            <w:noWrap/>
            <w:tcMar>
              <w:left w:w="108" w:type="dxa"/>
              <w:right w:w="108" w:type="dxa"/>
            </w:tcMar>
            <w:vAlign w:val="bottom"/>
          </w:tcPr>
          <w:p w14:paraId="190C4F1A"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theme="minorHAnsi"/>
                <w:color w:val="000000"/>
              </w:rPr>
              <w:t>Rushey Green</w:t>
            </w:r>
          </w:p>
        </w:tc>
        <w:tc>
          <w:tcPr>
            <w:tcW w:w="677" w:type="pct"/>
            <w:noWrap/>
            <w:tcMar>
              <w:left w:w="108" w:type="dxa"/>
              <w:right w:w="108" w:type="dxa"/>
            </w:tcMar>
            <w:vAlign w:val="center"/>
          </w:tcPr>
          <w:p w14:paraId="08435BE2"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1352</w:t>
            </w:r>
          </w:p>
        </w:tc>
        <w:tc>
          <w:tcPr>
            <w:tcW w:w="775" w:type="pct"/>
            <w:noWrap/>
            <w:tcMar>
              <w:left w:w="108" w:type="dxa"/>
              <w:right w:w="108" w:type="dxa"/>
            </w:tcMar>
            <w:vAlign w:val="center"/>
          </w:tcPr>
          <w:p w14:paraId="1B28B2DD"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1400</w:t>
            </w:r>
          </w:p>
        </w:tc>
        <w:tc>
          <w:tcPr>
            <w:tcW w:w="772" w:type="pct"/>
            <w:noWrap/>
            <w:tcMar>
              <w:left w:w="108" w:type="dxa"/>
              <w:right w:w="108" w:type="dxa"/>
            </w:tcMar>
            <w:vAlign w:val="center"/>
          </w:tcPr>
          <w:p w14:paraId="03627FE3"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1352</w:t>
            </w:r>
          </w:p>
        </w:tc>
        <w:tc>
          <w:tcPr>
            <w:tcW w:w="1030" w:type="pct"/>
            <w:tcMar>
              <w:left w:w="108" w:type="dxa"/>
              <w:right w:w="108" w:type="dxa"/>
            </w:tcMar>
            <w:vAlign w:val="bottom"/>
          </w:tcPr>
          <w:p w14:paraId="74D0D265" w14:textId="77777777" w:rsidR="00C4521E" w:rsidRPr="0067297E" w:rsidRDefault="00C4521E" w:rsidP="0002512B">
            <w:pPr>
              <w:jc w:val="center"/>
              <w:rPr>
                <w:rFonts w:asciiTheme="minorHAnsi" w:hAnsiTheme="minorHAnsi" w:cstheme="minorHAnsi"/>
                <w:b/>
                <w:sz w:val="22"/>
                <w:szCs w:val="22"/>
              </w:rPr>
            </w:pPr>
            <w:r w:rsidRPr="0067297E">
              <w:rPr>
                <w:rFonts w:asciiTheme="minorHAnsi" w:hAnsiTheme="minorHAnsi" w:cstheme="minorHAnsi"/>
                <w:color w:val="000000"/>
                <w:sz w:val="22"/>
                <w:szCs w:val="22"/>
              </w:rPr>
              <w:t>0.0</w:t>
            </w:r>
          </w:p>
        </w:tc>
      </w:tr>
      <w:tr w:rsidR="00C4521E" w:rsidRPr="0067297E" w14:paraId="072797F3" w14:textId="77777777" w:rsidTr="0002512B">
        <w:tc>
          <w:tcPr>
            <w:tcW w:w="1746" w:type="pct"/>
            <w:noWrap/>
            <w:tcMar>
              <w:left w:w="108" w:type="dxa"/>
              <w:right w:w="108" w:type="dxa"/>
            </w:tcMar>
            <w:vAlign w:val="bottom"/>
          </w:tcPr>
          <w:p w14:paraId="32E83990"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theme="minorHAnsi"/>
                <w:color w:val="000000"/>
              </w:rPr>
              <w:t>Sydenham</w:t>
            </w:r>
          </w:p>
        </w:tc>
        <w:tc>
          <w:tcPr>
            <w:tcW w:w="677" w:type="pct"/>
            <w:noWrap/>
            <w:tcMar>
              <w:left w:w="108" w:type="dxa"/>
              <w:right w:w="108" w:type="dxa"/>
            </w:tcMar>
            <w:vAlign w:val="center"/>
          </w:tcPr>
          <w:p w14:paraId="11F51332"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1499</w:t>
            </w:r>
          </w:p>
        </w:tc>
        <w:tc>
          <w:tcPr>
            <w:tcW w:w="775" w:type="pct"/>
            <w:noWrap/>
            <w:tcMar>
              <w:left w:w="108" w:type="dxa"/>
              <w:right w:w="108" w:type="dxa"/>
            </w:tcMar>
            <w:vAlign w:val="center"/>
          </w:tcPr>
          <w:p w14:paraId="01EE1C64"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1551</w:t>
            </w:r>
          </w:p>
        </w:tc>
        <w:tc>
          <w:tcPr>
            <w:tcW w:w="772" w:type="pct"/>
            <w:noWrap/>
            <w:tcMar>
              <w:left w:w="108" w:type="dxa"/>
              <w:right w:w="108" w:type="dxa"/>
            </w:tcMar>
            <w:vAlign w:val="center"/>
          </w:tcPr>
          <w:p w14:paraId="26C3D6C9"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1725</w:t>
            </w:r>
          </w:p>
        </w:tc>
        <w:tc>
          <w:tcPr>
            <w:tcW w:w="1030" w:type="pct"/>
            <w:tcMar>
              <w:left w:w="108" w:type="dxa"/>
              <w:right w:w="108" w:type="dxa"/>
            </w:tcMar>
            <w:vAlign w:val="bottom"/>
          </w:tcPr>
          <w:p w14:paraId="4213A82D" w14:textId="77777777" w:rsidR="00C4521E" w:rsidRPr="0067297E" w:rsidRDefault="00C4521E" w:rsidP="0002512B">
            <w:pPr>
              <w:jc w:val="center"/>
              <w:rPr>
                <w:rFonts w:asciiTheme="minorHAnsi" w:hAnsiTheme="minorHAnsi" w:cstheme="minorHAnsi"/>
                <w:b/>
                <w:sz w:val="22"/>
                <w:szCs w:val="22"/>
              </w:rPr>
            </w:pPr>
            <w:r w:rsidRPr="0067297E">
              <w:rPr>
                <w:rFonts w:asciiTheme="minorHAnsi" w:hAnsiTheme="minorHAnsi" w:cstheme="minorHAnsi"/>
                <w:color w:val="000000"/>
                <w:sz w:val="22"/>
                <w:szCs w:val="22"/>
              </w:rPr>
              <w:t>15.1</w:t>
            </w:r>
          </w:p>
        </w:tc>
      </w:tr>
      <w:tr w:rsidR="00C4521E" w:rsidRPr="0067297E" w14:paraId="26DE1BF2" w14:textId="77777777" w:rsidTr="0002512B">
        <w:tc>
          <w:tcPr>
            <w:tcW w:w="1746" w:type="pct"/>
            <w:noWrap/>
            <w:tcMar>
              <w:left w:w="108" w:type="dxa"/>
              <w:right w:w="108" w:type="dxa"/>
            </w:tcMar>
            <w:vAlign w:val="bottom"/>
          </w:tcPr>
          <w:p w14:paraId="14FCF157"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theme="minorHAnsi"/>
                <w:color w:val="000000"/>
              </w:rPr>
              <w:t>Telegraph Hill</w:t>
            </w:r>
          </w:p>
        </w:tc>
        <w:tc>
          <w:tcPr>
            <w:tcW w:w="677" w:type="pct"/>
            <w:noWrap/>
            <w:tcMar>
              <w:left w:w="108" w:type="dxa"/>
              <w:right w:w="108" w:type="dxa"/>
            </w:tcMar>
            <w:vAlign w:val="center"/>
          </w:tcPr>
          <w:p w14:paraId="46C34297"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2102</w:t>
            </w:r>
          </w:p>
        </w:tc>
        <w:tc>
          <w:tcPr>
            <w:tcW w:w="775" w:type="pct"/>
            <w:noWrap/>
            <w:tcMar>
              <w:left w:w="108" w:type="dxa"/>
              <w:right w:w="108" w:type="dxa"/>
            </w:tcMar>
            <w:vAlign w:val="center"/>
          </w:tcPr>
          <w:p w14:paraId="4BDE663C"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2225</w:t>
            </w:r>
          </w:p>
        </w:tc>
        <w:tc>
          <w:tcPr>
            <w:tcW w:w="772" w:type="pct"/>
            <w:noWrap/>
            <w:tcMar>
              <w:left w:w="108" w:type="dxa"/>
              <w:right w:w="108" w:type="dxa"/>
            </w:tcMar>
            <w:vAlign w:val="center"/>
          </w:tcPr>
          <w:p w14:paraId="2E04DB4C"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1352</w:t>
            </w:r>
          </w:p>
        </w:tc>
        <w:tc>
          <w:tcPr>
            <w:tcW w:w="1030" w:type="pct"/>
            <w:tcMar>
              <w:left w:w="108" w:type="dxa"/>
              <w:right w:w="108" w:type="dxa"/>
            </w:tcMar>
            <w:vAlign w:val="bottom"/>
          </w:tcPr>
          <w:p w14:paraId="0B5DC1BD" w14:textId="77777777" w:rsidR="00C4521E" w:rsidRPr="0067297E" w:rsidRDefault="00C4521E" w:rsidP="0002512B">
            <w:pPr>
              <w:jc w:val="center"/>
              <w:rPr>
                <w:rFonts w:asciiTheme="minorHAnsi" w:hAnsiTheme="minorHAnsi" w:cstheme="minorHAnsi"/>
                <w:b/>
                <w:sz w:val="22"/>
                <w:szCs w:val="22"/>
              </w:rPr>
            </w:pPr>
            <w:r w:rsidRPr="0067297E">
              <w:rPr>
                <w:rFonts w:asciiTheme="minorHAnsi" w:hAnsiTheme="minorHAnsi" w:cstheme="minorHAnsi"/>
                <w:color w:val="000000"/>
                <w:sz w:val="22"/>
                <w:szCs w:val="22"/>
              </w:rPr>
              <w:t>-35.7</w:t>
            </w:r>
          </w:p>
        </w:tc>
      </w:tr>
      <w:tr w:rsidR="00C4521E" w:rsidRPr="0067297E" w14:paraId="7177E35F" w14:textId="77777777" w:rsidTr="0002512B">
        <w:tc>
          <w:tcPr>
            <w:tcW w:w="1746" w:type="pct"/>
            <w:noWrap/>
            <w:tcMar>
              <w:left w:w="108" w:type="dxa"/>
              <w:right w:w="108" w:type="dxa"/>
            </w:tcMar>
            <w:vAlign w:val="bottom"/>
          </w:tcPr>
          <w:p w14:paraId="31E2D3CE"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theme="minorHAnsi"/>
                <w:color w:val="000000"/>
              </w:rPr>
              <w:t>Whitefoot</w:t>
            </w:r>
          </w:p>
        </w:tc>
        <w:tc>
          <w:tcPr>
            <w:tcW w:w="677" w:type="pct"/>
            <w:noWrap/>
            <w:tcMar>
              <w:left w:w="108" w:type="dxa"/>
              <w:right w:w="108" w:type="dxa"/>
            </w:tcMar>
            <w:vAlign w:val="center"/>
          </w:tcPr>
          <w:p w14:paraId="65E444D9"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1452</w:t>
            </w:r>
          </w:p>
        </w:tc>
        <w:tc>
          <w:tcPr>
            <w:tcW w:w="775" w:type="pct"/>
            <w:noWrap/>
            <w:tcMar>
              <w:left w:w="108" w:type="dxa"/>
              <w:right w:w="108" w:type="dxa"/>
            </w:tcMar>
            <w:vAlign w:val="center"/>
          </w:tcPr>
          <w:p w14:paraId="01322FD3"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1300</w:t>
            </w:r>
          </w:p>
        </w:tc>
        <w:tc>
          <w:tcPr>
            <w:tcW w:w="772" w:type="pct"/>
            <w:noWrap/>
            <w:tcMar>
              <w:left w:w="108" w:type="dxa"/>
              <w:right w:w="108" w:type="dxa"/>
            </w:tcMar>
            <w:vAlign w:val="center"/>
          </w:tcPr>
          <w:p w14:paraId="7D614FD8"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1352</w:t>
            </w:r>
          </w:p>
        </w:tc>
        <w:tc>
          <w:tcPr>
            <w:tcW w:w="1030" w:type="pct"/>
            <w:tcMar>
              <w:left w:w="108" w:type="dxa"/>
              <w:right w:w="108" w:type="dxa"/>
            </w:tcMar>
            <w:vAlign w:val="bottom"/>
          </w:tcPr>
          <w:p w14:paraId="19411964" w14:textId="77777777" w:rsidR="00C4521E" w:rsidRPr="0067297E" w:rsidRDefault="00C4521E" w:rsidP="0002512B">
            <w:pPr>
              <w:jc w:val="center"/>
              <w:rPr>
                <w:rFonts w:asciiTheme="minorHAnsi" w:hAnsiTheme="minorHAnsi" w:cstheme="minorHAnsi"/>
                <w:b/>
                <w:sz w:val="22"/>
                <w:szCs w:val="22"/>
              </w:rPr>
            </w:pPr>
            <w:r w:rsidRPr="0067297E">
              <w:rPr>
                <w:rFonts w:asciiTheme="minorHAnsi" w:hAnsiTheme="minorHAnsi" w:cstheme="minorHAnsi"/>
                <w:color w:val="000000"/>
                <w:sz w:val="22"/>
                <w:szCs w:val="22"/>
              </w:rPr>
              <w:t>-6.9</w:t>
            </w:r>
          </w:p>
        </w:tc>
      </w:tr>
      <w:tr w:rsidR="00C4521E" w:rsidRPr="0067297E" w14:paraId="0A5361E7" w14:textId="77777777" w:rsidTr="0002512B">
        <w:tc>
          <w:tcPr>
            <w:tcW w:w="1746" w:type="pct"/>
            <w:noWrap/>
            <w:tcMar>
              <w:left w:w="108" w:type="dxa"/>
              <w:right w:w="108" w:type="dxa"/>
            </w:tcMar>
            <w:vAlign w:val="bottom"/>
          </w:tcPr>
          <w:p w14:paraId="1F5AAFBF" w14:textId="77777777" w:rsidR="00C4521E" w:rsidRPr="0067297E" w:rsidRDefault="00C4521E" w:rsidP="00FA273F">
            <w:pPr>
              <w:pStyle w:val="NoSpacing"/>
              <w:rPr>
                <w:rFonts w:asciiTheme="minorHAnsi" w:hAnsiTheme="minorHAnsi" w:cstheme="minorHAnsi"/>
                <w:color w:val="000000"/>
              </w:rPr>
            </w:pPr>
            <w:r w:rsidRPr="0067297E">
              <w:rPr>
                <w:rFonts w:asciiTheme="minorHAnsi" w:hAnsiTheme="minorHAnsi" w:cstheme="minorHAnsi"/>
                <w:b/>
                <w:color w:val="000000"/>
              </w:rPr>
              <w:t>Lewisham</w:t>
            </w:r>
          </w:p>
        </w:tc>
        <w:tc>
          <w:tcPr>
            <w:tcW w:w="677" w:type="pct"/>
            <w:noWrap/>
            <w:tcMar>
              <w:left w:w="108" w:type="dxa"/>
              <w:right w:w="108" w:type="dxa"/>
            </w:tcMar>
            <w:vAlign w:val="center"/>
          </w:tcPr>
          <w:p w14:paraId="7514EC27"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1499</w:t>
            </w:r>
          </w:p>
        </w:tc>
        <w:tc>
          <w:tcPr>
            <w:tcW w:w="775" w:type="pct"/>
            <w:noWrap/>
            <w:tcMar>
              <w:left w:w="108" w:type="dxa"/>
              <w:right w:w="108" w:type="dxa"/>
            </w:tcMar>
            <w:vAlign w:val="center"/>
          </w:tcPr>
          <w:p w14:paraId="3EB49618"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1551</w:t>
            </w:r>
          </w:p>
        </w:tc>
        <w:tc>
          <w:tcPr>
            <w:tcW w:w="772" w:type="pct"/>
            <w:noWrap/>
            <w:tcMar>
              <w:left w:w="108" w:type="dxa"/>
              <w:right w:w="108" w:type="dxa"/>
            </w:tcMar>
            <w:vAlign w:val="center"/>
          </w:tcPr>
          <w:p w14:paraId="30EEEF5C" w14:textId="77777777" w:rsidR="00C4521E" w:rsidRPr="0067297E" w:rsidRDefault="00C4521E" w:rsidP="0002512B">
            <w:pPr>
              <w:jc w:val="center"/>
              <w:rPr>
                <w:rFonts w:asciiTheme="minorHAnsi" w:hAnsiTheme="minorHAnsi" w:cstheme="minorHAnsi"/>
                <w:b/>
                <w:color w:val="000000"/>
                <w:sz w:val="22"/>
                <w:szCs w:val="22"/>
              </w:rPr>
            </w:pPr>
            <w:r w:rsidRPr="0067297E">
              <w:rPr>
                <w:rFonts w:asciiTheme="minorHAnsi" w:hAnsiTheme="minorHAnsi" w:cstheme="minorHAnsi"/>
                <w:color w:val="000000"/>
                <w:sz w:val="22"/>
                <w:szCs w:val="22"/>
              </w:rPr>
              <w:t>1452</w:t>
            </w:r>
          </w:p>
        </w:tc>
        <w:tc>
          <w:tcPr>
            <w:tcW w:w="1030" w:type="pct"/>
            <w:tcMar>
              <w:left w:w="108" w:type="dxa"/>
              <w:right w:w="108" w:type="dxa"/>
            </w:tcMar>
            <w:vAlign w:val="bottom"/>
          </w:tcPr>
          <w:p w14:paraId="596171B0" w14:textId="77777777" w:rsidR="00C4521E" w:rsidRPr="0067297E" w:rsidRDefault="00C4521E" w:rsidP="0002512B">
            <w:pPr>
              <w:jc w:val="center"/>
              <w:rPr>
                <w:rFonts w:asciiTheme="minorHAnsi" w:hAnsiTheme="minorHAnsi" w:cstheme="minorHAnsi"/>
                <w:b/>
                <w:sz w:val="22"/>
                <w:szCs w:val="22"/>
              </w:rPr>
            </w:pPr>
            <w:r w:rsidRPr="0067297E">
              <w:rPr>
                <w:rFonts w:asciiTheme="minorHAnsi" w:hAnsiTheme="minorHAnsi" w:cstheme="minorHAnsi"/>
                <w:color w:val="000000"/>
                <w:sz w:val="22"/>
                <w:szCs w:val="22"/>
              </w:rPr>
              <w:t>-3.1</w:t>
            </w:r>
          </w:p>
        </w:tc>
      </w:tr>
    </w:tbl>
    <w:p w14:paraId="3BDFA326" w14:textId="77777777" w:rsidR="00C4521E" w:rsidRPr="0067297E" w:rsidRDefault="00C4521E" w:rsidP="00543A76">
      <w:pPr>
        <w:rPr>
          <w:rFonts w:asciiTheme="minorHAnsi" w:hAnsiTheme="minorHAnsi"/>
          <w:sz w:val="20"/>
          <w:szCs w:val="20"/>
        </w:rPr>
      </w:pPr>
      <w:r w:rsidRPr="0067297E">
        <w:rPr>
          <w:rFonts w:asciiTheme="minorHAnsi" w:hAnsiTheme="minorHAnsi"/>
          <w:sz w:val="20"/>
          <w:szCs w:val="20"/>
        </w:rPr>
        <w:t>Source: Zoopla *Based on small samples</w:t>
      </w:r>
    </w:p>
    <w:p w14:paraId="77E79942" w14:textId="77777777" w:rsidR="00C4521E" w:rsidRPr="0067297E" w:rsidRDefault="00C4521E" w:rsidP="00A04CC5">
      <w:pPr>
        <w:rPr>
          <w:rFonts w:asciiTheme="minorHAnsi" w:hAnsiTheme="minorHAnsi"/>
        </w:rPr>
      </w:pPr>
    </w:p>
    <w:p w14:paraId="0AEF80E6" w14:textId="330162AD"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The median rent change 2015 to 2017 for each property type in each ward is illustrated in Chart 5.</w:t>
      </w:r>
      <w:r w:rsidR="00B61903" w:rsidRPr="0067297E">
        <w:rPr>
          <w:rFonts w:asciiTheme="minorHAnsi" w:hAnsiTheme="minorHAnsi"/>
          <w:lang w:val="en-GB"/>
        </w:rPr>
        <w:t>2</w:t>
      </w:r>
      <w:r w:rsidRPr="0067297E">
        <w:rPr>
          <w:rFonts w:asciiTheme="minorHAnsi" w:hAnsiTheme="minorHAnsi"/>
        </w:rPr>
        <w:t xml:space="preserve">. </w:t>
      </w:r>
      <w:bookmarkStart w:id="749" w:name="_Hlk488649349"/>
    </w:p>
    <w:bookmarkEnd w:id="749"/>
    <w:p w14:paraId="2130BE37" w14:textId="77777777" w:rsidR="00C4521E" w:rsidRPr="0067297E" w:rsidRDefault="00C4521E" w:rsidP="00FA273F">
      <w:pPr>
        <w:pStyle w:val="Reporttext"/>
        <w:numPr>
          <w:ilvl w:val="0"/>
          <w:numId w:val="0"/>
        </w:numPr>
        <w:ind w:left="709"/>
        <w:rPr>
          <w:rFonts w:asciiTheme="minorHAnsi" w:hAnsiTheme="minorHAnsi"/>
        </w:rPr>
      </w:pPr>
    </w:p>
    <w:p w14:paraId="65FE0278" w14:textId="3E62C6FD" w:rsidR="00C4521E" w:rsidRPr="0067297E" w:rsidRDefault="00C4521E" w:rsidP="0002512B">
      <w:pPr>
        <w:pStyle w:val="figureheading"/>
        <w:rPr>
          <w:rFonts w:asciiTheme="minorHAnsi" w:hAnsiTheme="minorHAnsi"/>
        </w:rPr>
      </w:pPr>
      <w:bookmarkStart w:id="750" w:name="_Toc23151237"/>
      <w:r w:rsidRPr="0067297E">
        <w:rPr>
          <w:rFonts w:asciiTheme="minorHAnsi" w:hAnsiTheme="minorHAnsi"/>
        </w:rPr>
        <w:t>Chart 5.2</w:t>
      </w:r>
      <w:r w:rsidRPr="0067297E">
        <w:rPr>
          <w:rFonts w:asciiTheme="minorHAnsi" w:hAnsiTheme="minorHAnsi"/>
        </w:rPr>
        <w:tab/>
        <w:t>Rent change by property type 2014-2016</w:t>
      </w:r>
      <w:bookmarkEnd w:id="750"/>
    </w:p>
    <w:p w14:paraId="5CB1A22A" w14:textId="77777777" w:rsidR="00C4521E" w:rsidRPr="0067297E" w:rsidRDefault="00C4521E" w:rsidP="00543A76">
      <w:pPr>
        <w:rPr>
          <w:rFonts w:asciiTheme="minorHAnsi" w:hAnsiTheme="minorHAnsi"/>
          <w:noProof/>
          <w:lang w:eastAsia="en-GB"/>
        </w:rPr>
      </w:pPr>
      <w:r w:rsidRPr="0067297E">
        <w:rPr>
          <w:rFonts w:asciiTheme="minorHAnsi" w:hAnsiTheme="minorHAnsi"/>
          <w:noProof/>
          <w:lang w:eastAsia="en-GB"/>
        </w:rPr>
        <w:drawing>
          <wp:inline distT="0" distB="0" distL="0" distR="0" wp14:anchorId="299C84A2" wp14:editId="1B8B3612">
            <wp:extent cx="5715000" cy="2743200"/>
            <wp:effectExtent l="0" t="0" r="0" b="0"/>
            <wp:docPr id="39" name="Chart 39" descr="Chart showing changes in rent for apartments and houses. " title="Chart 5.2 Rent change by property type 2014-20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45B8B8-875C-41F4-BBF5-DCB488BEEA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5A706AB" w14:textId="77777777" w:rsidR="00C4521E" w:rsidRPr="0067297E" w:rsidRDefault="00C4521E" w:rsidP="00543A76">
      <w:pPr>
        <w:rPr>
          <w:rFonts w:asciiTheme="minorHAnsi" w:hAnsiTheme="minorHAnsi"/>
          <w:sz w:val="20"/>
          <w:szCs w:val="20"/>
        </w:rPr>
      </w:pPr>
      <w:r w:rsidRPr="0067297E">
        <w:rPr>
          <w:rFonts w:asciiTheme="minorHAnsi" w:hAnsiTheme="minorHAnsi"/>
          <w:sz w:val="20"/>
          <w:szCs w:val="20"/>
        </w:rPr>
        <w:t>Source: Zoopla</w:t>
      </w:r>
    </w:p>
    <w:p w14:paraId="13B786B2" w14:textId="77777777" w:rsidR="00C4521E" w:rsidRPr="0067297E" w:rsidRDefault="00C4521E" w:rsidP="00543A76">
      <w:pPr>
        <w:rPr>
          <w:rFonts w:asciiTheme="minorHAnsi" w:hAnsiTheme="minorHAnsi"/>
        </w:rPr>
      </w:pPr>
    </w:p>
    <w:p w14:paraId="02B71377" w14:textId="1C60A6B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Rent levels for apartments and houses (2017) are mapped in Maps 5.1 and 5.2. Median rent levels for apartments are highest in </w:t>
      </w:r>
      <w:r w:rsidR="00AE3193" w:rsidRPr="0067297E">
        <w:rPr>
          <w:rFonts w:asciiTheme="minorHAnsi" w:hAnsiTheme="minorHAnsi"/>
          <w:lang w:val="en-GB"/>
        </w:rPr>
        <w:t xml:space="preserve">the wards of </w:t>
      </w:r>
      <w:r w:rsidRPr="0067297E">
        <w:rPr>
          <w:rFonts w:asciiTheme="minorHAnsi" w:hAnsiTheme="minorHAnsi"/>
        </w:rPr>
        <w:t xml:space="preserve">Blackheath and </w:t>
      </w:r>
      <w:r w:rsidR="00AE3193" w:rsidRPr="0067297E">
        <w:rPr>
          <w:rFonts w:asciiTheme="minorHAnsi" w:hAnsiTheme="minorHAnsi"/>
          <w:lang w:val="en-GB"/>
        </w:rPr>
        <w:t>Evelyn</w:t>
      </w:r>
      <w:r w:rsidRPr="0067297E">
        <w:rPr>
          <w:rFonts w:asciiTheme="minorHAnsi" w:hAnsiTheme="minorHAnsi"/>
        </w:rPr>
        <w:t xml:space="preserve">. Elsewhere rents are higher in </w:t>
      </w:r>
      <w:r w:rsidR="00AE3193" w:rsidRPr="0067297E">
        <w:rPr>
          <w:rFonts w:asciiTheme="minorHAnsi" w:hAnsiTheme="minorHAnsi"/>
          <w:lang w:val="en-GB"/>
        </w:rPr>
        <w:t xml:space="preserve">Lewisham </w:t>
      </w:r>
      <w:r w:rsidRPr="0067297E">
        <w:rPr>
          <w:rFonts w:asciiTheme="minorHAnsi" w:hAnsiTheme="minorHAnsi"/>
        </w:rPr>
        <w:t>town centre, Brockley. Rents are lowest in Catford.</w:t>
      </w:r>
    </w:p>
    <w:p w14:paraId="44726391" w14:textId="77777777" w:rsidR="00C4521E" w:rsidRPr="0067297E" w:rsidRDefault="00C4521E" w:rsidP="00FA273F">
      <w:pPr>
        <w:pStyle w:val="Reporttext"/>
        <w:numPr>
          <w:ilvl w:val="0"/>
          <w:numId w:val="0"/>
        </w:numPr>
        <w:ind w:left="709"/>
        <w:rPr>
          <w:rFonts w:asciiTheme="minorHAnsi" w:hAnsiTheme="minorHAnsi"/>
        </w:rPr>
      </w:pPr>
    </w:p>
    <w:p w14:paraId="28A2F7B4" w14:textId="77777777" w:rsidR="00C4521E" w:rsidRPr="0067297E" w:rsidRDefault="00C4521E" w:rsidP="00FA273F">
      <w:pPr>
        <w:pStyle w:val="mapheading"/>
        <w:rPr>
          <w:rFonts w:asciiTheme="minorHAnsi" w:hAnsiTheme="minorHAnsi"/>
        </w:rPr>
      </w:pPr>
      <w:bookmarkStart w:id="751" w:name="_Toc23151250"/>
      <w:r w:rsidRPr="0067297E">
        <w:rPr>
          <w:rFonts w:asciiTheme="minorHAnsi" w:hAnsiTheme="minorHAnsi"/>
        </w:rPr>
        <w:t>Map 5.1</w:t>
      </w:r>
      <w:r w:rsidRPr="0067297E">
        <w:rPr>
          <w:rFonts w:asciiTheme="minorHAnsi" w:hAnsiTheme="minorHAnsi"/>
        </w:rPr>
        <w:tab/>
        <w:t>Median rent levels – Flats 2017</w:t>
      </w:r>
      <w:bookmarkEnd w:id="751"/>
    </w:p>
    <w:p w14:paraId="0F0589BD" w14:textId="77777777" w:rsidR="00C4521E" w:rsidRPr="0067297E" w:rsidRDefault="00C4521E">
      <w:pPr>
        <w:rPr>
          <w:rFonts w:asciiTheme="minorHAnsi" w:hAnsiTheme="minorHAnsi"/>
          <w:noProof/>
          <w:lang w:eastAsia="en-GB"/>
        </w:rPr>
      </w:pPr>
      <w:r w:rsidRPr="0067297E">
        <w:rPr>
          <w:rFonts w:asciiTheme="minorHAnsi" w:hAnsiTheme="minorHAnsi"/>
          <w:noProof/>
          <w:lang w:eastAsia="en-GB"/>
        </w:rPr>
        <w:drawing>
          <wp:inline distT="0" distB="0" distL="0" distR="0" wp14:anchorId="2BDEC876" wp14:editId="067F7B2C">
            <wp:extent cx="5391150" cy="6287237"/>
            <wp:effectExtent l="0" t="0" r="0" b="0"/>
            <wp:docPr id="40" name="Picture 40" descr="Map showing median rent levels across wards (labeled) in Lewisham. " title="Map 5.1 Median rent levels – Flat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wisham_e.png"/>
                    <pic:cNvPicPr/>
                  </pic:nvPicPr>
                  <pic:blipFill rotWithShape="1">
                    <a:blip r:embed="rId114">
                      <a:extLst>
                        <a:ext uri="{28A0092B-C50C-407E-A947-70E740481C1C}">
                          <a14:useLocalDpi xmlns:a14="http://schemas.microsoft.com/office/drawing/2010/main" val="0"/>
                        </a:ext>
                      </a:extLst>
                    </a:blip>
                    <a:srcRect l="11466" t="13036" r="9429" b="21788"/>
                    <a:stretch/>
                  </pic:blipFill>
                  <pic:spPr bwMode="auto">
                    <a:xfrm>
                      <a:off x="0" y="0"/>
                      <a:ext cx="5402195" cy="6300118"/>
                    </a:xfrm>
                    <a:prstGeom prst="rect">
                      <a:avLst/>
                    </a:prstGeom>
                    <a:ln>
                      <a:noFill/>
                    </a:ln>
                    <a:extLst>
                      <a:ext uri="{53640926-AAD7-44D8-BBD7-CCE9431645EC}">
                        <a14:shadowObscured xmlns:a14="http://schemas.microsoft.com/office/drawing/2010/main"/>
                      </a:ext>
                    </a:extLst>
                  </pic:spPr>
                </pic:pic>
              </a:graphicData>
            </a:graphic>
          </wp:inline>
        </w:drawing>
      </w:r>
    </w:p>
    <w:p w14:paraId="6281C6DD" w14:textId="77777777" w:rsidR="00C81E1C" w:rsidRPr="0067297E" w:rsidRDefault="00C81E1C">
      <w:pPr>
        <w:rPr>
          <w:rFonts w:asciiTheme="minorHAnsi" w:hAnsiTheme="minorHAnsi"/>
          <w:noProof/>
          <w:lang w:eastAsia="en-GB"/>
        </w:rPr>
      </w:pPr>
      <w:r w:rsidRPr="0067297E">
        <w:rPr>
          <w:rFonts w:asciiTheme="minorHAnsi" w:hAnsiTheme="minorHAnsi"/>
          <w:noProof/>
          <w:lang w:eastAsia="en-GB"/>
        </w:rPr>
        <w:br w:type="page"/>
      </w:r>
    </w:p>
    <w:p w14:paraId="31254E96"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noProof/>
          <w:lang w:eastAsia="en-GB"/>
        </w:rPr>
        <w:t xml:space="preserve">Map </w:t>
      </w:r>
      <w:r w:rsidRPr="0067297E">
        <w:rPr>
          <w:rFonts w:asciiTheme="minorHAnsi" w:hAnsiTheme="minorHAnsi"/>
        </w:rPr>
        <w:t>5.2 shows rent levels for houses. Rents are the highest in New Cross, Brockley, Blackheath and other wards to the east of the borough. In New Cross, Brockley, and Blackheath there are very few houses coming to the market and this could account for the high rent levels.</w:t>
      </w:r>
    </w:p>
    <w:p w14:paraId="7F44AFB9" w14:textId="77777777" w:rsidR="00C4521E" w:rsidRPr="0067297E" w:rsidRDefault="00C4521E" w:rsidP="00BA0A2B">
      <w:pPr>
        <w:rPr>
          <w:rFonts w:asciiTheme="minorHAnsi" w:hAnsiTheme="minorHAnsi"/>
        </w:rPr>
      </w:pPr>
    </w:p>
    <w:p w14:paraId="0916473E" w14:textId="77777777" w:rsidR="00C4521E" w:rsidRPr="0067297E" w:rsidRDefault="00C4521E" w:rsidP="00FA273F">
      <w:pPr>
        <w:pStyle w:val="mapheading"/>
        <w:rPr>
          <w:rFonts w:asciiTheme="minorHAnsi" w:hAnsiTheme="minorHAnsi"/>
        </w:rPr>
      </w:pPr>
      <w:bookmarkStart w:id="752" w:name="_Toc23151251"/>
      <w:r w:rsidRPr="0067297E">
        <w:rPr>
          <w:rFonts w:asciiTheme="minorHAnsi" w:hAnsiTheme="minorHAnsi"/>
        </w:rPr>
        <w:t>Map 5.2</w:t>
      </w:r>
      <w:r w:rsidRPr="0067297E">
        <w:rPr>
          <w:rFonts w:asciiTheme="minorHAnsi" w:hAnsiTheme="minorHAnsi"/>
        </w:rPr>
        <w:tab/>
        <w:t>Median rent levels – Houses 2017</w:t>
      </w:r>
      <w:bookmarkEnd w:id="752"/>
    </w:p>
    <w:p w14:paraId="36B7D2E4" w14:textId="77777777" w:rsidR="00C4521E" w:rsidRPr="0067297E" w:rsidRDefault="00C4521E">
      <w:pPr>
        <w:rPr>
          <w:rFonts w:asciiTheme="minorHAnsi" w:hAnsiTheme="minorHAnsi"/>
          <w:noProof/>
          <w:lang w:eastAsia="en-GB"/>
        </w:rPr>
      </w:pPr>
      <w:r w:rsidRPr="0067297E">
        <w:rPr>
          <w:rFonts w:asciiTheme="minorHAnsi" w:hAnsiTheme="minorHAnsi"/>
          <w:noProof/>
          <w:lang w:eastAsia="en-GB"/>
        </w:rPr>
        <w:drawing>
          <wp:inline distT="0" distB="0" distL="0" distR="0" wp14:anchorId="20B1E50D" wp14:editId="5913EAED">
            <wp:extent cx="5317200" cy="6220800"/>
            <wp:effectExtent l="0" t="0" r="0" b="0"/>
            <wp:docPr id="41" name="Picture 41" descr="Map showing median rent levels across wards (labeled) in Lewisham. " title="Map 5.2 Median rent levels – Hous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wisham_f.png"/>
                    <pic:cNvPicPr/>
                  </pic:nvPicPr>
                  <pic:blipFill rotWithShape="1">
                    <a:blip r:embed="rId115">
                      <a:extLst>
                        <a:ext uri="{28A0092B-C50C-407E-A947-70E740481C1C}">
                          <a14:useLocalDpi xmlns:a14="http://schemas.microsoft.com/office/drawing/2010/main" val="0"/>
                        </a:ext>
                      </a:extLst>
                    </a:blip>
                    <a:srcRect l="11466" t="12917" r="9262" b="21555"/>
                    <a:stretch/>
                  </pic:blipFill>
                  <pic:spPr bwMode="auto">
                    <a:xfrm>
                      <a:off x="0" y="0"/>
                      <a:ext cx="5317200" cy="6220800"/>
                    </a:xfrm>
                    <a:prstGeom prst="rect">
                      <a:avLst/>
                    </a:prstGeom>
                    <a:ln>
                      <a:noFill/>
                    </a:ln>
                    <a:extLst>
                      <a:ext uri="{53640926-AAD7-44D8-BBD7-CCE9431645EC}">
                        <a14:shadowObscured xmlns:a14="http://schemas.microsoft.com/office/drawing/2010/main"/>
                      </a:ext>
                    </a:extLst>
                  </pic:spPr>
                </pic:pic>
              </a:graphicData>
            </a:graphic>
          </wp:inline>
        </w:drawing>
      </w:r>
    </w:p>
    <w:p w14:paraId="4522459A" w14:textId="77777777" w:rsidR="00C4521E" w:rsidRPr="0067297E" w:rsidRDefault="00C4521E">
      <w:pPr>
        <w:rPr>
          <w:rFonts w:asciiTheme="minorHAnsi" w:hAnsiTheme="minorHAnsi"/>
          <w:noProof/>
          <w:lang w:eastAsia="en-GB"/>
        </w:rPr>
      </w:pPr>
    </w:p>
    <w:p w14:paraId="4ED4F771" w14:textId="57335A8B" w:rsidR="00C4521E" w:rsidRPr="0067297E" w:rsidRDefault="00C4521E" w:rsidP="002C70BC">
      <w:pPr>
        <w:pStyle w:val="Reporttext"/>
        <w:numPr>
          <w:ilvl w:val="1"/>
          <w:numId w:val="34"/>
        </w:numPr>
        <w:tabs>
          <w:tab w:val="clear" w:pos="709"/>
        </w:tabs>
        <w:rPr>
          <w:rFonts w:asciiTheme="minorHAnsi" w:hAnsiTheme="minorHAnsi"/>
          <w:noProof/>
          <w:lang w:eastAsia="en-GB"/>
        </w:rPr>
      </w:pPr>
      <w:r w:rsidRPr="0067297E">
        <w:rPr>
          <w:rFonts w:asciiTheme="minorHAnsi" w:hAnsiTheme="minorHAnsi"/>
          <w:noProof/>
          <w:lang w:eastAsia="en-GB"/>
        </w:rPr>
        <w:t>Map 5.3 shows median property values (2017); values are generally higher toward the north of the borough</w:t>
      </w:r>
      <w:r w:rsidR="00B61903" w:rsidRPr="0067297E">
        <w:rPr>
          <w:rFonts w:asciiTheme="minorHAnsi" w:hAnsiTheme="minorHAnsi"/>
          <w:noProof/>
          <w:lang w:val="en-GB" w:eastAsia="en-GB"/>
        </w:rPr>
        <w:t>.</w:t>
      </w:r>
    </w:p>
    <w:p w14:paraId="5B25835D" w14:textId="77777777" w:rsidR="00C4521E" w:rsidRPr="0067297E" w:rsidRDefault="00C4521E">
      <w:pPr>
        <w:rPr>
          <w:rFonts w:asciiTheme="minorHAnsi" w:hAnsiTheme="minorHAnsi"/>
          <w:noProof/>
          <w:lang w:eastAsia="en-GB"/>
        </w:rPr>
      </w:pPr>
    </w:p>
    <w:p w14:paraId="492D7468" w14:textId="77777777" w:rsidR="00C4521E" w:rsidRPr="0067297E" w:rsidRDefault="00C4521E">
      <w:pPr>
        <w:rPr>
          <w:rFonts w:asciiTheme="minorHAnsi" w:hAnsiTheme="minorHAnsi" w:cs="Arial"/>
          <w:b/>
          <w:noProof/>
          <w:color w:val="009999"/>
          <w:sz w:val="22"/>
          <w:lang w:eastAsia="en-GB"/>
        </w:rPr>
      </w:pPr>
      <w:r w:rsidRPr="0067297E">
        <w:rPr>
          <w:rFonts w:asciiTheme="minorHAnsi" w:hAnsiTheme="minorHAnsi"/>
          <w:noProof/>
          <w:lang w:eastAsia="en-GB"/>
        </w:rPr>
        <w:br w:type="page"/>
      </w:r>
    </w:p>
    <w:p w14:paraId="6FD789A7" w14:textId="77777777" w:rsidR="00C4521E" w:rsidRPr="0067297E" w:rsidRDefault="00C4521E" w:rsidP="00FA273F">
      <w:pPr>
        <w:pStyle w:val="mapheading"/>
        <w:rPr>
          <w:rFonts w:asciiTheme="minorHAnsi" w:hAnsiTheme="minorHAnsi"/>
          <w:noProof/>
          <w:lang w:eastAsia="en-GB"/>
        </w:rPr>
      </w:pPr>
      <w:bookmarkStart w:id="753" w:name="_Toc23151252"/>
      <w:r w:rsidRPr="0067297E">
        <w:rPr>
          <w:rFonts w:asciiTheme="minorHAnsi" w:hAnsiTheme="minorHAnsi"/>
          <w:noProof/>
          <w:lang w:eastAsia="en-GB"/>
        </w:rPr>
        <w:t>Map 5.3</w:t>
      </w:r>
      <w:r w:rsidRPr="0067297E">
        <w:rPr>
          <w:rFonts w:asciiTheme="minorHAnsi" w:hAnsiTheme="minorHAnsi"/>
          <w:noProof/>
          <w:lang w:eastAsia="en-GB"/>
        </w:rPr>
        <w:tab/>
        <w:t>Median rent - All properties 2017</w:t>
      </w:r>
      <w:bookmarkEnd w:id="753"/>
    </w:p>
    <w:p w14:paraId="3AC8BDA2" w14:textId="77777777" w:rsidR="00C4521E" w:rsidRPr="0067297E" w:rsidRDefault="00C4521E">
      <w:pPr>
        <w:rPr>
          <w:rFonts w:asciiTheme="minorHAnsi" w:hAnsiTheme="minorHAnsi"/>
          <w:noProof/>
          <w:lang w:eastAsia="en-GB"/>
        </w:rPr>
      </w:pPr>
      <w:r w:rsidRPr="0067297E">
        <w:rPr>
          <w:rFonts w:asciiTheme="minorHAnsi" w:hAnsiTheme="minorHAnsi"/>
          <w:noProof/>
          <w:lang w:eastAsia="en-GB"/>
        </w:rPr>
        <w:drawing>
          <wp:inline distT="0" distB="0" distL="0" distR="0" wp14:anchorId="78C2D174" wp14:editId="61E2B390">
            <wp:extent cx="5371200" cy="6238800"/>
            <wp:effectExtent l="0" t="0" r="0" b="0"/>
            <wp:docPr id="42" name="Picture 42" descr="Map showing median rent levels across wards (labeled) in Lewisham." title="Map 5.3 Median rent - All propert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wisham_g.png"/>
                    <pic:cNvPicPr/>
                  </pic:nvPicPr>
                  <pic:blipFill rotWithShape="1">
                    <a:blip r:embed="rId116">
                      <a:extLst>
                        <a:ext uri="{28A0092B-C50C-407E-A947-70E740481C1C}">
                          <a14:useLocalDpi xmlns:a14="http://schemas.microsoft.com/office/drawing/2010/main" val="0"/>
                        </a:ext>
                      </a:extLst>
                    </a:blip>
                    <a:srcRect l="10802" t="12448" r="9096" b="21788"/>
                    <a:stretch/>
                  </pic:blipFill>
                  <pic:spPr bwMode="auto">
                    <a:xfrm>
                      <a:off x="0" y="0"/>
                      <a:ext cx="5371200" cy="6238800"/>
                    </a:xfrm>
                    <a:prstGeom prst="rect">
                      <a:avLst/>
                    </a:prstGeom>
                    <a:ln>
                      <a:noFill/>
                    </a:ln>
                    <a:extLst>
                      <a:ext uri="{53640926-AAD7-44D8-BBD7-CCE9431645EC}">
                        <a14:shadowObscured xmlns:a14="http://schemas.microsoft.com/office/drawing/2010/main"/>
                      </a:ext>
                    </a:extLst>
                  </pic:spPr>
                </pic:pic>
              </a:graphicData>
            </a:graphic>
          </wp:inline>
        </w:drawing>
      </w:r>
    </w:p>
    <w:p w14:paraId="421FD455" w14:textId="77777777" w:rsidR="00C4521E" w:rsidRPr="0067297E" w:rsidRDefault="00C4521E">
      <w:pPr>
        <w:rPr>
          <w:rFonts w:asciiTheme="minorHAnsi" w:hAnsiTheme="minorHAnsi"/>
          <w:noProof/>
          <w:lang w:eastAsia="en-GB"/>
        </w:rPr>
      </w:pPr>
    </w:p>
    <w:p w14:paraId="5A218A9B" w14:textId="68255C36" w:rsidR="00C4521E" w:rsidRPr="0067297E" w:rsidRDefault="00C4521E" w:rsidP="002C70BC">
      <w:pPr>
        <w:pStyle w:val="Reporttext"/>
        <w:numPr>
          <w:ilvl w:val="1"/>
          <w:numId w:val="34"/>
        </w:numPr>
        <w:tabs>
          <w:tab w:val="clear" w:pos="709"/>
        </w:tabs>
        <w:rPr>
          <w:rFonts w:asciiTheme="minorHAnsi" w:hAnsiTheme="minorHAnsi"/>
          <w:noProof/>
          <w:lang w:eastAsia="en-GB"/>
        </w:rPr>
      </w:pPr>
      <w:r w:rsidRPr="0067297E">
        <w:rPr>
          <w:rFonts w:asciiTheme="minorHAnsi" w:hAnsiTheme="minorHAnsi"/>
          <w:noProof/>
          <w:lang w:eastAsia="en-GB"/>
        </w:rPr>
        <w:t xml:space="preserve">Map 5.4 shows rent change for apartments from 2015-2017. In 10 of the wards, values have increased, adding to affordability pressures; these focus in New </w:t>
      </w:r>
      <w:r w:rsidR="00AE3193" w:rsidRPr="0067297E">
        <w:rPr>
          <w:rFonts w:asciiTheme="minorHAnsi" w:hAnsiTheme="minorHAnsi"/>
          <w:noProof/>
          <w:lang w:val="en-GB" w:eastAsia="en-GB"/>
        </w:rPr>
        <w:t>C</w:t>
      </w:r>
      <w:r w:rsidR="00AE3193" w:rsidRPr="0067297E">
        <w:rPr>
          <w:rFonts w:asciiTheme="minorHAnsi" w:hAnsiTheme="minorHAnsi"/>
          <w:noProof/>
          <w:lang w:eastAsia="en-GB"/>
        </w:rPr>
        <w:t>ross</w:t>
      </w:r>
      <w:r w:rsidRPr="0067297E">
        <w:rPr>
          <w:rFonts w:asciiTheme="minorHAnsi" w:hAnsiTheme="minorHAnsi"/>
          <w:noProof/>
          <w:lang w:eastAsia="en-GB"/>
        </w:rPr>
        <w:t xml:space="preserve">, Blackheath, </w:t>
      </w:r>
      <w:r w:rsidR="00C50F55" w:rsidRPr="0067297E">
        <w:rPr>
          <w:rFonts w:asciiTheme="minorHAnsi" w:hAnsiTheme="minorHAnsi"/>
          <w:noProof/>
          <w:lang w:val="en-GB" w:eastAsia="en-GB"/>
        </w:rPr>
        <w:t>Lewisham</w:t>
      </w:r>
      <w:r w:rsidR="00C50F55" w:rsidRPr="0067297E">
        <w:rPr>
          <w:rFonts w:asciiTheme="minorHAnsi" w:hAnsiTheme="minorHAnsi"/>
          <w:noProof/>
          <w:lang w:eastAsia="en-GB"/>
        </w:rPr>
        <w:t xml:space="preserve"> </w:t>
      </w:r>
      <w:r w:rsidRPr="0067297E">
        <w:rPr>
          <w:rFonts w:asciiTheme="minorHAnsi" w:hAnsiTheme="minorHAnsi"/>
          <w:noProof/>
          <w:lang w:eastAsia="en-GB"/>
        </w:rPr>
        <w:t>town centre and Bellingham. Catford is showing rent reductions</w:t>
      </w:r>
      <w:r w:rsidR="00B61903" w:rsidRPr="0067297E">
        <w:rPr>
          <w:rFonts w:asciiTheme="minorHAnsi" w:hAnsiTheme="minorHAnsi"/>
          <w:noProof/>
          <w:lang w:val="en-GB" w:eastAsia="en-GB"/>
        </w:rPr>
        <w:t>.</w:t>
      </w:r>
    </w:p>
    <w:p w14:paraId="13AB539D" w14:textId="77777777" w:rsidR="00C81E1C" w:rsidRPr="0067297E" w:rsidRDefault="00C81E1C">
      <w:pPr>
        <w:rPr>
          <w:rFonts w:asciiTheme="minorHAnsi" w:hAnsiTheme="minorHAnsi" w:cs="Arial"/>
          <w:noProof/>
          <w:lang w:eastAsia="en-GB"/>
        </w:rPr>
      </w:pPr>
      <w:bookmarkStart w:id="754" w:name="_Hlk518464307"/>
      <w:r w:rsidRPr="0067297E">
        <w:rPr>
          <w:rFonts w:asciiTheme="minorHAnsi" w:hAnsiTheme="minorHAnsi"/>
          <w:noProof/>
          <w:lang w:eastAsia="en-GB"/>
        </w:rPr>
        <w:br w:type="page"/>
      </w:r>
    </w:p>
    <w:p w14:paraId="2EB3664F" w14:textId="77777777" w:rsidR="00C4521E" w:rsidRPr="0067297E" w:rsidRDefault="00C4521E" w:rsidP="00FA273F">
      <w:pPr>
        <w:pStyle w:val="mapheading"/>
        <w:rPr>
          <w:rFonts w:asciiTheme="minorHAnsi" w:hAnsiTheme="minorHAnsi"/>
          <w:noProof/>
          <w:lang w:eastAsia="en-GB"/>
        </w:rPr>
      </w:pPr>
      <w:bookmarkStart w:id="755" w:name="_Toc23151253"/>
      <w:r w:rsidRPr="0067297E">
        <w:rPr>
          <w:rFonts w:asciiTheme="minorHAnsi" w:hAnsiTheme="minorHAnsi"/>
          <w:noProof/>
          <w:lang w:eastAsia="en-GB"/>
        </w:rPr>
        <w:t>Map 5.4</w:t>
      </w:r>
      <w:r w:rsidRPr="0067297E">
        <w:rPr>
          <w:rFonts w:asciiTheme="minorHAnsi" w:hAnsiTheme="minorHAnsi"/>
          <w:noProof/>
          <w:lang w:eastAsia="en-GB"/>
        </w:rPr>
        <w:tab/>
        <w:t>Rent change for apartments 2015-2017</w:t>
      </w:r>
      <w:bookmarkEnd w:id="755"/>
    </w:p>
    <w:bookmarkEnd w:id="754"/>
    <w:p w14:paraId="3368A7FC" w14:textId="77777777" w:rsidR="00C4521E" w:rsidRPr="0067297E" w:rsidRDefault="00C4521E">
      <w:pPr>
        <w:rPr>
          <w:rFonts w:asciiTheme="minorHAnsi" w:hAnsiTheme="minorHAnsi"/>
          <w:noProof/>
          <w:lang w:eastAsia="en-GB"/>
        </w:rPr>
      </w:pPr>
      <w:r w:rsidRPr="0067297E">
        <w:rPr>
          <w:rFonts w:asciiTheme="minorHAnsi" w:hAnsiTheme="minorHAnsi"/>
          <w:noProof/>
          <w:lang w:eastAsia="en-GB"/>
        </w:rPr>
        <w:drawing>
          <wp:inline distT="0" distB="0" distL="0" distR="0" wp14:anchorId="0D1DA745" wp14:editId="2C558E67">
            <wp:extent cx="5396400" cy="6098400"/>
            <wp:effectExtent l="0" t="0" r="0" b="0"/>
            <wp:docPr id="43" name="Picture 43" descr="Map showing % Rent change (colour coded) across wards (labeled) in Lewisham. " title="Map 5.4 Rent change for apartments 201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wisham_h.png"/>
                    <pic:cNvPicPr/>
                  </pic:nvPicPr>
                  <pic:blipFill rotWithShape="1">
                    <a:blip r:embed="rId117">
                      <a:extLst>
                        <a:ext uri="{28A0092B-C50C-407E-A947-70E740481C1C}">
                          <a14:useLocalDpi xmlns:a14="http://schemas.microsoft.com/office/drawing/2010/main" val="0"/>
                        </a:ext>
                      </a:extLst>
                    </a:blip>
                    <a:srcRect l="10636" t="13857" r="8929" b="21906"/>
                    <a:stretch/>
                  </pic:blipFill>
                  <pic:spPr bwMode="auto">
                    <a:xfrm>
                      <a:off x="0" y="0"/>
                      <a:ext cx="5396400" cy="6098400"/>
                    </a:xfrm>
                    <a:prstGeom prst="rect">
                      <a:avLst/>
                    </a:prstGeom>
                    <a:ln>
                      <a:noFill/>
                    </a:ln>
                    <a:extLst>
                      <a:ext uri="{53640926-AAD7-44D8-BBD7-CCE9431645EC}">
                        <a14:shadowObscured xmlns:a14="http://schemas.microsoft.com/office/drawing/2010/main"/>
                      </a:ext>
                    </a:extLst>
                  </pic:spPr>
                </pic:pic>
              </a:graphicData>
            </a:graphic>
          </wp:inline>
        </w:drawing>
      </w:r>
    </w:p>
    <w:p w14:paraId="51014CBB" w14:textId="77777777" w:rsidR="00C4521E" w:rsidRPr="0067297E" w:rsidRDefault="00C4521E">
      <w:pPr>
        <w:rPr>
          <w:rFonts w:asciiTheme="minorHAnsi" w:hAnsiTheme="minorHAnsi"/>
          <w:noProof/>
          <w:lang w:eastAsia="en-GB"/>
        </w:rPr>
      </w:pPr>
    </w:p>
    <w:p w14:paraId="39E98823" w14:textId="6EA3FACD"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noProof/>
          <w:lang w:eastAsia="en-GB"/>
        </w:rPr>
        <w:t xml:space="preserve">Map </w:t>
      </w:r>
      <w:r w:rsidRPr="0067297E">
        <w:rPr>
          <w:rFonts w:asciiTheme="minorHAnsi" w:hAnsiTheme="minorHAnsi"/>
        </w:rPr>
        <w:t xml:space="preserve">5.5 shows rent changes for houses. Rent increases are the highest in New Cross, Brockley, </w:t>
      </w:r>
      <w:r w:rsidR="00C50F55" w:rsidRPr="0067297E">
        <w:rPr>
          <w:rFonts w:asciiTheme="minorHAnsi" w:hAnsiTheme="minorHAnsi"/>
          <w:lang w:val="en-GB"/>
        </w:rPr>
        <w:t>Lewisham</w:t>
      </w:r>
      <w:r w:rsidR="00C50F55" w:rsidRPr="0067297E">
        <w:rPr>
          <w:rFonts w:asciiTheme="minorHAnsi" w:hAnsiTheme="minorHAnsi"/>
        </w:rPr>
        <w:t xml:space="preserve"> </w:t>
      </w:r>
      <w:r w:rsidRPr="0067297E">
        <w:rPr>
          <w:rFonts w:asciiTheme="minorHAnsi" w:hAnsiTheme="minorHAnsi"/>
        </w:rPr>
        <w:t xml:space="preserve">town centre, toward the East of the borough and Grove Park. Again, reductions are recorded in Catford South and </w:t>
      </w:r>
      <w:r w:rsidR="00AE3193" w:rsidRPr="0067297E">
        <w:rPr>
          <w:rFonts w:asciiTheme="minorHAnsi" w:hAnsiTheme="minorHAnsi"/>
          <w:lang w:val="en-GB"/>
        </w:rPr>
        <w:t>Evelyn</w:t>
      </w:r>
      <w:r w:rsidRPr="0067297E">
        <w:rPr>
          <w:rFonts w:asciiTheme="minorHAnsi" w:hAnsiTheme="minorHAnsi"/>
        </w:rPr>
        <w:t>.</w:t>
      </w:r>
    </w:p>
    <w:p w14:paraId="4F187743" w14:textId="77777777" w:rsidR="00C4521E" w:rsidRPr="0067297E" w:rsidRDefault="00C4521E">
      <w:pPr>
        <w:rPr>
          <w:rFonts w:asciiTheme="minorHAnsi" w:hAnsiTheme="minorHAnsi"/>
          <w:noProof/>
          <w:lang w:eastAsia="en-GB"/>
        </w:rPr>
      </w:pPr>
    </w:p>
    <w:p w14:paraId="78A4294B" w14:textId="77777777" w:rsidR="00C4521E" w:rsidRPr="0067297E" w:rsidRDefault="00C4521E">
      <w:pPr>
        <w:rPr>
          <w:rFonts w:asciiTheme="minorHAnsi" w:hAnsiTheme="minorHAnsi" w:cs="Arial"/>
          <w:b/>
          <w:noProof/>
          <w:color w:val="009999"/>
          <w:sz w:val="22"/>
          <w:lang w:eastAsia="en-GB"/>
        </w:rPr>
      </w:pPr>
      <w:r w:rsidRPr="0067297E">
        <w:rPr>
          <w:rFonts w:asciiTheme="minorHAnsi" w:hAnsiTheme="minorHAnsi"/>
          <w:noProof/>
          <w:lang w:eastAsia="en-GB"/>
        </w:rPr>
        <w:br w:type="page"/>
      </w:r>
    </w:p>
    <w:p w14:paraId="4CD107EC" w14:textId="77777777" w:rsidR="00C4521E" w:rsidRPr="0067297E" w:rsidRDefault="00C4521E" w:rsidP="00FA273F">
      <w:pPr>
        <w:pStyle w:val="mapheading"/>
        <w:rPr>
          <w:rFonts w:asciiTheme="minorHAnsi" w:hAnsiTheme="minorHAnsi"/>
          <w:noProof/>
          <w:lang w:eastAsia="en-GB"/>
        </w:rPr>
      </w:pPr>
      <w:bookmarkStart w:id="756" w:name="_Toc23151254"/>
      <w:r w:rsidRPr="0067297E">
        <w:rPr>
          <w:rFonts w:asciiTheme="minorHAnsi" w:hAnsiTheme="minorHAnsi"/>
          <w:noProof/>
          <w:lang w:eastAsia="en-GB"/>
        </w:rPr>
        <w:t>Map 5.5</w:t>
      </w:r>
      <w:r w:rsidRPr="0067297E">
        <w:rPr>
          <w:rFonts w:asciiTheme="minorHAnsi" w:hAnsiTheme="minorHAnsi"/>
          <w:noProof/>
          <w:lang w:eastAsia="en-GB"/>
        </w:rPr>
        <w:tab/>
        <w:t>Rent change for houses 2015-2017</w:t>
      </w:r>
      <w:bookmarkEnd w:id="756"/>
    </w:p>
    <w:p w14:paraId="0A29D54F" w14:textId="77777777" w:rsidR="00C4521E" w:rsidRPr="0067297E" w:rsidRDefault="00C4521E">
      <w:pPr>
        <w:rPr>
          <w:rFonts w:asciiTheme="minorHAnsi" w:hAnsiTheme="minorHAnsi"/>
          <w:noProof/>
          <w:lang w:eastAsia="en-GB"/>
        </w:rPr>
      </w:pPr>
      <w:r w:rsidRPr="0067297E">
        <w:rPr>
          <w:rFonts w:asciiTheme="minorHAnsi" w:hAnsiTheme="minorHAnsi"/>
          <w:noProof/>
          <w:lang w:eastAsia="en-GB"/>
        </w:rPr>
        <w:drawing>
          <wp:inline distT="0" distB="0" distL="0" distR="0" wp14:anchorId="278C874D" wp14:editId="6E62FB3F">
            <wp:extent cx="5418000" cy="6120000"/>
            <wp:effectExtent l="0" t="0" r="0" b="0"/>
            <wp:docPr id="44" name="Picture 44" descr="Map showing % rent change (colour coded) across wards (labeled) in Lewisham. " title="Map 5.5 Rent change for houses 201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wisham_i.png"/>
                    <pic:cNvPicPr/>
                  </pic:nvPicPr>
                  <pic:blipFill rotWithShape="1">
                    <a:blip r:embed="rId118">
                      <a:extLst>
                        <a:ext uri="{28A0092B-C50C-407E-A947-70E740481C1C}">
                          <a14:useLocalDpi xmlns:a14="http://schemas.microsoft.com/office/drawing/2010/main" val="0"/>
                        </a:ext>
                      </a:extLst>
                    </a:blip>
                    <a:srcRect l="10469" t="13740" r="8764" b="21789"/>
                    <a:stretch/>
                  </pic:blipFill>
                  <pic:spPr bwMode="auto">
                    <a:xfrm>
                      <a:off x="0" y="0"/>
                      <a:ext cx="5418000" cy="6120000"/>
                    </a:xfrm>
                    <a:prstGeom prst="rect">
                      <a:avLst/>
                    </a:prstGeom>
                    <a:ln>
                      <a:noFill/>
                    </a:ln>
                    <a:extLst>
                      <a:ext uri="{53640926-AAD7-44D8-BBD7-CCE9431645EC}">
                        <a14:shadowObscured xmlns:a14="http://schemas.microsoft.com/office/drawing/2010/main"/>
                      </a:ext>
                    </a:extLst>
                  </pic:spPr>
                </pic:pic>
              </a:graphicData>
            </a:graphic>
          </wp:inline>
        </w:drawing>
      </w:r>
    </w:p>
    <w:p w14:paraId="01E8F2BF" w14:textId="77777777" w:rsidR="00C4521E" w:rsidRPr="0067297E" w:rsidRDefault="00C4521E">
      <w:pPr>
        <w:rPr>
          <w:rFonts w:asciiTheme="minorHAnsi" w:hAnsiTheme="minorHAnsi"/>
          <w:sz w:val="20"/>
          <w:szCs w:val="20"/>
        </w:rPr>
      </w:pPr>
    </w:p>
    <w:p w14:paraId="60B541F5" w14:textId="77777777" w:rsidR="00C4521E" w:rsidRPr="0067297E" w:rsidRDefault="00C4521E">
      <w:pPr>
        <w:rPr>
          <w:rFonts w:asciiTheme="minorHAnsi" w:hAnsiTheme="minorHAnsi"/>
          <w:sz w:val="20"/>
          <w:szCs w:val="20"/>
        </w:rPr>
      </w:pPr>
      <w:r w:rsidRPr="0067297E">
        <w:rPr>
          <w:rFonts w:asciiTheme="minorHAnsi" w:hAnsiTheme="minorHAnsi"/>
          <w:sz w:val="20"/>
          <w:szCs w:val="20"/>
        </w:rPr>
        <w:br w:type="page"/>
      </w:r>
    </w:p>
    <w:p w14:paraId="16A7B6F7" w14:textId="4605A7CE" w:rsidR="00C4521E" w:rsidRPr="0067297E" w:rsidRDefault="00C4521E" w:rsidP="002C70BC">
      <w:pPr>
        <w:pStyle w:val="Heading1"/>
        <w:numPr>
          <w:ilvl w:val="0"/>
          <w:numId w:val="34"/>
        </w:numPr>
        <w:rPr>
          <w:rFonts w:asciiTheme="minorHAnsi" w:hAnsiTheme="minorHAnsi"/>
        </w:rPr>
      </w:pPr>
      <w:bookmarkStart w:id="757" w:name="_Toc400488696"/>
      <w:bookmarkStart w:id="758" w:name="_Toc529887301"/>
      <w:bookmarkStart w:id="759" w:name="_Toc1385819"/>
      <w:bookmarkStart w:id="760" w:name="_Toc23151136"/>
      <w:r w:rsidRPr="0067297E">
        <w:rPr>
          <w:rFonts w:asciiTheme="minorHAnsi" w:hAnsiTheme="minorHAnsi"/>
        </w:rPr>
        <w:t>Affordability</w:t>
      </w:r>
      <w:bookmarkEnd w:id="757"/>
      <w:bookmarkEnd w:id="758"/>
      <w:bookmarkEnd w:id="759"/>
      <w:bookmarkEnd w:id="760"/>
      <w:r w:rsidRPr="0067297E">
        <w:rPr>
          <w:rFonts w:asciiTheme="minorHAnsi" w:hAnsiTheme="minorHAnsi"/>
        </w:rPr>
        <w:t xml:space="preserve"> </w:t>
      </w:r>
    </w:p>
    <w:p w14:paraId="3B22DA01"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Two types of affordability have been considered in Lewisham. The affordability for household’s dependent on Local Housing Allowance and the affordability for economically active households. </w:t>
      </w:r>
    </w:p>
    <w:p w14:paraId="43121BA6"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All of the properties that came onto the market in each year from 2015 to 2017 have been recorded and the rent levels compared with the Local Housing Allowance caps for Lewisham. The number of properties that were available within the LHA caps by bed size has been recorded and expressed as a percentage of all of that property type available. </w:t>
      </w:r>
    </w:p>
    <w:p w14:paraId="28BB8D7E"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As Lewisham has rates for inner and outer Lewisham, an average of each has been taken for each bed size. Therefore, the results are approximate guides. The results are shown in Table 6.1 and Chart 6.1.</w:t>
      </w:r>
    </w:p>
    <w:p w14:paraId="3E2FDA9D" w14:textId="77777777" w:rsidR="00C4521E" w:rsidRPr="0067297E" w:rsidRDefault="00C4521E" w:rsidP="002C70BC">
      <w:pPr>
        <w:pStyle w:val="Reporttext"/>
        <w:numPr>
          <w:ilvl w:val="1"/>
          <w:numId w:val="34"/>
        </w:numPr>
        <w:tabs>
          <w:tab w:val="clear" w:pos="709"/>
        </w:tabs>
        <w:rPr>
          <w:rFonts w:asciiTheme="minorHAnsi" w:hAnsiTheme="minorHAnsi"/>
        </w:rPr>
      </w:pPr>
      <w:bookmarkStart w:id="761" w:name="_Hlk488649488"/>
      <w:bookmarkStart w:id="762" w:name="_Hlk519478107"/>
      <w:r w:rsidRPr="0067297E">
        <w:rPr>
          <w:rFonts w:asciiTheme="minorHAnsi" w:hAnsiTheme="minorHAnsi"/>
        </w:rPr>
        <w:t>Since 2015, 15% of all properties coming to the market and recorded through Zoopla have been within the Local Housing Allowance caps and in 2017 this figure was 15.8%.</w:t>
      </w:r>
    </w:p>
    <w:p w14:paraId="4CE28995" w14:textId="5F90A88E"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This confirms the problems of affordability in the market and the lack of choice for households reliant on </w:t>
      </w:r>
      <w:r w:rsidR="00B61903" w:rsidRPr="0067297E">
        <w:rPr>
          <w:rFonts w:asciiTheme="minorHAnsi" w:hAnsiTheme="minorHAnsi"/>
          <w:lang w:val="en-GB"/>
        </w:rPr>
        <w:t>L</w:t>
      </w:r>
      <w:r w:rsidRPr="0067297E">
        <w:rPr>
          <w:rFonts w:asciiTheme="minorHAnsi" w:hAnsiTheme="minorHAnsi"/>
        </w:rPr>
        <w:t xml:space="preserve">ocal </w:t>
      </w:r>
      <w:r w:rsidR="00B61903" w:rsidRPr="0067297E">
        <w:rPr>
          <w:rFonts w:asciiTheme="minorHAnsi" w:hAnsiTheme="minorHAnsi"/>
          <w:lang w:val="en-GB"/>
        </w:rPr>
        <w:t>H</w:t>
      </w:r>
      <w:r w:rsidRPr="0067297E">
        <w:rPr>
          <w:rFonts w:asciiTheme="minorHAnsi" w:hAnsiTheme="minorHAnsi"/>
        </w:rPr>
        <w:t xml:space="preserve">ousing </w:t>
      </w:r>
      <w:r w:rsidR="00B61903" w:rsidRPr="0067297E">
        <w:rPr>
          <w:rFonts w:asciiTheme="minorHAnsi" w:hAnsiTheme="minorHAnsi"/>
          <w:lang w:val="en-GB"/>
        </w:rPr>
        <w:t>A</w:t>
      </w:r>
      <w:r w:rsidRPr="0067297E">
        <w:rPr>
          <w:rFonts w:asciiTheme="minorHAnsi" w:hAnsiTheme="minorHAnsi"/>
        </w:rPr>
        <w:t>llowance. This has reduced since 2014 but stabilised over the past few years, given the relatively static movement in rents.</w:t>
      </w:r>
    </w:p>
    <w:bookmarkEnd w:id="761"/>
    <w:p w14:paraId="29C4FD16" w14:textId="33921172"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It is very likely that additional properties are available within Local Housing Levels but that these are advertised locally through ‘word of mouth’ or directly through windows in properties etc. The difficulty with this is that those households that need to access properties with rents that are within Local Housing Allowance levels may struggle to find them as they are not widely advertised</w:t>
      </w:r>
      <w:bookmarkEnd w:id="762"/>
      <w:r w:rsidRPr="0067297E">
        <w:rPr>
          <w:rFonts w:asciiTheme="minorHAnsi" w:hAnsiTheme="minorHAnsi"/>
        </w:rPr>
        <w:t>.</w:t>
      </w:r>
      <w:r w:rsidR="00FA273F" w:rsidRPr="0067297E">
        <w:rPr>
          <w:rFonts w:asciiTheme="minorHAnsi" w:hAnsiTheme="minorHAnsi"/>
          <w:lang w:val="en-US"/>
        </w:rPr>
        <w:t xml:space="preserve"> It is also worth reflecting that just because a property is advertised at LHA it does not mean it will be let to a housing benefit </w:t>
      </w:r>
      <w:r w:rsidR="00B61903" w:rsidRPr="0067297E">
        <w:rPr>
          <w:rFonts w:asciiTheme="minorHAnsi" w:hAnsiTheme="minorHAnsi"/>
          <w:lang w:val="en-US"/>
        </w:rPr>
        <w:t>claimant</w:t>
      </w:r>
      <w:r w:rsidR="00FA273F" w:rsidRPr="0067297E">
        <w:rPr>
          <w:rFonts w:asciiTheme="minorHAnsi" w:hAnsiTheme="minorHAnsi"/>
          <w:lang w:val="en-US"/>
        </w:rPr>
        <w:t xml:space="preserve">. Council research indicated that as few as 20% of properties available at LHA were being let to housing benefit claimants. </w:t>
      </w:r>
    </w:p>
    <w:p w14:paraId="052DF44F" w14:textId="77777777" w:rsidR="00C4521E" w:rsidRPr="0067297E" w:rsidRDefault="00C4521E" w:rsidP="00543A76">
      <w:pPr>
        <w:rPr>
          <w:rFonts w:asciiTheme="minorHAnsi" w:hAnsiTheme="minorHAnsi"/>
          <w:sz w:val="2"/>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0A0" w:firstRow="1" w:lastRow="0" w:firstColumn="1" w:lastColumn="0" w:noHBand="0" w:noVBand="0"/>
      </w:tblPr>
      <w:tblGrid>
        <w:gridCol w:w="2405"/>
        <w:gridCol w:w="992"/>
        <w:gridCol w:w="959"/>
        <w:gridCol w:w="837"/>
        <w:gridCol w:w="766"/>
        <w:gridCol w:w="837"/>
        <w:gridCol w:w="766"/>
        <w:gridCol w:w="858"/>
        <w:gridCol w:w="762"/>
      </w:tblGrid>
      <w:tr w:rsidR="00C4521E" w:rsidRPr="0067297E" w14:paraId="247E05D2" w14:textId="77777777" w:rsidTr="00FD050C">
        <w:trPr>
          <w:trHeight w:val="580"/>
          <w:tblHeader/>
        </w:trPr>
        <w:tc>
          <w:tcPr>
            <w:tcW w:w="5000" w:type="pct"/>
            <w:gridSpan w:val="9"/>
            <w:shd w:val="clear" w:color="auto" w:fill="009999"/>
            <w:noWrap/>
            <w:vAlign w:val="center"/>
          </w:tcPr>
          <w:p w14:paraId="4F0240D5" w14:textId="473CE6A8" w:rsidR="00C4521E" w:rsidRPr="0067297E" w:rsidRDefault="00C4521E" w:rsidP="001B5150">
            <w:pPr>
              <w:pStyle w:val="tableheading"/>
              <w:rPr>
                <w:rFonts w:asciiTheme="minorHAnsi" w:hAnsiTheme="minorHAnsi"/>
                <w:bCs/>
                <w:lang w:val="en-GB" w:eastAsia="en-GB"/>
              </w:rPr>
            </w:pPr>
            <w:bookmarkStart w:id="763" w:name="_Toc400488717"/>
            <w:bookmarkStart w:id="764" w:name="_Toc23151216"/>
            <w:r w:rsidRPr="0067297E">
              <w:rPr>
                <w:rFonts w:asciiTheme="minorHAnsi" w:hAnsiTheme="minorHAnsi"/>
                <w:lang w:eastAsia="en-GB"/>
              </w:rPr>
              <w:t>Table 6.1</w:t>
            </w:r>
            <w:r w:rsidRPr="0067297E">
              <w:rPr>
                <w:rFonts w:asciiTheme="minorHAnsi" w:hAnsiTheme="minorHAnsi"/>
                <w:lang w:eastAsia="en-GB"/>
              </w:rPr>
              <w:tab/>
              <w:t xml:space="preserve">Properties within LHA by </w:t>
            </w:r>
            <w:r w:rsidRPr="0067297E">
              <w:rPr>
                <w:rFonts w:asciiTheme="minorHAnsi" w:hAnsiTheme="minorHAnsi"/>
              </w:rPr>
              <w:t>bed size</w:t>
            </w:r>
            <w:r w:rsidRPr="0067297E">
              <w:rPr>
                <w:rFonts w:asciiTheme="minorHAnsi" w:hAnsiTheme="minorHAnsi"/>
                <w:lang w:eastAsia="en-GB"/>
              </w:rPr>
              <w:t xml:space="preserve"> 201</w:t>
            </w:r>
            <w:r w:rsidR="00B61903" w:rsidRPr="0067297E">
              <w:rPr>
                <w:rFonts w:asciiTheme="minorHAnsi" w:hAnsiTheme="minorHAnsi"/>
                <w:lang w:val="en-GB" w:eastAsia="en-GB"/>
              </w:rPr>
              <w:t>5</w:t>
            </w:r>
            <w:r w:rsidRPr="0067297E">
              <w:rPr>
                <w:rFonts w:asciiTheme="minorHAnsi" w:hAnsiTheme="minorHAnsi"/>
                <w:lang w:eastAsia="en-GB"/>
              </w:rPr>
              <w:t>-201</w:t>
            </w:r>
            <w:bookmarkEnd w:id="763"/>
            <w:r w:rsidR="00B61903" w:rsidRPr="0067297E">
              <w:rPr>
                <w:rFonts w:asciiTheme="minorHAnsi" w:hAnsiTheme="minorHAnsi"/>
                <w:lang w:val="en-GB" w:eastAsia="en-GB"/>
              </w:rPr>
              <w:t>7</w:t>
            </w:r>
            <w:bookmarkEnd w:id="764"/>
          </w:p>
        </w:tc>
      </w:tr>
      <w:tr w:rsidR="00C4521E" w:rsidRPr="0067297E" w14:paraId="4F1D0BF3" w14:textId="77777777" w:rsidTr="00C4521E">
        <w:trPr>
          <w:trHeight w:val="580"/>
        </w:trPr>
        <w:tc>
          <w:tcPr>
            <w:tcW w:w="1310" w:type="pct"/>
            <w:shd w:val="clear" w:color="auto" w:fill="009999"/>
            <w:noWrap/>
            <w:vAlign w:val="center"/>
          </w:tcPr>
          <w:p w14:paraId="11B205FC" w14:textId="77777777" w:rsidR="00C4521E" w:rsidRPr="0067297E" w:rsidRDefault="00C4521E" w:rsidP="0002512B">
            <w:pP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No of beds</w:t>
            </w:r>
          </w:p>
        </w:tc>
        <w:tc>
          <w:tcPr>
            <w:tcW w:w="1062" w:type="pct"/>
            <w:gridSpan w:val="2"/>
            <w:shd w:val="clear" w:color="auto" w:fill="009999"/>
            <w:noWrap/>
            <w:vAlign w:val="center"/>
          </w:tcPr>
          <w:p w14:paraId="759C4CF7" w14:textId="77777777" w:rsidR="00C4521E" w:rsidRPr="0067297E" w:rsidRDefault="00C4521E" w:rsidP="0002512B">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2015</w:t>
            </w:r>
          </w:p>
        </w:tc>
        <w:tc>
          <w:tcPr>
            <w:tcW w:w="873" w:type="pct"/>
            <w:gridSpan w:val="2"/>
            <w:shd w:val="clear" w:color="auto" w:fill="009999"/>
            <w:noWrap/>
            <w:vAlign w:val="center"/>
          </w:tcPr>
          <w:p w14:paraId="08419752" w14:textId="77777777" w:rsidR="00C4521E" w:rsidRPr="0067297E" w:rsidRDefault="00C4521E" w:rsidP="0002512B">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2016</w:t>
            </w:r>
          </w:p>
        </w:tc>
        <w:tc>
          <w:tcPr>
            <w:tcW w:w="873" w:type="pct"/>
            <w:gridSpan w:val="2"/>
            <w:shd w:val="clear" w:color="auto" w:fill="009999"/>
            <w:noWrap/>
            <w:vAlign w:val="center"/>
          </w:tcPr>
          <w:p w14:paraId="5756D45E" w14:textId="77777777" w:rsidR="00C4521E" w:rsidRPr="0067297E" w:rsidRDefault="00C4521E" w:rsidP="0002512B">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2017</w:t>
            </w:r>
          </w:p>
        </w:tc>
        <w:tc>
          <w:tcPr>
            <w:tcW w:w="882" w:type="pct"/>
            <w:gridSpan w:val="2"/>
            <w:shd w:val="clear" w:color="auto" w:fill="009999"/>
            <w:noWrap/>
            <w:vAlign w:val="center"/>
          </w:tcPr>
          <w:p w14:paraId="391E011A" w14:textId="77777777" w:rsidR="00C4521E" w:rsidRPr="0067297E" w:rsidRDefault="00C4521E" w:rsidP="0002512B">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Total</w:t>
            </w:r>
          </w:p>
        </w:tc>
      </w:tr>
      <w:tr w:rsidR="00C4521E" w:rsidRPr="0067297E" w14:paraId="0A0B6471" w14:textId="77777777" w:rsidTr="00C4521E">
        <w:trPr>
          <w:trHeight w:val="285"/>
        </w:trPr>
        <w:tc>
          <w:tcPr>
            <w:tcW w:w="1310" w:type="pct"/>
            <w:noWrap/>
            <w:vAlign w:val="center"/>
          </w:tcPr>
          <w:p w14:paraId="28604A63" w14:textId="77777777" w:rsidR="00C4521E" w:rsidRPr="0067297E" w:rsidRDefault="00C4521E" w:rsidP="0002512B">
            <w:pPr>
              <w:jc w:val="center"/>
              <w:rPr>
                <w:rFonts w:asciiTheme="minorHAnsi" w:hAnsiTheme="minorHAnsi" w:cs="Calibri"/>
                <w:b/>
                <w:color w:val="000000"/>
                <w:sz w:val="22"/>
                <w:szCs w:val="22"/>
                <w:lang w:eastAsia="en-GB"/>
              </w:rPr>
            </w:pPr>
            <w:r w:rsidRPr="0067297E">
              <w:rPr>
                <w:rFonts w:asciiTheme="minorHAnsi" w:hAnsiTheme="minorHAnsi" w:cs="Calibri"/>
                <w:b/>
                <w:color w:val="000000"/>
                <w:sz w:val="22"/>
                <w:szCs w:val="22"/>
                <w:lang w:eastAsia="en-GB"/>
              </w:rPr>
              <w:t> </w:t>
            </w:r>
          </w:p>
        </w:tc>
        <w:tc>
          <w:tcPr>
            <w:tcW w:w="540" w:type="pct"/>
            <w:noWrap/>
            <w:vAlign w:val="center"/>
          </w:tcPr>
          <w:p w14:paraId="11127B07" w14:textId="77777777" w:rsidR="00C4521E" w:rsidRPr="0067297E" w:rsidRDefault="00C4521E" w:rsidP="0002512B">
            <w:pPr>
              <w:jc w:val="cente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No</w:t>
            </w:r>
          </w:p>
        </w:tc>
        <w:tc>
          <w:tcPr>
            <w:tcW w:w="522" w:type="pct"/>
            <w:vAlign w:val="center"/>
          </w:tcPr>
          <w:p w14:paraId="0D0684D4" w14:textId="77777777" w:rsidR="00C4521E" w:rsidRPr="0067297E" w:rsidRDefault="00C4521E" w:rsidP="00A04CC5">
            <w:pPr>
              <w:pStyle w:val="NoSpacing"/>
              <w:jc w:val="center"/>
              <w:rPr>
                <w:rFonts w:asciiTheme="minorHAnsi" w:hAnsiTheme="minorHAnsi" w:cs="Calibri"/>
                <w:b/>
              </w:rPr>
            </w:pPr>
            <w:r w:rsidRPr="0067297E">
              <w:rPr>
                <w:rFonts w:asciiTheme="minorHAnsi" w:hAnsiTheme="minorHAnsi" w:cs="Calibri"/>
                <w:b/>
              </w:rPr>
              <w:t>%</w:t>
            </w:r>
          </w:p>
        </w:tc>
        <w:tc>
          <w:tcPr>
            <w:tcW w:w="456" w:type="pct"/>
            <w:noWrap/>
            <w:vAlign w:val="center"/>
          </w:tcPr>
          <w:p w14:paraId="4E225EDB" w14:textId="77777777" w:rsidR="00C4521E" w:rsidRPr="0067297E" w:rsidRDefault="00C4521E" w:rsidP="0002512B">
            <w:pPr>
              <w:jc w:val="cente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No</w:t>
            </w:r>
          </w:p>
        </w:tc>
        <w:tc>
          <w:tcPr>
            <w:tcW w:w="417" w:type="pct"/>
            <w:vAlign w:val="center"/>
          </w:tcPr>
          <w:p w14:paraId="179DC6FC" w14:textId="77777777" w:rsidR="00C4521E" w:rsidRPr="0067297E" w:rsidRDefault="00C4521E" w:rsidP="0002512B">
            <w:pPr>
              <w:jc w:val="cente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w:t>
            </w:r>
          </w:p>
        </w:tc>
        <w:tc>
          <w:tcPr>
            <w:tcW w:w="456" w:type="pct"/>
            <w:noWrap/>
            <w:vAlign w:val="center"/>
          </w:tcPr>
          <w:p w14:paraId="1AE779B5" w14:textId="77777777" w:rsidR="00C4521E" w:rsidRPr="0067297E" w:rsidRDefault="00C4521E" w:rsidP="0002512B">
            <w:pPr>
              <w:jc w:val="cente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No</w:t>
            </w:r>
          </w:p>
        </w:tc>
        <w:tc>
          <w:tcPr>
            <w:tcW w:w="417" w:type="pct"/>
            <w:vAlign w:val="center"/>
          </w:tcPr>
          <w:p w14:paraId="3D34C528" w14:textId="77777777" w:rsidR="00C4521E" w:rsidRPr="0067297E" w:rsidRDefault="00C4521E" w:rsidP="0002512B">
            <w:pPr>
              <w:jc w:val="cente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w:t>
            </w:r>
          </w:p>
        </w:tc>
        <w:tc>
          <w:tcPr>
            <w:tcW w:w="467" w:type="pct"/>
            <w:noWrap/>
            <w:vAlign w:val="center"/>
          </w:tcPr>
          <w:p w14:paraId="2C7C7669" w14:textId="77777777" w:rsidR="00C4521E" w:rsidRPr="0067297E" w:rsidRDefault="00C4521E" w:rsidP="0002512B">
            <w:pPr>
              <w:jc w:val="cente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No</w:t>
            </w:r>
          </w:p>
        </w:tc>
        <w:tc>
          <w:tcPr>
            <w:tcW w:w="415" w:type="pct"/>
            <w:vAlign w:val="center"/>
          </w:tcPr>
          <w:p w14:paraId="3DD75CAE" w14:textId="77777777" w:rsidR="00C4521E" w:rsidRPr="0067297E" w:rsidRDefault="00C4521E" w:rsidP="0002512B">
            <w:pPr>
              <w:jc w:val="cente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w:t>
            </w:r>
          </w:p>
        </w:tc>
      </w:tr>
      <w:tr w:rsidR="00C4521E" w:rsidRPr="0067297E" w14:paraId="7D16AE06" w14:textId="77777777" w:rsidTr="00C4521E">
        <w:trPr>
          <w:trHeight w:val="285"/>
        </w:trPr>
        <w:tc>
          <w:tcPr>
            <w:tcW w:w="1310" w:type="pct"/>
            <w:noWrap/>
            <w:vAlign w:val="center"/>
          </w:tcPr>
          <w:p w14:paraId="721905BC" w14:textId="77777777" w:rsidR="00C4521E" w:rsidRPr="0067297E" w:rsidRDefault="00C4521E" w:rsidP="00FA273F">
            <w:pPr>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Bed-sit</w:t>
            </w:r>
          </w:p>
        </w:tc>
        <w:tc>
          <w:tcPr>
            <w:tcW w:w="540" w:type="pct"/>
            <w:noWrap/>
            <w:vAlign w:val="bottom"/>
          </w:tcPr>
          <w:p w14:paraId="44FDF076" w14:textId="77777777" w:rsidR="00C4521E" w:rsidRPr="0067297E" w:rsidRDefault="00C4521E" w:rsidP="00FA273F">
            <w:pPr>
              <w:pStyle w:val="NoSpacing"/>
              <w:jc w:val="center"/>
              <w:rPr>
                <w:rFonts w:asciiTheme="minorHAnsi" w:hAnsiTheme="minorHAnsi" w:cs="Calibri"/>
                <w:lang w:eastAsia="en-GB"/>
              </w:rPr>
            </w:pPr>
            <w:r w:rsidRPr="0067297E">
              <w:rPr>
                <w:rFonts w:asciiTheme="minorHAnsi" w:hAnsiTheme="minorHAnsi" w:cs="Calibri"/>
                <w:lang w:eastAsia="en-GB"/>
              </w:rPr>
              <w:t>10</w:t>
            </w:r>
          </w:p>
        </w:tc>
        <w:tc>
          <w:tcPr>
            <w:tcW w:w="522" w:type="pct"/>
            <w:shd w:val="clear" w:color="auto" w:fill="FFFFFF"/>
            <w:vAlign w:val="bottom"/>
          </w:tcPr>
          <w:p w14:paraId="5CFEBFBF"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1.4</w:t>
            </w:r>
          </w:p>
        </w:tc>
        <w:tc>
          <w:tcPr>
            <w:tcW w:w="456" w:type="pct"/>
            <w:shd w:val="clear" w:color="auto" w:fill="FFFFFF"/>
            <w:noWrap/>
            <w:vAlign w:val="bottom"/>
          </w:tcPr>
          <w:p w14:paraId="340EFD45"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16</w:t>
            </w:r>
          </w:p>
        </w:tc>
        <w:tc>
          <w:tcPr>
            <w:tcW w:w="417" w:type="pct"/>
            <w:shd w:val="clear" w:color="auto" w:fill="FFFFFF"/>
            <w:vAlign w:val="center"/>
          </w:tcPr>
          <w:p w14:paraId="3E1715B6"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1.7</w:t>
            </w:r>
          </w:p>
        </w:tc>
        <w:tc>
          <w:tcPr>
            <w:tcW w:w="456" w:type="pct"/>
            <w:shd w:val="clear" w:color="auto" w:fill="FFFFFF"/>
            <w:noWrap/>
            <w:vAlign w:val="center"/>
          </w:tcPr>
          <w:p w14:paraId="16A8B233"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3</w:t>
            </w:r>
          </w:p>
        </w:tc>
        <w:tc>
          <w:tcPr>
            <w:tcW w:w="417" w:type="pct"/>
            <w:shd w:val="clear" w:color="auto" w:fill="FFFFFF"/>
            <w:vAlign w:val="center"/>
          </w:tcPr>
          <w:p w14:paraId="60C90227"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0.4</w:t>
            </w:r>
          </w:p>
        </w:tc>
        <w:tc>
          <w:tcPr>
            <w:tcW w:w="467" w:type="pct"/>
            <w:shd w:val="clear" w:color="auto" w:fill="FFFFFF"/>
            <w:noWrap/>
            <w:vAlign w:val="bottom"/>
          </w:tcPr>
          <w:p w14:paraId="1A6471C7" w14:textId="77777777" w:rsidR="00C4521E" w:rsidRPr="0067297E" w:rsidRDefault="00C4521E" w:rsidP="00FA273F">
            <w:pPr>
              <w:rPr>
                <w:rFonts w:asciiTheme="minorHAnsi" w:hAnsiTheme="minorHAnsi" w:cs="Calibri"/>
                <w:sz w:val="22"/>
                <w:szCs w:val="22"/>
                <w:lang w:eastAsia="en-GB"/>
              </w:rPr>
            </w:pPr>
            <w:r w:rsidRPr="0067297E">
              <w:rPr>
                <w:rFonts w:asciiTheme="minorHAnsi" w:hAnsiTheme="minorHAnsi" w:cs="Calibri"/>
                <w:color w:val="000000"/>
                <w:sz w:val="22"/>
                <w:szCs w:val="22"/>
              </w:rPr>
              <w:t xml:space="preserve">   29</w:t>
            </w:r>
          </w:p>
        </w:tc>
        <w:tc>
          <w:tcPr>
            <w:tcW w:w="415" w:type="pct"/>
            <w:shd w:val="clear" w:color="auto" w:fill="FFFFFF"/>
            <w:vAlign w:val="center"/>
          </w:tcPr>
          <w:p w14:paraId="1A6DB071"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1.2</w:t>
            </w:r>
          </w:p>
        </w:tc>
      </w:tr>
      <w:tr w:rsidR="00C4521E" w:rsidRPr="0067297E" w14:paraId="74AB0733" w14:textId="77777777" w:rsidTr="00C4521E">
        <w:trPr>
          <w:trHeight w:val="285"/>
        </w:trPr>
        <w:tc>
          <w:tcPr>
            <w:tcW w:w="1310" w:type="pct"/>
            <w:noWrap/>
            <w:vAlign w:val="center"/>
          </w:tcPr>
          <w:p w14:paraId="6A1F0740" w14:textId="77777777" w:rsidR="00C4521E" w:rsidRPr="0067297E" w:rsidRDefault="00C4521E" w:rsidP="00FA273F">
            <w:pPr>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1</w:t>
            </w:r>
          </w:p>
        </w:tc>
        <w:tc>
          <w:tcPr>
            <w:tcW w:w="540" w:type="pct"/>
            <w:noWrap/>
            <w:vAlign w:val="bottom"/>
          </w:tcPr>
          <w:p w14:paraId="436611D1"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color w:val="000000"/>
              </w:rPr>
              <w:t>478</w:t>
            </w:r>
          </w:p>
        </w:tc>
        <w:tc>
          <w:tcPr>
            <w:tcW w:w="522" w:type="pct"/>
            <w:shd w:val="clear" w:color="auto" w:fill="FFFFFF"/>
            <w:vAlign w:val="bottom"/>
          </w:tcPr>
          <w:p w14:paraId="3DC66A86"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17.6</w:t>
            </w:r>
          </w:p>
        </w:tc>
        <w:tc>
          <w:tcPr>
            <w:tcW w:w="456" w:type="pct"/>
            <w:shd w:val="clear" w:color="auto" w:fill="FFFFFF"/>
            <w:noWrap/>
            <w:vAlign w:val="bottom"/>
          </w:tcPr>
          <w:p w14:paraId="7FF16A39"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color w:val="000000"/>
              </w:rPr>
              <w:t>796</w:t>
            </w:r>
          </w:p>
        </w:tc>
        <w:tc>
          <w:tcPr>
            <w:tcW w:w="417" w:type="pct"/>
            <w:shd w:val="clear" w:color="auto" w:fill="FFFFFF"/>
            <w:vAlign w:val="bottom"/>
          </w:tcPr>
          <w:p w14:paraId="6B84FAD9"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17.6</w:t>
            </w:r>
          </w:p>
        </w:tc>
        <w:tc>
          <w:tcPr>
            <w:tcW w:w="456" w:type="pct"/>
            <w:shd w:val="clear" w:color="auto" w:fill="FFFFFF"/>
            <w:noWrap/>
            <w:vAlign w:val="bottom"/>
          </w:tcPr>
          <w:p w14:paraId="679857A2"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color w:val="000000"/>
              </w:rPr>
              <w:t>655</w:t>
            </w:r>
          </w:p>
        </w:tc>
        <w:tc>
          <w:tcPr>
            <w:tcW w:w="417" w:type="pct"/>
            <w:shd w:val="clear" w:color="auto" w:fill="FFFFFF"/>
            <w:vAlign w:val="bottom"/>
          </w:tcPr>
          <w:p w14:paraId="5A66C4FB"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21.7</w:t>
            </w:r>
          </w:p>
        </w:tc>
        <w:tc>
          <w:tcPr>
            <w:tcW w:w="467" w:type="pct"/>
            <w:shd w:val="clear" w:color="auto" w:fill="FFFFFF"/>
            <w:noWrap/>
            <w:vAlign w:val="bottom"/>
          </w:tcPr>
          <w:p w14:paraId="339FB6F0"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1929</w:t>
            </w:r>
          </w:p>
        </w:tc>
        <w:tc>
          <w:tcPr>
            <w:tcW w:w="415" w:type="pct"/>
            <w:shd w:val="clear" w:color="auto" w:fill="FFFFFF"/>
            <w:vAlign w:val="center"/>
          </w:tcPr>
          <w:p w14:paraId="1139E24B"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18.9</w:t>
            </w:r>
          </w:p>
        </w:tc>
      </w:tr>
      <w:tr w:rsidR="00C4521E" w:rsidRPr="0067297E" w14:paraId="06529452" w14:textId="77777777" w:rsidTr="00C4521E">
        <w:trPr>
          <w:trHeight w:val="285"/>
        </w:trPr>
        <w:tc>
          <w:tcPr>
            <w:tcW w:w="1310" w:type="pct"/>
            <w:noWrap/>
            <w:vAlign w:val="center"/>
          </w:tcPr>
          <w:p w14:paraId="604012F5" w14:textId="77777777" w:rsidR="00C4521E" w:rsidRPr="0067297E" w:rsidRDefault="00C4521E" w:rsidP="00FA273F">
            <w:pPr>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2</w:t>
            </w:r>
          </w:p>
        </w:tc>
        <w:tc>
          <w:tcPr>
            <w:tcW w:w="540" w:type="pct"/>
            <w:noWrap/>
            <w:vAlign w:val="bottom"/>
          </w:tcPr>
          <w:p w14:paraId="15241C58"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color w:val="000000"/>
              </w:rPr>
              <w:t>854</w:t>
            </w:r>
          </w:p>
        </w:tc>
        <w:tc>
          <w:tcPr>
            <w:tcW w:w="522" w:type="pct"/>
            <w:shd w:val="clear" w:color="auto" w:fill="FFFFFF"/>
            <w:vAlign w:val="bottom"/>
          </w:tcPr>
          <w:p w14:paraId="25601F8E"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26.5</w:t>
            </w:r>
          </w:p>
        </w:tc>
        <w:tc>
          <w:tcPr>
            <w:tcW w:w="456" w:type="pct"/>
            <w:shd w:val="clear" w:color="auto" w:fill="FFFFFF"/>
            <w:noWrap/>
            <w:vAlign w:val="bottom"/>
          </w:tcPr>
          <w:p w14:paraId="73A75E47"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color w:val="000000"/>
              </w:rPr>
              <w:t>691</w:t>
            </w:r>
          </w:p>
        </w:tc>
        <w:tc>
          <w:tcPr>
            <w:tcW w:w="417" w:type="pct"/>
            <w:shd w:val="clear" w:color="auto" w:fill="FFFFFF"/>
            <w:vAlign w:val="bottom"/>
          </w:tcPr>
          <w:p w14:paraId="76D8C5DF"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25.7</w:t>
            </w:r>
          </w:p>
        </w:tc>
        <w:tc>
          <w:tcPr>
            <w:tcW w:w="456" w:type="pct"/>
            <w:shd w:val="clear" w:color="auto" w:fill="FFFFFF"/>
            <w:noWrap/>
            <w:vAlign w:val="bottom"/>
          </w:tcPr>
          <w:p w14:paraId="752BF46B"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color w:val="000000"/>
              </w:rPr>
              <w:t>568</w:t>
            </w:r>
          </w:p>
        </w:tc>
        <w:tc>
          <w:tcPr>
            <w:tcW w:w="417" w:type="pct"/>
            <w:shd w:val="clear" w:color="auto" w:fill="FFFFFF"/>
            <w:vAlign w:val="center"/>
          </w:tcPr>
          <w:p w14:paraId="324CA92E"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21.2</w:t>
            </w:r>
          </w:p>
        </w:tc>
        <w:tc>
          <w:tcPr>
            <w:tcW w:w="467" w:type="pct"/>
            <w:shd w:val="clear" w:color="auto" w:fill="FFFFFF"/>
            <w:noWrap/>
            <w:vAlign w:val="bottom"/>
          </w:tcPr>
          <w:p w14:paraId="42030A60"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2113</w:t>
            </w:r>
          </w:p>
        </w:tc>
        <w:tc>
          <w:tcPr>
            <w:tcW w:w="415" w:type="pct"/>
            <w:shd w:val="clear" w:color="auto" w:fill="FFFFFF"/>
            <w:vAlign w:val="center"/>
          </w:tcPr>
          <w:p w14:paraId="09B1D55A"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20.3</w:t>
            </w:r>
          </w:p>
        </w:tc>
      </w:tr>
      <w:tr w:rsidR="00C4521E" w:rsidRPr="0067297E" w14:paraId="68DA3424" w14:textId="77777777" w:rsidTr="00C4521E">
        <w:trPr>
          <w:trHeight w:val="285"/>
        </w:trPr>
        <w:tc>
          <w:tcPr>
            <w:tcW w:w="1310" w:type="pct"/>
            <w:noWrap/>
            <w:vAlign w:val="center"/>
          </w:tcPr>
          <w:p w14:paraId="2910D13A" w14:textId="77777777" w:rsidR="00C4521E" w:rsidRPr="0067297E" w:rsidRDefault="00C4521E" w:rsidP="00FA273F">
            <w:pPr>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3</w:t>
            </w:r>
          </w:p>
        </w:tc>
        <w:tc>
          <w:tcPr>
            <w:tcW w:w="540" w:type="pct"/>
            <w:noWrap/>
            <w:vAlign w:val="center"/>
          </w:tcPr>
          <w:p w14:paraId="053763D5"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17</w:t>
            </w:r>
          </w:p>
        </w:tc>
        <w:tc>
          <w:tcPr>
            <w:tcW w:w="522" w:type="pct"/>
            <w:shd w:val="clear" w:color="auto" w:fill="FFFFFF"/>
            <w:vAlign w:val="center"/>
          </w:tcPr>
          <w:p w14:paraId="38FD99FA"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1.6</w:t>
            </w:r>
          </w:p>
        </w:tc>
        <w:tc>
          <w:tcPr>
            <w:tcW w:w="456" w:type="pct"/>
            <w:shd w:val="clear" w:color="auto" w:fill="FFFFFF"/>
            <w:noWrap/>
            <w:vAlign w:val="center"/>
          </w:tcPr>
          <w:p w14:paraId="7408DD1D"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33</w:t>
            </w:r>
          </w:p>
        </w:tc>
        <w:tc>
          <w:tcPr>
            <w:tcW w:w="417" w:type="pct"/>
            <w:shd w:val="clear" w:color="auto" w:fill="FFFFFF"/>
            <w:vAlign w:val="center"/>
          </w:tcPr>
          <w:p w14:paraId="1317A4D0"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2.5</w:t>
            </w:r>
          </w:p>
        </w:tc>
        <w:tc>
          <w:tcPr>
            <w:tcW w:w="456" w:type="pct"/>
            <w:shd w:val="clear" w:color="auto" w:fill="FFFFFF"/>
            <w:noWrap/>
            <w:vAlign w:val="center"/>
          </w:tcPr>
          <w:p w14:paraId="0D1A7C08"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12</w:t>
            </w:r>
          </w:p>
        </w:tc>
        <w:tc>
          <w:tcPr>
            <w:tcW w:w="417" w:type="pct"/>
            <w:shd w:val="clear" w:color="auto" w:fill="FFFFFF"/>
            <w:vAlign w:val="center"/>
          </w:tcPr>
          <w:p w14:paraId="4C1508C9"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1.1</w:t>
            </w:r>
          </w:p>
        </w:tc>
        <w:tc>
          <w:tcPr>
            <w:tcW w:w="467" w:type="pct"/>
            <w:shd w:val="clear" w:color="auto" w:fill="FFFFFF"/>
            <w:noWrap/>
            <w:vAlign w:val="bottom"/>
          </w:tcPr>
          <w:p w14:paraId="5DFEE49A"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62</w:t>
            </w:r>
          </w:p>
        </w:tc>
        <w:tc>
          <w:tcPr>
            <w:tcW w:w="415" w:type="pct"/>
            <w:shd w:val="clear" w:color="auto" w:fill="FFFFFF"/>
            <w:vAlign w:val="center"/>
          </w:tcPr>
          <w:p w14:paraId="1694E321"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1.8</w:t>
            </w:r>
          </w:p>
        </w:tc>
      </w:tr>
      <w:tr w:rsidR="00C4521E" w:rsidRPr="0067297E" w14:paraId="4227CA96" w14:textId="77777777" w:rsidTr="00C4521E">
        <w:trPr>
          <w:trHeight w:val="285"/>
        </w:trPr>
        <w:tc>
          <w:tcPr>
            <w:tcW w:w="1310" w:type="pct"/>
            <w:noWrap/>
            <w:vAlign w:val="center"/>
          </w:tcPr>
          <w:p w14:paraId="160F2A0A" w14:textId="77777777" w:rsidR="00C4521E" w:rsidRPr="0067297E" w:rsidRDefault="00C4521E" w:rsidP="00FA273F">
            <w:pPr>
              <w:rPr>
                <w:rFonts w:asciiTheme="minorHAnsi" w:hAnsiTheme="minorHAnsi" w:cs="Calibri"/>
                <w:color w:val="000000"/>
                <w:sz w:val="22"/>
                <w:szCs w:val="22"/>
                <w:lang w:eastAsia="en-GB"/>
              </w:rPr>
            </w:pPr>
            <w:r w:rsidRPr="0067297E">
              <w:rPr>
                <w:rFonts w:asciiTheme="minorHAnsi" w:hAnsiTheme="minorHAnsi" w:cs="Calibri"/>
                <w:color w:val="000000"/>
                <w:sz w:val="22"/>
                <w:szCs w:val="22"/>
                <w:lang w:eastAsia="en-GB"/>
              </w:rPr>
              <w:t>4+</w:t>
            </w:r>
          </w:p>
        </w:tc>
        <w:tc>
          <w:tcPr>
            <w:tcW w:w="540" w:type="pct"/>
            <w:noWrap/>
            <w:vAlign w:val="center"/>
          </w:tcPr>
          <w:p w14:paraId="5ECC76C1"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40</w:t>
            </w:r>
          </w:p>
        </w:tc>
        <w:tc>
          <w:tcPr>
            <w:tcW w:w="522" w:type="pct"/>
            <w:shd w:val="clear" w:color="auto" w:fill="FFFFFF"/>
            <w:vAlign w:val="center"/>
          </w:tcPr>
          <w:p w14:paraId="64F4C1FF"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7.0</w:t>
            </w:r>
          </w:p>
        </w:tc>
        <w:tc>
          <w:tcPr>
            <w:tcW w:w="456" w:type="pct"/>
            <w:shd w:val="clear" w:color="auto" w:fill="FFFFFF"/>
            <w:noWrap/>
            <w:vAlign w:val="center"/>
          </w:tcPr>
          <w:p w14:paraId="1CC34575"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47</w:t>
            </w:r>
          </w:p>
        </w:tc>
        <w:tc>
          <w:tcPr>
            <w:tcW w:w="417" w:type="pct"/>
            <w:shd w:val="clear" w:color="auto" w:fill="FFFFFF"/>
            <w:vAlign w:val="center"/>
          </w:tcPr>
          <w:p w14:paraId="0A4C499D"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6.7</w:t>
            </w:r>
          </w:p>
        </w:tc>
        <w:tc>
          <w:tcPr>
            <w:tcW w:w="456" w:type="pct"/>
            <w:shd w:val="clear" w:color="auto" w:fill="FFFFFF"/>
            <w:noWrap/>
            <w:vAlign w:val="center"/>
          </w:tcPr>
          <w:p w14:paraId="2BB0B0AD"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35</w:t>
            </w:r>
          </w:p>
        </w:tc>
        <w:tc>
          <w:tcPr>
            <w:tcW w:w="417" w:type="pct"/>
            <w:shd w:val="clear" w:color="auto" w:fill="FFFFFF"/>
            <w:vAlign w:val="center"/>
          </w:tcPr>
          <w:p w14:paraId="3476AFDF"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7.1</w:t>
            </w:r>
          </w:p>
        </w:tc>
        <w:tc>
          <w:tcPr>
            <w:tcW w:w="467" w:type="pct"/>
            <w:shd w:val="clear" w:color="auto" w:fill="FFFFFF"/>
            <w:noWrap/>
            <w:vAlign w:val="bottom"/>
          </w:tcPr>
          <w:p w14:paraId="4845BB61"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color w:val="000000"/>
                <w:sz w:val="22"/>
                <w:szCs w:val="22"/>
              </w:rPr>
              <w:t>122</w:t>
            </w:r>
          </w:p>
        </w:tc>
        <w:tc>
          <w:tcPr>
            <w:tcW w:w="415" w:type="pct"/>
            <w:shd w:val="clear" w:color="auto" w:fill="FFFFFF"/>
            <w:vAlign w:val="center"/>
          </w:tcPr>
          <w:p w14:paraId="36324903" w14:textId="77777777" w:rsidR="00C4521E" w:rsidRPr="0067297E" w:rsidRDefault="00C4521E" w:rsidP="00FA273F">
            <w:pPr>
              <w:pStyle w:val="NoSpacing"/>
              <w:jc w:val="center"/>
              <w:rPr>
                <w:rFonts w:asciiTheme="minorHAnsi" w:hAnsiTheme="minorHAnsi" w:cs="Calibri"/>
              </w:rPr>
            </w:pPr>
            <w:r w:rsidRPr="0067297E">
              <w:rPr>
                <w:rFonts w:asciiTheme="minorHAnsi" w:hAnsiTheme="minorHAnsi" w:cs="Calibri"/>
              </w:rPr>
              <w:t>6.9</w:t>
            </w:r>
          </w:p>
        </w:tc>
      </w:tr>
      <w:tr w:rsidR="00C4521E" w:rsidRPr="0067297E" w14:paraId="10E53CDB" w14:textId="77777777" w:rsidTr="00C4521E">
        <w:trPr>
          <w:trHeight w:val="285"/>
        </w:trPr>
        <w:tc>
          <w:tcPr>
            <w:tcW w:w="1310" w:type="pct"/>
            <w:noWrap/>
            <w:vAlign w:val="center"/>
          </w:tcPr>
          <w:p w14:paraId="0B93B5CF" w14:textId="77777777" w:rsidR="00C4521E" w:rsidRPr="0067297E" w:rsidRDefault="00C4521E" w:rsidP="00FA273F">
            <w:pPr>
              <w:rPr>
                <w:rFonts w:asciiTheme="minorHAnsi" w:hAnsiTheme="minorHAnsi" w:cs="Calibri"/>
                <w:b/>
                <w:bCs/>
                <w:color w:val="000000"/>
                <w:sz w:val="22"/>
                <w:szCs w:val="22"/>
                <w:lang w:eastAsia="en-GB"/>
              </w:rPr>
            </w:pPr>
            <w:r w:rsidRPr="0067297E">
              <w:rPr>
                <w:rFonts w:asciiTheme="minorHAnsi" w:hAnsiTheme="minorHAnsi" w:cs="Calibri"/>
                <w:b/>
                <w:bCs/>
                <w:color w:val="000000"/>
                <w:sz w:val="22"/>
                <w:szCs w:val="22"/>
                <w:lang w:eastAsia="en-GB"/>
              </w:rPr>
              <w:t>Lewisham</w:t>
            </w:r>
          </w:p>
        </w:tc>
        <w:tc>
          <w:tcPr>
            <w:tcW w:w="540" w:type="pct"/>
            <w:noWrap/>
            <w:vAlign w:val="bottom"/>
          </w:tcPr>
          <w:p w14:paraId="3CB28D75" w14:textId="77777777" w:rsidR="00C4521E" w:rsidRPr="0067297E" w:rsidRDefault="00C4521E" w:rsidP="00FA273F">
            <w:pPr>
              <w:pStyle w:val="NoSpacing"/>
              <w:jc w:val="center"/>
              <w:rPr>
                <w:rFonts w:asciiTheme="minorHAnsi" w:hAnsiTheme="minorHAnsi" w:cs="Calibri"/>
                <w:b/>
              </w:rPr>
            </w:pPr>
            <w:r w:rsidRPr="0067297E">
              <w:rPr>
                <w:rFonts w:asciiTheme="minorHAnsi" w:hAnsiTheme="minorHAnsi" w:cs="Calibri"/>
                <w:b/>
                <w:color w:val="000000"/>
              </w:rPr>
              <w:t>1399</w:t>
            </w:r>
          </w:p>
        </w:tc>
        <w:tc>
          <w:tcPr>
            <w:tcW w:w="522" w:type="pct"/>
            <w:vAlign w:val="bottom"/>
          </w:tcPr>
          <w:p w14:paraId="28E99161" w14:textId="77777777" w:rsidR="00C4521E" w:rsidRPr="0067297E" w:rsidRDefault="00C4521E" w:rsidP="00FA273F">
            <w:pPr>
              <w:pStyle w:val="NoSpacing"/>
              <w:jc w:val="center"/>
              <w:rPr>
                <w:rFonts w:asciiTheme="minorHAnsi" w:hAnsiTheme="minorHAnsi" w:cs="Calibri"/>
                <w:b/>
              </w:rPr>
            </w:pPr>
            <w:r w:rsidRPr="0067297E">
              <w:rPr>
                <w:rFonts w:asciiTheme="minorHAnsi" w:hAnsiTheme="minorHAnsi" w:cs="Calibri"/>
                <w:b/>
              </w:rPr>
              <w:t>16.9</w:t>
            </w:r>
          </w:p>
        </w:tc>
        <w:tc>
          <w:tcPr>
            <w:tcW w:w="456" w:type="pct"/>
            <w:noWrap/>
            <w:vAlign w:val="bottom"/>
          </w:tcPr>
          <w:p w14:paraId="237B01D8" w14:textId="77777777" w:rsidR="00C4521E" w:rsidRPr="0067297E" w:rsidRDefault="00C4521E" w:rsidP="00FA273F">
            <w:pPr>
              <w:pStyle w:val="NoSpacing"/>
              <w:jc w:val="center"/>
              <w:rPr>
                <w:rFonts w:asciiTheme="minorHAnsi" w:hAnsiTheme="minorHAnsi" w:cs="Calibri"/>
                <w:b/>
              </w:rPr>
            </w:pPr>
            <w:r w:rsidRPr="0067297E">
              <w:rPr>
                <w:rFonts w:asciiTheme="minorHAnsi" w:hAnsiTheme="minorHAnsi" w:cs="Calibri"/>
                <w:b/>
                <w:color w:val="000000"/>
              </w:rPr>
              <w:t>1583</w:t>
            </w:r>
          </w:p>
        </w:tc>
        <w:tc>
          <w:tcPr>
            <w:tcW w:w="417" w:type="pct"/>
            <w:vAlign w:val="bottom"/>
          </w:tcPr>
          <w:p w14:paraId="41027982" w14:textId="77777777" w:rsidR="00C4521E" w:rsidRPr="0067297E" w:rsidRDefault="00C4521E" w:rsidP="00FA273F">
            <w:pPr>
              <w:pStyle w:val="NoSpacing"/>
              <w:jc w:val="center"/>
              <w:rPr>
                <w:rFonts w:asciiTheme="minorHAnsi" w:hAnsiTheme="minorHAnsi" w:cs="Calibri"/>
                <w:b/>
              </w:rPr>
            </w:pPr>
            <w:r w:rsidRPr="0067297E">
              <w:rPr>
                <w:rFonts w:asciiTheme="minorHAnsi" w:hAnsiTheme="minorHAnsi" w:cs="Calibri"/>
                <w:b/>
              </w:rPr>
              <w:t>13.2</w:t>
            </w:r>
          </w:p>
        </w:tc>
        <w:tc>
          <w:tcPr>
            <w:tcW w:w="456" w:type="pct"/>
            <w:noWrap/>
            <w:vAlign w:val="bottom"/>
          </w:tcPr>
          <w:p w14:paraId="16FC595B" w14:textId="77777777" w:rsidR="00C4521E" w:rsidRPr="0067297E" w:rsidRDefault="00C4521E" w:rsidP="00FA273F">
            <w:pPr>
              <w:pStyle w:val="NoSpacing"/>
              <w:jc w:val="center"/>
              <w:rPr>
                <w:rFonts w:asciiTheme="minorHAnsi" w:hAnsiTheme="minorHAnsi" w:cs="Calibri"/>
                <w:b/>
              </w:rPr>
            </w:pPr>
            <w:r w:rsidRPr="0067297E">
              <w:rPr>
                <w:rFonts w:asciiTheme="minorHAnsi" w:hAnsiTheme="minorHAnsi" w:cs="Calibri"/>
                <w:b/>
                <w:color w:val="000000"/>
              </w:rPr>
              <w:t>1273</w:t>
            </w:r>
          </w:p>
        </w:tc>
        <w:tc>
          <w:tcPr>
            <w:tcW w:w="417" w:type="pct"/>
            <w:vAlign w:val="bottom"/>
          </w:tcPr>
          <w:p w14:paraId="69FCA577" w14:textId="77777777" w:rsidR="00C4521E" w:rsidRPr="0067297E" w:rsidRDefault="00C4521E" w:rsidP="00FA273F">
            <w:pPr>
              <w:pStyle w:val="NoSpacing"/>
              <w:jc w:val="center"/>
              <w:rPr>
                <w:rFonts w:asciiTheme="minorHAnsi" w:hAnsiTheme="minorHAnsi" w:cs="Calibri"/>
                <w:b/>
              </w:rPr>
            </w:pPr>
            <w:r w:rsidRPr="0067297E">
              <w:rPr>
                <w:rFonts w:asciiTheme="minorHAnsi" w:hAnsiTheme="minorHAnsi" w:cs="Calibri"/>
                <w:b/>
              </w:rPr>
              <w:t>15.8</w:t>
            </w:r>
          </w:p>
        </w:tc>
        <w:tc>
          <w:tcPr>
            <w:tcW w:w="467" w:type="pct"/>
            <w:noWrap/>
            <w:vAlign w:val="bottom"/>
          </w:tcPr>
          <w:p w14:paraId="1C64A2EB" w14:textId="77777777" w:rsidR="00C4521E" w:rsidRPr="0067297E" w:rsidRDefault="00C4521E" w:rsidP="00FA273F">
            <w:pPr>
              <w:jc w:val="center"/>
              <w:rPr>
                <w:rFonts w:asciiTheme="minorHAnsi" w:hAnsiTheme="minorHAnsi" w:cs="Calibri"/>
                <w:b/>
                <w:sz w:val="22"/>
                <w:szCs w:val="22"/>
              </w:rPr>
            </w:pPr>
            <w:r w:rsidRPr="0067297E">
              <w:rPr>
                <w:rFonts w:asciiTheme="minorHAnsi" w:hAnsiTheme="minorHAnsi" w:cs="Calibri"/>
                <w:b/>
                <w:color w:val="000000"/>
                <w:sz w:val="22"/>
                <w:szCs w:val="22"/>
              </w:rPr>
              <w:t>4255</w:t>
            </w:r>
          </w:p>
        </w:tc>
        <w:tc>
          <w:tcPr>
            <w:tcW w:w="415" w:type="pct"/>
            <w:vAlign w:val="center"/>
          </w:tcPr>
          <w:p w14:paraId="5BCADF4C" w14:textId="77777777" w:rsidR="00C4521E" w:rsidRPr="0067297E" w:rsidRDefault="00C4521E" w:rsidP="00FA273F">
            <w:pPr>
              <w:pStyle w:val="NoSpacing"/>
              <w:jc w:val="center"/>
              <w:rPr>
                <w:rFonts w:asciiTheme="minorHAnsi" w:hAnsiTheme="minorHAnsi" w:cs="Calibri"/>
                <w:b/>
              </w:rPr>
            </w:pPr>
            <w:r w:rsidRPr="0067297E">
              <w:rPr>
                <w:rFonts w:asciiTheme="minorHAnsi" w:hAnsiTheme="minorHAnsi" w:cs="Calibri"/>
                <w:b/>
              </w:rPr>
              <w:t>15.0</w:t>
            </w:r>
          </w:p>
        </w:tc>
      </w:tr>
    </w:tbl>
    <w:p w14:paraId="455C53A8" w14:textId="77777777" w:rsidR="00C4521E" w:rsidRPr="0067297E" w:rsidRDefault="00C4521E" w:rsidP="00543A76">
      <w:pPr>
        <w:rPr>
          <w:rFonts w:asciiTheme="minorHAnsi" w:hAnsiTheme="minorHAnsi"/>
          <w:sz w:val="20"/>
          <w:szCs w:val="20"/>
        </w:rPr>
      </w:pPr>
      <w:r w:rsidRPr="0067297E">
        <w:rPr>
          <w:rFonts w:asciiTheme="minorHAnsi" w:hAnsiTheme="minorHAnsi"/>
          <w:sz w:val="20"/>
          <w:szCs w:val="20"/>
        </w:rPr>
        <w:t>Source: Zoopla</w:t>
      </w:r>
    </w:p>
    <w:p w14:paraId="0202336B" w14:textId="77777777" w:rsidR="00C4521E" w:rsidRPr="0067297E" w:rsidRDefault="00C4521E" w:rsidP="00543A76">
      <w:pPr>
        <w:rPr>
          <w:rFonts w:asciiTheme="minorHAnsi" w:hAnsiTheme="minorHAnsi"/>
        </w:rPr>
      </w:pPr>
    </w:p>
    <w:p w14:paraId="297B4C1D" w14:textId="77777777" w:rsidR="00C4521E" w:rsidRPr="0067297E" w:rsidRDefault="00C4521E">
      <w:pPr>
        <w:rPr>
          <w:rFonts w:asciiTheme="minorHAnsi" w:hAnsiTheme="minorHAnsi"/>
        </w:rPr>
      </w:pPr>
      <w:r w:rsidRPr="0067297E">
        <w:rPr>
          <w:rFonts w:asciiTheme="minorHAnsi" w:hAnsiTheme="minorHAnsi"/>
        </w:rPr>
        <w:br w:type="page"/>
      </w:r>
    </w:p>
    <w:p w14:paraId="7A23CFDF" w14:textId="77777777" w:rsidR="00C4521E" w:rsidRPr="0067297E" w:rsidRDefault="00C4521E" w:rsidP="00FA273F">
      <w:pPr>
        <w:pStyle w:val="figureheading"/>
        <w:rPr>
          <w:rFonts w:asciiTheme="minorHAnsi" w:hAnsiTheme="minorHAnsi"/>
        </w:rPr>
      </w:pPr>
      <w:bookmarkStart w:id="765" w:name="_Toc23151238"/>
      <w:r w:rsidRPr="0067297E">
        <w:rPr>
          <w:rFonts w:asciiTheme="minorHAnsi" w:hAnsiTheme="minorHAnsi"/>
        </w:rPr>
        <w:t>Chart 6.1</w:t>
      </w:r>
      <w:r w:rsidRPr="0067297E">
        <w:rPr>
          <w:rFonts w:asciiTheme="minorHAnsi" w:hAnsiTheme="minorHAnsi"/>
        </w:rPr>
        <w:tab/>
        <w:t>Percentage of properties within LHA levels</w:t>
      </w:r>
      <w:bookmarkEnd w:id="765"/>
    </w:p>
    <w:p w14:paraId="4AEA9EF7" w14:textId="77777777" w:rsidR="00C4521E" w:rsidRPr="0067297E" w:rsidRDefault="00C4521E">
      <w:pPr>
        <w:rPr>
          <w:rFonts w:asciiTheme="minorHAnsi" w:hAnsiTheme="minorHAnsi"/>
        </w:rPr>
      </w:pPr>
      <w:r w:rsidRPr="0067297E">
        <w:rPr>
          <w:rFonts w:asciiTheme="minorHAnsi" w:hAnsiTheme="minorHAnsi"/>
          <w:noProof/>
          <w:lang w:eastAsia="en-GB"/>
        </w:rPr>
        <w:drawing>
          <wp:inline distT="0" distB="0" distL="0" distR="0" wp14:anchorId="12880F1E" wp14:editId="098D940A">
            <wp:extent cx="5857875" cy="2743200"/>
            <wp:effectExtent l="0" t="0" r="9525" b="0"/>
            <wp:docPr id="45" name="Chart 45" descr="Chart showing changes in percentages of units by bed size (colour coded) from 2015 - 2017. " title="Chart 6.1 Percentage of properties within LHA level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EE0347-2D89-4984-80ED-498B66A34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25E13470" w14:textId="0DC31018" w:rsidR="00C4521E" w:rsidRPr="0067297E" w:rsidRDefault="00C4521E">
      <w:pPr>
        <w:rPr>
          <w:rFonts w:asciiTheme="minorHAnsi" w:hAnsiTheme="minorHAnsi"/>
          <w:sz w:val="20"/>
          <w:szCs w:val="20"/>
        </w:rPr>
      </w:pPr>
      <w:r w:rsidRPr="0067297E">
        <w:rPr>
          <w:rFonts w:asciiTheme="minorHAnsi" w:hAnsiTheme="minorHAnsi"/>
          <w:sz w:val="20"/>
          <w:szCs w:val="20"/>
        </w:rPr>
        <w:t>Source: Zoopla</w:t>
      </w:r>
    </w:p>
    <w:p w14:paraId="0F4D20FE" w14:textId="77777777" w:rsidR="0002512B" w:rsidRPr="0067297E" w:rsidRDefault="0002512B" w:rsidP="0002512B">
      <w:pPr>
        <w:rPr>
          <w:rFonts w:asciiTheme="minorHAnsi" w:hAnsiTheme="minorHAnsi"/>
          <w:sz w:val="20"/>
          <w:szCs w:val="20"/>
        </w:rPr>
      </w:pPr>
    </w:p>
    <w:p w14:paraId="4BA563D6"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Table 6.2 illustrates the monthly and annual gross income levels that would be required to rent a property in each ward, if the rent accounted for 30% of household income. </w:t>
      </w:r>
    </w:p>
    <w:p w14:paraId="22F3D698" w14:textId="06699DDE"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Rents are based on those coming to market not those let and tenanted. The rent levels are based on 2017 figures when lower quartile annual gross income was £23,869 and the median annual gross income was £34,261</w:t>
      </w:r>
      <w:r w:rsidRPr="0067297E">
        <w:rPr>
          <w:rStyle w:val="FootnoteReference"/>
          <w:rFonts w:asciiTheme="minorHAnsi" w:hAnsiTheme="minorHAnsi"/>
        </w:rPr>
        <w:footnoteReference w:id="68"/>
      </w:r>
      <w:r w:rsidRPr="0067297E">
        <w:rPr>
          <w:rFonts w:asciiTheme="minorHAnsi" w:hAnsiTheme="minorHAnsi"/>
        </w:rPr>
        <w:t xml:space="preserve">. </w:t>
      </w:r>
    </w:p>
    <w:p w14:paraId="7F7C547D" w14:textId="77777777" w:rsidR="00C4521E" w:rsidRPr="0067297E" w:rsidRDefault="00C4521E" w:rsidP="002C70BC">
      <w:pPr>
        <w:pStyle w:val="Reporttext"/>
        <w:numPr>
          <w:ilvl w:val="1"/>
          <w:numId w:val="34"/>
        </w:numPr>
        <w:tabs>
          <w:tab w:val="clear" w:pos="709"/>
        </w:tabs>
        <w:rPr>
          <w:rFonts w:asciiTheme="minorHAnsi" w:hAnsiTheme="minorHAnsi"/>
        </w:rPr>
      </w:pPr>
      <w:bookmarkStart w:id="766" w:name="_Hlk488649513"/>
      <w:r w:rsidRPr="0067297E">
        <w:rPr>
          <w:rFonts w:asciiTheme="minorHAnsi" w:hAnsiTheme="minorHAnsi"/>
        </w:rPr>
        <w:t>The market is not affordable. There were no areas where households on lower quartile or median quartile gross incomes could afford median rent levels unless that used over 30% of their household income.</w:t>
      </w:r>
    </w:p>
    <w:bookmarkEnd w:id="766"/>
    <w:p w14:paraId="5FC2465B" w14:textId="77777777" w:rsidR="00C4521E" w:rsidRPr="0067297E" w:rsidRDefault="00C4521E" w:rsidP="00516B53">
      <w:pPr>
        <w:rPr>
          <w:rFonts w:asciiTheme="minorHAnsi" w:hAnsiTheme="minorHAnsi"/>
          <w:sz w:val="22"/>
        </w:rPr>
      </w:pPr>
    </w:p>
    <w:p w14:paraId="0FBD9F63" w14:textId="77777777" w:rsidR="00C4521E" w:rsidRPr="0067297E" w:rsidRDefault="00C4521E">
      <w:pPr>
        <w:rPr>
          <w:rFonts w:asciiTheme="minorHAnsi" w:hAnsiTheme="minorHAnsi"/>
          <w:sz w:val="22"/>
        </w:rPr>
      </w:pPr>
      <w:r w:rsidRPr="0067297E">
        <w:rPr>
          <w:rFonts w:asciiTheme="minorHAnsi" w:hAnsiTheme="minorHAnsi"/>
          <w:sz w:val="22"/>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0A0" w:firstRow="1" w:lastRow="0" w:firstColumn="1" w:lastColumn="0" w:noHBand="0" w:noVBand="0"/>
      </w:tblPr>
      <w:tblGrid>
        <w:gridCol w:w="1827"/>
        <w:gridCol w:w="2481"/>
        <w:gridCol w:w="2674"/>
        <w:gridCol w:w="2200"/>
      </w:tblGrid>
      <w:tr w:rsidR="00C4521E" w:rsidRPr="0067297E" w14:paraId="092EB4E5" w14:textId="77777777" w:rsidTr="00FD050C">
        <w:trPr>
          <w:tblHeader/>
        </w:trPr>
        <w:tc>
          <w:tcPr>
            <w:tcW w:w="5000" w:type="pct"/>
            <w:gridSpan w:val="4"/>
            <w:shd w:val="clear" w:color="auto" w:fill="009999"/>
            <w:noWrap/>
            <w:vAlign w:val="center"/>
          </w:tcPr>
          <w:p w14:paraId="78986384" w14:textId="77777777" w:rsidR="00C4521E" w:rsidRPr="0067297E" w:rsidRDefault="00C4521E" w:rsidP="00FA273F">
            <w:pPr>
              <w:pStyle w:val="tableheading"/>
              <w:rPr>
                <w:rFonts w:asciiTheme="minorHAnsi" w:hAnsiTheme="minorHAnsi"/>
              </w:rPr>
            </w:pPr>
            <w:bookmarkStart w:id="767" w:name="_Toc400488718"/>
            <w:bookmarkStart w:id="768" w:name="_Toc23151217"/>
            <w:r w:rsidRPr="0067297E">
              <w:rPr>
                <w:rFonts w:asciiTheme="minorHAnsi" w:hAnsiTheme="minorHAnsi"/>
              </w:rPr>
              <w:t>Table 6.2</w:t>
            </w:r>
            <w:r w:rsidRPr="0067297E">
              <w:rPr>
                <w:rFonts w:asciiTheme="minorHAnsi" w:hAnsiTheme="minorHAnsi"/>
              </w:rPr>
              <w:tab/>
              <w:t xml:space="preserve">Affordability by </w:t>
            </w:r>
            <w:bookmarkEnd w:id="767"/>
            <w:r w:rsidRPr="0067297E">
              <w:rPr>
                <w:rFonts w:asciiTheme="minorHAnsi" w:hAnsiTheme="minorHAnsi"/>
              </w:rPr>
              <w:t>Ward</w:t>
            </w:r>
            <w:bookmarkEnd w:id="768"/>
          </w:p>
        </w:tc>
      </w:tr>
      <w:tr w:rsidR="00C4521E" w:rsidRPr="0067297E" w14:paraId="15BF0D77" w14:textId="77777777" w:rsidTr="00C4521E">
        <w:tc>
          <w:tcPr>
            <w:tcW w:w="995" w:type="pct"/>
            <w:shd w:val="clear" w:color="auto" w:fill="009999"/>
            <w:noWrap/>
            <w:vAlign w:val="bottom"/>
          </w:tcPr>
          <w:p w14:paraId="5FDE6512" w14:textId="77777777" w:rsidR="00C4521E" w:rsidRPr="0067297E" w:rsidRDefault="00C4521E" w:rsidP="00FA273F">
            <w:pP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Ward</w:t>
            </w:r>
          </w:p>
        </w:tc>
        <w:tc>
          <w:tcPr>
            <w:tcW w:w="1351" w:type="pct"/>
            <w:shd w:val="clear" w:color="auto" w:fill="009999"/>
            <w:vAlign w:val="bottom"/>
          </w:tcPr>
          <w:p w14:paraId="71D83FFF"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2017 median rent levels  £pcm (full market)</w:t>
            </w:r>
          </w:p>
        </w:tc>
        <w:tc>
          <w:tcPr>
            <w:tcW w:w="1456" w:type="pct"/>
            <w:shd w:val="clear" w:color="auto" w:fill="009999"/>
            <w:vAlign w:val="bottom"/>
          </w:tcPr>
          <w:p w14:paraId="101C1F63"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Monthly Income required  for rent to be within 30% of household gross income</w:t>
            </w:r>
          </w:p>
        </w:tc>
        <w:tc>
          <w:tcPr>
            <w:tcW w:w="1198" w:type="pct"/>
            <w:shd w:val="clear" w:color="auto" w:fill="009999"/>
            <w:vAlign w:val="bottom"/>
          </w:tcPr>
          <w:p w14:paraId="21ECD549"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Annual earned gross income required</w:t>
            </w:r>
          </w:p>
        </w:tc>
      </w:tr>
      <w:tr w:rsidR="00C4521E" w:rsidRPr="0067297E" w14:paraId="60546181" w14:textId="77777777" w:rsidTr="00C4521E">
        <w:tc>
          <w:tcPr>
            <w:tcW w:w="995" w:type="pct"/>
            <w:noWrap/>
            <w:vAlign w:val="bottom"/>
          </w:tcPr>
          <w:p w14:paraId="5D744DB1" w14:textId="77777777" w:rsidR="00C4521E" w:rsidRPr="0067297E" w:rsidRDefault="00C4521E" w:rsidP="00FA273F">
            <w:pPr>
              <w:rPr>
                <w:rFonts w:asciiTheme="minorHAnsi" w:hAnsiTheme="minorHAnsi" w:cs="Calibri"/>
                <w:color w:val="000000"/>
                <w:sz w:val="22"/>
                <w:szCs w:val="22"/>
                <w:lang w:eastAsia="en-GB"/>
              </w:rPr>
            </w:pPr>
            <w:r w:rsidRPr="0067297E">
              <w:rPr>
                <w:rFonts w:asciiTheme="minorHAnsi" w:hAnsiTheme="minorHAnsi" w:cs="Calibri"/>
                <w:color w:val="000000"/>
                <w:sz w:val="22"/>
                <w:szCs w:val="22"/>
              </w:rPr>
              <w:t>Bellingham</w:t>
            </w:r>
          </w:p>
        </w:tc>
        <w:tc>
          <w:tcPr>
            <w:tcW w:w="1351" w:type="pct"/>
            <w:noWrap/>
            <w:vAlign w:val="center"/>
          </w:tcPr>
          <w:p w14:paraId="51D579BC" w14:textId="77777777" w:rsidR="00C4521E" w:rsidRPr="0067297E" w:rsidRDefault="00C4521E" w:rsidP="00FA273F">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1101</w:t>
            </w:r>
          </w:p>
        </w:tc>
        <w:tc>
          <w:tcPr>
            <w:tcW w:w="1456" w:type="pct"/>
            <w:noWrap/>
            <w:vAlign w:val="center"/>
          </w:tcPr>
          <w:p w14:paraId="05ABF37F" w14:textId="77777777" w:rsidR="00C4521E" w:rsidRPr="0067297E" w:rsidRDefault="00C4521E" w:rsidP="00FA273F">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3670</w:t>
            </w:r>
          </w:p>
        </w:tc>
        <w:tc>
          <w:tcPr>
            <w:tcW w:w="1198" w:type="pct"/>
            <w:vAlign w:val="center"/>
          </w:tcPr>
          <w:p w14:paraId="30A90C9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44040</w:t>
            </w:r>
          </w:p>
        </w:tc>
      </w:tr>
      <w:tr w:rsidR="00C4521E" w:rsidRPr="0067297E" w14:paraId="27CCAE1F" w14:textId="77777777" w:rsidTr="00C4521E">
        <w:tc>
          <w:tcPr>
            <w:tcW w:w="995" w:type="pct"/>
            <w:noWrap/>
            <w:vAlign w:val="bottom"/>
          </w:tcPr>
          <w:p w14:paraId="202D869B"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Blackheath</w:t>
            </w:r>
          </w:p>
        </w:tc>
        <w:tc>
          <w:tcPr>
            <w:tcW w:w="1351" w:type="pct"/>
            <w:noWrap/>
            <w:vAlign w:val="center"/>
          </w:tcPr>
          <w:p w14:paraId="0D919BA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1352</w:t>
            </w:r>
          </w:p>
        </w:tc>
        <w:tc>
          <w:tcPr>
            <w:tcW w:w="1456" w:type="pct"/>
            <w:noWrap/>
            <w:vAlign w:val="center"/>
          </w:tcPr>
          <w:p w14:paraId="260C7FF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4507</w:t>
            </w:r>
          </w:p>
        </w:tc>
        <w:tc>
          <w:tcPr>
            <w:tcW w:w="1198" w:type="pct"/>
            <w:vAlign w:val="center"/>
          </w:tcPr>
          <w:p w14:paraId="48956EE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54080</w:t>
            </w:r>
          </w:p>
        </w:tc>
      </w:tr>
      <w:tr w:rsidR="00C4521E" w:rsidRPr="0067297E" w14:paraId="21368A64" w14:textId="77777777" w:rsidTr="00C4521E">
        <w:tc>
          <w:tcPr>
            <w:tcW w:w="995" w:type="pct"/>
            <w:noWrap/>
            <w:vAlign w:val="bottom"/>
          </w:tcPr>
          <w:p w14:paraId="7240AE0E"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Brockley</w:t>
            </w:r>
          </w:p>
        </w:tc>
        <w:tc>
          <w:tcPr>
            <w:tcW w:w="1351" w:type="pct"/>
            <w:noWrap/>
            <w:vAlign w:val="center"/>
          </w:tcPr>
          <w:p w14:paraId="3662444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1456" w:type="pct"/>
            <w:noWrap/>
            <w:vAlign w:val="center"/>
          </w:tcPr>
          <w:p w14:paraId="72E20E9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4333</w:t>
            </w:r>
          </w:p>
        </w:tc>
        <w:tc>
          <w:tcPr>
            <w:tcW w:w="1198" w:type="pct"/>
            <w:vAlign w:val="center"/>
          </w:tcPr>
          <w:p w14:paraId="6555A20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52000</w:t>
            </w:r>
          </w:p>
        </w:tc>
      </w:tr>
      <w:tr w:rsidR="00C4521E" w:rsidRPr="0067297E" w14:paraId="2EF3A37F" w14:textId="77777777" w:rsidTr="00C4521E">
        <w:tc>
          <w:tcPr>
            <w:tcW w:w="995" w:type="pct"/>
            <w:noWrap/>
            <w:vAlign w:val="bottom"/>
          </w:tcPr>
          <w:p w14:paraId="4467E49C"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Catford South</w:t>
            </w:r>
          </w:p>
        </w:tc>
        <w:tc>
          <w:tcPr>
            <w:tcW w:w="1351" w:type="pct"/>
            <w:noWrap/>
            <w:vAlign w:val="center"/>
          </w:tcPr>
          <w:p w14:paraId="60BA1D0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1001</w:t>
            </w:r>
          </w:p>
        </w:tc>
        <w:tc>
          <w:tcPr>
            <w:tcW w:w="1456" w:type="pct"/>
            <w:noWrap/>
            <w:vAlign w:val="center"/>
          </w:tcPr>
          <w:p w14:paraId="5EF9302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3337</w:t>
            </w:r>
          </w:p>
        </w:tc>
        <w:tc>
          <w:tcPr>
            <w:tcW w:w="1198" w:type="pct"/>
            <w:vAlign w:val="center"/>
          </w:tcPr>
          <w:p w14:paraId="18B9E78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40040</w:t>
            </w:r>
          </w:p>
        </w:tc>
      </w:tr>
      <w:tr w:rsidR="00C4521E" w:rsidRPr="0067297E" w14:paraId="1E3D91BE" w14:textId="77777777" w:rsidTr="00C4521E">
        <w:tc>
          <w:tcPr>
            <w:tcW w:w="995" w:type="pct"/>
            <w:noWrap/>
            <w:vAlign w:val="bottom"/>
          </w:tcPr>
          <w:p w14:paraId="53D4123B"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Crofton Park</w:t>
            </w:r>
          </w:p>
        </w:tc>
        <w:tc>
          <w:tcPr>
            <w:tcW w:w="1351" w:type="pct"/>
            <w:noWrap/>
            <w:vAlign w:val="center"/>
          </w:tcPr>
          <w:p w14:paraId="09CC4C2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1456" w:type="pct"/>
            <w:noWrap/>
            <w:vAlign w:val="center"/>
          </w:tcPr>
          <w:p w14:paraId="7D91810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4333</w:t>
            </w:r>
          </w:p>
        </w:tc>
        <w:tc>
          <w:tcPr>
            <w:tcW w:w="1198" w:type="pct"/>
            <w:vAlign w:val="center"/>
          </w:tcPr>
          <w:p w14:paraId="520ED63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52000</w:t>
            </w:r>
          </w:p>
        </w:tc>
      </w:tr>
      <w:tr w:rsidR="00C4521E" w:rsidRPr="0067297E" w14:paraId="794799C5" w14:textId="77777777" w:rsidTr="00C4521E">
        <w:tc>
          <w:tcPr>
            <w:tcW w:w="995" w:type="pct"/>
            <w:noWrap/>
            <w:vAlign w:val="bottom"/>
          </w:tcPr>
          <w:p w14:paraId="3B0CE69D"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Downham</w:t>
            </w:r>
          </w:p>
        </w:tc>
        <w:tc>
          <w:tcPr>
            <w:tcW w:w="1351" w:type="pct"/>
            <w:noWrap/>
            <w:vAlign w:val="center"/>
          </w:tcPr>
          <w:p w14:paraId="78F7DE8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1456" w:type="pct"/>
            <w:noWrap/>
            <w:vAlign w:val="center"/>
          </w:tcPr>
          <w:p w14:paraId="5821353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4333</w:t>
            </w:r>
          </w:p>
        </w:tc>
        <w:tc>
          <w:tcPr>
            <w:tcW w:w="1198" w:type="pct"/>
            <w:vAlign w:val="center"/>
          </w:tcPr>
          <w:p w14:paraId="0D044E9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52000</w:t>
            </w:r>
          </w:p>
        </w:tc>
      </w:tr>
      <w:tr w:rsidR="00C4521E" w:rsidRPr="0067297E" w14:paraId="23959F94" w14:textId="77777777" w:rsidTr="00C4521E">
        <w:tc>
          <w:tcPr>
            <w:tcW w:w="995" w:type="pct"/>
            <w:noWrap/>
            <w:vAlign w:val="bottom"/>
          </w:tcPr>
          <w:p w14:paraId="4AE30D22"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Evelyn</w:t>
            </w:r>
          </w:p>
        </w:tc>
        <w:tc>
          <w:tcPr>
            <w:tcW w:w="1351" w:type="pct"/>
            <w:noWrap/>
            <w:vAlign w:val="center"/>
          </w:tcPr>
          <w:p w14:paraId="037BA0DB"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1508</w:t>
            </w:r>
          </w:p>
        </w:tc>
        <w:tc>
          <w:tcPr>
            <w:tcW w:w="1456" w:type="pct"/>
            <w:noWrap/>
            <w:vAlign w:val="center"/>
          </w:tcPr>
          <w:p w14:paraId="38D69A5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5027</w:t>
            </w:r>
          </w:p>
        </w:tc>
        <w:tc>
          <w:tcPr>
            <w:tcW w:w="1198" w:type="pct"/>
            <w:vAlign w:val="center"/>
          </w:tcPr>
          <w:p w14:paraId="1BEB0E7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60320</w:t>
            </w:r>
          </w:p>
        </w:tc>
      </w:tr>
      <w:tr w:rsidR="00C4521E" w:rsidRPr="0067297E" w14:paraId="4837E624" w14:textId="77777777" w:rsidTr="00C4521E">
        <w:tc>
          <w:tcPr>
            <w:tcW w:w="995" w:type="pct"/>
            <w:noWrap/>
            <w:vAlign w:val="bottom"/>
          </w:tcPr>
          <w:p w14:paraId="3E17AFC8"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Forest Hill</w:t>
            </w:r>
          </w:p>
        </w:tc>
        <w:tc>
          <w:tcPr>
            <w:tcW w:w="1351" w:type="pct"/>
            <w:noWrap/>
            <w:vAlign w:val="center"/>
          </w:tcPr>
          <w:p w14:paraId="2DBF5C4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1456" w:type="pct"/>
            <w:noWrap/>
            <w:vAlign w:val="center"/>
          </w:tcPr>
          <w:p w14:paraId="2143FAB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4000</w:t>
            </w:r>
          </w:p>
        </w:tc>
        <w:tc>
          <w:tcPr>
            <w:tcW w:w="1198" w:type="pct"/>
            <w:vAlign w:val="center"/>
          </w:tcPr>
          <w:p w14:paraId="47F6200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48000</w:t>
            </w:r>
          </w:p>
        </w:tc>
      </w:tr>
      <w:tr w:rsidR="00C4521E" w:rsidRPr="0067297E" w14:paraId="2691583D" w14:textId="77777777" w:rsidTr="00C4521E">
        <w:tc>
          <w:tcPr>
            <w:tcW w:w="995" w:type="pct"/>
            <w:noWrap/>
            <w:vAlign w:val="bottom"/>
          </w:tcPr>
          <w:p w14:paraId="2384C9FF"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Grove Park</w:t>
            </w:r>
          </w:p>
        </w:tc>
        <w:tc>
          <w:tcPr>
            <w:tcW w:w="1351" w:type="pct"/>
            <w:noWrap/>
            <w:vAlign w:val="center"/>
          </w:tcPr>
          <w:p w14:paraId="38460A1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1456" w:type="pct"/>
            <w:noWrap/>
            <w:vAlign w:val="center"/>
          </w:tcPr>
          <w:p w14:paraId="71FDCEA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4000</w:t>
            </w:r>
          </w:p>
        </w:tc>
        <w:tc>
          <w:tcPr>
            <w:tcW w:w="1198" w:type="pct"/>
            <w:vAlign w:val="center"/>
          </w:tcPr>
          <w:p w14:paraId="30ED9C4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48000</w:t>
            </w:r>
          </w:p>
        </w:tc>
      </w:tr>
      <w:tr w:rsidR="00C4521E" w:rsidRPr="0067297E" w14:paraId="02EAC79C" w14:textId="77777777" w:rsidTr="00C4521E">
        <w:tc>
          <w:tcPr>
            <w:tcW w:w="995" w:type="pct"/>
            <w:noWrap/>
            <w:vAlign w:val="bottom"/>
          </w:tcPr>
          <w:p w14:paraId="30F2ED15"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Ladywell</w:t>
            </w:r>
          </w:p>
        </w:tc>
        <w:tc>
          <w:tcPr>
            <w:tcW w:w="1351" w:type="pct"/>
            <w:noWrap/>
            <w:vAlign w:val="center"/>
          </w:tcPr>
          <w:p w14:paraId="727E1F0F"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1248</w:t>
            </w:r>
          </w:p>
        </w:tc>
        <w:tc>
          <w:tcPr>
            <w:tcW w:w="1456" w:type="pct"/>
            <w:noWrap/>
            <w:vAlign w:val="center"/>
          </w:tcPr>
          <w:p w14:paraId="6B7A79E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4160</w:t>
            </w:r>
          </w:p>
        </w:tc>
        <w:tc>
          <w:tcPr>
            <w:tcW w:w="1198" w:type="pct"/>
            <w:vAlign w:val="center"/>
          </w:tcPr>
          <w:p w14:paraId="54A2C19F"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49920</w:t>
            </w:r>
          </w:p>
        </w:tc>
      </w:tr>
      <w:tr w:rsidR="00C4521E" w:rsidRPr="0067297E" w14:paraId="2CDB4491" w14:textId="77777777" w:rsidTr="00C4521E">
        <w:tc>
          <w:tcPr>
            <w:tcW w:w="995" w:type="pct"/>
            <w:noWrap/>
            <w:vAlign w:val="bottom"/>
          </w:tcPr>
          <w:p w14:paraId="03F84CCB"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Lee Green</w:t>
            </w:r>
          </w:p>
        </w:tc>
        <w:tc>
          <w:tcPr>
            <w:tcW w:w="1351" w:type="pct"/>
            <w:noWrap/>
            <w:vAlign w:val="center"/>
          </w:tcPr>
          <w:p w14:paraId="67A6C62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1274</w:t>
            </w:r>
          </w:p>
        </w:tc>
        <w:tc>
          <w:tcPr>
            <w:tcW w:w="1456" w:type="pct"/>
            <w:noWrap/>
            <w:vAlign w:val="center"/>
          </w:tcPr>
          <w:p w14:paraId="040D0F7F"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4247</w:t>
            </w:r>
          </w:p>
        </w:tc>
        <w:tc>
          <w:tcPr>
            <w:tcW w:w="1198" w:type="pct"/>
            <w:vAlign w:val="center"/>
          </w:tcPr>
          <w:p w14:paraId="041821F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50960</w:t>
            </w:r>
          </w:p>
        </w:tc>
      </w:tr>
      <w:tr w:rsidR="00C4521E" w:rsidRPr="0067297E" w14:paraId="3933B55E" w14:textId="77777777" w:rsidTr="00C4521E">
        <w:tc>
          <w:tcPr>
            <w:tcW w:w="995" w:type="pct"/>
            <w:noWrap/>
            <w:vAlign w:val="bottom"/>
          </w:tcPr>
          <w:p w14:paraId="72E2279E"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Lewisham Central</w:t>
            </w:r>
          </w:p>
        </w:tc>
        <w:tc>
          <w:tcPr>
            <w:tcW w:w="1351" w:type="pct"/>
            <w:noWrap/>
            <w:vAlign w:val="center"/>
          </w:tcPr>
          <w:p w14:paraId="6916DA6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1456" w:type="pct"/>
            <w:noWrap/>
            <w:vAlign w:val="center"/>
          </w:tcPr>
          <w:p w14:paraId="2CC55A9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4333</w:t>
            </w:r>
          </w:p>
        </w:tc>
        <w:tc>
          <w:tcPr>
            <w:tcW w:w="1198" w:type="pct"/>
            <w:vAlign w:val="center"/>
          </w:tcPr>
          <w:p w14:paraId="2A311D0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52000</w:t>
            </w:r>
          </w:p>
        </w:tc>
      </w:tr>
      <w:tr w:rsidR="00C4521E" w:rsidRPr="0067297E" w14:paraId="537A2559" w14:textId="77777777" w:rsidTr="00C4521E">
        <w:tc>
          <w:tcPr>
            <w:tcW w:w="995" w:type="pct"/>
            <w:noWrap/>
            <w:vAlign w:val="bottom"/>
          </w:tcPr>
          <w:p w14:paraId="0FC19B7C"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New Cross</w:t>
            </w:r>
          </w:p>
        </w:tc>
        <w:tc>
          <w:tcPr>
            <w:tcW w:w="1351" w:type="pct"/>
            <w:noWrap/>
            <w:vAlign w:val="center"/>
          </w:tcPr>
          <w:p w14:paraId="1176B0B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1200</w:t>
            </w:r>
          </w:p>
        </w:tc>
        <w:tc>
          <w:tcPr>
            <w:tcW w:w="1456" w:type="pct"/>
            <w:noWrap/>
            <w:vAlign w:val="center"/>
          </w:tcPr>
          <w:p w14:paraId="116595E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4000</w:t>
            </w:r>
          </w:p>
        </w:tc>
        <w:tc>
          <w:tcPr>
            <w:tcW w:w="1198" w:type="pct"/>
            <w:vAlign w:val="center"/>
          </w:tcPr>
          <w:p w14:paraId="01346E5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48000</w:t>
            </w:r>
          </w:p>
        </w:tc>
      </w:tr>
      <w:tr w:rsidR="00C4521E" w:rsidRPr="0067297E" w14:paraId="5398AACA" w14:textId="77777777" w:rsidTr="00C4521E">
        <w:tc>
          <w:tcPr>
            <w:tcW w:w="995" w:type="pct"/>
            <w:noWrap/>
            <w:vAlign w:val="bottom"/>
          </w:tcPr>
          <w:p w14:paraId="0FF79915"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Perry Vale</w:t>
            </w:r>
          </w:p>
        </w:tc>
        <w:tc>
          <w:tcPr>
            <w:tcW w:w="1351" w:type="pct"/>
            <w:noWrap/>
            <w:vAlign w:val="center"/>
          </w:tcPr>
          <w:p w14:paraId="28B8801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1300</w:t>
            </w:r>
          </w:p>
        </w:tc>
        <w:tc>
          <w:tcPr>
            <w:tcW w:w="1456" w:type="pct"/>
            <w:noWrap/>
            <w:vAlign w:val="center"/>
          </w:tcPr>
          <w:p w14:paraId="4916B47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4333</w:t>
            </w:r>
          </w:p>
        </w:tc>
        <w:tc>
          <w:tcPr>
            <w:tcW w:w="1198" w:type="pct"/>
            <w:vAlign w:val="center"/>
          </w:tcPr>
          <w:p w14:paraId="071534D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52000</w:t>
            </w:r>
          </w:p>
        </w:tc>
      </w:tr>
      <w:tr w:rsidR="00C4521E" w:rsidRPr="0067297E" w14:paraId="0A693AE3" w14:textId="77777777" w:rsidTr="00C4521E">
        <w:tc>
          <w:tcPr>
            <w:tcW w:w="995" w:type="pct"/>
            <w:noWrap/>
            <w:vAlign w:val="bottom"/>
          </w:tcPr>
          <w:p w14:paraId="22DCF84D"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Rushey Green</w:t>
            </w:r>
          </w:p>
        </w:tc>
        <w:tc>
          <w:tcPr>
            <w:tcW w:w="1351" w:type="pct"/>
            <w:noWrap/>
            <w:vAlign w:val="center"/>
          </w:tcPr>
          <w:p w14:paraId="122E718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1001</w:t>
            </w:r>
          </w:p>
        </w:tc>
        <w:tc>
          <w:tcPr>
            <w:tcW w:w="1456" w:type="pct"/>
            <w:noWrap/>
            <w:vAlign w:val="center"/>
          </w:tcPr>
          <w:p w14:paraId="1AC6DDF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3337</w:t>
            </w:r>
          </w:p>
        </w:tc>
        <w:tc>
          <w:tcPr>
            <w:tcW w:w="1198" w:type="pct"/>
            <w:vAlign w:val="center"/>
          </w:tcPr>
          <w:p w14:paraId="5A3DA82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40040</w:t>
            </w:r>
          </w:p>
        </w:tc>
      </w:tr>
      <w:tr w:rsidR="00C4521E" w:rsidRPr="0067297E" w14:paraId="4AC9A061" w14:textId="77777777" w:rsidTr="00C4521E">
        <w:tc>
          <w:tcPr>
            <w:tcW w:w="995" w:type="pct"/>
            <w:noWrap/>
            <w:vAlign w:val="bottom"/>
          </w:tcPr>
          <w:p w14:paraId="0204D1F6"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Sydenham</w:t>
            </w:r>
          </w:p>
        </w:tc>
        <w:tc>
          <w:tcPr>
            <w:tcW w:w="1351" w:type="pct"/>
            <w:noWrap/>
            <w:vAlign w:val="center"/>
          </w:tcPr>
          <w:p w14:paraId="0DF7866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1248</w:t>
            </w:r>
          </w:p>
        </w:tc>
        <w:tc>
          <w:tcPr>
            <w:tcW w:w="1456" w:type="pct"/>
            <w:noWrap/>
            <w:vAlign w:val="center"/>
          </w:tcPr>
          <w:p w14:paraId="6BEB4A6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4160</w:t>
            </w:r>
          </w:p>
        </w:tc>
        <w:tc>
          <w:tcPr>
            <w:tcW w:w="1198" w:type="pct"/>
            <w:vAlign w:val="center"/>
          </w:tcPr>
          <w:p w14:paraId="3C92120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49920</w:t>
            </w:r>
          </w:p>
        </w:tc>
      </w:tr>
      <w:tr w:rsidR="00C4521E" w:rsidRPr="0067297E" w14:paraId="75047373" w14:textId="77777777" w:rsidTr="00C4521E">
        <w:tc>
          <w:tcPr>
            <w:tcW w:w="995" w:type="pct"/>
            <w:noWrap/>
            <w:vAlign w:val="bottom"/>
          </w:tcPr>
          <w:p w14:paraId="341A9848"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Telegraph Hill</w:t>
            </w:r>
          </w:p>
        </w:tc>
        <w:tc>
          <w:tcPr>
            <w:tcW w:w="1351" w:type="pct"/>
            <w:noWrap/>
            <w:vAlign w:val="center"/>
          </w:tcPr>
          <w:p w14:paraId="7B50E35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1248</w:t>
            </w:r>
          </w:p>
        </w:tc>
        <w:tc>
          <w:tcPr>
            <w:tcW w:w="1456" w:type="pct"/>
            <w:noWrap/>
            <w:vAlign w:val="center"/>
          </w:tcPr>
          <w:p w14:paraId="692E4AA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4160</w:t>
            </w:r>
          </w:p>
        </w:tc>
        <w:tc>
          <w:tcPr>
            <w:tcW w:w="1198" w:type="pct"/>
            <w:vAlign w:val="center"/>
          </w:tcPr>
          <w:p w14:paraId="2FF2146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49920</w:t>
            </w:r>
          </w:p>
        </w:tc>
      </w:tr>
      <w:tr w:rsidR="00C4521E" w:rsidRPr="0067297E" w14:paraId="6907902F" w14:textId="77777777" w:rsidTr="00C4521E">
        <w:tc>
          <w:tcPr>
            <w:tcW w:w="995" w:type="pct"/>
            <w:noWrap/>
            <w:vAlign w:val="bottom"/>
          </w:tcPr>
          <w:p w14:paraId="46CDF50B"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Whitefoot</w:t>
            </w:r>
          </w:p>
        </w:tc>
        <w:tc>
          <w:tcPr>
            <w:tcW w:w="1351" w:type="pct"/>
            <w:noWrap/>
            <w:vAlign w:val="center"/>
          </w:tcPr>
          <w:p w14:paraId="663E80F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1049</w:t>
            </w:r>
          </w:p>
        </w:tc>
        <w:tc>
          <w:tcPr>
            <w:tcW w:w="1456" w:type="pct"/>
            <w:noWrap/>
            <w:vAlign w:val="center"/>
          </w:tcPr>
          <w:p w14:paraId="06E7232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3497</w:t>
            </w:r>
          </w:p>
        </w:tc>
        <w:tc>
          <w:tcPr>
            <w:tcW w:w="1198" w:type="pct"/>
            <w:vAlign w:val="center"/>
          </w:tcPr>
          <w:p w14:paraId="6C3C86A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41960</w:t>
            </w:r>
          </w:p>
        </w:tc>
      </w:tr>
      <w:tr w:rsidR="00C4521E" w:rsidRPr="0067297E" w14:paraId="6A6FD557" w14:textId="77777777" w:rsidTr="00C4521E">
        <w:tc>
          <w:tcPr>
            <w:tcW w:w="995" w:type="pct"/>
            <w:noWrap/>
            <w:vAlign w:val="bottom"/>
          </w:tcPr>
          <w:p w14:paraId="6233464B" w14:textId="77777777" w:rsidR="00C4521E" w:rsidRPr="0067297E" w:rsidRDefault="00C4521E" w:rsidP="00FA273F">
            <w:pPr>
              <w:pStyle w:val="NoSpacing"/>
              <w:rPr>
                <w:rFonts w:asciiTheme="minorHAnsi" w:hAnsiTheme="minorHAnsi" w:cs="Calibri"/>
                <w:color w:val="000000"/>
              </w:rPr>
            </w:pPr>
            <w:r w:rsidRPr="0067297E">
              <w:rPr>
                <w:rFonts w:asciiTheme="minorHAnsi" w:hAnsiTheme="minorHAnsi" w:cs="Calibri"/>
                <w:b/>
                <w:color w:val="000000"/>
              </w:rPr>
              <w:t>Lewisham</w:t>
            </w:r>
          </w:p>
        </w:tc>
        <w:tc>
          <w:tcPr>
            <w:tcW w:w="1351" w:type="pct"/>
            <w:noWrap/>
            <w:vAlign w:val="center"/>
          </w:tcPr>
          <w:p w14:paraId="641CA8A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1248</w:t>
            </w:r>
          </w:p>
        </w:tc>
        <w:tc>
          <w:tcPr>
            <w:tcW w:w="1456" w:type="pct"/>
            <w:noWrap/>
            <w:vAlign w:val="center"/>
          </w:tcPr>
          <w:p w14:paraId="3A7FD13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4160</w:t>
            </w:r>
          </w:p>
        </w:tc>
        <w:tc>
          <w:tcPr>
            <w:tcW w:w="1198" w:type="pct"/>
            <w:vAlign w:val="center"/>
          </w:tcPr>
          <w:p w14:paraId="548AC33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49920</w:t>
            </w:r>
          </w:p>
        </w:tc>
      </w:tr>
    </w:tbl>
    <w:p w14:paraId="5F586BEE" w14:textId="77777777" w:rsidR="00C4521E" w:rsidRPr="0067297E" w:rsidRDefault="00C4521E" w:rsidP="00543A76">
      <w:pPr>
        <w:rPr>
          <w:rFonts w:asciiTheme="minorHAnsi" w:hAnsiTheme="minorHAnsi"/>
          <w:sz w:val="20"/>
          <w:szCs w:val="20"/>
        </w:rPr>
      </w:pPr>
      <w:r w:rsidRPr="0067297E">
        <w:rPr>
          <w:rFonts w:asciiTheme="minorHAnsi" w:hAnsiTheme="minorHAnsi"/>
          <w:sz w:val="20"/>
          <w:szCs w:val="20"/>
        </w:rPr>
        <w:t>Source: Zoopla</w:t>
      </w:r>
    </w:p>
    <w:p w14:paraId="5E3176EE" w14:textId="77777777" w:rsidR="00C4521E" w:rsidRPr="0067297E" w:rsidRDefault="00C4521E" w:rsidP="00543A76">
      <w:pPr>
        <w:rPr>
          <w:rFonts w:asciiTheme="minorHAnsi" w:hAnsiTheme="minorHAnsi"/>
          <w:sz w:val="20"/>
          <w:szCs w:val="20"/>
          <w:lang w:val="en-US"/>
        </w:rPr>
      </w:pPr>
      <w:r w:rsidRPr="0067297E">
        <w:rPr>
          <w:rFonts w:asciiTheme="minorHAnsi" w:hAnsiTheme="minorHAnsi"/>
          <w:sz w:val="20"/>
          <w:szCs w:val="20"/>
          <w:lang w:val="en-US"/>
        </w:rPr>
        <w:t>Annual survey of hours and earnings - resident analysis</w:t>
      </w:r>
    </w:p>
    <w:p w14:paraId="2AAC70C3" w14:textId="77777777" w:rsidR="00C4521E" w:rsidRPr="0067297E" w:rsidRDefault="00C4521E" w:rsidP="00543A76">
      <w:pPr>
        <w:rPr>
          <w:rFonts w:asciiTheme="minorHAnsi" w:hAnsiTheme="minorHAnsi"/>
        </w:rPr>
      </w:pPr>
    </w:p>
    <w:p w14:paraId="346EBCB0" w14:textId="14EFE83B" w:rsidR="00C4521E" w:rsidRPr="0067297E" w:rsidRDefault="00C4521E" w:rsidP="002C70BC">
      <w:pPr>
        <w:pStyle w:val="Reporttext"/>
        <w:numPr>
          <w:ilvl w:val="1"/>
          <w:numId w:val="34"/>
        </w:numPr>
        <w:tabs>
          <w:tab w:val="clear" w:pos="709"/>
        </w:tabs>
        <w:rPr>
          <w:rFonts w:asciiTheme="minorHAnsi" w:hAnsiTheme="minorHAnsi"/>
        </w:rPr>
      </w:pPr>
      <w:bookmarkStart w:id="769" w:name="_Toc350071221"/>
      <w:r w:rsidRPr="0067297E">
        <w:rPr>
          <w:rFonts w:asciiTheme="minorHAnsi" w:hAnsiTheme="minorHAnsi"/>
        </w:rPr>
        <w:t xml:space="preserve">Additional affordability is now considered within the rental market. Map </w:t>
      </w:r>
      <w:r w:rsidR="00B61903" w:rsidRPr="0067297E">
        <w:rPr>
          <w:rFonts w:asciiTheme="minorHAnsi" w:hAnsiTheme="minorHAnsi"/>
          <w:lang w:val="en-GB"/>
        </w:rPr>
        <w:t>6.1</w:t>
      </w:r>
      <w:r w:rsidRPr="0067297E">
        <w:rPr>
          <w:rFonts w:asciiTheme="minorHAnsi" w:hAnsiTheme="minorHAnsi"/>
        </w:rPr>
        <w:t xml:space="preserve"> considers the percentage of household income that would be required to be spent on rent to afford the median rent level for houses within locations</w:t>
      </w:r>
      <w:r w:rsidR="00B61903" w:rsidRPr="0067297E">
        <w:rPr>
          <w:rFonts w:asciiTheme="minorHAnsi" w:hAnsiTheme="minorHAnsi"/>
          <w:lang w:val="en-GB"/>
        </w:rPr>
        <w:t>.</w:t>
      </w:r>
      <w:r w:rsidRPr="0067297E">
        <w:rPr>
          <w:rFonts w:asciiTheme="minorHAnsi" w:hAnsiTheme="minorHAnsi"/>
        </w:rPr>
        <w:t xml:space="preserve"> This uses CAMEO income data, available at smaller geographies.</w:t>
      </w:r>
    </w:p>
    <w:p w14:paraId="1749693B"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Data is reported at Lower Super Output area. These areas contain a minimum of 400 households and a maximum of 1200.</w:t>
      </w:r>
    </w:p>
    <w:p w14:paraId="7656C63C"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There are a number of caveats to consider:</w:t>
      </w:r>
    </w:p>
    <w:p w14:paraId="79FFE8C6" w14:textId="77777777" w:rsidR="00C4521E" w:rsidRPr="0067297E" w:rsidRDefault="00C4521E" w:rsidP="006C722F">
      <w:pPr>
        <w:pStyle w:val="bullet"/>
        <w:rPr>
          <w:rFonts w:asciiTheme="minorHAnsi" w:hAnsiTheme="minorHAnsi"/>
        </w:rPr>
      </w:pPr>
      <w:r w:rsidRPr="0067297E">
        <w:rPr>
          <w:rFonts w:asciiTheme="minorHAnsi" w:hAnsiTheme="minorHAnsi"/>
        </w:rPr>
        <w:t>CAMEO does not categorise all households in any area</w:t>
      </w:r>
    </w:p>
    <w:p w14:paraId="6991F33B" w14:textId="77777777" w:rsidR="00C4521E" w:rsidRPr="0067297E" w:rsidRDefault="00C4521E" w:rsidP="006C722F">
      <w:pPr>
        <w:pStyle w:val="bullet"/>
        <w:rPr>
          <w:rFonts w:asciiTheme="minorHAnsi" w:hAnsiTheme="minorHAnsi"/>
        </w:rPr>
      </w:pPr>
      <w:r w:rsidRPr="0067297E">
        <w:rPr>
          <w:rFonts w:asciiTheme="minorHAnsi" w:hAnsiTheme="minorHAnsi"/>
        </w:rPr>
        <w:t>Income levels in any locations are provided as a band and we have assumed midpoints of ranges. These are probably overstating the level, people's income will be lower than this.</w:t>
      </w:r>
    </w:p>
    <w:p w14:paraId="1F2D0FA7" w14:textId="77777777" w:rsidR="00C4521E" w:rsidRPr="0067297E" w:rsidRDefault="00C4521E" w:rsidP="006C722F">
      <w:pPr>
        <w:pStyle w:val="bullet"/>
        <w:rPr>
          <w:rFonts w:asciiTheme="minorHAnsi" w:hAnsiTheme="minorHAnsi"/>
        </w:rPr>
      </w:pPr>
      <w:r w:rsidRPr="0067297E">
        <w:rPr>
          <w:rFonts w:asciiTheme="minorHAnsi" w:hAnsiTheme="minorHAnsi"/>
        </w:rPr>
        <w:t>Data has been considered by Lower Super Output Area (LSOA), where an LSOA has high and a low income results the average could be misleading</w:t>
      </w:r>
    </w:p>
    <w:p w14:paraId="1EBE3EC1" w14:textId="77777777" w:rsidR="00C4521E" w:rsidRPr="0067297E" w:rsidRDefault="00C4521E" w:rsidP="006C722F">
      <w:pPr>
        <w:pStyle w:val="bullet"/>
        <w:rPr>
          <w:rFonts w:asciiTheme="minorHAnsi" w:hAnsiTheme="minorHAnsi"/>
        </w:rPr>
      </w:pPr>
      <w:r w:rsidRPr="0067297E">
        <w:rPr>
          <w:rFonts w:asciiTheme="minorHAnsi" w:hAnsiTheme="minorHAnsi"/>
        </w:rPr>
        <w:t>Data is mapped and ward boundaries overlaid across the LSOAs</w:t>
      </w:r>
    </w:p>
    <w:p w14:paraId="037A37BA"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There are many locations that fall within the 30% affordability definition. However, there are a significant percentage that do not. Blackheath would appear to have the most areas where affordability is more manageable plus locations in Catford. Toward the north of the borough the affordability pressures are most pressing.</w:t>
      </w:r>
    </w:p>
    <w:p w14:paraId="02B8843C"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Affordability will be challenging for families using the market rented sector as a tenure of choice and for those trying to save a deposit. In part, the affordability challenges will be an under supply of larger houses coming onto the market.</w:t>
      </w:r>
    </w:p>
    <w:p w14:paraId="7BB5A4F8" w14:textId="77777777" w:rsidR="00C4521E" w:rsidRPr="0067297E" w:rsidRDefault="00C4521E" w:rsidP="00FA273F">
      <w:pPr>
        <w:pStyle w:val="Reporttext"/>
        <w:numPr>
          <w:ilvl w:val="0"/>
          <w:numId w:val="0"/>
        </w:numPr>
        <w:ind w:left="709" w:hanging="709"/>
        <w:rPr>
          <w:rFonts w:asciiTheme="minorHAnsi" w:hAnsiTheme="minorHAnsi"/>
        </w:rPr>
      </w:pPr>
    </w:p>
    <w:p w14:paraId="0286C0A0" w14:textId="23976F10" w:rsidR="00C4521E" w:rsidRPr="0067297E" w:rsidRDefault="00C4521E" w:rsidP="0002512B">
      <w:pPr>
        <w:pStyle w:val="mapheading"/>
        <w:rPr>
          <w:rFonts w:asciiTheme="minorHAnsi" w:hAnsiTheme="minorHAnsi"/>
        </w:rPr>
      </w:pPr>
      <w:bookmarkStart w:id="770" w:name="_Toc492884817"/>
      <w:bookmarkStart w:id="771" w:name="_Toc23151255"/>
      <w:r w:rsidRPr="0067297E">
        <w:rPr>
          <w:rFonts w:asciiTheme="minorHAnsi" w:hAnsiTheme="minorHAnsi"/>
        </w:rPr>
        <w:t xml:space="preserve">Map </w:t>
      </w:r>
      <w:r w:rsidR="0002512B" w:rsidRPr="0067297E">
        <w:rPr>
          <w:rFonts w:asciiTheme="minorHAnsi" w:hAnsiTheme="minorHAnsi"/>
          <w:lang w:val="en-GB"/>
        </w:rPr>
        <w:t>6</w:t>
      </w:r>
      <w:r w:rsidRPr="0067297E">
        <w:rPr>
          <w:rFonts w:asciiTheme="minorHAnsi" w:hAnsiTheme="minorHAnsi"/>
        </w:rPr>
        <w:t>.</w:t>
      </w:r>
      <w:r w:rsidR="00BA0A2B" w:rsidRPr="0067297E">
        <w:rPr>
          <w:rFonts w:asciiTheme="minorHAnsi" w:hAnsiTheme="minorHAnsi"/>
          <w:lang w:val="en-GB"/>
        </w:rPr>
        <w:t>1</w:t>
      </w:r>
      <w:r w:rsidRPr="0067297E">
        <w:rPr>
          <w:rFonts w:asciiTheme="minorHAnsi" w:hAnsiTheme="minorHAnsi"/>
        </w:rPr>
        <w:tab/>
        <w:t>The percentage of income to be spent on rent to afford a median rent for a house</w:t>
      </w:r>
      <w:bookmarkEnd w:id="770"/>
      <w:bookmarkEnd w:id="771"/>
    </w:p>
    <w:p w14:paraId="06986E5B" w14:textId="77777777" w:rsidR="00C4521E" w:rsidRPr="0067297E" w:rsidRDefault="00C4521E" w:rsidP="00FA273F">
      <w:pPr>
        <w:pStyle w:val="Reporttext"/>
        <w:numPr>
          <w:ilvl w:val="0"/>
          <w:numId w:val="0"/>
        </w:numPr>
        <w:ind w:left="709" w:hanging="709"/>
        <w:rPr>
          <w:rFonts w:asciiTheme="minorHAnsi" w:hAnsiTheme="minorHAnsi"/>
        </w:rPr>
      </w:pPr>
      <w:r w:rsidRPr="0067297E">
        <w:rPr>
          <w:rFonts w:asciiTheme="minorHAnsi" w:hAnsiTheme="minorHAnsi"/>
          <w:noProof/>
          <w:lang w:val="en-GB" w:eastAsia="en-GB"/>
        </w:rPr>
        <w:drawing>
          <wp:inline distT="0" distB="0" distL="0" distR="0" wp14:anchorId="2D17D7C9" wp14:editId="5C9BA273">
            <wp:extent cx="5048250" cy="6255728"/>
            <wp:effectExtent l="0" t="0" r="0" b="0"/>
            <wp:docPr id="27" name="Picture 27" descr="Map showing percentage of income spent (colour coded) across sub-areas in Lewisham." title="Map 6.1 The percentage of income to be spent on rent to afford a median rent for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wisham_lsoa.png"/>
                    <pic:cNvPicPr/>
                  </pic:nvPicPr>
                  <pic:blipFill rotWithShape="1">
                    <a:blip r:embed="rId120">
                      <a:extLst>
                        <a:ext uri="{28A0092B-C50C-407E-A947-70E740481C1C}">
                          <a14:useLocalDpi xmlns:a14="http://schemas.microsoft.com/office/drawing/2010/main" val="0"/>
                        </a:ext>
                      </a:extLst>
                    </a:blip>
                    <a:srcRect l="8974" t="6459" r="9097" b="21788"/>
                    <a:stretch/>
                  </pic:blipFill>
                  <pic:spPr bwMode="auto">
                    <a:xfrm>
                      <a:off x="0" y="0"/>
                      <a:ext cx="5052274" cy="6260714"/>
                    </a:xfrm>
                    <a:prstGeom prst="rect">
                      <a:avLst/>
                    </a:prstGeom>
                    <a:ln>
                      <a:noFill/>
                    </a:ln>
                    <a:extLst>
                      <a:ext uri="{53640926-AAD7-44D8-BBD7-CCE9431645EC}">
                        <a14:shadowObscured xmlns:a14="http://schemas.microsoft.com/office/drawing/2010/main"/>
                      </a:ext>
                    </a:extLst>
                  </pic:spPr>
                </pic:pic>
              </a:graphicData>
            </a:graphic>
          </wp:inline>
        </w:drawing>
      </w:r>
    </w:p>
    <w:p w14:paraId="20CE3D54" w14:textId="77777777" w:rsidR="00C4521E" w:rsidRPr="0067297E" w:rsidRDefault="00C4521E" w:rsidP="00543A76">
      <w:pPr>
        <w:rPr>
          <w:rFonts w:asciiTheme="minorHAnsi" w:hAnsiTheme="minorHAnsi"/>
          <w:sz w:val="20"/>
          <w:szCs w:val="20"/>
          <w:highlight w:val="yellow"/>
        </w:rPr>
      </w:pPr>
      <w:r w:rsidRPr="0067297E">
        <w:rPr>
          <w:rFonts w:asciiTheme="minorHAnsi" w:hAnsiTheme="minorHAnsi"/>
          <w:sz w:val="20"/>
          <w:szCs w:val="20"/>
        </w:rPr>
        <w:t>Source: Cameo</w:t>
      </w:r>
      <w:r w:rsidRPr="0067297E">
        <w:rPr>
          <w:rFonts w:asciiTheme="minorHAnsi" w:hAnsiTheme="minorHAnsi"/>
          <w:sz w:val="20"/>
          <w:szCs w:val="20"/>
          <w:lang w:val="en-US"/>
        </w:rPr>
        <w:br w:type="page"/>
      </w:r>
    </w:p>
    <w:p w14:paraId="231386B1" w14:textId="2999FC3F" w:rsidR="00C4521E" w:rsidRPr="0067297E" w:rsidRDefault="00C4521E" w:rsidP="002C70BC">
      <w:pPr>
        <w:pStyle w:val="Heading1"/>
        <w:numPr>
          <w:ilvl w:val="0"/>
          <w:numId w:val="34"/>
        </w:numPr>
        <w:rPr>
          <w:rFonts w:asciiTheme="minorHAnsi" w:hAnsiTheme="minorHAnsi"/>
        </w:rPr>
      </w:pPr>
      <w:bookmarkStart w:id="772" w:name="_Toc400488699"/>
      <w:bookmarkStart w:id="773" w:name="_Toc529887302"/>
      <w:bookmarkStart w:id="774" w:name="_Toc1385820"/>
      <w:bookmarkStart w:id="775" w:name="_Toc23151137"/>
      <w:r w:rsidRPr="0067297E">
        <w:rPr>
          <w:rFonts w:asciiTheme="minorHAnsi" w:hAnsiTheme="minorHAnsi"/>
        </w:rPr>
        <w:t>Time to let property</w:t>
      </w:r>
      <w:bookmarkEnd w:id="769"/>
      <w:bookmarkEnd w:id="772"/>
      <w:bookmarkEnd w:id="773"/>
      <w:bookmarkEnd w:id="774"/>
      <w:bookmarkEnd w:id="775"/>
    </w:p>
    <w:p w14:paraId="3F22EDF5" w14:textId="77777777" w:rsidR="00C4521E" w:rsidRPr="0067297E" w:rsidRDefault="00C4521E" w:rsidP="002C70BC">
      <w:pPr>
        <w:pStyle w:val="Reporttext"/>
        <w:numPr>
          <w:ilvl w:val="1"/>
          <w:numId w:val="34"/>
        </w:numPr>
        <w:tabs>
          <w:tab w:val="clear" w:pos="709"/>
        </w:tabs>
        <w:rPr>
          <w:rFonts w:asciiTheme="minorHAnsi" w:hAnsiTheme="minorHAnsi"/>
        </w:rPr>
      </w:pPr>
      <w:bookmarkStart w:id="776" w:name="_Hlk519478334"/>
      <w:r w:rsidRPr="0067297E">
        <w:rPr>
          <w:rFonts w:asciiTheme="minorHAnsi" w:hAnsiTheme="minorHAnsi"/>
        </w:rPr>
        <w:t xml:space="preserve">The time to let a property can indicate how popular a property type is, how popular an area is or whether a property is in good condition. It can also indicate an undersupply/oversupply of a particular property type. </w:t>
      </w:r>
      <w:bookmarkEnd w:id="776"/>
      <w:r w:rsidRPr="0067297E">
        <w:rPr>
          <w:rFonts w:asciiTheme="minorHAnsi" w:hAnsiTheme="minorHAnsi"/>
        </w:rPr>
        <w:t>The time to let a property is a very useful measure of the health of the rental market and this section considers how long it took for property to be let after coming onto the market.</w:t>
      </w:r>
    </w:p>
    <w:p w14:paraId="3A0FB44C" w14:textId="41FB3A0C"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Table 7.1 show</w:t>
      </w:r>
      <w:r w:rsidR="001E5724" w:rsidRPr="0067297E">
        <w:rPr>
          <w:rFonts w:asciiTheme="minorHAnsi" w:hAnsiTheme="minorHAnsi"/>
          <w:lang w:val="en-GB"/>
        </w:rPr>
        <w:t>s</w:t>
      </w:r>
      <w:r w:rsidRPr="0067297E">
        <w:rPr>
          <w:rFonts w:asciiTheme="minorHAnsi" w:hAnsiTheme="minorHAnsi"/>
        </w:rPr>
        <w:t xml:space="preserve"> the time to let flats and houses in each ward in 2017. This timescale includes notice periods, which we assume to be four weeks or one calendar month.</w:t>
      </w:r>
    </w:p>
    <w:p w14:paraId="07849324" w14:textId="77777777" w:rsidR="00C4521E" w:rsidRPr="0067297E" w:rsidRDefault="00C4521E" w:rsidP="00FA273F">
      <w:pPr>
        <w:pStyle w:val="Reporttext"/>
        <w:numPr>
          <w:ilvl w:val="0"/>
          <w:numId w:val="0"/>
        </w:numPr>
        <w:ind w:left="709"/>
        <w:rPr>
          <w:rFonts w:asciiTheme="minorHAnsi" w:hAnsiTheme="minorHAnsi"/>
        </w:rPr>
      </w:pPr>
    </w:p>
    <w:tbl>
      <w:tblPr>
        <w:tblW w:w="4684" w:type="pct"/>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0A0" w:firstRow="1" w:lastRow="0" w:firstColumn="1" w:lastColumn="0" w:noHBand="0" w:noVBand="0"/>
      </w:tblPr>
      <w:tblGrid>
        <w:gridCol w:w="2546"/>
        <w:gridCol w:w="2267"/>
        <w:gridCol w:w="1843"/>
        <w:gridCol w:w="1946"/>
      </w:tblGrid>
      <w:tr w:rsidR="00C4521E" w:rsidRPr="0067297E" w14:paraId="156D360E" w14:textId="77777777" w:rsidTr="00FD050C">
        <w:trPr>
          <w:tblHeader/>
        </w:trPr>
        <w:tc>
          <w:tcPr>
            <w:tcW w:w="5000" w:type="pct"/>
            <w:gridSpan w:val="4"/>
            <w:shd w:val="clear" w:color="auto" w:fill="009999"/>
            <w:noWrap/>
            <w:vAlign w:val="center"/>
          </w:tcPr>
          <w:p w14:paraId="040D8328" w14:textId="11C22C9D" w:rsidR="00C4521E" w:rsidRPr="0067297E" w:rsidRDefault="00C4521E" w:rsidP="001B5150">
            <w:pPr>
              <w:pStyle w:val="tableheading"/>
              <w:rPr>
                <w:rFonts w:asciiTheme="minorHAnsi" w:hAnsiTheme="minorHAnsi"/>
                <w:color w:val="FFFFFF"/>
              </w:rPr>
            </w:pPr>
            <w:bookmarkStart w:id="777" w:name="_Toc23151218"/>
            <w:r w:rsidRPr="0067297E">
              <w:rPr>
                <w:rFonts w:asciiTheme="minorHAnsi" w:hAnsiTheme="minorHAnsi"/>
              </w:rPr>
              <w:t>Table 7.1</w:t>
            </w:r>
            <w:r w:rsidRPr="0067297E">
              <w:rPr>
                <w:rFonts w:asciiTheme="minorHAnsi" w:hAnsiTheme="minorHAnsi"/>
              </w:rPr>
              <w:tab/>
            </w:r>
            <w:r w:rsidR="00272814" w:rsidRPr="0067297E">
              <w:rPr>
                <w:rFonts w:asciiTheme="minorHAnsi" w:hAnsiTheme="minorHAnsi"/>
              </w:rPr>
              <w:t xml:space="preserve">Average </w:t>
            </w:r>
            <w:r w:rsidRPr="0067297E">
              <w:rPr>
                <w:rFonts w:asciiTheme="minorHAnsi" w:hAnsiTheme="minorHAnsi"/>
              </w:rPr>
              <w:t>Time to let by property type 2017</w:t>
            </w:r>
            <w:bookmarkEnd w:id="777"/>
          </w:p>
        </w:tc>
      </w:tr>
      <w:tr w:rsidR="00C4521E" w:rsidRPr="0067297E" w14:paraId="2493F557" w14:textId="77777777" w:rsidTr="0002512B">
        <w:tc>
          <w:tcPr>
            <w:tcW w:w="1480" w:type="pct"/>
            <w:vMerge w:val="restart"/>
            <w:shd w:val="clear" w:color="auto" w:fill="009999"/>
            <w:noWrap/>
            <w:vAlign w:val="center"/>
          </w:tcPr>
          <w:p w14:paraId="19BF641F" w14:textId="77777777" w:rsidR="00C4521E" w:rsidRPr="0067297E" w:rsidRDefault="00C4521E" w:rsidP="0002512B">
            <w:pP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Ward</w:t>
            </w:r>
          </w:p>
        </w:tc>
        <w:tc>
          <w:tcPr>
            <w:tcW w:w="3520" w:type="pct"/>
            <w:gridSpan w:val="3"/>
            <w:shd w:val="clear" w:color="auto" w:fill="009999"/>
            <w:noWrap/>
            <w:vAlign w:val="center"/>
          </w:tcPr>
          <w:p w14:paraId="5E70B31B" w14:textId="77777777" w:rsidR="00C4521E" w:rsidRPr="0067297E" w:rsidRDefault="00C4521E" w:rsidP="0002512B">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Time to let in weeks</w:t>
            </w:r>
          </w:p>
        </w:tc>
      </w:tr>
      <w:tr w:rsidR="00C4521E" w:rsidRPr="0067297E" w14:paraId="294243E8" w14:textId="77777777" w:rsidTr="0002512B">
        <w:tc>
          <w:tcPr>
            <w:tcW w:w="1480" w:type="pct"/>
            <w:vMerge/>
            <w:shd w:val="clear" w:color="auto" w:fill="009999"/>
            <w:noWrap/>
            <w:vAlign w:val="center"/>
          </w:tcPr>
          <w:p w14:paraId="5B37DEF9" w14:textId="77777777" w:rsidR="00C4521E" w:rsidRPr="0067297E" w:rsidRDefault="00C4521E" w:rsidP="00FA273F">
            <w:pPr>
              <w:rPr>
                <w:rFonts w:asciiTheme="minorHAnsi" w:hAnsiTheme="minorHAnsi" w:cs="Calibri"/>
                <w:b/>
                <w:bCs/>
                <w:color w:val="FFFFFF"/>
                <w:sz w:val="22"/>
                <w:szCs w:val="22"/>
                <w:lang w:eastAsia="en-GB"/>
              </w:rPr>
            </w:pPr>
          </w:p>
        </w:tc>
        <w:tc>
          <w:tcPr>
            <w:tcW w:w="1318" w:type="pct"/>
            <w:shd w:val="clear" w:color="auto" w:fill="009999"/>
            <w:vAlign w:val="bottom"/>
          </w:tcPr>
          <w:p w14:paraId="0971E488"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Flat</w:t>
            </w:r>
          </w:p>
        </w:tc>
        <w:tc>
          <w:tcPr>
            <w:tcW w:w="1071" w:type="pct"/>
            <w:shd w:val="clear" w:color="auto" w:fill="009999"/>
            <w:vAlign w:val="bottom"/>
          </w:tcPr>
          <w:p w14:paraId="7158E25C"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House</w:t>
            </w:r>
          </w:p>
        </w:tc>
        <w:tc>
          <w:tcPr>
            <w:tcW w:w="1131" w:type="pct"/>
            <w:shd w:val="clear" w:color="auto" w:fill="009999"/>
            <w:vAlign w:val="bottom"/>
          </w:tcPr>
          <w:p w14:paraId="79F0E306"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b/>
                <w:bCs/>
                <w:color w:val="FFFFFF" w:themeColor="background1"/>
                <w:sz w:val="22"/>
                <w:szCs w:val="22"/>
              </w:rPr>
              <w:t>All properties</w:t>
            </w:r>
          </w:p>
        </w:tc>
      </w:tr>
      <w:tr w:rsidR="00C4521E" w:rsidRPr="0067297E" w14:paraId="62592FB1" w14:textId="77777777" w:rsidTr="0002512B">
        <w:tc>
          <w:tcPr>
            <w:tcW w:w="1480" w:type="pct"/>
            <w:noWrap/>
            <w:vAlign w:val="bottom"/>
          </w:tcPr>
          <w:p w14:paraId="6E33F651" w14:textId="77777777" w:rsidR="00C4521E" w:rsidRPr="0067297E" w:rsidRDefault="00C4521E" w:rsidP="00FA273F">
            <w:pPr>
              <w:rPr>
                <w:rFonts w:asciiTheme="minorHAnsi" w:hAnsiTheme="minorHAnsi" w:cs="Calibri"/>
                <w:color w:val="000000"/>
                <w:sz w:val="22"/>
                <w:szCs w:val="22"/>
                <w:lang w:eastAsia="en-GB"/>
              </w:rPr>
            </w:pPr>
            <w:r w:rsidRPr="0067297E">
              <w:rPr>
                <w:rFonts w:asciiTheme="minorHAnsi" w:hAnsiTheme="minorHAnsi" w:cs="Calibri"/>
                <w:color w:val="000000"/>
                <w:sz w:val="22"/>
                <w:szCs w:val="22"/>
              </w:rPr>
              <w:t>Bellingham</w:t>
            </w:r>
          </w:p>
        </w:tc>
        <w:tc>
          <w:tcPr>
            <w:tcW w:w="1318" w:type="pct"/>
            <w:noWrap/>
            <w:vAlign w:val="center"/>
          </w:tcPr>
          <w:p w14:paraId="5A7D75DD" w14:textId="77777777" w:rsidR="00C4521E" w:rsidRPr="0067297E" w:rsidRDefault="00C4521E" w:rsidP="00FA273F">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10.0</w:t>
            </w:r>
          </w:p>
        </w:tc>
        <w:tc>
          <w:tcPr>
            <w:tcW w:w="1071" w:type="pct"/>
            <w:noWrap/>
            <w:vAlign w:val="center"/>
          </w:tcPr>
          <w:p w14:paraId="1A1F839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1131" w:type="pct"/>
            <w:noWrap/>
            <w:vAlign w:val="center"/>
          </w:tcPr>
          <w:p w14:paraId="46090031" w14:textId="77777777" w:rsidR="00C4521E" w:rsidRPr="0067297E" w:rsidRDefault="00C4521E" w:rsidP="00FA273F">
            <w:pPr>
              <w:jc w:val="center"/>
              <w:rPr>
                <w:rFonts w:asciiTheme="minorHAnsi" w:hAnsiTheme="minorHAnsi" w:cs="Calibri"/>
                <w:sz w:val="22"/>
                <w:szCs w:val="22"/>
                <w:lang w:eastAsia="en-GB"/>
              </w:rPr>
            </w:pPr>
            <w:r w:rsidRPr="0067297E">
              <w:rPr>
                <w:rFonts w:asciiTheme="minorHAnsi" w:hAnsiTheme="minorHAnsi" w:cs="Calibri"/>
                <w:color w:val="000000"/>
                <w:sz w:val="22"/>
                <w:szCs w:val="22"/>
              </w:rPr>
              <w:t>10.0</w:t>
            </w:r>
          </w:p>
        </w:tc>
      </w:tr>
      <w:tr w:rsidR="00C4521E" w:rsidRPr="0067297E" w14:paraId="717E4E01" w14:textId="77777777" w:rsidTr="0002512B">
        <w:tc>
          <w:tcPr>
            <w:tcW w:w="1480" w:type="pct"/>
            <w:noWrap/>
            <w:vAlign w:val="bottom"/>
          </w:tcPr>
          <w:p w14:paraId="1287759E"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Blackheath</w:t>
            </w:r>
          </w:p>
        </w:tc>
        <w:tc>
          <w:tcPr>
            <w:tcW w:w="1318" w:type="pct"/>
            <w:noWrap/>
            <w:vAlign w:val="center"/>
          </w:tcPr>
          <w:p w14:paraId="71B7D97B"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071" w:type="pct"/>
            <w:noWrap/>
            <w:vAlign w:val="center"/>
          </w:tcPr>
          <w:p w14:paraId="351F2E8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131" w:type="pct"/>
            <w:noWrap/>
            <w:vAlign w:val="center"/>
          </w:tcPr>
          <w:p w14:paraId="0848F22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r>
      <w:tr w:rsidR="00C4521E" w:rsidRPr="0067297E" w14:paraId="10F61975" w14:textId="77777777" w:rsidTr="0002512B">
        <w:tc>
          <w:tcPr>
            <w:tcW w:w="1480" w:type="pct"/>
            <w:noWrap/>
            <w:vAlign w:val="bottom"/>
          </w:tcPr>
          <w:p w14:paraId="15837108"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Brockley</w:t>
            </w:r>
          </w:p>
        </w:tc>
        <w:tc>
          <w:tcPr>
            <w:tcW w:w="1318" w:type="pct"/>
            <w:noWrap/>
            <w:vAlign w:val="center"/>
          </w:tcPr>
          <w:p w14:paraId="6E93EC5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071" w:type="pct"/>
            <w:noWrap/>
            <w:vAlign w:val="center"/>
          </w:tcPr>
          <w:p w14:paraId="3BDE946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131" w:type="pct"/>
            <w:noWrap/>
            <w:vAlign w:val="center"/>
          </w:tcPr>
          <w:p w14:paraId="64F11D1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r>
      <w:tr w:rsidR="00C4521E" w:rsidRPr="0067297E" w14:paraId="5767240F" w14:textId="77777777" w:rsidTr="0002512B">
        <w:tc>
          <w:tcPr>
            <w:tcW w:w="1480" w:type="pct"/>
            <w:noWrap/>
            <w:vAlign w:val="bottom"/>
          </w:tcPr>
          <w:p w14:paraId="4C3B5B05"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Catford South</w:t>
            </w:r>
          </w:p>
        </w:tc>
        <w:tc>
          <w:tcPr>
            <w:tcW w:w="1318" w:type="pct"/>
            <w:noWrap/>
            <w:vAlign w:val="center"/>
          </w:tcPr>
          <w:p w14:paraId="1C1FAD8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071" w:type="pct"/>
            <w:noWrap/>
            <w:vAlign w:val="center"/>
          </w:tcPr>
          <w:p w14:paraId="0650DE4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131" w:type="pct"/>
            <w:noWrap/>
            <w:vAlign w:val="center"/>
          </w:tcPr>
          <w:p w14:paraId="676CE3A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r>
      <w:tr w:rsidR="00C4521E" w:rsidRPr="0067297E" w14:paraId="7E3FEEF0" w14:textId="77777777" w:rsidTr="0002512B">
        <w:tc>
          <w:tcPr>
            <w:tcW w:w="1480" w:type="pct"/>
            <w:noWrap/>
            <w:vAlign w:val="bottom"/>
          </w:tcPr>
          <w:p w14:paraId="2ADF46D7"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Crofton Park</w:t>
            </w:r>
          </w:p>
        </w:tc>
        <w:tc>
          <w:tcPr>
            <w:tcW w:w="1318" w:type="pct"/>
            <w:noWrap/>
            <w:vAlign w:val="center"/>
          </w:tcPr>
          <w:p w14:paraId="52AD757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071" w:type="pct"/>
            <w:noWrap/>
            <w:vAlign w:val="center"/>
          </w:tcPr>
          <w:p w14:paraId="637FCAB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9.5</w:t>
            </w:r>
          </w:p>
        </w:tc>
        <w:tc>
          <w:tcPr>
            <w:tcW w:w="1131" w:type="pct"/>
            <w:noWrap/>
            <w:vAlign w:val="center"/>
          </w:tcPr>
          <w:p w14:paraId="388FC33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r>
      <w:tr w:rsidR="00C4521E" w:rsidRPr="0067297E" w14:paraId="39037A05" w14:textId="77777777" w:rsidTr="0002512B">
        <w:tc>
          <w:tcPr>
            <w:tcW w:w="1480" w:type="pct"/>
            <w:noWrap/>
            <w:vAlign w:val="bottom"/>
          </w:tcPr>
          <w:p w14:paraId="75BE599B"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Downham</w:t>
            </w:r>
          </w:p>
        </w:tc>
        <w:tc>
          <w:tcPr>
            <w:tcW w:w="1318" w:type="pct"/>
            <w:noWrap/>
            <w:vAlign w:val="center"/>
          </w:tcPr>
          <w:p w14:paraId="2280893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071" w:type="pct"/>
            <w:noWrap/>
            <w:vAlign w:val="center"/>
          </w:tcPr>
          <w:p w14:paraId="381CF13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131" w:type="pct"/>
            <w:noWrap/>
            <w:vAlign w:val="center"/>
          </w:tcPr>
          <w:p w14:paraId="495E12C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r>
      <w:tr w:rsidR="00C4521E" w:rsidRPr="0067297E" w14:paraId="281AD3B8" w14:textId="77777777" w:rsidTr="0002512B">
        <w:tc>
          <w:tcPr>
            <w:tcW w:w="1480" w:type="pct"/>
            <w:noWrap/>
            <w:vAlign w:val="bottom"/>
          </w:tcPr>
          <w:p w14:paraId="556CD2DA"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Evelyn</w:t>
            </w:r>
          </w:p>
        </w:tc>
        <w:tc>
          <w:tcPr>
            <w:tcW w:w="1318" w:type="pct"/>
            <w:noWrap/>
            <w:vAlign w:val="center"/>
          </w:tcPr>
          <w:p w14:paraId="4AE1E88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071" w:type="pct"/>
            <w:noWrap/>
            <w:vAlign w:val="center"/>
          </w:tcPr>
          <w:p w14:paraId="57A1B1F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131" w:type="pct"/>
            <w:noWrap/>
            <w:vAlign w:val="center"/>
          </w:tcPr>
          <w:p w14:paraId="713562C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7.0</w:t>
            </w:r>
          </w:p>
        </w:tc>
      </w:tr>
      <w:tr w:rsidR="00C4521E" w:rsidRPr="0067297E" w14:paraId="793FC458" w14:textId="77777777" w:rsidTr="0002512B">
        <w:tc>
          <w:tcPr>
            <w:tcW w:w="1480" w:type="pct"/>
            <w:noWrap/>
            <w:vAlign w:val="bottom"/>
          </w:tcPr>
          <w:p w14:paraId="2838FD81"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Forest Hill</w:t>
            </w:r>
          </w:p>
        </w:tc>
        <w:tc>
          <w:tcPr>
            <w:tcW w:w="1318" w:type="pct"/>
            <w:noWrap/>
            <w:vAlign w:val="center"/>
          </w:tcPr>
          <w:p w14:paraId="2D62188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071" w:type="pct"/>
            <w:noWrap/>
            <w:vAlign w:val="center"/>
          </w:tcPr>
          <w:p w14:paraId="2753C4A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131" w:type="pct"/>
            <w:noWrap/>
            <w:vAlign w:val="center"/>
          </w:tcPr>
          <w:p w14:paraId="53AB9A0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r>
      <w:tr w:rsidR="00C4521E" w:rsidRPr="0067297E" w14:paraId="58E60CCF" w14:textId="77777777" w:rsidTr="0002512B">
        <w:tc>
          <w:tcPr>
            <w:tcW w:w="1480" w:type="pct"/>
            <w:noWrap/>
            <w:vAlign w:val="bottom"/>
          </w:tcPr>
          <w:p w14:paraId="1E5C55B6"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Grove Park</w:t>
            </w:r>
          </w:p>
        </w:tc>
        <w:tc>
          <w:tcPr>
            <w:tcW w:w="1318" w:type="pct"/>
            <w:noWrap/>
            <w:vAlign w:val="center"/>
          </w:tcPr>
          <w:p w14:paraId="5750F6C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071" w:type="pct"/>
            <w:noWrap/>
            <w:vAlign w:val="center"/>
          </w:tcPr>
          <w:p w14:paraId="58179A4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131" w:type="pct"/>
            <w:noWrap/>
            <w:vAlign w:val="center"/>
          </w:tcPr>
          <w:p w14:paraId="1C85ED1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r>
      <w:tr w:rsidR="00C4521E" w:rsidRPr="0067297E" w14:paraId="3F9E0201" w14:textId="77777777" w:rsidTr="0002512B">
        <w:tc>
          <w:tcPr>
            <w:tcW w:w="1480" w:type="pct"/>
            <w:noWrap/>
            <w:vAlign w:val="bottom"/>
          </w:tcPr>
          <w:p w14:paraId="0C863F8A"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Ladywell</w:t>
            </w:r>
          </w:p>
        </w:tc>
        <w:tc>
          <w:tcPr>
            <w:tcW w:w="1318" w:type="pct"/>
            <w:noWrap/>
            <w:vAlign w:val="center"/>
          </w:tcPr>
          <w:p w14:paraId="1540388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071" w:type="pct"/>
            <w:noWrap/>
            <w:vAlign w:val="center"/>
          </w:tcPr>
          <w:p w14:paraId="5BC61B2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131" w:type="pct"/>
            <w:noWrap/>
            <w:vAlign w:val="center"/>
          </w:tcPr>
          <w:p w14:paraId="5A0CFEF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7.0</w:t>
            </w:r>
          </w:p>
        </w:tc>
      </w:tr>
      <w:tr w:rsidR="00C4521E" w:rsidRPr="0067297E" w14:paraId="71290515" w14:textId="77777777" w:rsidTr="0002512B">
        <w:tc>
          <w:tcPr>
            <w:tcW w:w="1480" w:type="pct"/>
            <w:noWrap/>
            <w:vAlign w:val="bottom"/>
          </w:tcPr>
          <w:p w14:paraId="2BBFA3A7"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Lee Green</w:t>
            </w:r>
          </w:p>
        </w:tc>
        <w:tc>
          <w:tcPr>
            <w:tcW w:w="1318" w:type="pct"/>
            <w:noWrap/>
            <w:vAlign w:val="center"/>
          </w:tcPr>
          <w:p w14:paraId="71F5F57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071" w:type="pct"/>
            <w:noWrap/>
            <w:vAlign w:val="center"/>
          </w:tcPr>
          <w:p w14:paraId="03D7A29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1131" w:type="pct"/>
            <w:noWrap/>
            <w:vAlign w:val="center"/>
          </w:tcPr>
          <w:p w14:paraId="0286319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r>
      <w:tr w:rsidR="00C4521E" w:rsidRPr="0067297E" w14:paraId="679BE337" w14:textId="77777777" w:rsidTr="0002512B">
        <w:tc>
          <w:tcPr>
            <w:tcW w:w="1480" w:type="pct"/>
            <w:noWrap/>
            <w:vAlign w:val="bottom"/>
          </w:tcPr>
          <w:p w14:paraId="4DB4DC4F"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Lewisham Central</w:t>
            </w:r>
          </w:p>
        </w:tc>
        <w:tc>
          <w:tcPr>
            <w:tcW w:w="1318" w:type="pct"/>
            <w:noWrap/>
            <w:vAlign w:val="center"/>
          </w:tcPr>
          <w:p w14:paraId="2E749FD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1071" w:type="pct"/>
            <w:noWrap/>
            <w:vAlign w:val="center"/>
          </w:tcPr>
          <w:p w14:paraId="4B24A61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131" w:type="pct"/>
            <w:noWrap/>
            <w:vAlign w:val="center"/>
          </w:tcPr>
          <w:p w14:paraId="58058A6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r>
      <w:tr w:rsidR="00C4521E" w:rsidRPr="0067297E" w14:paraId="5B672651" w14:textId="77777777" w:rsidTr="0002512B">
        <w:tc>
          <w:tcPr>
            <w:tcW w:w="1480" w:type="pct"/>
            <w:noWrap/>
            <w:vAlign w:val="bottom"/>
          </w:tcPr>
          <w:p w14:paraId="6268A599"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New Cross</w:t>
            </w:r>
          </w:p>
        </w:tc>
        <w:tc>
          <w:tcPr>
            <w:tcW w:w="1318" w:type="pct"/>
            <w:noWrap/>
            <w:vAlign w:val="center"/>
          </w:tcPr>
          <w:p w14:paraId="63A5B8A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1071" w:type="pct"/>
            <w:noWrap/>
            <w:vAlign w:val="center"/>
          </w:tcPr>
          <w:p w14:paraId="67A9788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131" w:type="pct"/>
            <w:noWrap/>
            <w:vAlign w:val="center"/>
          </w:tcPr>
          <w:p w14:paraId="6B81535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r>
      <w:tr w:rsidR="00C4521E" w:rsidRPr="0067297E" w14:paraId="6E2548FA" w14:textId="77777777" w:rsidTr="0002512B">
        <w:tc>
          <w:tcPr>
            <w:tcW w:w="1480" w:type="pct"/>
            <w:noWrap/>
            <w:vAlign w:val="bottom"/>
          </w:tcPr>
          <w:p w14:paraId="1F35D90E"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Perry Vale</w:t>
            </w:r>
          </w:p>
        </w:tc>
        <w:tc>
          <w:tcPr>
            <w:tcW w:w="1318" w:type="pct"/>
            <w:noWrap/>
            <w:vAlign w:val="center"/>
          </w:tcPr>
          <w:p w14:paraId="6FD4A99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071" w:type="pct"/>
            <w:noWrap/>
            <w:vAlign w:val="center"/>
          </w:tcPr>
          <w:p w14:paraId="4C7A752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131" w:type="pct"/>
            <w:noWrap/>
            <w:vAlign w:val="center"/>
          </w:tcPr>
          <w:p w14:paraId="10ECF95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r>
      <w:tr w:rsidR="00C4521E" w:rsidRPr="0067297E" w14:paraId="735AFCB6" w14:textId="77777777" w:rsidTr="0002512B">
        <w:tc>
          <w:tcPr>
            <w:tcW w:w="1480" w:type="pct"/>
            <w:noWrap/>
            <w:vAlign w:val="bottom"/>
          </w:tcPr>
          <w:p w14:paraId="276D93A3"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Rushey Green</w:t>
            </w:r>
          </w:p>
        </w:tc>
        <w:tc>
          <w:tcPr>
            <w:tcW w:w="1318" w:type="pct"/>
            <w:noWrap/>
            <w:vAlign w:val="center"/>
          </w:tcPr>
          <w:p w14:paraId="31C58E9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071" w:type="pct"/>
            <w:noWrap/>
            <w:vAlign w:val="center"/>
          </w:tcPr>
          <w:p w14:paraId="02FBD71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131" w:type="pct"/>
            <w:noWrap/>
            <w:vAlign w:val="center"/>
          </w:tcPr>
          <w:p w14:paraId="1276D1C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r>
      <w:tr w:rsidR="00C4521E" w:rsidRPr="0067297E" w14:paraId="3C28EED4" w14:textId="77777777" w:rsidTr="0002512B">
        <w:tc>
          <w:tcPr>
            <w:tcW w:w="1480" w:type="pct"/>
            <w:noWrap/>
            <w:vAlign w:val="bottom"/>
          </w:tcPr>
          <w:p w14:paraId="049DCA28"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Sydenham</w:t>
            </w:r>
          </w:p>
        </w:tc>
        <w:tc>
          <w:tcPr>
            <w:tcW w:w="1318" w:type="pct"/>
            <w:noWrap/>
            <w:vAlign w:val="center"/>
          </w:tcPr>
          <w:p w14:paraId="346113B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071" w:type="pct"/>
            <w:noWrap/>
            <w:vAlign w:val="center"/>
          </w:tcPr>
          <w:p w14:paraId="0B3DE2EB"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131" w:type="pct"/>
            <w:noWrap/>
            <w:vAlign w:val="center"/>
          </w:tcPr>
          <w:p w14:paraId="603714E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r>
      <w:tr w:rsidR="00C4521E" w:rsidRPr="0067297E" w14:paraId="1938727E" w14:textId="77777777" w:rsidTr="0002512B">
        <w:tc>
          <w:tcPr>
            <w:tcW w:w="1480" w:type="pct"/>
            <w:noWrap/>
            <w:vAlign w:val="bottom"/>
          </w:tcPr>
          <w:p w14:paraId="095F14DC"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Telegraph Hill</w:t>
            </w:r>
          </w:p>
        </w:tc>
        <w:tc>
          <w:tcPr>
            <w:tcW w:w="1318" w:type="pct"/>
            <w:noWrap/>
            <w:vAlign w:val="center"/>
          </w:tcPr>
          <w:p w14:paraId="1FAFE73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071" w:type="pct"/>
            <w:noWrap/>
            <w:vAlign w:val="center"/>
          </w:tcPr>
          <w:p w14:paraId="3A469BD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131" w:type="pct"/>
            <w:noWrap/>
            <w:vAlign w:val="center"/>
          </w:tcPr>
          <w:p w14:paraId="41D4BBE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r>
      <w:tr w:rsidR="00C4521E" w:rsidRPr="0067297E" w14:paraId="02968BB0" w14:textId="77777777" w:rsidTr="0002512B">
        <w:tc>
          <w:tcPr>
            <w:tcW w:w="1480" w:type="pct"/>
            <w:noWrap/>
            <w:vAlign w:val="bottom"/>
          </w:tcPr>
          <w:p w14:paraId="258D17C1" w14:textId="77777777" w:rsidR="00C4521E" w:rsidRPr="0067297E" w:rsidRDefault="00C4521E" w:rsidP="00FA273F">
            <w:pPr>
              <w:pStyle w:val="NoSpacing"/>
              <w:rPr>
                <w:rFonts w:asciiTheme="minorHAnsi" w:hAnsiTheme="minorHAnsi" w:cs="Calibri"/>
                <w:color w:val="000000"/>
              </w:rPr>
            </w:pPr>
            <w:r w:rsidRPr="0067297E">
              <w:rPr>
                <w:rFonts w:asciiTheme="minorHAnsi" w:hAnsiTheme="minorHAnsi" w:cs="Calibri"/>
                <w:color w:val="000000"/>
              </w:rPr>
              <w:t>Whitefoot</w:t>
            </w:r>
          </w:p>
        </w:tc>
        <w:tc>
          <w:tcPr>
            <w:tcW w:w="1318" w:type="pct"/>
            <w:noWrap/>
            <w:vAlign w:val="center"/>
          </w:tcPr>
          <w:p w14:paraId="30D501A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1071" w:type="pct"/>
            <w:noWrap/>
            <w:vAlign w:val="center"/>
          </w:tcPr>
          <w:p w14:paraId="76AC785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131" w:type="pct"/>
            <w:noWrap/>
            <w:vAlign w:val="center"/>
          </w:tcPr>
          <w:p w14:paraId="5192AA2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9.5</w:t>
            </w:r>
          </w:p>
        </w:tc>
      </w:tr>
      <w:tr w:rsidR="00C4521E" w:rsidRPr="0067297E" w14:paraId="37DE65BA" w14:textId="77777777" w:rsidTr="0002512B">
        <w:tc>
          <w:tcPr>
            <w:tcW w:w="1480" w:type="pct"/>
            <w:noWrap/>
            <w:vAlign w:val="bottom"/>
          </w:tcPr>
          <w:p w14:paraId="64799988" w14:textId="77777777" w:rsidR="00C4521E" w:rsidRPr="0067297E" w:rsidRDefault="00C4521E" w:rsidP="00FA273F">
            <w:pPr>
              <w:pStyle w:val="NoSpacing"/>
              <w:rPr>
                <w:rFonts w:asciiTheme="minorHAnsi" w:hAnsiTheme="minorHAnsi" w:cs="Calibri"/>
                <w:color w:val="000000"/>
              </w:rPr>
            </w:pPr>
            <w:r w:rsidRPr="0067297E">
              <w:rPr>
                <w:rFonts w:asciiTheme="minorHAnsi" w:hAnsiTheme="minorHAnsi" w:cs="Calibri"/>
                <w:b/>
                <w:color w:val="000000"/>
              </w:rPr>
              <w:t>Lewisham</w:t>
            </w:r>
          </w:p>
        </w:tc>
        <w:tc>
          <w:tcPr>
            <w:tcW w:w="1318" w:type="pct"/>
            <w:noWrap/>
            <w:vAlign w:val="center"/>
          </w:tcPr>
          <w:p w14:paraId="2803D1E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071" w:type="pct"/>
            <w:noWrap/>
            <w:vAlign w:val="center"/>
          </w:tcPr>
          <w:p w14:paraId="359826B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131" w:type="pct"/>
            <w:noWrap/>
            <w:vAlign w:val="center"/>
          </w:tcPr>
          <w:p w14:paraId="2912233B"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r>
    </w:tbl>
    <w:p w14:paraId="69F15B7F" w14:textId="77777777" w:rsidR="00C4521E" w:rsidRPr="0067297E" w:rsidRDefault="00C4521E" w:rsidP="0002512B">
      <w:pPr>
        <w:ind w:left="720"/>
        <w:rPr>
          <w:rFonts w:asciiTheme="minorHAnsi" w:hAnsiTheme="minorHAnsi"/>
          <w:sz w:val="20"/>
          <w:szCs w:val="20"/>
        </w:rPr>
      </w:pPr>
      <w:r w:rsidRPr="0067297E">
        <w:rPr>
          <w:rFonts w:asciiTheme="minorHAnsi" w:hAnsiTheme="minorHAnsi"/>
          <w:sz w:val="20"/>
          <w:szCs w:val="20"/>
        </w:rPr>
        <w:t>Source: Zoopla</w:t>
      </w:r>
    </w:p>
    <w:p w14:paraId="6B50098D" w14:textId="77777777" w:rsidR="00C4521E" w:rsidRPr="0067297E" w:rsidRDefault="00C4521E" w:rsidP="00FA273F">
      <w:pPr>
        <w:pStyle w:val="Reporttext"/>
        <w:numPr>
          <w:ilvl w:val="0"/>
          <w:numId w:val="0"/>
        </w:numPr>
        <w:ind w:left="709"/>
        <w:rPr>
          <w:rFonts w:asciiTheme="minorHAnsi" w:hAnsiTheme="minorHAnsi"/>
        </w:rPr>
      </w:pPr>
    </w:p>
    <w:p w14:paraId="67266835" w14:textId="5DEEAFE1"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Chart 7.1 shows the time to let property by size over the past 3 years 2015-2017</w:t>
      </w:r>
      <w:r w:rsidR="001E5724" w:rsidRPr="0067297E">
        <w:rPr>
          <w:rFonts w:asciiTheme="minorHAnsi" w:hAnsiTheme="minorHAnsi"/>
          <w:lang w:val="en-GB"/>
        </w:rPr>
        <w:t>.</w:t>
      </w:r>
    </w:p>
    <w:p w14:paraId="73523879" w14:textId="77777777" w:rsidR="0002512B" w:rsidRPr="0067297E" w:rsidRDefault="0002512B">
      <w:pPr>
        <w:rPr>
          <w:rFonts w:asciiTheme="minorHAnsi" w:hAnsiTheme="minorHAnsi" w:cs="Arial"/>
        </w:rPr>
      </w:pPr>
      <w:r w:rsidRPr="0067297E">
        <w:rPr>
          <w:rFonts w:asciiTheme="minorHAnsi" w:hAnsiTheme="minorHAnsi"/>
        </w:rPr>
        <w:br w:type="page"/>
      </w:r>
    </w:p>
    <w:p w14:paraId="4778A201" w14:textId="344D6867" w:rsidR="00C4521E" w:rsidRPr="0067297E" w:rsidRDefault="00C4521E" w:rsidP="0002512B">
      <w:pPr>
        <w:pStyle w:val="figureheading"/>
        <w:ind w:left="709"/>
        <w:rPr>
          <w:rFonts w:asciiTheme="minorHAnsi" w:hAnsiTheme="minorHAnsi"/>
        </w:rPr>
      </w:pPr>
      <w:bookmarkStart w:id="778" w:name="_Toc23151239"/>
      <w:r w:rsidRPr="0067297E">
        <w:rPr>
          <w:rFonts w:asciiTheme="minorHAnsi" w:hAnsiTheme="minorHAnsi"/>
        </w:rPr>
        <w:t>Chart 7.1</w:t>
      </w:r>
      <w:r w:rsidRPr="0067297E">
        <w:rPr>
          <w:rFonts w:asciiTheme="minorHAnsi" w:hAnsiTheme="minorHAnsi"/>
        </w:rPr>
        <w:tab/>
        <w:t>The time to let property by size 2017</w:t>
      </w:r>
      <w:bookmarkEnd w:id="778"/>
    </w:p>
    <w:p w14:paraId="67BD12F5" w14:textId="77777777" w:rsidR="00C4521E" w:rsidRPr="0067297E" w:rsidRDefault="00C4521E" w:rsidP="00FA273F">
      <w:pPr>
        <w:pStyle w:val="Reporttext"/>
        <w:numPr>
          <w:ilvl w:val="0"/>
          <w:numId w:val="0"/>
        </w:numPr>
        <w:ind w:left="709"/>
        <w:rPr>
          <w:rFonts w:asciiTheme="minorHAnsi" w:hAnsiTheme="minorHAnsi"/>
        </w:rPr>
      </w:pPr>
      <w:r w:rsidRPr="0067297E">
        <w:rPr>
          <w:rFonts w:asciiTheme="minorHAnsi" w:hAnsiTheme="minorHAnsi"/>
          <w:noProof/>
          <w:lang w:val="en-GB" w:eastAsia="en-GB"/>
        </w:rPr>
        <w:drawing>
          <wp:inline distT="0" distB="0" distL="0" distR="0" wp14:anchorId="401349E3" wp14:editId="7EBA9AE1">
            <wp:extent cx="4572000" cy="2743200"/>
            <wp:effectExtent l="0" t="0" r="0" b="0"/>
            <wp:docPr id="46" name="Chart 46" descr="Chart showing the time to let property by size in 2015, 2016 and 2017 (colour coded). " title="Chart 7.1 The time to let property by size 20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058DC6-D235-47D1-8D42-0665301BF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5B8D336B" w14:textId="77777777" w:rsidR="00C4521E" w:rsidRPr="0067297E" w:rsidRDefault="00C4521E" w:rsidP="00543A76">
      <w:pPr>
        <w:ind w:firstLine="709"/>
        <w:rPr>
          <w:rFonts w:asciiTheme="minorHAnsi" w:hAnsiTheme="minorHAnsi"/>
          <w:sz w:val="20"/>
          <w:szCs w:val="20"/>
        </w:rPr>
      </w:pPr>
      <w:r w:rsidRPr="0067297E">
        <w:rPr>
          <w:rFonts w:asciiTheme="minorHAnsi" w:hAnsiTheme="minorHAnsi"/>
          <w:sz w:val="20"/>
          <w:szCs w:val="20"/>
        </w:rPr>
        <w:t>Source: Zoopla</w:t>
      </w:r>
    </w:p>
    <w:p w14:paraId="52FA77B9" w14:textId="77777777" w:rsidR="00C4521E" w:rsidRPr="0067297E" w:rsidRDefault="00C4521E" w:rsidP="00FA273F">
      <w:pPr>
        <w:pStyle w:val="Reporttext"/>
        <w:numPr>
          <w:ilvl w:val="0"/>
          <w:numId w:val="0"/>
        </w:numPr>
        <w:ind w:left="709"/>
        <w:rPr>
          <w:rFonts w:asciiTheme="minorHAnsi" w:hAnsiTheme="minorHAnsi"/>
        </w:rPr>
      </w:pPr>
    </w:p>
    <w:p w14:paraId="6DCFC49A" w14:textId="28DE3C8E"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Table 7.2 shows the average time to let a property in weeks in each of the years 2015-2017 by ward and shows the percentage change in the number of weeks, year on year and overall from 2015-2017. </w:t>
      </w:r>
      <w:bookmarkStart w:id="779" w:name="_Hlk488649551"/>
      <w:r w:rsidRPr="0067297E">
        <w:rPr>
          <w:rFonts w:asciiTheme="minorHAnsi" w:hAnsiTheme="minorHAnsi"/>
        </w:rPr>
        <w:t xml:space="preserve">Over 2015 to 2017, the average time it took to let property in Lewisham was </w:t>
      </w:r>
      <w:r w:rsidRPr="0067297E">
        <w:rPr>
          <w:rFonts w:asciiTheme="minorHAnsi" w:hAnsiTheme="minorHAnsi"/>
          <w:shd w:val="clear" w:color="auto" w:fill="FFFFFF"/>
        </w:rPr>
        <w:t>9 weeks</w:t>
      </w:r>
      <w:r w:rsidRPr="0067297E">
        <w:rPr>
          <w:rFonts w:asciiTheme="minorHAnsi" w:hAnsiTheme="minorHAnsi"/>
        </w:rPr>
        <w:t xml:space="preserve">.  </w:t>
      </w:r>
      <w:bookmarkStart w:id="780" w:name="_Hlk519478296"/>
      <w:r w:rsidRPr="0067297E">
        <w:rPr>
          <w:rFonts w:asciiTheme="minorHAnsi" w:hAnsiTheme="minorHAnsi"/>
        </w:rPr>
        <w:t>This timescale includes notice periods, which we assume to be four weeks or one calendar month. These timescales are higher than usually seen for urban areas where it is common place to see figures as low as 4-5 weeks</w:t>
      </w:r>
      <w:bookmarkEnd w:id="780"/>
      <w:r w:rsidR="001E5724" w:rsidRPr="0067297E">
        <w:rPr>
          <w:rFonts w:asciiTheme="minorHAnsi" w:hAnsiTheme="minorHAnsi"/>
          <w:lang w:val="en-GB"/>
        </w:rPr>
        <w:t>.</w:t>
      </w:r>
    </w:p>
    <w:p w14:paraId="56B64453" w14:textId="70C5EA0D" w:rsidR="00C4521E" w:rsidRPr="0067297E" w:rsidRDefault="00C4521E" w:rsidP="002C70BC">
      <w:pPr>
        <w:pStyle w:val="Reporttext"/>
        <w:numPr>
          <w:ilvl w:val="1"/>
          <w:numId w:val="34"/>
        </w:numPr>
        <w:tabs>
          <w:tab w:val="clear" w:pos="709"/>
        </w:tabs>
        <w:rPr>
          <w:rFonts w:asciiTheme="minorHAnsi" w:hAnsiTheme="minorHAnsi"/>
        </w:rPr>
      </w:pPr>
      <w:bookmarkStart w:id="781" w:name="_Hlk488649587"/>
      <w:bookmarkEnd w:id="779"/>
      <w:r w:rsidRPr="0067297E">
        <w:rPr>
          <w:rFonts w:asciiTheme="minorHAnsi" w:hAnsiTheme="minorHAnsi"/>
        </w:rPr>
        <w:t>Reductions in the time to let over the past 3 years have been experienced in a number of locations</w:t>
      </w:r>
      <w:bookmarkEnd w:id="781"/>
      <w:r w:rsidR="001E5724" w:rsidRPr="0067297E">
        <w:rPr>
          <w:rFonts w:asciiTheme="minorHAnsi" w:hAnsiTheme="minorHAnsi"/>
          <w:lang w:val="en-GB"/>
        </w:rPr>
        <w:t>.</w:t>
      </w:r>
    </w:p>
    <w:p w14:paraId="29681213" w14:textId="75B72263" w:rsidR="00C4521E" w:rsidRPr="0067297E" w:rsidRDefault="00C4521E" w:rsidP="0002512B">
      <w:pPr>
        <w:pStyle w:val="Reporttext"/>
        <w:numPr>
          <w:ilvl w:val="0"/>
          <w:numId w:val="0"/>
        </w:numPr>
        <w:ind w:left="709"/>
        <w:rPr>
          <w:rFonts w:asciiTheme="minorHAnsi" w:hAnsiTheme="minorHAnsi"/>
        </w:rPr>
      </w:pPr>
    </w:p>
    <w:p w14:paraId="0DAF3856" w14:textId="16110533" w:rsidR="0002512B" w:rsidRPr="0067297E" w:rsidRDefault="0002512B">
      <w:pPr>
        <w:rPr>
          <w:rFonts w:asciiTheme="minorHAnsi" w:hAnsiTheme="minorHAnsi"/>
          <w:lang w:val="x-none"/>
        </w:rPr>
      </w:pPr>
      <w:r w:rsidRPr="0067297E">
        <w:rPr>
          <w:rFonts w:asciiTheme="minorHAnsi" w:hAnsiTheme="minorHAnsi"/>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0A0" w:firstRow="1" w:lastRow="0" w:firstColumn="1" w:lastColumn="0" w:noHBand="0" w:noVBand="0"/>
      </w:tblPr>
      <w:tblGrid>
        <w:gridCol w:w="2547"/>
        <w:gridCol w:w="1418"/>
        <w:gridCol w:w="1276"/>
        <w:gridCol w:w="1276"/>
        <w:gridCol w:w="2665"/>
      </w:tblGrid>
      <w:tr w:rsidR="00C4521E" w:rsidRPr="0067297E" w14:paraId="07385A01" w14:textId="77777777" w:rsidTr="00FD050C">
        <w:trPr>
          <w:tblHeader/>
        </w:trPr>
        <w:tc>
          <w:tcPr>
            <w:tcW w:w="5000" w:type="pct"/>
            <w:gridSpan w:val="5"/>
            <w:shd w:val="clear" w:color="auto" w:fill="009999"/>
            <w:noWrap/>
            <w:vAlign w:val="center"/>
          </w:tcPr>
          <w:p w14:paraId="188A284A" w14:textId="77777777" w:rsidR="00C4521E" w:rsidRPr="0067297E" w:rsidRDefault="00C4521E" w:rsidP="001B5150">
            <w:pPr>
              <w:pStyle w:val="tableheading"/>
              <w:rPr>
                <w:rFonts w:asciiTheme="minorHAnsi" w:hAnsiTheme="minorHAnsi"/>
                <w:color w:val="FFFFFF"/>
              </w:rPr>
            </w:pPr>
            <w:bookmarkStart w:id="782" w:name="_Toc400488720"/>
            <w:bookmarkStart w:id="783" w:name="_Toc23151219"/>
            <w:r w:rsidRPr="0067297E">
              <w:rPr>
                <w:rFonts w:asciiTheme="minorHAnsi" w:hAnsiTheme="minorHAnsi"/>
              </w:rPr>
              <w:t>Table 7.2</w:t>
            </w:r>
            <w:r w:rsidRPr="0067297E">
              <w:rPr>
                <w:rFonts w:asciiTheme="minorHAnsi" w:hAnsiTheme="minorHAnsi"/>
              </w:rPr>
              <w:tab/>
              <w:t xml:space="preserve">Time to let by ward </w:t>
            </w:r>
            <w:bookmarkEnd w:id="782"/>
            <w:r w:rsidRPr="0067297E">
              <w:rPr>
                <w:rFonts w:asciiTheme="minorHAnsi" w:hAnsiTheme="minorHAnsi"/>
              </w:rPr>
              <w:t>2015-2017</w:t>
            </w:r>
            <w:bookmarkEnd w:id="783"/>
          </w:p>
        </w:tc>
      </w:tr>
      <w:tr w:rsidR="00C4521E" w:rsidRPr="0067297E" w14:paraId="7CDAAC13" w14:textId="77777777" w:rsidTr="00C4521E">
        <w:tc>
          <w:tcPr>
            <w:tcW w:w="1387" w:type="pct"/>
            <w:vMerge w:val="restart"/>
            <w:shd w:val="clear" w:color="auto" w:fill="009999"/>
            <w:noWrap/>
            <w:vAlign w:val="center"/>
          </w:tcPr>
          <w:p w14:paraId="17E197E8" w14:textId="77777777" w:rsidR="00C4521E" w:rsidRPr="0067297E" w:rsidRDefault="00C4521E" w:rsidP="0002512B">
            <w:pP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Ward</w:t>
            </w:r>
          </w:p>
        </w:tc>
        <w:tc>
          <w:tcPr>
            <w:tcW w:w="3613" w:type="pct"/>
            <w:gridSpan w:val="4"/>
            <w:shd w:val="clear" w:color="auto" w:fill="009999"/>
            <w:noWrap/>
            <w:vAlign w:val="center"/>
          </w:tcPr>
          <w:p w14:paraId="448D53F5" w14:textId="77777777" w:rsidR="00C4521E" w:rsidRPr="0067297E" w:rsidRDefault="00C4521E" w:rsidP="0002512B">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Time to let in weeks</w:t>
            </w:r>
          </w:p>
        </w:tc>
      </w:tr>
      <w:tr w:rsidR="00C4521E" w:rsidRPr="0067297E" w14:paraId="6106F779" w14:textId="77777777" w:rsidTr="00C4521E">
        <w:tc>
          <w:tcPr>
            <w:tcW w:w="1387" w:type="pct"/>
            <w:vMerge/>
            <w:shd w:val="clear" w:color="auto" w:fill="009999"/>
            <w:noWrap/>
            <w:vAlign w:val="center"/>
          </w:tcPr>
          <w:p w14:paraId="6C085F71" w14:textId="77777777" w:rsidR="00C4521E" w:rsidRPr="0067297E" w:rsidRDefault="00C4521E" w:rsidP="00FA273F">
            <w:pPr>
              <w:rPr>
                <w:rFonts w:asciiTheme="minorHAnsi" w:hAnsiTheme="minorHAnsi" w:cs="Calibri"/>
                <w:b/>
                <w:bCs/>
                <w:color w:val="FFFFFF"/>
                <w:sz w:val="22"/>
                <w:szCs w:val="22"/>
                <w:lang w:eastAsia="en-GB"/>
              </w:rPr>
            </w:pPr>
            <w:bookmarkStart w:id="784" w:name="_Hlk518468636"/>
          </w:p>
        </w:tc>
        <w:tc>
          <w:tcPr>
            <w:tcW w:w="772" w:type="pct"/>
            <w:shd w:val="clear" w:color="auto" w:fill="009999"/>
            <w:vAlign w:val="bottom"/>
          </w:tcPr>
          <w:p w14:paraId="18426CB6"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2015</w:t>
            </w:r>
          </w:p>
        </w:tc>
        <w:tc>
          <w:tcPr>
            <w:tcW w:w="695" w:type="pct"/>
            <w:shd w:val="clear" w:color="auto" w:fill="009999"/>
            <w:vAlign w:val="bottom"/>
          </w:tcPr>
          <w:p w14:paraId="475142EE"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2016</w:t>
            </w:r>
          </w:p>
        </w:tc>
        <w:tc>
          <w:tcPr>
            <w:tcW w:w="695" w:type="pct"/>
            <w:shd w:val="clear" w:color="auto" w:fill="009999"/>
            <w:vAlign w:val="bottom"/>
          </w:tcPr>
          <w:p w14:paraId="138182E0"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2017</w:t>
            </w:r>
          </w:p>
        </w:tc>
        <w:tc>
          <w:tcPr>
            <w:tcW w:w="1451" w:type="pct"/>
            <w:shd w:val="clear" w:color="auto" w:fill="009999"/>
            <w:vAlign w:val="bottom"/>
          </w:tcPr>
          <w:p w14:paraId="6A8679C1"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  change</w:t>
            </w:r>
          </w:p>
          <w:p w14:paraId="43F9CBA9" w14:textId="77777777" w:rsidR="00C4521E" w:rsidRPr="0067297E" w:rsidRDefault="00C4521E" w:rsidP="00FA273F">
            <w:pPr>
              <w:jc w:val="center"/>
              <w:rPr>
                <w:rFonts w:asciiTheme="minorHAnsi" w:hAnsiTheme="minorHAnsi" w:cs="Calibri"/>
                <w:sz w:val="22"/>
                <w:szCs w:val="22"/>
              </w:rPr>
            </w:pPr>
            <w:r w:rsidRPr="0067297E">
              <w:rPr>
                <w:rFonts w:asciiTheme="minorHAnsi" w:hAnsiTheme="minorHAnsi" w:cs="Calibri"/>
                <w:b/>
                <w:bCs/>
                <w:color w:val="FFFFFF"/>
                <w:sz w:val="22"/>
                <w:szCs w:val="22"/>
                <w:lang w:eastAsia="en-GB"/>
              </w:rPr>
              <w:t>2015-2017</w:t>
            </w:r>
          </w:p>
        </w:tc>
      </w:tr>
      <w:tr w:rsidR="00C4521E" w:rsidRPr="0067297E" w14:paraId="6EC57145" w14:textId="77777777" w:rsidTr="00C4521E">
        <w:tc>
          <w:tcPr>
            <w:tcW w:w="1387" w:type="pct"/>
            <w:noWrap/>
            <w:vAlign w:val="bottom"/>
          </w:tcPr>
          <w:p w14:paraId="6350B811" w14:textId="77777777" w:rsidR="00C4521E" w:rsidRPr="0067297E" w:rsidRDefault="00C4521E" w:rsidP="00FA273F">
            <w:pPr>
              <w:rPr>
                <w:rFonts w:asciiTheme="minorHAnsi" w:hAnsiTheme="minorHAnsi" w:cs="Calibri"/>
                <w:color w:val="000000"/>
                <w:sz w:val="22"/>
                <w:szCs w:val="22"/>
                <w:lang w:eastAsia="en-GB"/>
              </w:rPr>
            </w:pPr>
            <w:r w:rsidRPr="0067297E">
              <w:rPr>
                <w:rFonts w:asciiTheme="minorHAnsi" w:hAnsiTheme="minorHAnsi" w:cs="Calibri"/>
                <w:color w:val="000000"/>
                <w:sz w:val="22"/>
                <w:szCs w:val="22"/>
              </w:rPr>
              <w:t>Bellingham</w:t>
            </w:r>
          </w:p>
        </w:tc>
        <w:tc>
          <w:tcPr>
            <w:tcW w:w="772" w:type="pct"/>
            <w:noWrap/>
            <w:vAlign w:val="center"/>
          </w:tcPr>
          <w:p w14:paraId="2AB25F96" w14:textId="77777777" w:rsidR="00C4521E" w:rsidRPr="0067297E" w:rsidRDefault="00C4521E" w:rsidP="00FA273F">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10.0</w:t>
            </w:r>
          </w:p>
        </w:tc>
        <w:tc>
          <w:tcPr>
            <w:tcW w:w="695" w:type="pct"/>
            <w:noWrap/>
            <w:vAlign w:val="center"/>
          </w:tcPr>
          <w:p w14:paraId="1809B73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695" w:type="pct"/>
            <w:noWrap/>
            <w:vAlign w:val="center"/>
          </w:tcPr>
          <w:p w14:paraId="47C5810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451" w:type="pct"/>
            <w:noWrap/>
            <w:vAlign w:val="bottom"/>
          </w:tcPr>
          <w:p w14:paraId="7EF3EC84" w14:textId="77777777" w:rsidR="00C4521E" w:rsidRPr="0067297E" w:rsidRDefault="00C4521E" w:rsidP="00FA273F">
            <w:pPr>
              <w:jc w:val="center"/>
              <w:rPr>
                <w:rFonts w:asciiTheme="minorHAnsi" w:hAnsiTheme="minorHAnsi" w:cs="Calibri"/>
                <w:sz w:val="22"/>
                <w:szCs w:val="22"/>
                <w:lang w:eastAsia="en-GB"/>
              </w:rPr>
            </w:pPr>
            <w:r w:rsidRPr="0067297E">
              <w:rPr>
                <w:rFonts w:asciiTheme="minorHAnsi" w:hAnsiTheme="minorHAnsi" w:cs="Calibri"/>
                <w:color w:val="000000"/>
                <w:sz w:val="22"/>
                <w:szCs w:val="22"/>
              </w:rPr>
              <w:t>0.0</w:t>
            </w:r>
          </w:p>
        </w:tc>
      </w:tr>
      <w:tr w:rsidR="00C4521E" w:rsidRPr="0067297E" w14:paraId="046C374A" w14:textId="77777777" w:rsidTr="00C4521E">
        <w:tc>
          <w:tcPr>
            <w:tcW w:w="1387" w:type="pct"/>
            <w:noWrap/>
            <w:vAlign w:val="bottom"/>
          </w:tcPr>
          <w:p w14:paraId="279764DF"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Blackheath</w:t>
            </w:r>
          </w:p>
        </w:tc>
        <w:tc>
          <w:tcPr>
            <w:tcW w:w="772" w:type="pct"/>
            <w:noWrap/>
            <w:vAlign w:val="center"/>
          </w:tcPr>
          <w:p w14:paraId="76057BC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4B6A670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4C00049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1451" w:type="pct"/>
            <w:noWrap/>
            <w:vAlign w:val="bottom"/>
          </w:tcPr>
          <w:p w14:paraId="37BDB8E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11.1</w:t>
            </w:r>
          </w:p>
        </w:tc>
      </w:tr>
      <w:tr w:rsidR="00C4521E" w:rsidRPr="0067297E" w14:paraId="735CCF76" w14:textId="77777777" w:rsidTr="00C4521E">
        <w:tc>
          <w:tcPr>
            <w:tcW w:w="1387" w:type="pct"/>
            <w:noWrap/>
            <w:vAlign w:val="bottom"/>
          </w:tcPr>
          <w:p w14:paraId="4691C788"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Brockley</w:t>
            </w:r>
          </w:p>
        </w:tc>
        <w:tc>
          <w:tcPr>
            <w:tcW w:w="772" w:type="pct"/>
            <w:noWrap/>
            <w:vAlign w:val="center"/>
          </w:tcPr>
          <w:p w14:paraId="61A0885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669B6CEF"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73AF0C4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1451" w:type="pct"/>
            <w:noWrap/>
            <w:vAlign w:val="bottom"/>
          </w:tcPr>
          <w:p w14:paraId="1D76D88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11.1</w:t>
            </w:r>
          </w:p>
        </w:tc>
      </w:tr>
      <w:tr w:rsidR="00C4521E" w:rsidRPr="0067297E" w14:paraId="5C2F9296" w14:textId="77777777" w:rsidTr="00C4521E">
        <w:tc>
          <w:tcPr>
            <w:tcW w:w="1387" w:type="pct"/>
            <w:noWrap/>
            <w:vAlign w:val="bottom"/>
          </w:tcPr>
          <w:p w14:paraId="4A8FD2B5"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Catford South</w:t>
            </w:r>
          </w:p>
        </w:tc>
        <w:tc>
          <w:tcPr>
            <w:tcW w:w="772" w:type="pct"/>
            <w:noWrap/>
            <w:vAlign w:val="center"/>
          </w:tcPr>
          <w:p w14:paraId="0A9358E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51C54B2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695" w:type="pct"/>
            <w:noWrap/>
            <w:vAlign w:val="center"/>
          </w:tcPr>
          <w:p w14:paraId="18E1502B"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451" w:type="pct"/>
            <w:noWrap/>
            <w:vAlign w:val="bottom"/>
          </w:tcPr>
          <w:p w14:paraId="16CD472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-11.1</w:t>
            </w:r>
          </w:p>
        </w:tc>
      </w:tr>
      <w:tr w:rsidR="00C4521E" w:rsidRPr="0067297E" w14:paraId="436A09ED" w14:textId="77777777" w:rsidTr="00C4521E">
        <w:tc>
          <w:tcPr>
            <w:tcW w:w="1387" w:type="pct"/>
            <w:noWrap/>
            <w:vAlign w:val="bottom"/>
          </w:tcPr>
          <w:p w14:paraId="28176228"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Crofton Park</w:t>
            </w:r>
          </w:p>
        </w:tc>
        <w:tc>
          <w:tcPr>
            <w:tcW w:w="772" w:type="pct"/>
            <w:noWrap/>
            <w:vAlign w:val="center"/>
          </w:tcPr>
          <w:p w14:paraId="241D4DF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695" w:type="pct"/>
            <w:noWrap/>
            <w:vAlign w:val="center"/>
          </w:tcPr>
          <w:p w14:paraId="1344770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9.5</w:t>
            </w:r>
          </w:p>
        </w:tc>
        <w:tc>
          <w:tcPr>
            <w:tcW w:w="695" w:type="pct"/>
            <w:noWrap/>
            <w:vAlign w:val="center"/>
          </w:tcPr>
          <w:p w14:paraId="4497759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1451" w:type="pct"/>
            <w:noWrap/>
            <w:vAlign w:val="bottom"/>
          </w:tcPr>
          <w:p w14:paraId="01876CE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20.0</w:t>
            </w:r>
          </w:p>
        </w:tc>
      </w:tr>
      <w:tr w:rsidR="00C4521E" w:rsidRPr="0067297E" w14:paraId="7C551F45" w14:textId="77777777" w:rsidTr="00C4521E">
        <w:tc>
          <w:tcPr>
            <w:tcW w:w="1387" w:type="pct"/>
            <w:noWrap/>
            <w:vAlign w:val="bottom"/>
          </w:tcPr>
          <w:p w14:paraId="560B966C"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Downham</w:t>
            </w:r>
          </w:p>
        </w:tc>
        <w:tc>
          <w:tcPr>
            <w:tcW w:w="772" w:type="pct"/>
            <w:noWrap/>
            <w:vAlign w:val="center"/>
          </w:tcPr>
          <w:p w14:paraId="1596A3E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4F1B63C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695" w:type="pct"/>
            <w:noWrap/>
            <w:vAlign w:val="center"/>
          </w:tcPr>
          <w:p w14:paraId="68CFE1B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451" w:type="pct"/>
            <w:noWrap/>
            <w:vAlign w:val="bottom"/>
          </w:tcPr>
          <w:p w14:paraId="0A12550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-11.1</w:t>
            </w:r>
          </w:p>
        </w:tc>
      </w:tr>
      <w:tr w:rsidR="00C4521E" w:rsidRPr="0067297E" w14:paraId="5EE0F885" w14:textId="77777777" w:rsidTr="00C4521E">
        <w:tc>
          <w:tcPr>
            <w:tcW w:w="1387" w:type="pct"/>
            <w:noWrap/>
            <w:vAlign w:val="bottom"/>
          </w:tcPr>
          <w:p w14:paraId="689D9492"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Evelyn</w:t>
            </w:r>
          </w:p>
        </w:tc>
        <w:tc>
          <w:tcPr>
            <w:tcW w:w="772" w:type="pct"/>
            <w:noWrap/>
            <w:vAlign w:val="center"/>
          </w:tcPr>
          <w:p w14:paraId="0059A4A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0A0E0E3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5844C16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7.0</w:t>
            </w:r>
          </w:p>
        </w:tc>
        <w:tc>
          <w:tcPr>
            <w:tcW w:w="1451" w:type="pct"/>
            <w:noWrap/>
            <w:vAlign w:val="bottom"/>
          </w:tcPr>
          <w:p w14:paraId="60BD729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22.2</w:t>
            </w:r>
          </w:p>
        </w:tc>
      </w:tr>
      <w:tr w:rsidR="00C4521E" w:rsidRPr="0067297E" w14:paraId="2441D0E0" w14:textId="77777777" w:rsidTr="00C4521E">
        <w:tc>
          <w:tcPr>
            <w:tcW w:w="1387" w:type="pct"/>
            <w:noWrap/>
            <w:vAlign w:val="bottom"/>
          </w:tcPr>
          <w:p w14:paraId="77AAE9F8"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Forest Hill</w:t>
            </w:r>
          </w:p>
        </w:tc>
        <w:tc>
          <w:tcPr>
            <w:tcW w:w="772" w:type="pct"/>
            <w:noWrap/>
            <w:vAlign w:val="center"/>
          </w:tcPr>
          <w:p w14:paraId="72DEBF4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665C440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7CAAC6E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451" w:type="pct"/>
            <w:noWrap/>
            <w:vAlign w:val="bottom"/>
          </w:tcPr>
          <w:p w14:paraId="3E9CE67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-11.1</w:t>
            </w:r>
          </w:p>
        </w:tc>
      </w:tr>
      <w:tr w:rsidR="00C4521E" w:rsidRPr="0067297E" w14:paraId="5937BFF7" w14:textId="77777777" w:rsidTr="00C4521E">
        <w:tc>
          <w:tcPr>
            <w:tcW w:w="1387" w:type="pct"/>
            <w:noWrap/>
            <w:vAlign w:val="bottom"/>
          </w:tcPr>
          <w:p w14:paraId="0BF6E7F6"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Grove Park</w:t>
            </w:r>
          </w:p>
        </w:tc>
        <w:tc>
          <w:tcPr>
            <w:tcW w:w="772" w:type="pct"/>
            <w:noWrap/>
            <w:vAlign w:val="center"/>
          </w:tcPr>
          <w:p w14:paraId="1A2D7FE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5E90182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695" w:type="pct"/>
            <w:noWrap/>
            <w:vAlign w:val="center"/>
          </w:tcPr>
          <w:p w14:paraId="58FB9790"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451" w:type="pct"/>
            <w:noWrap/>
            <w:vAlign w:val="bottom"/>
          </w:tcPr>
          <w:p w14:paraId="46F251C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-11.1</w:t>
            </w:r>
          </w:p>
        </w:tc>
      </w:tr>
      <w:tr w:rsidR="00C4521E" w:rsidRPr="0067297E" w14:paraId="7AEDE4C2" w14:textId="77777777" w:rsidTr="00C4521E">
        <w:tc>
          <w:tcPr>
            <w:tcW w:w="1387" w:type="pct"/>
            <w:noWrap/>
            <w:vAlign w:val="bottom"/>
          </w:tcPr>
          <w:p w14:paraId="4ACC58EC"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Ladywell</w:t>
            </w:r>
          </w:p>
        </w:tc>
        <w:tc>
          <w:tcPr>
            <w:tcW w:w="772" w:type="pct"/>
            <w:noWrap/>
            <w:vAlign w:val="center"/>
          </w:tcPr>
          <w:p w14:paraId="1C7C28AF"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623177F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695" w:type="pct"/>
            <w:noWrap/>
            <w:vAlign w:val="center"/>
          </w:tcPr>
          <w:p w14:paraId="1ED4605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7.0</w:t>
            </w:r>
          </w:p>
        </w:tc>
        <w:tc>
          <w:tcPr>
            <w:tcW w:w="1451" w:type="pct"/>
            <w:noWrap/>
            <w:vAlign w:val="bottom"/>
          </w:tcPr>
          <w:p w14:paraId="54812ED1"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22.2</w:t>
            </w:r>
          </w:p>
        </w:tc>
      </w:tr>
      <w:tr w:rsidR="00C4521E" w:rsidRPr="0067297E" w14:paraId="145DDD16" w14:textId="77777777" w:rsidTr="00C4521E">
        <w:tc>
          <w:tcPr>
            <w:tcW w:w="1387" w:type="pct"/>
            <w:noWrap/>
            <w:vAlign w:val="bottom"/>
          </w:tcPr>
          <w:p w14:paraId="136DE8B4" w14:textId="77777777" w:rsidR="00C4521E" w:rsidRPr="0067297E" w:rsidRDefault="00C4521E" w:rsidP="00FA273F">
            <w:pPr>
              <w:rPr>
                <w:rFonts w:asciiTheme="minorHAnsi" w:hAnsiTheme="minorHAnsi" w:cs="Calibri"/>
                <w:color w:val="000000"/>
                <w:sz w:val="22"/>
                <w:szCs w:val="22"/>
              </w:rPr>
            </w:pPr>
            <w:r w:rsidRPr="0067297E">
              <w:rPr>
                <w:rFonts w:asciiTheme="minorHAnsi" w:hAnsiTheme="minorHAnsi" w:cs="Calibri"/>
                <w:color w:val="000000"/>
                <w:sz w:val="22"/>
                <w:szCs w:val="22"/>
              </w:rPr>
              <w:t>Lee Green</w:t>
            </w:r>
          </w:p>
        </w:tc>
        <w:tc>
          <w:tcPr>
            <w:tcW w:w="772" w:type="pct"/>
            <w:noWrap/>
            <w:vAlign w:val="center"/>
          </w:tcPr>
          <w:p w14:paraId="7A850F8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5DB20C4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695" w:type="pct"/>
            <w:noWrap/>
            <w:vAlign w:val="center"/>
          </w:tcPr>
          <w:p w14:paraId="128DF66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451" w:type="pct"/>
            <w:noWrap/>
            <w:vAlign w:val="bottom"/>
          </w:tcPr>
          <w:p w14:paraId="6B32BBD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0.0</w:t>
            </w:r>
          </w:p>
        </w:tc>
      </w:tr>
      <w:tr w:rsidR="00C4521E" w:rsidRPr="0067297E" w14:paraId="5238B278" w14:textId="77777777" w:rsidTr="00C4521E">
        <w:tc>
          <w:tcPr>
            <w:tcW w:w="1387" w:type="pct"/>
            <w:noWrap/>
            <w:vAlign w:val="bottom"/>
          </w:tcPr>
          <w:p w14:paraId="6FF759B3"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Lewisham Central</w:t>
            </w:r>
          </w:p>
        </w:tc>
        <w:tc>
          <w:tcPr>
            <w:tcW w:w="772" w:type="pct"/>
            <w:noWrap/>
            <w:vAlign w:val="center"/>
          </w:tcPr>
          <w:p w14:paraId="7F39178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695" w:type="pct"/>
            <w:noWrap/>
            <w:vAlign w:val="center"/>
          </w:tcPr>
          <w:p w14:paraId="4C482DF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081774A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1451" w:type="pct"/>
            <w:noWrap/>
            <w:vAlign w:val="bottom"/>
          </w:tcPr>
          <w:p w14:paraId="06E31F6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0.0</w:t>
            </w:r>
          </w:p>
        </w:tc>
      </w:tr>
      <w:tr w:rsidR="00C4521E" w:rsidRPr="0067297E" w14:paraId="4EEF2977" w14:textId="77777777" w:rsidTr="00C4521E">
        <w:tc>
          <w:tcPr>
            <w:tcW w:w="1387" w:type="pct"/>
            <w:noWrap/>
            <w:vAlign w:val="bottom"/>
          </w:tcPr>
          <w:p w14:paraId="64238FB1"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New Cross</w:t>
            </w:r>
          </w:p>
        </w:tc>
        <w:tc>
          <w:tcPr>
            <w:tcW w:w="772" w:type="pct"/>
            <w:noWrap/>
            <w:vAlign w:val="center"/>
          </w:tcPr>
          <w:p w14:paraId="434C5AEF"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695" w:type="pct"/>
            <w:noWrap/>
            <w:vAlign w:val="center"/>
          </w:tcPr>
          <w:p w14:paraId="6349504C"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0E9A6CC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1451" w:type="pct"/>
            <w:noWrap/>
            <w:vAlign w:val="bottom"/>
          </w:tcPr>
          <w:p w14:paraId="554B906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0.0</w:t>
            </w:r>
          </w:p>
        </w:tc>
      </w:tr>
      <w:tr w:rsidR="00C4521E" w:rsidRPr="0067297E" w14:paraId="7018B93D" w14:textId="77777777" w:rsidTr="00C4521E">
        <w:tc>
          <w:tcPr>
            <w:tcW w:w="1387" w:type="pct"/>
            <w:noWrap/>
            <w:vAlign w:val="bottom"/>
          </w:tcPr>
          <w:p w14:paraId="48168B9A"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Perry Vale</w:t>
            </w:r>
          </w:p>
        </w:tc>
        <w:tc>
          <w:tcPr>
            <w:tcW w:w="772" w:type="pct"/>
            <w:noWrap/>
            <w:vAlign w:val="center"/>
          </w:tcPr>
          <w:p w14:paraId="23F676D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41395B5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5072C90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451" w:type="pct"/>
            <w:noWrap/>
            <w:vAlign w:val="bottom"/>
          </w:tcPr>
          <w:p w14:paraId="5E975EB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-11.1</w:t>
            </w:r>
          </w:p>
        </w:tc>
      </w:tr>
      <w:tr w:rsidR="00C4521E" w:rsidRPr="0067297E" w14:paraId="547D9B4E" w14:textId="77777777" w:rsidTr="00C4521E">
        <w:tc>
          <w:tcPr>
            <w:tcW w:w="1387" w:type="pct"/>
            <w:noWrap/>
            <w:vAlign w:val="bottom"/>
          </w:tcPr>
          <w:p w14:paraId="7F874C8C"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Rushey Green</w:t>
            </w:r>
          </w:p>
        </w:tc>
        <w:tc>
          <w:tcPr>
            <w:tcW w:w="772" w:type="pct"/>
            <w:noWrap/>
            <w:vAlign w:val="center"/>
          </w:tcPr>
          <w:p w14:paraId="04908C9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386DA4A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695" w:type="pct"/>
            <w:noWrap/>
            <w:vAlign w:val="center"/>
          </w:tcPr>
          <w:p w14:paraId="6152EF9D"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451" w:type="pct"/>
            <w:noWrap/>
            <w:vAlign w:val="bottom"/>
          </w:tcPr>
          <w:p w14:paraId="45BF3C6A"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0.0</w:t>
            </w:r>
          </w:p>
        </w:tc>
      </w:tr>
      <w:tr w:rsidR="00C4521E" w:rsidRPr="0067297E" w14:paraId="5735306B" w14:textId="77777777" w:rsidTr="00C4521E">
        <w:tc>
          <w:tcPr>
            <w:tcW w:w="1387" w:type="pct"/>
            <w:noWrap/>
            <w:vAlign w:val="bottom"/>
          </w:tcPr>
          <w:p w14:paraId="71BBCF48"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Sydenham</w:t>
            </w:r>
          </w:p>
        </w:tc>
        <w:tc>
          <w:tcPr>
            <w:tcW w:w="772" w:type="pct"/>
            <w:noWrap/>
            <w:vAlign w:val="center"/>
          </w:tcPr>
          <w:p w14:paraId="4D0BF61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5EECB0C9"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695" w:type="pct"/>
            <w:noWrap/>
            <w:vAlign w:val="center"/>
          </w:tcPr>
          <w:p w14:paraId="39470675"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1451" w:type="pct"/>
            <w:noWrap/>
            <w:vAlign w:val="bottom"/>
          </w:tcPr>
          <w:p w14:paraId="74CF7E8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-11.1</w:t>
            </w:r>
          </w:p>
        </w:tc>
      </w:tr>
      <w:tr w:rsidR="00C4521E" w:rsidRPr="0067297E" w14:paraId="77EF68EC" w14:textId="77777777" w:rsidTr="00C4521E">
        <w:tc>
          <w:tcPr>
            <w:tcW w:w="1387" w:type="pct"/>
            <w:noWrap/>
            <w:vAlign w:val="bottom"/>
          </w:tcPr>
          <w:p w14:paraId="2E8F67FE" w14:textId="77777777" w:rsidR="00C4521E" w:rsidRPr="0067297E" w:rsidRDefault="00C4521E" w:rsidP="00FA273F">
            <w:pPr>
              <w:pStyle w:val="NoSpacing"/>
              <w:rPr>
                <w:rFonts w:asciiTheme="minorHAnsi" w:hAnsiTheme="minorHAnsi" w:cs="Calibri"/>
                <w:b/>
                <w:lang w:eastAsia="en-GB"/>
              </w:rPr>
            </w:pPr>
            <w:r w:rsidRPr="0067297E">
              <w:rPr>
                <w:rFonts w:asciiTheme="minorHAnsi" w:hAnsiTheme="minorHAnsi" w:cs="Calibri"/>
                <w:color w:val="000000"/>
              </w:rPr>
              <w:t>Telegraph Hill</w:t>
            </w:r>
          </w:p>
        </w:tc>
        <w:tc>
          <w:tcPr>
            <w:tcW w:w="772" w:type="pct"/>
            <w:noWrap/>
            <w:vAlign w:val="center"/>
          </w:tcPr>
          <w:p w14:paraId="4E953D0F"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4E5454B8"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695" w:type="pct"/>
            <w:noWrap/>
            <w:vAlign w:val="center"/>
          </w:tcPr>
          <w:p w14:paraId="144302BE"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451" w:type="pct"/>
            <w:noWrap/>
            <w:vAlign w:val="bottom"/>
          </w:tcPr>
          <w:p w14:paraId="69CCFC1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0.0</w:t>
            </w:r>
          </w:p>
        </w:tc>
      </w:tr>
      <w:tr w:rsidR="00C4521E" w:rsidRPr="0067297E" w14:paraId="7B26D6FF" w14:textId="77777777" w:rsidTr="00C4521E">
        <w:tc>
          <w:tcPr>
            <w:tcW w:w="1387" w:type="pct"/>
            <w:noWrap/>
            <w:vAlign w:val="bottom"/>
          </w:tcPr>
          <w:p w14:paraId="369927E3" w14:textId="77777777" w:rsidR="00C4521E" w:rsidRPr="0067297E" w:rsidRDefault="00C4521E" w:rsidP="00FA273F">
            <w:pPr>
              <w:pStyle w:val="NoSpacing"/>
              <w:rPr>
                <w:rFonts w:asciiTheme="minorHAnsi" w:hAnsiTheme="minorHAnsi" w:cs="Calibri"/>
                <w:color w:val="000000"/>
              </w:rPr>
            </w:pPr>
            <w:r w:rsidRPr="0067297E">
              <w:rPr>
                <w:rFonts w:asciiTheme="minorHAnsi" w:hAnsiTheme="minorHAnsi" w:cs="Calibri"/>
                <w:color w:val="000000"/>
              </w:rPr>
              <w:t>Whitefoot</w:t>
            </w:r>
          </w:p>
        </w:tc>
        <w:tc>
          <w:tcPr>
            <w:tcW w:w="772" w:type="pct"/>
            <w:noWrap/>
            <w:vAlign w:val="center"/>
          </w:tcPr>
          <w:p w14:paraId="2C9BF69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8.0</w:t>
            </w:r>
          </w:p>
        </w:tc>
        <w:tc>
          <w:tcPr>
            <w:tcW w:w="695" w:type="pct"/>
            <w:noWrap/>
            <w:vAlign w:val="center"/>
          </w:tcPr>
          <w:p w14:paraId="764F275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10.0</w:t>
            </w:r>
          </w:p>
        </w:tc>
        <w:tc>
          <w:tcPr>
            <w:tcW w:w="695" w:type="pct"/>
            <w:noWrap/>
            <w:vAlign w:val="center"/>
          </w:tcPr>
          <w:p w14:paraId="55A50873"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9.5</w:t>
            </w:r>
          </w:p>
        </w:tc>
        <w:tc>
          <w:tcPr>
            <w:tcW w:w="1451" w:type="pct"/>
            <w:noWrap/>
            <w:vAlign w:val="bottom"/>
          </w:tcPr>
          <w:p w14:paraId="3742078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-18.8</w:t>
            </w:r>
          </w:p>
        </w:tc>
      </w:tr>
      <w:tr w:rsidR="00C4521E" w:rsidRPr="0067297E" w14:paraId="1753BE97" w14:textId="77777777" w:rsidTr="00C4521E">
        <w:tc>
          <w:tcPr>
            <w:tcW w:w="1387" w:type="pct"/>
            <w:noWrap/>
            <w:vAlign w:val="bottom"/>
          </w:tcPr>
          <w:p w14:paraId="1C12ED80" w14:textId="77777777" w:rsidR="00C4521E" w:rsidRPr="0067297E" w:rsidRDefault="00C4521E" w:rsidP="00FA273F">
            <w:pPr>
              <w:pStyle w:val="NoSpacing"/>
              <w:rPr>
                <w:rFonts w:asciiTheme="minorHAnsi" w:hAnsiTheme="minorHAnsi" w:cs="Calibri"/>
                <w:color w:val="000000"/>
              </w:rPr>
            </w:pPr>
            <w:r w:rsidRPr="0067297E">
              <w:rPr>
                <w:rFonts w:asciiTheme="minorHAnsi" w:hAnsiTheme="minorHAnsi" w:cs="Calibri"/>
                <w:b/>
                <w:color w:val="000000"/>
              </w:rPr>
              <w:t>Lewisham</w:t>
            </w:r>
          </w:p>
        </w:tc>
        <w:tc>
          <w:tcPr>
            <w:tcW w:w="772" w:type="pct"/>
            <w:noWrap/>
            <w:vAlign w:val="center"/>
          </w:tcPr>
          <w:p w14:paraId="1D2DFA87"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07F0DB46"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695" w:type="pct"/>
            <w:noWrap/>
            <w:vAlign w:val="center"/>
          </w:tcPr>
          <w:p w14:paraId="3E18B1D2"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9.0</w:t>
            </w:r>
          </w:p>
        </w:tc>
        <w:tc>
          <w:tcPr>
            <w:tcW w:w="1451" w:type="pct"/>
            <w:noWrap/>
            <w:vAlign w:val="bottom"/>
          </w:tcPr>
          <w:p w14:paraId="546A9144" w14:textId="77777777" w:rsidR="00C4521E" w:rsidRPr="0067297E" w:rsidRDefault="00C4521E" w:rsidP="00FA273F">
            <w:pPr>
              <w:jc w:val="center"/>
              <w:rPr>
                <w:rFonts w:asciiTheme="minorHAnsi" w:hAnsiTheme="minorHAnsi" w:cs="Calibri"/>
                <w:color w:val="000000"/>
                <w:sz w:val="22"/>
                <w:szCs w:val="22"/>
              </w:rPr>
            </w:pPr>
            <w:r w:rsidRPr="0067297E">
              <w:rPr>
                <w:rFonts w:asciiTheme="minorHAnsi" w:hAnsiTheme="minorHAnsi" w:cs="Calibri"/>
                <w:color w:val="000000"/>
                <w:sz w:val="22"/>
                <w:szCs w:val="22"/>
              </w:rPr>
              <w:t>0.0</w:t>
            </w:r>
          </w:p>
        </w:tc>
      </w:tr>
    </w:tbl>
    <w:bookmarkEnd w:id="784"/>
    <w:p w14:paraId="02C35504" w14:textId="77777777" w:rsidR="00C4521E" w:rsidRPr="0067297E" w:rsidRDefault="00C4521E" w:rsidP="00543A76">
      <w:pPr>
        <w:rPr>
          <w:rFonts w:asciiTheme="minorHAnsi" w:hAnsiTheme="minorHAnsi"/>
          <w:sz w:val="20"/>
          <w:szCs w:val="20"/>
        </w:rPr>
      </w:pPr>
      <w:r w:rsidRPr="0067297E">
        <w:rPr>
          <w:rFonts w:asciiTheme="minorHAnsi" w:hAnsiTheme="minorHAnsi"/>
          <w:sz w:val="20"/>
          <w:szCs w:val="20"/>
        </w:rPr>
        <w:t>Source: Zoopla</w:t>
      </w:r>
    </w:p>
    <w:p w14:paraId="1AA129BC" w14:textId="77777777" w:rsidR="00C4521E" w:rsidRPr="0067297E" w:rsidRDefault="00C4521E" w:rsidP="00543A76">
      <w:pPr>
        <w:rPr>
          <w:rFonts w:asciiTheme="minorHAnsi" w:hAnsiTheme="minorHAnsi"/>
          <w:sz w:val="20"/>
          <w:szCs w:val="20"/>
        </w:rPr>
      </w:pPr>
    </w:p>
    <w:p w14:paraId="33CADC61" w14:textId="77777777" w:rsidR="00C4521E" w:rsidRPr="0067297E" w:rsidRDefault="00C4521E" w:rsidP="00543A76">
      <w:pPr>
        <w:rPr>
          <w:rFonts w:asciiTheme="minorHAnsi" w:hAnsiTheme="minorHAnsi"/>
          <w:sz w:val="20"/>
          <w:szCs w:val="20"/>
        </w:rPr>
      </w:pPr>
    </w:p>
    <w:p w14:paraId="08753FDF" w14:textId="77777777" w:rsidR="00C4521E" w:rsidRPr="0067297E" w:rsidRDefault="00C4521E" w:rsidP="00FA273F">
      <w:pPr>
        <w:pStyle w:val="Reporttext"/>
        <w:numPr>
          <w:ilvl w:val="0"/>
          <w:numId w:val="0"/>
        </w:numPr>
        <w:ind w:left="709" w:hanging="709"/>
        <w:rPr>
          <w:rFonts w:asciiTheme="minorHAnsi" w:hAnsiTheme="minorHAnsi"/>
        </w:rPr>
      </w:pPr>
      <w:bookmarkStart w:id="785" w:name="_Toc350071222"/>
      <w:r w:rsidRPr="0067297E">
        <w:rPr>
          <w:rFonts w:asciiTheme="minorHAnsi" w:hAnsiTheme="minorHAnsi"/>
        </w:rPr>
        <w:br w:type="page"/>
      </w:r>
    </w:p>
    <w:p w14:paraId="151FFE32" w14:textId="14784B19" w:rsidR="00C4521E" w:rsidRPr="0067297E" w:rsidRDefault="00C4521E" w:rsidP="002C70BC">
      <w:pPr>
        <w:pStyle w:val="Heading1"/>
        <w:numPr>
          <w:ilvl w:val="0"/>
          <w:numId w:val="34"/>
        </w:numPr>
        <w:rPr>
          <w:rFonts w:asciiTheme="minorHAnsi" w:hAnsiTheme="minorHAnsi"/>
        </w:rPr>
      </w:pPr>
      <w:bookmarkStart w:id="786" w:name="_Toc400488700"/>
      <w:bookmarkStart w:id="787" w:name="_Toc529887303"/>
      <w:bookmarkStart w:id="788" w:name="_Toc1385821"/>
      <w:bookmarkStart w:id="789" w:name="_Toc23151138"/>
      <w:r w:rsidRPr="0067297E">
        <w:rPr>
          <w:rFonts w:asciiTheme="minorHAnsi" w:hAnsiTheme="minorHAnsi"/>
        </w:rPr>
        <w:t>Rental yields</w:t>
      </w:r>
      <w:bookmarkEnd w:id="785"/>
      <w:bookmarkEnd w:id="786"/>
      <w:bookmarkEnd w:id="787"/>
      <w:bookmarkEnd w:id="788"/>
      <w:bookmarkEnd w:id="789"/>
    </w:p>
    <w:p w14:paraId="07676FC7" w14:textId="73B0E616"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Table 8.1 provides a guide to rental yields achievable in different wards. It assumes median rent levels and sales values</w:t>
      </w:r>
      <w:r w:rsidRPr="0067297E">
        <w:rPr>
          <w:rStyle w:val="FootnoteReference"/>
          <w:rFonts w:asciiTheme="minorHAnsi" w:hAnsiTheme="minorHAnsi"/>
        </w:rPr>
        <w:footnoteReference w:id="69"/>
      </w:r>
      <w:r w:rsidRPr="0067297E">
        <w:rPr>
          <w:rFonts w:asciiTheme="minorHAnsi" w:hAnsiTheme="minorHAnsi"/>
        </w:rPr>
        <w:t>. Yields are only based on average figures but appear relatively low. However, because they are based on median values different property types and sizes will achieve higher yields and where gross yields of 4% are recorded, experience tells us that far greater yields are achievable.</w:t>
      </w:r>
    </w:p>
    <w:p w14:paraId="2637CDD5" w14:textId="77777777" w:rsidR="00C4521E" w:rsidRPr="0067297E" w:rsidRDefault="00C4521E" w:rsidP="00543A76">
      <w:pPr>
        <w:pStyle w:val="Maintext"/>
        <w:numPr>
          <w:ilvl w:val="0"/>
          <w:numId w:val="0"/>
        </w:numPr>
        <w:tabs>
          <w:tab w:val="left" w:pos="720"/>
        </w:tabs>
        <w:rPr>
          <w:rFonts w:asciiTheme="minorHAnsi" w:hAnsiTheme="minorHAnsi"/>
          <w:sz w:val="22"/>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0A0" w:firstRow="1" w:lastRow="0" w:firstColumn="1" w:lastColumn="0" w:noHBand="0" w:noVBand="0"/>
      </w:tblPr>
      <w:tblGrid>
        <w:gridCol w:w="3824"/>
        <w:gridCol w:w="1417"/>
        <w:gridCol w:w="1418"/>
        <w:gridCol w:w="1473"/>
        <w:gridCol w:w="1050"/>
      </w:tblGrid>
      <w:tr w:rsidR="00C4521E" w:rsidRPr="0067297E" w14:paraId="4289CC83" w14:textId="77777777" w:rsidTr="00FD050C">
        <w:trPr>
          <w:tblHeader/>
        </w:trPr>
        <w:tc>
          <w:tcPr>
            <w:tcW w:w="5000" w:type="pct"/>
            <w:gridSpan w:val="5"/>
            <w:shd w:val="clear" w:color="auto" w:fill="009999"/>
            <w:noWrap/>
            <w:vAlign w:val="center"/>
          </w:tcPr>
          <w:p w14:paraId="45E0221F" w14:textId="77777777" w:rsidR="00C4521E" w:rsidRPr="0067297E" w:rsidRDefault="00C4521E" w:rsidP="001B5150">
            <w:pPr>
              <w:pStyle w:val="tableheading"/>
              <w:rPr>
                <w:rFonts w:asciiTheme="minorHAnsi" w:hAnsiTheme="minorHAnsi"/>
              </w:rPr>
            </w:pPr>
            <w:bookmarkStart w:id="790" w:name="_Toc400488722"/>
            <w:bookmarkStart w:id="791" w:name="_Toc23151220"/>
            <w:r w:rsidRPr="0067297E">
              <w:rPr>
                <w:rFonts w:asciiTheme="minorHAnsi" w:hAnsiTheme="minorHAnsi"/>
              </w:rPr>
              <w:t>Table 8.1</w:t>
            </w:r>
            <w:r w:rsidRPr="0067297E">
              <w:rPr>
                <w:rFonts w:asciiTheme="minorHAnsi" w:hAnsiTheme="minorHAnsi"/>
              </w:rPr>
              <w:tab/>
              <w:t>Rental yields</w:t>
            </w:r>
            <w:bookmarkEnd w:id="790"/>
            <w:bookmarkEnd w:id="791"/>
          </w:p>
        </w:tc>
      </w:tr>
      <w:tr w:rsidR="00C4521E" w:rsidRPr="0067297E" w14:paraId="689241D5" w14:textId="77777777" w:rsidTr="00C4521E">
        <w:tc>
          <w:tcPr>
            <w:tcW w:w="2083" w:type="pct"/>
            <w:shd w:val="clear" w:color="auto" w:fill="009999"/>
            <w:noWrap/>
            <w:vAlign w:val="bottom"/>
          </w:tcPr>
          <w:p w14:paraId="3B77A1D8" w14:textId="77777777" w:rsidR="00C4521E" w:rsidRPr="0067297E" w:rsidRDefault="00C4521E" w:rsidP="00FA273F">
            <w:pP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Ward</w:t>
            </w:r>
          </w:p>
        </w:tc>
        <w:tc>
          <w:tcPr>
            <w:tcW w:w="772" w:type="pct"/>
            <w:shd w:val="clear" w:color="auto" w:fill="009999"/>
            <w:vAlign w:val="bottom"/>
          </w:tcPr>
          <w:p w14:paraId="7788B6A7"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Median sales value 2017</w:t>
            </w:r>
          </w:p>
        </w:tc>
        <w:tc>
          <w:tcPr>
            <w:tcW w:w="772" w:type="pct"/>
            <w:shd w:val="clear" w:color="auto" w:fill="009999"/>
            <w:vAlign w:val="bottom"/>
          </w:tcPr>
          <w:p w14:paraId="52D4270B"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Median Rent  pcm 2017</w:t>
            </w:r>
          </w:p>
        </w:tc>
        <w:tc>
          <w:tcPr>
            <w:tcW w:w="802" w:type="pct"/>
            <w:shd w:val="clear" w:color="auto" w:fill="009999"/>
            <w:vAlign w:val="bottom"/>
          </w:tcPr>
          <w:p w14:paraId="2FEAACEF"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Annual rental income</w:t>
            </w:r>
          </w:p>
        </w:tc>
        <w:tc>
          <w:tcPr>
            <w:tcW w:w="572" w:type="pct"/>
            <w:shd w:val="clear" w:color="auto" w:fill="009999"/>
            <w:vAlign w:val="bottom"/>
          </w:tcPr>
          <w:p w14:paraId="58F921CB" w14:textId="77777777" w:rsidR="00C4521E" w:rsidRPr="0067297E" w:rsidRDefault="00C4521E" w:rsidP="00FA273F">
            <w:pPr>
              <w:jc w:val="center"/>
              <w:rPr>
                <w:rFonts w:asciiTheme="minorHAnsi" w:hAnsiTheme="minorHAnsi" w:cs="Calibri"/>
                <w:b/>
                <w:bCs/>
                <w:color w:val="FFFFFF"/>
                <w:sz w:val="22"/>
                <w:szCs w:val="22"/>
                <w:lang w:eastAsia="en-GB"/>
              </w:rPr>
            </w:pPr>
            <w:r w:rsidRPr="0067297E">
              <w:rPr>
                <w:rFonts w:asciiTheme="minorHAnsi" w:hAnsiTheme="minorHAnsi" w:cs="Calibri"/>
                <w:b/>
                <w:bCs/>
                <w:color w:val="FFFFFF"/>
                <w:sz w:val="22"/>
                <w:szCs w:val="22"/>
                <w:lang w:eastAsia="en-GB"/>
              </w:rPr>
              <w:t>Potential yields</w:t>
            </w:r>
          </w:p>
        </w:tc>
      </w:tr>
      <w:tr w:rsidR="00C4521E" w:rsidRPr="0067297E" w14:paraId="0956C739" w14:textId="77777777" w:rsidTr="00C4521E">
        <w:tc>
          <w:tcPr>
            <w:tcW w:w="2083" w:type="pct"/>
            <w:noWrap/>
            <w:vAlign w:val="bottom"/>
          </w:tcPr>
          <w:p w14:paraId="4DF48775"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Bellingham</w:t>
            </w:r>
          </w:p>
        </w:tc>
        <w:tc>
          <w:tcPr>
            <w:tcW w:w="772" w:type="pct"/>
            <w:noWrap/>
            <w:vAlign w:val="center"/>
          </w:tcPr>
          <w:p w14:paraId="38FD6FBE" w14:textId="77777777" w:rsidR="00C4521E" w:rsidRPr="0067297E" w:rsidRDefault="00C4521E" w:rsidP="0002512B">
            <w:pPr>
              <w:jc w:val="center"/>
              <w:rPr>
                <w:rFonts w:asciiTheme="minorHAnsi" w:hAnsiTheme="minorHAnsi" w:cs="Calibri"/>
                <w:color w:val="000000"/>
                <w:sz w:val="22"/>
                <w:szCs w:val="22"/>
                <w:lang w:eastAsia="en-GB"/>
              </w:rPr>
            </w:pPr>
            <w:r w:rsidRPr="0067297E">
              <w:rPr>
                <w:rFonts w:asciiTheme="minorHAnsi" w:hAnsiTheme="minorHAnsi" w:cs="Calibri"/>
                <w:color w:val="000000"/>
                <w:sz w:val="22"/>
                <w:szCs w:val="22"/>
              </w:rPr>
              <w:t>342000</w:t>
            </w:r>
          </w:p>
        </w:tc>
        <w:tc>
          <w:tcPr>
            <w:tcW w:w="772" w:type="pct"/>
            <w:vAlign w:val="center"/>
          </w:tcPr>
          <w:p w14:paraId="6DB49680" w14:textId="77777777" w:rsidR="00C4521E" w:rsidRPr="0067297E" w:rsidRDefault="00C4521E" w:rsidP="00A04CC5">
            <w:pPr>
              <w:pStyle w:val="NoSpacing"/>
              <w:jc w:val="center"/>
              <w:rPr>
                <w:rFonts w:asciiTheme="minorHAnsi" w:hAnsiTheme="minorHAnsi" w:cs="Calibri"/>
                <w:lang w:eastAsia="en-GB"/>
              </w:rPr>
            </w:pPr>
            <w:r w:rsidRPr="0067297E">
              <w:rPr>
                <w:rFonts w:asciiTheme="minorHAnsi" w:hAnsiTheme="minorHAnsi" w:cs="Calibri"/>
                <w:color w:val="000000"/>
              </w:rPr>
              <w:t>1101</w:t>
            </w:r>
          </w:p>
        </w:tc>
        <w:tc>
          <w:tcPr>
            <w:tcW w:w="802" w:type="pct"/>
            <w:vAlign w:val="bottom"/>
          </w:tcPr>
          <w:p w14:paraId="43FE9B78" w14:textId="77777777" w:rsidR="00C4521E" w:rsidRPr="0067297E" w:rsidRDefault="00C4521E" w:rsidP="007E2C96">
            <w:pPr>
              <w:pStyle w:val="NoSpacing"/>
              <w:jc w:val="center"/>
              <w:rPr>
                <w:rFonts w:asciiTheme="minorHAnsi" w:hAnsiTheme="minorHAnsi" w:cs="Calibri"/>
                <w:lang w:eastAsia="en-GB"/>
              </w:rPr>
            </w:pPr>
            <w:r w:rsidRPr="0067297E">
              <w:rPr>
                <w:rFonts w:asciiTheme="minorHAnsi" w:hAnsiTheme="minorHAnsi" w:cs="Calibri"/>
                <w:color w:val="000000"/>
              </w:rPr>
              <w:t>13212</w:t>
            </w:r>
          </w:p>
        </w:tc>
        <w:tc>
          <w:tcPr>
            <w:tcW w:w="572" w:type="pct"/>
            <w:noWrap/>
            <w:vAlign w:val="bottom"/>
          </w:tcPr>
          <w:p w14:paraId="199F24E3"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3.9</w:t>
            </w:r>
          </w:p>
        </w:tc>
      </w:tr>
      <w:tr w:rsidR="00C4521E" w:rsidRPr="0067297E" w14:paraId="3F60E2F1" w14:textId="77777777" w:rsidTr="00C4521E">
        <w:tc>
          <w:tcPr>
            <w:tcW w:w="2083" w:type="pct"/>
            <w:noWrap/>
            <w:vAlign w:val="bottom"/>
          </w:tcPr>
          <w:p w14:paraId="6125965E"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Blackheath</w:t>
            </w:r>
          </w:p>
        </w:tc>
        <w:tc>
          <w:tcPr>
            <w:tcW w:w="772" w:type="pct"/>
            <w:noWrap/>
            <w:vAlign w:val="center"/>
          </w:tcPr>
          <w:p w14:paraId="7A068AFB"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434460</w:t>
            </w:r>
          </w:p>
        </w:tc>
        <w:tc>
          <w:tcPr>
            <w:tcW w:w="772" w:type="pct"/>
            <w:vAlign w:val="center"/>
          </w:tcPr>
          <w:p w14:paraId="680EC288"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1352</w:t>
            </w:r>
          </w:p>
        </w:tc>
        <w:tc>
          <w:tcPr>
            <w:tcW w:w="802" w:type="pct"/>
            <w:vAlign w:val="bottom"/>
          </w:tcPr>
          <w:p w14:paraId="1949C548"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16224</w:t>
            </w:r>
          </w:p>
        </w:tc>
        <w:tc>
          <w:tcPr>
            <w:tcW w:w="572" w:type="pct"/>
            <w:noWrap/>
            <w:vAlign w:val="bottom"/>
          </w:tcPr>
          <w:p w14:paraId="3E2227E2"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3.7</w:t>
            </w:r>
          </w:p>
        </w:tc>
      </w:tr>
      <w:tr w:rsidR="00C4521E" w:rsidRPr="0067297E" w14:paraId="4652FE37" w14:textId="77777777" w:rsidTr="00C4521E">
        <w:tc>
          <w:tcPr>
            <w:tcW w:w="2083" w:type="pct"/>
            <w:noWrap/>
            <w:vAlign w:val="bottom"/>
          </w:tcPr>
          <w:p w14:paraId="02EF093A"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Brockley</w:t>
            </w:r>
          </w:p>
        </w:tc>
        <w:tc>
          <w:tcPr>
            <w:tcW w:w="772" w:type="pct"/>
            <w:noWrap/>
            <w:vAlign w:val="center"/>
          </w:tcPr>
          <w:p w14:paraId="2741A919"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420000</w:t>
            </w:r>
          </w:p>
        </w:tc>
        <w:tc>
          <w:tcPr>
            <w:tcW w:w="772" w:type="pct"/>
            <w:vAlign w:val="center"/>
          </w:tcPr>
          <w:p w14:paraId="1D00F250"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1300</w:t>
            </w:r>
          </w:p>
        </w:tc>
        <w:tc>
          <w:tcPr>
            <w:tcW w:w="802" w:type="pct"/>
            <w:vAlign w:val="bottom"/>
          </w:tcPr>
          <w:p w14:paraId="485CA374"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15600</w:t>
            </w:r>
          </w:p>
        </w:tc>
        <w:tc>
          <w:tcPr>
            <w:tcW w:w="572" w:type="pct"/>
            <w:noWrap/>
            <w:vAlign w:val="bottom"/>
          </w:tcPr>
          <w:p w14:paraId="24F7826B"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3.7</w:t>
            </w:r>
          </w:p>
        </w:tc>
      </w:tr>
      <w:tr w:rsidR="00C4521E" w:rsidRPr="0067297E" w14:paraId="5C6DD7A2" w14:textId="77777777" w:rsidTr="00C4521E">
        <w:tc>
          <w:tcPr>
            <w:tcW w:w="2083" w:type="pct"/>
            <w:noWrap/>
            <w:vAlign w:val="bottom"/>
          </w:tcPr>
          <w:p w14:paraId="78EF586C"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Catford South</w:t>
            </w:r>
          </w:p>
        </w:tc>
        <w:tc>
          <w:tcPr>
            <w:tcW w:w="772" w:type="pct"/>
            <w:noWrap/>
            <w:vAlign w:val="center"/>
          </w:tcPr>
          <w:p w14:paraId="11201C47"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470250</w:t>
            </w:r>
          </w:p>
        </w:tc>
        <w:tc>
          <w:tcPr>
            <w:tcW w:w="772" w:type="pct"/>
            <w:vAlign w:val="center"/>
          </w:tcPr>
          <w:p w14:paraId="17E978C8"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1001</w:t>
            </w:r>
          </w:p>
        </w:tc>
        <w:tc>
          <w:tcPr>
            <w:tcW w:w="802" w:type="pct"/>
            <w:vAlign w:val="bottom"/>
          </w:tcPr>
          <w:p w14:paraId="72CB51D7"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12012</w:t>
            </w:r>
          </w:p>
        </w:tc>
        <w:tc>
          <w:tcPr>
            <w:tcW w:w="572" w:type="pct"/>
            <w:noWrap/>
            <w:vAlign w:val="bottom"/>
          </w:tcPr>
          <w:p w14:paraId="7D0FA65A"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2.6</w:t>
            </w:r>
          </w:p>
        </w:tc>
      </w:tr>
      <w:tr w:rsidR="00C4521E" w:rsidRPr="0067297E" w14:paraId="1D1295E0" w14:textId="77777777" w:rsidTr="00C4521E">
        <w:tc>
          <w:tcPr>
            <w:tcW w:w="2083" w:type="pct"/>
            <w:noWrap/>
            <w:vAlign w:val="bottom"/>
          </w:tcPr>
          <w:p w14:paraId="7CF65550"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Crofton Park</w:t>
            </w:r>
          </w:p>
        </w:tc>
        <w:tc>
          <w:tcPr>
            <w:tcW w:w="772" w:type="pct"/>
            <w:noWrap/>
            <w:vAlign w:val="center"/>
          </w:tcPr>
          <w:p w14:paraId="1133DABF"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500000</w:t>
            </w:r>
          </w:p>
        </w:tc>
        <w:tc>
          <w:tcPr>
            <w:tcW w:w="772" w:type="pct"/>
            <w:vAlign w:val="center"/>
          </w:tcPr>
          <w:p w14:paraId="0D5B8E75"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1300</w:t>
            </w:r>
          </w:p>
        </w:tc>
        <w:tc>
          <w:tcPr>
            <w:tcW w:w="802" w:type="pct"/>
            <w:vAlign w:val="bottom"/>
          </w:tcPr>
          <w:p w14:paraId="0C74D368"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15600</w:t>
            </w:r>
          </w:p>
        </w:tc>
        <w:tc>
          <w:tcPr>
            <w:tcW w:w="572" w:type="pct"/>
            <w:noWrap/>
            <w:vAlign w:val="bottom"/>
          </w:tcPr>
          <w:p w14:paraId="78DEF965"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3.1</w:t>
            </w:r>
          </w:p>
        </w:tc>
      </w:tr>
      <w:tr w:rsidR="00C4521E" w:rsidRPr="0067297E" w14:paraId="0F6F60D7" w14:textId="77777777" w:rsidTr="00C4521E">
        <w:tc>
          <w:tcPr>
            <w:tcW w:w="2083" w:type="pct"/>
            <w:noWrap/>
            <w:vAlign w:val="bottom"/>
          </w:tcPr>
          <w:p w14:paraId="6D0C615A"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Downham</w:t>
            </w:r>
          </w:p>
        </w:tc>
        <w:tc>
          <w:tcPr>
            <w:tcW w:w="772" w:type="pct"/>
            <w:noWrap/>
            <w:vAlign w:val="center"/>
          </w:tcPr>
          <w:p w14:paraId="0EFFB5A1"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328500</w:t>
            </w:r>
          </w:p>
        </w:tc>
        <w:tc>
          <w:tcPr>
            <w:tcW w:w="772" w:type="pct"/>
            <w:vAlign w:val="center"/>
          </w:tcPr>
          <w:p w14:paraId="02E7A5C1"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1300</w:t>
            </w:r>
          </w:p>
        </w:tc>
        <w:tc>
          <w:tcPr>
            <w:tcW w:w="802" w:type="pct"/>
            <w:vAlign w:val="bottom"/>
          </w:tcPr>
          <w:p w14:paraId="0BCE7C70"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15600</w:t>
            </w:r>
          </w:p>
        </w:tc>
        <w:tc>
          <w:tcPr>
            <w:tcW w:w="572" w:type="pct"/>
            <w:noWrap/>
            <w:vAlign w:val="bottom"/>
          </w:tcPr>
          <w:p w14:paraId="0B888552"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4.7</w:t>
            </w:r>
          </w:p>
        </w:tc>
      </w:tr>
      <w:tr w:rsidR="00C4521E" w:rsidRPr="0067297E" w14:paraId="44289618" w14:textId="77777777" w:rsidTr="00C4521E">
        <w:tc>
          <w:tcPr>
            <w:tcW w:w="2083" w:type="pct"/>
            <w:noWrap/>
            <w:vAlign w:val="bottom"/>
          </w:tcPr>
          <w:p w14:paraId="3EE2DC52"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Evelyn</w:t>
            </w:r>
          </w:p>
        </w:tc>
        <w:tc>
          <w:tcPr>
            <w:tcW w:w="772" w:type="pct"/>
            <w:noWrap/>
            <w:vAlign w:val="center"/>
          </w:tcPr>
          <w:p w14:paraId="202AFBED"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520000</w:t>
            </w:r>
          </w:p>
        </w:tc>
        <w:tc>
          <w:tcPr>
            <w:tcW w:w="772" w:type="pct"/>
            <w:vAlign w:val="center"/>
          </w:tcPr>
          <w:p w14:paraId="2C0F672D"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1508</w:t>
            </w:r>
          </w:p>
        </w:tc>
        <w:tc>
          <w:tcPr>
            <w:tcW w:w="802" w:type="pct"/>
            <w:vAlign w:val="bottom"/>
          </w:tcPr>
          <w:p w14:paraId="65F5E60A"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18096</w:t>
            </w:r>
          </w:p>
        </w:tc>
        <w:tc>
          <w:tcPr>
            <w:tcW w:w="572" w:type="pct"/>
            <w:noWrap/>
            <w:vAlign w:val="bottom"/>
          </w:tcPr>
          <w:p w14:paraId="2586EC6B"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3.5</w:t>
            </w:r>
          </w:p>
        </w:tc>
      </w:tr>
      <w:tr w:rsidR="00C4521E" w:rsidRPr="0067297E" w14:paraId="06FA1643" w14:textId="77777777" w:rsidTr="00C4521E">
        <w:tc>
          <w:tcPr>
            <w:tcW w:w="2083" w:type="pct"/>
            <w:noWrap/>
            <w:vAlign w:val="bottom"/>
          </w:tcPr>
          <w:p w14:paraId="6412ECA9"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Forest Hill</w:t>
            </w:r>
          </w:p>
        </w:tc>
        <w:tc>
          <w:tcPr>
            <w:tcW w:w="772" w:type="pct"/>
            <w:noWrap/>
            <w:vAlign w:val="center"/>
          </w:tcPr>
          <w:p w14:paraId="450DF659"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425000</w:t>
            </w:r>
          </w:p>
        </w:tc>
        <w:tc>
          <w:tcPr>
            <w:tcW w:w="772" w:type="pct"/>
            <w:vAlign w:val="center"/>
          </w:tcPr>
          <w:p w14:paraId="43B07DD6"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1200</w:t>
            </w:r>
          </w:p>
        </w:tc>
        <w:tc>
          <w:tcPr>
            <w:tcW w:w="802" w:type="pct"/>
            <w:vAlign w:val="bottom"/>
          </w:tcPr>
          <w:p w14:paraId="64D85BD9"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14400</w:t>
            </w:r>
          </w:p>
        </w:tc>
        <w:tc>
          <w:tcPr>
            <w:tcW w:w="572" w:type="pct"/>
            <w:noWrap/>
            <w:vAlign w:val="bottom"/>
          </w:tcPr>
          <w:p w14:paraId="5B487D41"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3.4</w:t>
            </w:r>
          </w:p>
        </w:tc>
      </w:tr>
      <w:tr w:rsidR="00C4521E" w:rsidRPr="0067297E" w14:paraId="0F75C086" w14:textId="77777777" w:rsidTr="00C4521E">
        <w:tc>
          <w:tcPr>
            <w:tcW w:w="2083" w:type="pct"/>
            <w:noWrap/>
            <w:vAlign w:val="bottom"/>
          </w:tcPr>
          <w:p w14:paraId="4334AE2E"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Grove Park</w:t>
            </w:r>
          </w:p>
        </w:tc>
        <w:tc>
          <w:tcPr>
            <w:tcW w:w="772" w:type="pct"/>
            <w:noWrap/>
            <w:vAlign w:val="center"/>
          </w:tcPr>
          <w:p w14:paraId="570AEA22"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330000</w:t>
            </w:r>
          </w:p>
        </w:tc>
        <w:tc>
          <w:tcPr>
            <w:tcW w:w="772" w:type="pct"/>
            <w:vAlign w:val="center"/>
          </w:tcPr>
          <w:p w14:paraId="58C508DF"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1200</w:t>
            </w:r>
          </w:p>
        </w:tc>
        <w:tc>
          <w:tcPr>
            <w:tcW w:w="802" w:type="pct"/>
            <w:vAlign w:val="bottom"/>
          </w:tcPr>
          <w:p w14:paraId="19F229C8"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14400</w:t>
            </w:r>
          </w:p>
        </w:tc>
        <w:tc>
          <w:tcPr>
            <w:tcW w:w="572" w:type="pct"/>
            <w:noWrap/>
            <w:vAlign w:val="bottom"/>
          </w:tcPr>
          <w:p w14:paraId="7A399E2B"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4.4</w:t>
            </w:r>
          </w:p>
        </w:tc>
      </w:tr>
      <w:tr w:rsidR="00C4521E" w:rsidRPr="0067297E" w14:paraId="2C1A1BD1" w14:textId="77777777" w:rsidTr="00C4521E">
        <w:tc>
          <w:tcPr>
            <w:tcW w:w="2083" w:type="pct"/>
            <w:noWrap/>
            <w:vAlign w:val="bottom"/>
          </w:tcPr>
          <w:p w14:paraId="3367938C"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Ladywell</w:t>
            </w:r>
          </w:p>
        </w:tc>
        <w:tc>
          <w:tcPr>
            <w:tcW w:w="772" w:type="pct"/>
            <w:noWrap/>
            <w:vAlign w:val="center"/>
          </w:tcPr>
          <w:p w14:paraId="2794248C"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529400</w:t>
            </w:r>
          </w:p>
        </w:tc>
        <w:tc>
          <w:tcPr>
            <w:tcW w:w="772" w:type="pct"/>
            <w:vAlign w:val="center"/>
          </w:tcPr>
          <w:p w14:paraId="794ADBA8"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1248</w:t>
            </w:r>
          </w:p>
        </w:tc>
        <w:tc>
          <w:tcPr>
            <w:tcW w:w="802" w:type="pct"/>
            <w:vAlign w:val="bottom"/>
          </w:tcPr>
          <w:p w14:paraId="47D9C334"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14976</w:t>
            </w:r>
          </w:p>
        </w:tc>
        <w:tc>
          <w:tcPr>
            <w:tcW w:w="572" w:type="pct"/>
            <w:noWrap/>
            <w:vAlign w:val="bottom"/>
          </w:tcPr>
          <w:p w14:paraId="08226F72"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2.8</w:t>
            </w:r>
          </w:p>
        </w:tc>
      </w:tr>
      <w:tr w:rsidR="00C4521E" w:rsidRPr="0067297E" w14:paraId="029F4FA4" w14:textId="77777777" w:rsidTr="00C4521E">
        <w:tc>
          <w:tcPr>
            <w:tcW w:w="2083" w:type="pct"/>
            <w:noWrap/>
            <w:vAlign w:val="bottom"/>
          </w:tcPr>
          <w:p w14:paraId="00A9EBA2"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Lee Green</w:t>
            </w:r>
          </w:p>
        </w:tc>
        <w:tc>
          <w:tcPr>
            <w:tcW w:w="772" w:type="pct"/>
            <w:noWrap/>
            <w:vAlign w:val="center"/>
          </w:tcPr>
          <w:p w14:paraId="11C15D00"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520000</w:t>
            </w:r>
          </w:p>
        </w:tc>
        <w:tc>
          <w:tcPr>
            <w:tcW w:w="772" w:type="pct"/>
            <w:vAlign w:val="center"/>
          </w:tcPr>
          <w:p w14:paraId="421996DA"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1274</w:t>
            </w:r>
          </w:p>
        </w:tc>
        <w:tc>
          <w:tcPr>
            <w:tcW w:w="802" w:type="pct"/>
            <w:vAlign w:val="bottom"/>
          </w:tcPr>
          <w:p w14:paraId="6ABD03F8"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15288</w:t>
            </w:r>
          </w:p>
        </w:tc>
        <w:tc>
          <w:tcPr>
            <w:tcW w:w="572" w:type="pct"/>
            <w:noWrap/>
            <w:vAlign w:val="bottom"/>
          </w:tcPr>
          <w:p w14:paraId="704E3049"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2.9</w:t>
            </w:r>
          </w:p>
        </w:tc>
      </w:tr>
      <w:tr w:rsidR="00C4521E" w:rsidRPr="0067297E" w14:paraId="36861841" w14:textId="77777777" w:rsidTr="00C4521E">
        <w:tc>
          <w:tcPr>
            <w:tcW w:w="2083" w:type="pct"/>
            <w:noWrap/>
            <w:vAlign w:val="bottom"/>
          </w:tcPr>
          <w:p w14:paraId="34BF0871"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Lewisham Central</w:t>
            </w:r>
          </w:p>
        </w:tc>
        <w:tc>
          <w:tcPr>
            <w:tcW w:w="772" w:type="pct"/>
            <w:noWrap/>
            <w:vAlign w:val="center"/>
          </w:tcPr>
          <w:p w14:paraId="1FB3A3EF"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369000</w:t>
            </w:r>
          </w:p>
        </w:tc>
        <w:tc>
          <w:tcPr>
            <w:tcW w:w="772" w:type="pct"/>
            <w:vAlign w:val="center"/>
          </w:tcPr>
          <w:p w14:paraId="49A4B9E0"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1300</w:t>
            </w:r>
          </w:p>
        </w:tc>
        <w:tc>
          <w:tcPr>
            <w:tcW w:w="802" w:type="pct"/>
            <w:vAlign w:val="bottom"/>
          </w:tcPr>
          <w:p w14:paraId="4F7BAD1A"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15600</w:t>
            </w:r>
          </w:p>
        </w:tc>
        <w:tc>
          <w:tcPr>
            <w:tcW w:w="572" w:type="pct"/>
            <w:noWrap/>
            <w:vAlign w:val="bottom"/>
          </w:tcPr>
          <w:p w14:paraId="56AC9968"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4.2</w:t>
            </w:r>
          </w:p>
        </w:tc>
      </w:tr>
      <w:tr w:rsidR="00C4521E" w:rsidRPr="0067297E" w14:paraId="76AA3B68" w14:textId="77777777" w:rsidTr="00C4521E">
        <w:tc>
          <w:tcPr>
            <w:tcW w:w="2083" w:type="pct"/>
            <w:noWrap/>
            <w:vAlign w:val="bottom"/>
          </w:tcPr>
          <w:p w14:paraId="515D378D"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New Cross</w:t>
            </w:r>
          </w:p>
        </w:tc>
        <w:tc>
          <w:tcPr>
            <w:tcW w:w="772" w:type="pct"/>
            <w:noWrap/>
            <w:vAlign w:val="center"/>
          </w:tcPr>
          <w:p w14:paraId="0028F012"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348750</w:t>
            </w:r>
          </w:p>
        </w:tc>
        <w:tc>
          <w:tcPr>
            <w:tcW w:w="772" w:type="pct"/>
            <w:vAlign w:val="center"/>
          </w:tcPr>
          <w:p w14:paraId="3D8E9FD5"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1200</w:t>
            </w:r>
          </w:p>
        </w:tc>
        <w:tc>
          <w:tcPr>
            <w:tcW w:w="802" w:type="pct"/>
            <w:vAlign w:val="bottom"/>
          </w:tcPr>
          <w:p w14:paraId="23967830"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14400</w:t>
            </w:r>
          </w:p>
        </w:tc>
        <w:tc>
          <w:tcPr>
            <w:tcW w:w="572" w:type="pct"/>
            <w:noWrap/>
            <w:vAlign w:val="bottom"/>
          </w:tcPr>
          <w:p w14:paraId="5E8D8813"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4.1</w:t>
            </w:r>
          </w:p>
        </w:tc>
      </w:tr>
      <w:tr w:rsidR="00C4521E" w:rsidRPr="0067297E" w14:paraId="74C54715" w14:textId="77777777" w:rsidTr="00C4521E">
        <w:tc>
          <w:tcPr>
            <w:tcW w:w="2083" w:type="pct"/>
            <w:noWrap/>
            <w:vAlign w:val="bottom"/>
          </w:tcPr>
          <w:p w14:paraId="7BB6044E"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Perry Vale</w:t>
            </w:r>
          </w:p>
        </w:tc>
        <w:tc>
          <w:tcPr>
            <w:tcW w:w="772" w:type="pct"/>
            <w:noWrap/>
            <w:vAlign w:val="center"/>
          </w:tcPr>
          <w:p w14:paraId="10D02A89"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444328</w:t>
            </w:r>
          </w:p>
        </w:tc>
        <w:tc>
          <w:tcPr>
            <w:tcW w:w="772" w:type="pct"/>
            <w:vAlign w:val="center"/>
          </w:tcPr>
          <w:p w14:paraId="1CFC8989"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1300</w:t>
            </w:r>
          </w:p>
        </w:tc>
        <w:tc>
          <w:tcPr>
            <w:tcW w:w="802" w:type="pct"/>
            <w:vAlign w:val="bottom"/>
          </w:tcPr>
          <w:p w14:paraId="1F35165A"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15600</w:t>
            </w:r>
          </w:p>
        </w:tc>
        <w:tc>
          <w:tcPr>
            <w:tcW w:w="572" w:type="pct"/>
            <w:noWrap/>
            <w:vAlign w:val="bottom"/>
          </w:tcPr>
          <w:p w14:paraId="52A73C68"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3.5</w:t>
            </w:r>
          </w:p>
        </w:tc>
      </w:tr>
      <w:tr w:rsidR="00C4521E" w:rsidRPr="0067297E" w14:paraId="1729B9C7" w14:textId="77777777" w:rsidTr="00C4521E">
        <w:tc>
          <w:tcPr>
            <w:tcW w:w="2083" w:type="pct"/>
            <w:noWrap/>
            <w:vAlign w:val="bottom"/>
          </w:tcPr>
          <w:p w14:paraId="4F44E0A5"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Rushey Green</w:t>
            </w:r>
          </w:p>
        </w:tc>
        <w:tc>
          <w:tcPr>
            <w:tcW w:w="772" w:type="pct"/>
            <w:noWrap/>
            <w:vAlign w:val="center"/>
          </w:tcPr>
          <w:p w14:paraId="206B0910"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410000</w:t>
            </w:r>
          </w:p>
        </w:tc>
        <w:tc>
          <w:tcPr>
            <w:tcW w:w="772" w:type="pct"/>
            <w:vAlign w:val="center"/>
          </w:tcPr>
          <w:p w14:paraId="45476C99"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1001</w:t>
            </w:r>
          </w:p>
        </w:tc>
        <w:tc>
          <w:tcPr>
            <w:tcW w:w="802" w:type="pct"/>
            <w:vAlign w:val="bottom"/>
          </w:tcPr>
          <w:p w14:paraId="601E15DA"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12012</w:t>
            </w:r>
          </w:p>
        </w:tc>
        <w:tc>
          <w:tcPr>
            <w:tcW w:w="572" w:type="pct"/>
            <w:noWrap/>
            <w:vAlign w:val="bottom"/>
          </w:tcPr>
          <w:p w14:paraId="7D393817"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2.9</w:t>
            </w:r>
          </w:p>
        </w:tc>
      </w:tr>
      <w:tr w:rsidR="00C4521E" w:rsidRPr="0067297E" w14:paraId="2A052085" w14:textId="77777777" w:rsidTr="00C4521E">
        <w:tc>
          <w:tcPr>
            <w:tcW w:w="2083" w:type="pct"/>
            <w:noWrap/>
            <w:vAlign w:val="bottom"/>
          </w:tcPr>
          <w:p w14:paraId="36C8BEAA"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Sydenham</w:t>
            </w:r>
          </w:p>
        </w:tc>
        <w:tc>
          <w:tcPr>
            <w:tcW w:w="772" w:type="pct"/>
            <w:noWrap/>
            <w:vAlign w:val="center"/>
          </w:tcPr>
          <w:p w14:paraId="4E476283"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415000</w:t>
            </w:r>
          </w:p>
        </w:tc>
        <w:tc>
          <w:tcPr>
            <w:tcW w:w="772" w:type="pct"/>
            <w:vAlign w:val="center"/>
          </w:tcPr>
          <w:p w14:paraId="239B24DE"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1248</w:t>
            </w:r>
          </w:p>
        </w:tc>
        <w:tc>
          <w:tcPr>
            <w:tcW w:w="802" w:type="pct"/>
            <w:vAlign w:val="bottom"/>
          </w:tcPr>
          <w:p w14:paraId="11E213FF"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14976</w:t>
            </w:r>
          </w:p>
        </w:tc>
        <w:tc>
          <w:tcPr>
            <w:tcW w:w="572" w:type="pct"/>
            <w:noWrap/>
            <w:vAlign w:val="bottom"/>
          </w:tcPr>
          <w:p w14:paraId="2925CBB8"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3.6</w:t>
            </w:r>
          </w:p>
        </w:tc>
      </w:tr>
      <w:tr w:rsidR="00C4521E" w:rsidRPr="0067297E" w14:paraId="6AF2EF15" w14:textId="77777777" w:rsidTr="00C4521E">
        <w:tc>
          <w:tcPr>
            <w:tcW w:w="2083" w:type="pct"/>
            <w:noWrap/>
            <w:vAlign w:val="bottom"/>
          </w:tcPr>
          <w:p w14:paraId="21BD5D85"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Telegraph Hill</w:t>
            </w:r>
          </w:p>
        </w:tc>
        <w:tc>
          <w:tcPr>
            <w:tcW w:w="772" w:type="pct"/>
            <w:noWrap/>
            <w:vAlign w:val="center"/>
          </w:tcPr>
          <w:p w14:paraId="78B96A90"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457500</w:t>
            </w:r>
          </w:p>
        </w:tc>
        <w:tc>
          <w:tcPr>
            <w:tcW w:w="772" w:type="pct"/>
            <w:vAlign w:val="center"/>
          </w:tcPr>
          <w:p w14:paraId="7C3A1FCD"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1248</w:t>
            </w:r>
          </w:p>
        </w:tc>
        <w:tc>
          <w:tcPr>
            <w:tcW w:w="802" w:type="pct"/>
            <w:vAlign w:val="bottom"/>
          </w:tcPr>
          <w:p w14:paraId="5CE307A9"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14976</w:t>
            </w:r>
          </w:p>
        </w:tc>
        <w:tc>
          <w:tcPr>
            <w:tcW w:w="572" w:type="pct"/>
            <w:noWrap/>
            <w:vAlign w:val="bottom"/>
          </w:tcPr>
          <w:p w14:paraId="0CA9D8E8"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3.3</w:t>
            </w:r>
          </w:p>
        </w:tc>
      </w:tr>
      <w:tr w:rsidR="00C4521E" w:rsidRPr="0067297E" w14:paraId="5B0A2851" w14:textId="77777777" w:rsidTr="00C4521E">
        <w:tc>
          <w:tcPr>
            <w:tcW w:w="2083" w:type="pct"/>
            <w:noWrap/>
            <w:vAlign w:val="bottom"/>
          </w:tcPr>
          <w:p w14:paraId="04CAD851"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color w:val="000000"/>
                <w:sz w:val="22"/>
                <w:szCs w:val="22"/>
              </w:rPr>
              <w:t>Whitefoot</w:t>
            </w:r>
          </w:p>
        </w:tc>
        <w:tc>
          <w:tcPr>
            <w:tcW w:w="772" w:type="pct"/>
            <w:noWrap/>
            <w:vAlign w:val="center"/>
          </w:tcPr>
          <w:p w14:paraId="74D94D40"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330000</w:t>
            </w:r>
          </w:p>
        </w:tc>
        <w:tc>
          <w:tcPr>
            <w:tcW w:w="772" w:type="pct"/>
            <w:vAlign w:val="center"/>
          </w:tcPr>
          <w:p w14:paraId="4F75886F"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1049</w:t>
            </w:r>
          </w:p>
        </w:tc>
        <w:tc>
          <w:tcPr>
            <w:tcW w:w="802" w:type="pct"/>
            <w:vAlign w:val="bottom"/>
          </w:tcPr>
          <w:p w14:paraId="6AFFF1A6"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12588</w:t>
            </w:r>
          </w:p>
        </w:tc>
        <w:tc>
          <w:tcPr>
            <w:tcW w:w="572" w:type="pct"/>
            <w:noWrap/>
            <w:vAlign w:val="bottom"/>
          </w:tcPr>
          <w:p w14:paraId="77E659A6"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3.8</w:t>
            </w:r>
          </w:p>
        </w:tc>
      </w:tr>
      <w:tr w:rsidR="00C4521E" w:rsidRPr="0067297E" w14:paraId="5841536C" w14:textId="77777777" w:rsidTr="00C4521E">
        <w:tc>
          <w:tcPr>
            <w:tcW w:w="2083" w:type="pct"/>
            <w:noWrap/>
            <w:vAlign w:val="bottom"/>
          </w:tcPr>
          <w:p w14:paraId="2FB9A4BC" w14:textId="77777777" w:rsidR="00C4521E" w:rsidRPr="0067297E" w:rsidRDefault="00C4521E" w:rsidP="0002512B">
            <w:pPr>
              <w:rPr>
                <w:rFonts w:asciiTheme="minorHAnsi" w:hAnsiTheme="minorHAnsi" w:cs="Calibri"/>
                <w:color w:val="000000"/>
                <w:sz w:val="22"/>
                <w:szCs w:val="22"/>
              </w:rPr>
            </w:pPr>
            <w:r w:rsidRPr="0067297E">
              <w:rPr>
                <w:rFonts w:asciiTheme="minorHAnsi" w:hAnsiTheme="minorHAnsi" w:cs="Calibri"/>
                <w:b/>
                <w:color w:val="000000"/>
                <w:sz w:val="22"/>
                <w:szCs w:val="22"/>
              </w:rPr>
              <w:t>Lewisham</w:t>
            </w:r>
          </w:p>
        </w:tc>
        <w:tc>
          <w:tcPr>
            <w:tcW w:w="772" w:type="pct"/>
            <w:noWrap/>
            <w:vAlign w:val="center"/>
          </w:tcPr>
          <w:p w14:paraId="7FF19D0E" w14:textId="77777777" w:rsidR="00C4521E" w:rsidRPr="0067297E" w:rsidRDefault="00C4521E" w:rsidP="0002512B">
            <w:pPr>
              <w:jc w:val="center"/>
              <w:rPr>
                <w:rFonts w:asciiTheme="minorHAnsi" w:hAnsiTheme="minorHAnsi" w:cs="Calibri"/>
                <w:color w:val="000000"/>
                <w:sz w:val="22"/>
                <w:szCs w:val="22"/>
              </w:rPr>
            </w:pPr>
            <w:r w:rsidRPr="0067297E">
              <w:rPr>
                <w:rFonts w:asciiTheme="minorHAnsi" w:hAnsiTheme="minorHAnsi" w:cs="Calibri"/>
                <w:color w:val="000000"/>
                <w:sz w:val="22"/>
                <w:szCs w:val="22"/>
              </w:rPr>
              <w:t>412000</w:t>
            </w:r>
          </w:p>
        </w:tc>
        <w:tc>
          <w:tcPr>
            <w:tcW w:w="772" w:type="pct"/>
            <w:vAlign w:val="center"/>
          </w:tcPr>
          <w:p w14:paraId="73231D57" w14:textId="77777777" w:rsidR="00C4521E" w:rsidRPr="0067297E" w:rsidRDefault="00C4521E" w:rsidP="00A04CC5">
            <w:pPr>
              <w:pStyle w:val="NoSpacing"/>
              <w:jc w:val="center"/>
              <w:rPr>
                <w:rFonts w:asciiTheme="minorHAnsi" w:hAnsiTheme="minorHAnsi" w:cs="Calibri"/>
              </w:rPr>
            </w:pPr>
            <w:r w:rsidRPr="0067297E">
              <w:rPr>
                <w:rFonts w:asciiTheme="minorHAnsi" w:hAnsiTheme="minorHAnsi" w:cs="Calibri"/>
                <w:color w:val="000000"/>
              </w:rPr>
              <w:t>1248</w:t>
            </w:r>
          </w:p>
        </w:tc>
        <w:tc>
          <w:tcPr>
            <w:tcW w:w="802" w:type="pct"/>
            <w:vAlign w:val="bottom"/>
          </w:tcPr>
          <w:p w14:paraId="25298B2B" w14:textId="77777777" w:rsidR="00C4521E" w:rsidRPr="0067297E" w:rsidRDefault="00C4521E" w:rsidP="007E2C96">
            <w:pPr>
              <w:pStyle w:val="NoSpacing"/>
              <w:jc w:val="center"/>
              <w:rPr>
                <w:rFonts w:asciiTheme="minorHAnsi" w:hAnsiTheme="minorHAnsi" w:cs="Calibri"/>
              </w:rPr>
            </w:pPr>
            <w:r w:rsidRPr="0067297E">
              <w:rPr>
                <w:rFonts w:asciiTheme="minorHAnsi" w:hAnsiTheme="minorHAnsi" w:cs="Calibri"/>
                <w:color w:val="000000"/>
              </w:rPr>
              <w:t>14976</w:t>
            </w:r>
          </w:p>
        </w:tc>
        <w:tc>
          <w:tcPr>
            <w:tcW w:w="572" w:type="pct"/>
            <w:noWrap/>
            <w:vAlign w:val="bottom"/>
          </w:tcPr>
          <w:p w14:paraId="45CCAE23" w14:textId="77777777" w:rsidR="00C4521E" w:rsidRPr="0067297E" w:rsidRDefault="00C4521E" w:rsidP="00516B53">
            <w:pPr>
              <w:pStyle w:val="NoSpacing"/>
              <w:jc w:val="center"/>
              <w:rPr>
                <w:rFonts w:asciiTheme="minorHAnsi" w:hAnsiTheme="minorHAnsi" w:cs="Calibri"/>
              </w:rPr>
            </w:pPr>
            <w:r w:rsidRPr="0067297E">
              <w:rPr>
                <w:rFonts w:asciiTheme="minorHAnsi" w:hAnsiTheme="minorHAnsi" w:cs="Calibri"/>
                <w:color w:val="000000"/>
              </w:rPr>
              <w:t>3.6</w:t>
            </w:r>
          </w:p>
        </w:tc>
      </w:tr>
    </w:tbl>
    <w:p w14:paraId="5D2A46DA" w14:textId="77777777" w:rsidR="00C4521E" w:rsidRPr="0067297E" w:rsidRDefault="00C4521E" w:rsidP="00543A76">
      <w:pPr>
        <w:rPr>
          <w:rFonts w:asciiTheme="minorHAnsi" w:hAnsiTheme="minorHAnsi"/>
          <w:sz w:val="20"/>
          <w:szCs w:val="20"/>
        </w:rPr>
      </w:pPr>
      <w:r w:rsidRPr="0067297E">
        <w:rPr>
          <w:rFonts w:asciiTheme="minorHAnsi" w:hAnsiTheme="minorHAnsi"/>
          <w:sz w:val="20"/>
          <w:szCs w:val="20"/>
        </w:rPr>
        <w:t>Source: Zoopla Average rent levels, Sales values CLG House Price Statistics; Land Registry Price Paid Dataset</w:t>
      </w:r>
    </w:p>
    <w:p w14:paraId="39ECF343" w14:textId="77777777" w:rsidR="00C4521E" w:rsidRPr="0067297E" w:rsidRDefault="00C4521E" w:rsidP="00543A76">
      <w:pPr>
        <w:rPr>
          <w:rFonts w:asciiTheme="minorHAnsi" w:hAnsiTheme="minorHAnsi"/>
        </w:rPr>
      </w:pPr>
    </w:p>
    <w:p w14:paraId="523D118D" w14:textId="77777777" w:rsidR="00C4521E" w:rsidRPr="0067297E" w:rsidRDefault="00C4521E">
      <w:pPr>
        <w:rPr>
          <w:rFonts w:asciiTheme="minorHAnsi" w:hAnsiTheme="minorHAnsi"/>
        </w:rPr>
      </w:pPr>
      <w:r w:rsidRPr="0067297E">
        <w:rPr>
          <w:rFonts w:asciiTheme="minorHAnsi" w:hAnsiTheme="minorHAnsi"/>
          <w:b/>
        </w:rPr>
        <w:br w:type="page"/>
      </w:r>
    </w:p>
    <w:p w14:paraId="0BD7419E" w14:textId="5185F718" w:rsidR="00C4521E" w:rsidRPr="0067297E" w:rsidRDefault="006C4DDE" w:rsidP="002C70BC">
      <w:pPr>
        <w:pStyle w:val="Heading1"/>
        <w:numPr>
          <w:ilvl w:val="0"/>
          <w:numId w:val="34"/>
        </w:numPr>
        <w:rPr>
          <w:rFonts w:asciiTheme="minorHAnsi" w:hAnsiTheme="minorHAnsi"/>
        </w:rPr>
      </w:pPr>
      <w:bookmarkStart w:id="792" w:name="_Toc1385822"/>
      <w:bookmarkStart w:id="793" w:name="_Toc23151139"/>
      <w:r w:rsidRPr="0067297E">
        <w:rPr>
          <w:rFonts w:asciiTheme="minorHAnsi" w:hAnsiTheme="minorHAnsi"/>
          <w:lang w:val="en-GB"/>
        </w:rPr>
        <w:t xml:space="preserve">Concluding </w:t>
      </w:r>
      <w:r w:rsidR="003118DF" w:rsidRPr="0067297E">
        <w:rPr>
          <w:rFonts w:asciiTheme="minorHAnsi" w:hAnsiTheme="minorHAnsi"/>
          <w:lang w:val="en-GB"/>
        </w:rPr>
        <w:t>c</w:t>
      </w:r>
      <w:r w:rsidRPr="0067297E">
        <w:rPr>
          <w:rFonts w:asciiTheme="minorHAnsi" w:hAnsiTheme="minorHAnsi"/>
          <w:lang w:val="en-GB"/>
        </w:rPr>
        <w:t>omments</w:t>
      </w:r>
      <w:bookmarkEnd w:id="792"/>
      <w:bookmarkEnd w:id="793"/>
    </w:p>
    <w:p w14:paraId="5BFCF362"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Lewisham has the second smallest private rented sector market of all the inner London boroughs at 25.3%. However, this masks geographical diversity and there are locations where over a third of the stock is focused on the private rented sector. The stock is very much focused around urban centres and is providing an offer as an extension of the social rented sector and supporting those on lower income as well as providing an offer to economically active, higher income households. Whilst most locations are buoyant and experiencing rent increases where rents are already high, Catford stands out as a lower value stock offer.</w:t>
      </w:r>
    </w:p>
    <w:p w14:paraId="1211DE28" w14:textId="61363E9A"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Between 8-10,000 units are being advertised through Zoopla each year; this is a significant market; </w:t>
      </w:r>
      <w:r w:rsidR="00AE3193" w:rsidRPr="0067297E">
        <w:rPr>
          <w:rFonts w:asciiTheme="minorHAnsi" w:hAnsiTheme="minorHAnsi"/>
        </w:rPr>
        <w:t>buil</w:t>
      </w:r>
      <w:r w:rsidR="00AE3193" w:rsidRPr="0067297E">
        <w:rPr>
          <w:rFonts w:asciiTheme="minorHAnsi" w:hAnsiTheme="minorHAnsi"/>
          <w:lang w:val="en-GB"/>
        </w:rPr>
        <w:t>d</w:t>
      </w:r>
      <w:r w:rsidR="00AE3193" w:rsidRPr="0067297E">
        <w:rPr>
          <w:rFonts w:asciiTheme="minorHAnsi" w:hAnsiTheme="minorHAnsi"/>
        </w:rPr>
        <w:t xml:space="preserve"> </w:t>
      </w:r>
      <w:r w:rsidRPr="0067297E">
        <w:rPr>
          <w:rFonts w:asciiTheme="minorHAnsi" w:hAnsiTheme="minorHAnsi"/>
        </w:rPr>
        <w:t>is completely skewed toward apartments. Apartments/flats make up 7 in 10 of the properties that come onto the market; houses, 3 in every 10. This will be a challenging market for growing families living in the private rented sector to access appropriate housing.</w:t>
      </w:r>
    </w:p>
    <w:p w14:paraId="5284590E"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The market is dominated by 1 and 2 bed properties with consistently low percentage of properties in smaller or larger categories.</w:t>
      </w:r>
    </w:p>
    <w:p w14:paraId="3A595497"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Whilst, the one bed properties will accommodate those who are affected by welfare reforms and seeking smaller properties, the lack of larger homes will have an impact on families and also on the ability for households to share property and share the rent; a growing trend to tackle affordability. Only 18.2% of properties have been 3+-beds in the past 3 years, the remainder being smaller properties. </w:t>
      </w:r>
    </w:p>
    <w:p w14:paraId="100EEAEB" w14:textId="63F7CD8C"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The median rent for property let in Lewisham in 2017 was £1,248pcm. Since 2015 this has been relatively static and over the 3 years has shown no overall increase. The largest increases are in Downham, followed by Grove Park, and Lee Green. Two of those location</w:t>
      </w:r>
      <w:r w:rsidR="001E5724" w:rsidRPr="0067297E">
        <w:rPr>
          <w:rFonts w:asciiTheme="minorHAnsi" w:hAnsiTheme="minorHAnsi"/>
          <w:lang w:val="en-GB"/>
        </w:rPr>
        <w:t>s</w:t>
      </w:r>
      <w:r w:rsidRPr="0067297E">
        <w:rPr>
          <w:rFonts w:asciiTheme="minorHAnsi" w:hAnsiTheme="minorHAnsi"/>
        </w:rPr>
        <w:t>, Downham and Grove Park</w:t>
      </w:r>
      <w:r w:rsidR="001E5724" w:rsidRPr="0067297E">
        <w:rPr>
          <w:rFonts w:asciiTheme="minorHAnsi" w:hAnsiTheme="minorHAnsi"/>
          <w:lang w:val="en-GB"/>
        </w:rPr>
        <w:t>,</w:t>
      </w:r>
      <w:r w:rsidRPr="0067297E">
        <w:rPr>
          <w:rFonts w:asciiTheme="minorHAnsi" w:hAnsiTheme="minorHAnsi"/>
        </w:rPr>
        <w:t xml:space="preserve"> have markets where houses are offered onto the market in larger proportions and could be pressured through</w:t>
      </w:r>
      <w:r w:rsidR="00FA273F" w:rsidRPr="0067297E">
        <w:rPr>
          <w:rFonts w:asciiTheme="minorHAnsi" w:hAnsiTheme="minorHAnsi"/>
          <w:lang w:val="en-US"/>
        </w:rPr>
        <w:t xml:space="preserve"> strong demand from </w:t>
      </w:r>
      <w:r w:rsidRPr="0067297E">
        <w:rPr>
          <w:rFonts w:asciiTheme="minorHAnsi" w:hAnsiTheme="minorHAnsi"/>
        </w:rPr>
        <w:t xml:space="preserve"> family markets.</w:t>
      </w:r>
    </w:p>
    <w:p w14:paraId="2756E67B" w14:textId="34956DD8"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The median rent for apartments let in Lewisham in 2017 was </w:t>
      </w:r>
      <w:r w:rsidRPr="0067297E">
        <w:rPr>
          <w:rFonts w:asciiTheme="minorHAnsi" w:hAnsiTheme="minorHAnsi"/>
          <w:shd w:val="clear" w:color="auto" w:fill="FFFFFF"/>
        </w:rPr>
        <w:t>£1,200pcm</w:t>
      </w:r>
      <w:r w:rsidRPr="0067297E">
        <w:rPr>
          <w:rFonts w:asciiTheme="minorHAnsi" w:hAnsiTheme="minorHAnsi"/>
        </w:rPr>
        <w:t>, slightly lower than the borough median. Over the past 3 years, apartment median rent levels have remained static</w:t>
      </w:r>
      <w:r w:rsidR="001E5724" w:rsidRPr="0067297E">
        <w:rPr>
          <w:rFonts w:asciiTheme="minorHAnsi" w:hAnsiTheme="minorHAnsi"/>
          <w:lang w:val="en-GB"/>
        </w:rPr>
        <w:t>.</w:t>
      </w:r>
    </w:p>
    <w:p w14:paraId="4BD4BD7F"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 xml:space="preserve">The mean rent for houses let in Lewisham in 2017 was </w:t>
      </w:r>
      <w:r w:rsidRPr="0067297E">
        <w:rPr>
          <w:rFonts w:asciiTheme="minorHAnsi" w:hAnsiTheme="minorHAnsi"/>
          <w:shd w:val="clear" w:color="auto" w:fill="FFFFFF"/>
        </w:rPr>
        <w:t>£1,452pcm</w:t>
      </w:r>
      <w:r w:rsidRPr="0067297E">
        <w:rPr>
          <w:rFonts w:asciiTheme="minorHAnsi" w:hAnsiTheme="minorHAnsi"/>
        </w:rPr>
        <w:t xml:space="preserve"> and has reduced by 3.1% over the past 3 years.</w:t>
      </w:r>
    </w:p>
    <w:p w14:paraId="3B768F8C"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The market is not affordable. There were no areas where households on lower quartile or median quartile gross incomes could afford median rent levels unless that used over 30% of their household income.</w:t>
      </w:r>
    </w:p>
    <w:p w14:paraId="4E6DC29A"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Since 2015, 15% of all properties coming to the market and recorded through Zoopla have been within the Local Housing Allowance caps and in 2017 this figure was 15.8%.</w:t>
      </w:r>
    </w:p>
    <w:p w14:paraId="63CF787E" w14:textId="7777777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This confirms the problems of affordability in the market and the lack of choice for households reliant on local housing allowance. This has reduced since 2014 but stabilised over the past few years, given the relatively static movement in rents.</w:t>
      </w:r>
    </w:p>
    <w:p w14:paraId="294E5EDA" w14:textId="72FC48BA"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It is very likely that</w:t>
      </w:r>
      <w:r w:rsidR="00272814" w:rsidRPr="0067297E">
        <w:rPr>
          <w:rFonts w:asciiTheme="minorHAnsi" w:hAnsiTheme="minorHAnsi"/>
          <w:lang w:val="en-GB"/>
        </w:rPr>
        <w:t xml:space="preserve"> further</w:t>
      </w:r>
      <w:r w:rsidRPr="0067297E">
        <w:rPr>
          <w:rFonts w:asciiTheme="minorHAnsi" w:hAnsiTheme="minorHAnsi"/>
        </w:rPr>
        <w:t xml:space="preserve"> properties are available within Local Housing </w:t>
      </w:r>
      <w:r w:rsidR="00272814" w:rsidRPr="0067297E">
        <w:rPr>
          <w:rFonts w:asciiTheme="minorHAnsi" w:hAnsiTheme="minorHAnsi"/>
          <w:lang w:val="en-GB"/>
        </w:rPr>
        <w:t xml:space="preserve">Allowance </w:t>
      </w:r>
      <w:r w:rsidRPr="0067297E">
        <w:rPr>
          <w:rFonts w:asciiTheme="minorHAnsi" w:hAnsiTheme="minorHAnsi"/>
        </w:rPr>
        <w:t>Levels but that these are advertised locally through ‘word of mouth’ or directly through windows in properties etc. The difficulty with this is that those households that need to access properties with rents that are within Local Housing Allowance levels may struggle to find them as they are not widely advertised.</w:t>
      </w:r>
    </w:p>
    <w:p w14:paraId="3E99AC4F" w14:textId="63A3C637" w:rsidR="00C4521E" w:rsidRPr="0067297E" w:rsidRDefault="00C4521E" w:rsidP="002C70BC">
      <w:pPr>
        <w:pStyle w:val="Reporttext"/>
        <w:numPr>
          <w:ilvl w:val="1"/>
          <w:numId w:val="34"/>
        </w:numPr>
        <w:tabs>
          <w:tab w:val="clear" w:pos="709"/>
        </w:tabs>
        <w:rPr>
          <w:rFonts w:asciiTheme="minorHAnsi" w:hAnsiTheme="minorHAnsi"/>
        </w:rPr>
      </w:pPr>
      <w:r w:rsidRPr="0067297E">
        <w:rPr>
          <w:rFonts w:asciiTheme="minorHAnsi" w:hAnsiTheme="minorHAnsi"/>
        </w:rPr>
        <w:t>The time to let a property can indicate how popular a property type is, how popular an area is or whether a property is in good condition. It can also indicate an undersupply/oversupply of a particular property type. This timescale includes notice periods, which we assume to be four weeks or one calendar month. These timescales are higher than usually seen for urban areas where it is common place to see figures as low as 4-5 weeks</w:t>
      </w:r>
      <w:r w:rsidR="001E5724" w:rsidRPr="0067297E">
        <w:rPr>
          <w:rFonts w:asciiTheme="minorHAnsi" w:hAnsiTheme="minorHAnsi"/>
          <w:lang w:val="en-GB"/>
        </w:rPr>
        <w:t>.</w:t>
      </w:r>
    </w:p>
    <w:p w14:paraId="287427BF" w14:textId="77777777" w:rsidR="00C4521E" w:rsidRPr="0067297E" w:rsidRDefault="00C4521E" w:rsidP="00FA273F">
      <w:pPr>
        <w:pStyle w:val="Reporttext"/>
        <w:numPr>
          <w:ilvl w:val="0"/>
          <w:numId w:val="0"/>
        </w:numPr>
        <w:ind w:left="709"/>
        <w:rPr>
          <w:rFonts w:asciiTheme="minorHAnsi" w:hAnsiTheme="minorHAnsi"/>
        </w:rPr>
      </w:pPr>
    </w:p>
    <w:p w14:paraId="0B258416" w14:textId="77777777" w:rsidR="00C4521E" w:rsidRPr="0067297E" w:rsidRDefault="00C4521E" w:rsidP="00FA273F">
      <w:pPr>
        <w:pStyle w:val="Reporttext"/>
        <w:numPr>
          <w:ilvl w:val="0"/>
          <w:numId w:val="0"/>
        </w:numPr>
        <w:ind w:left="709" w:hanging="709"/>
        <w:rPr>
          <w:rFonts w:asciiTheme="minorHAnsi" w:hAnsiTheme="minorHAnsi"/>
        </w:rPr>
      </w:pPr>
    </w:p>
    <w:p w14:paraId="3948EE39" w14:textId="77777777" w:rsidR="00C4521E" w:rsidRPr="0067297E" w:rsidRDefault="00C4521E" w:rsidP="00543A76">
      <w:pPr>
        <w:rPr>
          <w:rFonts w:asciiTheme="minorHAnsi" w:hAnsiTheme="minorHAnsi"/>
        </w:rPr>
      </w:pPr>
    </w:p>
    <w:p w14:paraId="78668CEF" w14:textId="77777777" w:rsidR="00255B16" w:rsidRPr="0067297E" w:rsidRDefault="00255B16" w:rsidP="00FA273F">
      <w:pPr>
        <w:pStyle w:val="Heading1"/>
        <w:numPr>
          <w:ilvl w:val="0"/>
          <w:numId w:val="0"/>
        </w:numPr>
        <w:ind w:left="709" w:hanging="709"/>
        <w:rPr>
          <w:rFonts w:asciiTheme="minorHAnsi" w:hAnsiTheme="minorHAnsi" w:cs="Calibri"/>
          <w:lang w:val="en-GB"/>
        </w:rPr>
        <w:sectPr w:rsidR="00255B16" w:rsidRPr="0067297E" w:rsidSect="00164789">
          <w:headerReference w:type="default" r:id="rId122"/>
          <w:footerReference w:type="default" r:id="rId123"/>
          <w:pgSz w:w="11907" w:h="16840" w:code="9"/>
          <w:pgMar w:top="1440" w:right="1275" w:bottom="1134" w:left="1440" w:header="720" w:footer="567" w:gutter="0"/>
          <w:cols w:space="708"/>
          <w:noEndnote/>
          <w:docGrid w:linePitch="326"/>
        </w:sectPr>
      </w:pPr>
    </w:p>
    <w:p w14:paraId="49D91789" w14:textId="473CCAC4" w:rsidR="00255B16" w:rsidRPr="0067297E" w:rsidRDefault="0002512B" w:rsidP="00FA273F">
      <w:pPr>
        <w:pStyle w:val="Heading1"/>
        <w:numPr>
          <w:ilvl w:val="0"/>
          <w:numId w:val="0"/>
        </w:numPr>
        <w:ind w:left="709" w:hanging="709"/>
        <w:rPr>
          <w:rFonts w:asciiTheme="minorHAnsi" w:hAnsiTheme="minorHAnsi" w:cs="Calibri"/>
          <w:lang w:val="en-GB"/>
        </w:rPr>
      </w:pPr>
      <w:bookmarkStart w:id="794" w:name="_Toc1385823"/>
      <w:bookmarkStart w:id="795" w:name="_Toc23151140"/>
      <w:r w:rsidRPr="0067297E">
        <w:rPr>
          <w:rFonts w:asciiTheme="minorHAnsi" w:hAnsiTheme="minorHAnsi" w:cs="Calibri"/>
          <w:lang w:val="en-GB"/>
        </w:rPr>
        <w:t xml:space="preserve">Appendix E:  </w:t>
      </w:r>
      <w:r w:rsidR="00255B16" w:rsidRPr="0067297E">
        <w:rPr>
          <w:rFonts w:asciiTheme="minorHAnsi" w:hAnsiTheme="minorHAnsi" w:cs="Calibri"/>
          <w:lang w:val="en-GB"/>
        </w:rPr>
        <w:t>Glossary of terms</w:t>
      </w:r>
      <w:bookmarkEnd w:id="794"/>
      <w:bookmarkEnd w:id="795"/>
    </w:p>
    <w:p w14:paraId="2C11B410" w14:textId="77777777" w:rsidR="00255B16" w:rsidRPr="0067297E" w:rsidRDefault="00255B16" w:rsidP="00543A76">
      <w:pPr>
        <w:rPr>
          <w:rFonts w:asciiTheme="minorHAnsi" w:hAnsiTheme="minorHAnsi" w:cs="Arial"/>
          <w:b/>
          <w:bCs/>
        </w:rPr>
      </w:pPr>
    </w:p>
    <w:p w14:paraId="0DA546D8" w14:textId="0233F7E1"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Affordability: </w:t>
      </w:r>
      <w:r w:rsidRPr="0067297E">
        <w:rPr>
          <w:rFonts w:asciiTheme="minorHAnsi" w:hAnsiTheme="minorHAnsi" w:cs="Arial"/>
        </w:rPr>
        <w:t>A measure of whether households can access and sustain the costs of private sector housing. This is based on 3</w:t>
      </w:r>
      <w:r w:rsidR="00FA273F" w:rsidRPr="0067297E">
        <w:rPr>
          <w:rFonts w:asciiTheme="minorHAnsi" w:hAnsiTheme="minorHAnsi" w:cs="Arial"/>
        </w:rPr>
        <w:t>5</w:t>
      </w:r>
      <w:r w:rsidRPr="0067297E">
        <w:rPr>
          <w:rFonts w:asciiTheme="minorHAnsi" w:hAnsiTheme="minorHAnsi" w:cs="Arial"/>
        </w:rPr>
        <w:t xml:space="preserve">% of household income for rental affordability and 3.5x household income for mortgage affordability. </w:t>
      </w:r>
    </w:p>
    <w:p w14:paraId="219D7269" w14:textId="388997E3" w:rsidR="00812810" w:rsidRPr="0067297E" w:rsidRDefault="00255B16" w:rsidP="0050310B">
      <w:pPr>
        <w:spacing w:before="120" w:after="120"/>
        <w:rPr>
          <w:rFonts w:asciiTheme="minorHAnsi" w:hAnsiTheme="minorHAnsi" w:cs="Arial"/>
        </w:rPr>
      </w:pPr>
      <w:r w:rsidRPr="0067297E">
        <w:rPr>
          <w:rFonts w:asciiTheme="minorHAnsi" w:hAnsiTheme="minorHAnsi" w:cs="Arial"/>
          <w:b/>
        </w:rPr>
        <w:t>Affordable housing:</w:t>
      </w:r>
      <w:r w:rsidRPr="0067297E">
        <w:rPr>
          <w:rFonts w:asciiTheme="minorHAnsi" w:hAnsiTheme="minorHAnsi" w:cs="Arial"/>
        </w:rPr>
        <w:t xml:space="preserve"> </w:t>
      </w:r>
      <w:r w:rsidR="00812810" w:rsidRPr="0067297E">
        <w:rPr>
          <w:rFonts w:asciiTheme="minorHAnsi" w:hAnsiTheme="minorHAnsi" w:cs="Calibri"/>
        </w:rPr>
        <w:t xml:space="preserve">housing for sale or rent, for those whose needs are not met by the market (including housing that provides a subsidised route to home ownership and/or is for essential local workers. It includes affordable rented, starter homes, discounted market and in London the </w:t>
      </w:r>
      <w:r w:rsidR="005B2517" w:rsidRPr="0067297E">
        <w:rPr>
          <w:rFonts w:asciiTheme="minorHAnsi" w:hAnsiTheme="minorHAnsi" w:cs="Calibri"/>
        </w:rPr>
        <w:t>definitions</w:t>
      </w:r>
      <w:r w:rsidR="00812810" w:rsidRPr="0067297E">
        <w:rPr>
          <w:rFonts w:asciiTheme="minorHAnsi" w:hAnsiTheme="minorHAnsi" w:cs="Calibri"/>
        </w:rPr>
        <w:t xml:space="preserve"> are </w:t>
      </w:r>
      <w:r w:rsidR="005B2517" w:rsidRPr="0067297E">
        <w:rPr>
          <w:rFonts w:asciiTheme="minorHAnsi" w:hAnsiTheme="minorHAnsi" w:cs="Calibri"/>
        </w:rPr>
        <w:t>extended</w:t>
      </w:r>
      <w:r w:rsidR="00812810" w:rsidRPr="0067297E">
        <w:rPr>
          <w:rFonts w:asciiTheme="minorHAnsi" w:hAnsiTheme="minorHAnsi" w:cs="Calibri"/>
        </w:rPr>
        <w:t xml:space="preserve"> to London Affordable Rent, London Living Rent and London Shared Ownership. </w:t>
      </w:r>
    </w:p>
    <w:p w14:paraId="0C0A7F82" w14:textId="093249D8" w:rsidR="00812810" w:rsidRPr="0067297E" w:rsidRDefault="00812810" w:rsidP="0050310B">
      <w:pPr>
        <w:pStyle w:val="Reporttext"/>
        <w:numPr>
          <w:ilvl w:val="0"/>
          <w:numId w:val="0"/>
        </w:numPr>
        <w:rPr>
          <w:rFonts w:asciiTheme="minorHAnsi" w:hAnsiTheme="minorHAnsi" w:cs="Calibri"/>
          <w:lang w:val="en-GB"/>
        </w:rPr>
      </w:pPr>
      <w:r w:rsidRPr="0067297E">
        <w:rPr>
          <w:rFonts w:asciiTheme="minorHAnsi" w:hAnsiTheme="minorHAnsi" w:cs="Calibri"/>
          <w:b/>
          <w:lang w:val="en-GB"/>
        </w:rPr>
        <w:t>Affordable housing for rent</w:t>
      </w:r>
      <w:r w:rsidRPr="0067297E">
        <w:rPr>
          <w:rFonts w:asciiTheme="minorHAnsi" w:hAnsiTheme="minorHAnsi" w:cs="Calibri"/>
          <w:lang w:val="en-GB"/>
        </w:rPr>
        <w:t xml:space="preserve">: meets all of the following conditions: (a) the rent is set in accordance with the Government’s rent policy for Social Rent or Affordable Rent, or is at least 20% below local market rents (including service charges where applicable); (b) the landlord is a registered provider, except where it is included as part of a Build to Rent scheme (in which case the landlord need not be a registered provider); and (c) it includes provisions to remain at an affordable price for future eligible households, or for the subsidy to be recycled for alternative affordable housing provision. For Build to Rent schemes affordable housing for rent is expected to be the normal form of affordable housing provision (and, in this context, is known as Affordable Private Rent). </w:t>
      </w:r>
    </w:p>
    <w:p w14:paraId="7B4D6688" w14:textId="6AEDF8E9"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BAME </w:t>
      </w:r>
      <w:r w:rsidRPr="0067297E">
        <w:rPr>
          <w:rFonts w:asciiTheme="minorHAnsi" w:hAnsiTheme="minorHAnsi" w:cs="Arial"/>
        </w:rPr>
        <w:t>Black, Asian and Minority Ethnic.</w:t>
      </w:r>
    </w:p>
    <w:p w14:paraId="636360D9" w14:textId="1CF82884" w:rsidR="00255B16" w:rsidRPr="0067297E" w:rsidRDefault="00255B16" w:rsidP="0050310B">
      <w:pPr>
        <w:spacing w:before="120" w:after="120"/>
        <w:rPr>
          <w:rFonts w:asciiTheme="minorHAnsi" w:hAnsiTheme="minorHAnsi" w:cs="Arial"/>
          <w:b/>
          <w:bCs/>
        </w:rPr>
      </w:pPr>
      <w:r w:rsidRPr="0067297E">
        <w:rPr>
          <w:rFonts w:asciiTheme="minorHAnsi" w:hAnsiTheme="minorHAnsi" w:cs="Arial"/>
          <w:b/>
          <w:bCs/>
        </w:rPr>
        <w:t>Choice Based Lettings</w:t>
      </w:r>
      <w:r w:rsidR="001E5724" w:rsidRPr="0067297E">
        <w:rPr>
          <w:rFonts w:asciiTheme="minorHAnsi" w:hAnsiTheme="minorHAnsi" w:cs="Arial"/>
          <w:b/>
          <w:bCs/>
        </w:rPr>
        <w:t xml:space="preserve"> </w:t>
      </w:r>
      <w:r w:rsidRPr="0067297E">
        <w:rPr>
          <w:rFonts w:asciiTheme="minorHAnsi" w:hAnsiTheme="minorHAnsi" w:cs="Arial"/>
          <w:b/>
          <w:bCs/>
        </w:rPr>
        <w:t xml:space="preserve">(CBL): </w:t>
      </w:r>
      <w:r w:rsidRPr="0067297E">
        <w:rPr>
          <w:rFonts w:asciiTheme="minorHAnsi" w:hAnsiTheme="minorHAnsi" w:cs="Arial"/>
        </w:rPr>
        <w:t>Choice Based Lettings allows applicants for social housing (and tenants who</w:t>
      </w:r>
      <w:r w:rsidRPr="0067297E">
        <w:rPr>
          <w:rFonts w:asciiTheme="minorHAnsi" w:hAnsiTheme="minorHAnsi" w:cs="Arial"/>
          <w:b/>
          <w:bCs/>
        </w:rPr>
        <w:t xml:space="preserve"> </w:t>
      </w:r>
      <w:r w:rsidRPr="0067297E">
        <w:rPr>
          <w:rFonts w:asciiTheme="minorHAnsi" w:hAnsiTheme="minorHAnsi" w:cs="Arial"/>
        </w:rPr>
        <w:t>want to transfer) to apply for vacancies which are advertised widely in the</w:t>
      </w:r>
      <w:r w:rsidRPr="0067297E">
        <w:rPr>
          <w:rFonts w:asciiTheme="minorHAnsi" w:hAnsiTheme="minorHAnsi" w:cs="Arial"/>
          <w:b/>
          <w:bCs/>
        </w:rPr>
        <w:t xml:space="preserve"> </w:t>
      </w:r>
      <w:r w:rsidRPr="0067297E">
        <w:rPr>
          <w:rFonts w:asciiTheme="minorHAnsi" w:hAnsiTheme="minorHAnsi" w:cs="Arial"/>
        </w:rPr>
        <w:t>neighbourhood. Applicants can see the full range of available properties and can apply for any home to which they are matched.</w:t>
      </w:r>
    </w:p>
    <w:p w14:paraId="76873EF8" w14:textId="0F03F805"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MHCLG Ministry for Housing, </w:t>
      </w:r>
      <w:r w:rsidRPr="0067297E">
        <w:rPr>
          <w:rFonts w:asciiTheme="minorHAnsi" w:hAnsiTheme="minorHAnsi" w:cs="Arial"/>
          <w:b/>
        </w:rPr>
        <w:t>Communities and Local Government</w:t>
      </w:r>
      <w:r w:rsidRPr="0067297E">
        <w:rPr>
          <w:rFonts w:asciiTheme="minorHAnsi" w:hAnsiTheme="minorHAnsi" w:cs="Arial"/>
        </w:rPr>
        <w:t xml:space="preserve">: Is a Government </w:t>
      </w:r>
      <w:r w:rsidR="005B2517" w:rsidRPr="0067297E">
        <w:rPr>
          <w:rFonts w:asciiTheme="minorHAnsi" w:hAnsiTheme="minorHAnsi" w:cs="Arial"/>
        </w:rPr>
        <w:t>department</w:t>
      </w:r>
      <w:r w:rsidRPr="0067297E">
        <w:rPr>
          <w:rFonts w:asciiTheme="minorHAnsi" w:hAnsiTheme="minorHAnsi" w:cs="Arial"/>
        </w:rPr>
        <w:t xml:space="preserve"> which has responsibility for local and regional government, housing, planning, fire, regeneration, social exclusion and neighbourhood renewal with the ambition to create sustainable communities for all. Previously known as DoE, DETR, DTLR, ODPM and DCLG.</w:t>
      </w:r>
    </w:p>
    <w:p w14:paraId="3D879DA4" w14:textId="4D93916B"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Bedroom Standard: </w:t>
      </w:r>
      <w:r w:rsidRPr="0067297E">
        <w:rPr>
          <w:rFonts w:asciiTheme="minorHAnsi" w:hAnsiTheme="minorHAnsi" w:cs="Arial"/>
        </w:rPr>
        <w:t>The standard number of bedrooms allocated to each household in accordance with its age/sex/marital status composition and the relationship of the members to one another. A separate bedroom is allocated to each married couple, any person aged 21 or over, each pair of adolescents aged 10 – 20 of the same sex, and each pair of children under 10. Any unpaired person aged 10 – 20 is paired, if possible with a child under 10 of the same sex, or, if that is not possible, he or she is given a separate bedroom, as is any unpaired child under 10. This standard is then compared with the actual number of bedrooms available for the sole use of the household and the differences are tabulated.</w:t>
      </w:r>
    </w:p>
    <w:p w14:paraId="2D815BE3" w14:textId="77777777" w:rsidR="00116319" w:rsidRPr="0067297E" w:rsidRDefault="00116319" w:rsidP="0050310B">
      <w:pPr>
        <w:spacing w:before="120" w:after="120"/>
        <w:rPr>
          <w:rFonts w:asciiTheme="minorHAnsi" w:hAnsiTheme="minorHAnsi"/>
        </w:rPr>
      </w:pPr>
      <w:r w:rsidRPr="0067297E">
        <w:rPr>
          <w:rFonts w:asciiTheme="minorHAnsi" w:hAnsiTheme="minorHAnsi" w:cs="Arial"/>
          <w:b/>
          <w:bCs/>
        </w:rPr>
        <w:t xml:space="preserve">Built to rent </w:t>
      </w:r>
      <w:r w:rsidRPr="0067297E">
        <w:rPr>
          <w:rFonts w:asciiTheme="minorHAnsi" w:hAnsiTheme="minorHAnsi" w:cs="Arial"/>
          <w:color w:val="222222"/>
          <w:shd w:val="clear" w:color="auto" w:fill="FFFFFF"/>
        </w:rPr>
        <w:t>refers to the emerging sub-market in private rented residential stock in the United Kingdom, designed specifically for</w:t>
      </w:r>
      <w:r w:rsidRPr="0067297E">
        <w:rPr>
          <w:rStyle w:val="apple-converted-space"/>
          <w:rFonts w:asciiTheme="minorHAnsi" w:hAnsiTheme="minorHAnsi" w:cs="Arial"/>
          <w:color w:val="222222"/>
          <w:shd w:val="clear" w:color="auto" w:fill="FFFFFF"/>
        </w:rPr>
        <w:t> </w:t>
      </w:r>
      <w:r w:rsidRPr="0067297E">
        <w:rPr>
          <w:rFonts w:asciiTheme="minorHAnsi" w:hAnsiTheme="minorHAnsi" w:cs="Arial"/>
          <w:b/>
          <w:bCs/>
          <w:color w:val="222222"/>
        </w:rPr>
        <w:t>renting</w:t>
      </w:r>
      <w:r w:rsidRPr="0067297E">
        <w:rPr>
          <w:rStyle w:val="apple-converted-space"/>
          <w:rFonts w:asciiTheme="minorHAnsi" w:hAnsiTheme="minorHAnsi" w:cs="Arial"/>
          <w:color w:val="222222"/>
          <w:shd w:val="clear" w:color="auto" w:fill="FFFFFF"/>
        </w:rPr>
        <w:t> </w:t>
      </w:r>
      <w:r w:rsidRPr="0067297E">
        <w:rPr>
          <w:rFonts w:asciiTheme="minorHAnsi" w:hAnsiTheme="minorHAnsi" w:cs="Arial"/>
          <w:color w:val="222222"/>
          <w:shd w:val="clear" w:color="auto" w:fill="FFFFFF"/>
        </w:rPr>
        <w:t>rather than for sale, typically owned by institutional investors and managed with a high service-led culture by specialist operators</w:t>
      </w:r>
    </w:p>
    <w:p w14:paraId="16B765A3" w14:textId="33581F5E"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CML: </w:t>
      </w:r>
      <w:r w:rsidRPr="0067297E">
        <w:rPr>
          <w:rFonts w:asciiTheme="minorHAnsi" w:hAnsiTheme="minorHAnsi" w:cs="Arial"/>
        </w:rPr>
        <w:t>Council of Mortgage Lenders</w:t>
      </w:r>
    </w:p>
    <w:p w14:paraId="14C2D584" w14:textId="13E4AC23"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Concealed Household: </w:t>
      </w:r>
      <w:r w:rsidRPr="0067297E">
        <w:rPr>
          <w:rFonts w:asciiTheme="minorHAnsi" w:hAnsiTheme="minorHAnsi" w:cs="Arial"/>
        </w:rPr>
        <w:t>A Concealed Household is someone living within a household wanting to move to their own accommodation and form a separate household (e.g. adult children living wit</w:t>
      </w:r>
      <w:r w:rsidR="00BA0A2B" w:rsidRPr="0067297E">
        <w:rPr>
          <w:rFonts w:asciiTheme="minorHAnsi" w:hAnsiTheme="minorHAnsi" w:cs="Arial"/>
        </w:rPr>
        <w:t>h</w:t>
      </w:r>
      <w:r w:rsidRPr="0067297E">
        <w:rPr>
          <w:rFonts w:asciiTheme="minorHAnsi" w:hAnsiTheme="minorHAnsi" w:cs="Arial"/>
        </w:rPr>
        <w:t xml:space="preserve"> their parents).</w:t>
      </w:r>
    </w:p>
    <w:p w14:paraId="1185DE61" w14:textId="7736FF14"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CORE: </w:t>
      </w:r>
      <w:r w:rsidR="005B2517" w:rsidRPr="0067297E">
        <w:rPr>
          <w:rFonts w:asciiTheme="minorHAnsi" w:hAnsiTheme="minorHAnsi" w:cs="Arial"/>
        </w:rPr>
        <w:t>Continuous</w:t>
      </w:r>
      <w:r w:rsidRPr="0067297E">
        <w:rPr>
          <w:rFonts w:asciiTheme="minorHAnsi" w:hAnsiTheme="minorHAnsi" w:cs="Arial"/>
        </w:rPr>
        <w:t xml:space="preserve"> </w:t>
      </w:r>
      <w:r w:rsidR="005B2517" w:rsidRPr="0067297E">
        <w:rPr>
          <w:rFonts w:asciiTheme="minorHAnsi" w:hAnsiTheme="minorHAnsi" w:cs="Arial"/>
        </w:rPr>
        <w:t>Recording</w:t>
      </w:r>
      <w:r w:rsidRPr="0067297E">
        <w:rPr>
          <w:rFonts w:asciiTheme="minorHAnsi" w:hAnsiTheme="minorHAnsi" w:cs="Arial"/>
        </w:rPr>
        <w:t xml:space="preserve"> System of new lettings in social rented and intermediate tenure dwellings</w:t>
      </w:r>
    </w:p>
    <w:p w14:paraId="57B0F645" w14:textId="5E5235F6" w:rsidR="00255B16" w:rsidRPr="0067297E" w:rsidRDefault="00255B16" w:rsidP="0050310B">
      <w:pPr>
        <w:spacing w:before="120" w:after="120"/>
        <w:rPr>
          <w:rFonts w:asciiTheme="minorHAnsi" w:hAnsiTheme="minorHAnsi" w:cs="Arial"/>
        </w:rPr>
      </w:pPr>
      <w:r w:rsidRPr="0067297E">
        <w:rPr>
          <w:rFonts w:asciiTheme="minorHAnsi" w:hAnsiTheme="minorHAnsi" w:cs="Arial"/>
          <w:b/>
        </w:rPr>
        <w:t>DFG:</w:t>
      </w:r>
      <w:r w:rsidRPr="0067297E">
        <w:rPr>
          <w:rFonts w:asciiTheme="minorHAnsi" w:hAnsiTheme="minorHAnsi" w:cs="Arial"/>
        </w:rPr>
        <w:t xml:space="preserve"> Disabled Facilities Grant</w:t>
      </w:r>
    </w:p>
    <w:p w14:paraId="777B0A85" w14:textId="2EC4220C" w:rsidR="00812810" w:rsidRPr="0067297E" w:rsidRDefault="00812810" w:rsidP="0050310B">
      <w:pPr>
        <w:spacing w:before="120" w:after="120"/>
        <w:rPr>
          <w:rFonts w:asciiTheme="minorHAnsi" w:hAnsiTheme="minorHAnsi" w:cs="Arial"/>
          <w:b/>
          <w:bCs/>
        </w:rPr>
      </w:pPr>
      <w:r w:rsidRPr="0067297E">
        <w:rPr>
          <w:rFonts w:asciiTheme="minorHAnsi" w:hAnsiTheme="minorHAnsi" w:cs="Calibri"/>
          <w:b/>
        </w:rPr>
        <w:t>Discounted market sales housing</w:t>
      </w:r>
      <w:r w:rsidRPr="0067297E">
        <w:rPr>
          <w:rFonts w:asciiTheme="minorHAnsi" w:hAnsiTheme="minorHAnsi" w:cs="Calibri"/>
        </w:rPr>
        <w:t xml:space="preserve"> is that sold at a discount of at least 20% below local market value. Eligibility is determined with regard to local incomes and local house prices. Provisions should be in place to ensure housing remains at a discount for future eligible households</w:t>
      </w:r>
    </w:p>
    <w:p w14:paraId="6C08CC9C" w14:textId="77777777" w:rsidR="00116319" w:rsidRPr="0067297E" w:rsidRDefault="00116319" w:rsidP="0050310B">
      <w:pPr>
        <w:spacing w:before="120" w:after="120"/>
        <w:rPr>
          <w:rFonts w:asciiTheme="minorHAnsi" w:hAnsiTheme="minorHAnsi" w:cs="Arial"/>
          <w:b/>
          <w:bCs/>
        </w:rPr>
      </w:pPr>
      <w:r w:rsidRPr="0067297E">
        <w:rPr>
          <w:rFonts w:asciiTheme="minorHAnsi" w:hAnsiTheme="minorHAnsi" w:cs="Arial"/>
          <w:b/>
          <w:bCs/>
        </w:rPr>
        <w:t xml:space="preserve">English Housing Survey. </w:t>
      </w:r>
      <w:r w:rsidRPr="0067297E">
        <w:rPr>
          <w:rFonts w:asciiTheme="minorHAnsi" w:hAnsiTheme="minorHAnsi" w:cs="Arial"/>
        </w:rPr>
        <w:t xml:space="preserve">is a continuous household survey that collects information from nearly 20,000 households about the characteristics of their housing and their attitudes to housing and related issues (previously known as the Survey of English Housing) </w:t>
      </w:r>
    </w:p>
    <w:p w14:paraId="3AE49666" w14:textId="6FB0C280" w:rsidR="00255B16" w:rsidRPr="0067297E" w:rsidRDefault="00255B16" w:rsidP="0050310B">
      <w:pPr>
        <w:spacing w:before="120" w:after="120"/>
        <w:rPr>
          <w:rFonts w:asciiTheme="minorHAnsi" w:hAnsiTheme="minorHAnsi" w:cs="Arial"/>
          <w:bCs/>
        </w:rPr>
      </w:pPr>
      <w:r w:rsidRPr="0067297E">
        <w:rPr>
          <w:rFonts w:asciiTheme="minorHAnsi" w:hAnsiTheme="minorHAnsi" w:cs="Arial"/>
          <w:b/>
          <w:bCs/>
        </w:rPr>
        <w:t xml:space="preserve">Extra Care Housing: </w:t>
      </w:r>
      <w:r w:rsidRPr="0067297E">
        <w:rPr>
          <w:rFonts w:asciiTheme="minorHAnsi" w:hAnsiTheme="minorHAnsi" w:cs="Arial"/>
          <w:bCs/>
        </w:rPr>
        <w:t>This</w:t>
      </w:r>
      <w:r w:rsidRPr="0067297E">
        <w:rPr>
          <w:rFonts w:asciiTheme="minorHAnsi" w:hAnsiTheme="minorHAnsi" w:cs="Arial"/>
          <w:b/>
          <w:bCs/>
        </w:rPr>
        <w:t xml:space="preserve"> </w:t>
      </w:r>
      <w:r w:rsidRPr="0067297E">
        <w:rPr>
          <w:rFonts w:asciiTheme="minorHAnsi" w:hAnsiTheme="minorHAnsi" w:cs="Arial"/>
          <w:bCs/>
        </w:rPr>
        <w:t>is housing designed with the needs of frailer older people in mind. It includes flats, bungalows and retirement villages. You have you own front door. Domestic support and personal care are available</w:t>
      </w:r>
    </w:p>
    <w:p w14:paraId="6E6A9F05" w14:textId="7CC8CA1B" w:rsidR="00255B16" w:rsidRPr="0067297E" w:rsidRDefault="00255B16" w:rsidP="0050310B">
      <w:pPr>
        <w:spacing w:before="120" w:after="120"/>
        <w:rPr>
          <w:rFonts w:asciiTheme="minorHAnsi" w:hAnsiTheme="minorHAnsi" w:cs="Arial"/>
          <w:b/>
          <w:bCs/>
        </w:rPr>
      </w:pPr>
      <w:r w:rsidRPr="0067297E">
        <w:rPr>
          <w:rFonts w:asciiTheme="minorHAnsi" w:hAnsiTheme="minorHAnsi" w:cs="Arial"/>
          <w:b/>
          <w:bCs/>
        </w:rPr>
        <w:t xml:space="preserve">GDP: </w:t>
      </w:r>
      <w:r w:rsidRPr="0067297E">
        <w:rPr>
          <w:rFonts w:asciiTheme="minorHAnsi" w:hAnsiTheme="minorHAnsi" w:cs="Arial"/>
          <w:bCs/>
        </w:rPr>
        <w:t>Gross Domestic Product</w:t>
      </w:r>
    </w:p>
    <w:p w14:paraId="0B63661A" w14:textId="586D699B"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FTB: </w:t>
      </w:r>
      <w:r w:rsidRPr="0067297E">
        <w:rPr>
          <w:rFonts w:asciiTheme="minorHAnsi" w:hAnsiTheme="minorHAnsi" w:cs="Arial"/>
        </w:rPr>
        <w:t>First Time Buyer – a term used to describe people who are buying/have bought a dwelling and have not previously owned a home</w:t>
      </w:r>
    </w:p>
    <w:p w14:paraId="3FFEF93B" w14:textId="28A0F1BD" w:rsidR="00255B16" w:rsidRPr="0067297E" w:rsidRDefault="00255B16" w:rsidP="0050310B">
      <w:pPr>
        <w:pStyle w:val="Reporttext"/>
        <w:numPr>
          <w:ilvl w:val="0"/>
          <w:numId w:val="0"/>
        </w:numPr>
        <w:rPr>
          <w:rFonts w:asciiTheme="minorHAnsi" w:hAnsiTheme="minorHAnsi"/>
        </w:rPr>
      </w:pPr>
      <w:r w:rsidRPr="0067297E">
        <w:rPr>
          <w:rFonts w:asciiTheme="minorHAnsi" w:hAnsiTheme="minorHAnsi" w:cs="Arial"/>
          <w:b/>
          <w:bCs/>
        </w:rPr>
        <w:t xml:space="preserve">HMO: </w:t>
      </w:r>
      <w:r w:rsidRPr="0067297E">
        <w:rPr>
          <w:rFonts w:asciiTheme="minorHAnsi" w:hAnsiTheme="minorHAnsi" w:cs="Arial"/>
        </w:rPr>
        <w:t xml:space="preserve">House in Multiple Accommodation – </w:t>
      </w:r>
      <w:r w:rsidRPr="0067297E">
        <w:rPr>
          <w:rFonts w:asciiTheme="minorHAnsi" w:hAnsiTheme="minorHAnsi"/>
        </w:rPr>
        <w:t>) is a property rented out by at least three people who are not from one ‘ household’ (for example a family) but share facilities like the bathroom and kitchen. A licence is required for a ’large’ HMO, defined as a property where all of the following apply:</w:t>
      </w:r>
      <w:r w:rsidRPr="0067297E">
        <w:rPr>
          <w:rFonts w:asciiTheme="minorHAnsi" w:hAnsiTheme="minorHAnsi"/>
          <w:lang w:val="en-US"/>
        </w:rPr>
        <w:t xml:space="preserve"> </w:t>
      </w:r>
      <w:r w:rsidRPr="0067297E">
        <w:rPr>
          <w:rFonts w:asciiTheme="minorHAnsi" w:hAnsiTheme="minorHAnsi"/>
        </w:rPr>
        <w:t>It is rented for 5 or more people who form more than 1 household</w:t>
      </w:r>
      <w:r w:rsidRPr="0067297E">
        <w:rPr>
          <w:rFonts w:asciiTheme="minorHAnsi" w:hAnsiTheme="minorHAnsi"/>
          <w:lang w:val="en-US"/>
        </w:rPr>
        <w:t>; s</w:t>
      </w:r>
      <w:r w:rsidRPr="0067297E">
        <w:rPr>
          <w:rFonts w:asciiTheme="minorHAnsi" w:hAnsiTheme="minorHAnsi"/>
        </w:rPr>
        <w:t>ome or all tenants share toilet, bathroom or kitchen facilities; and</w:t>
      </w:r>
      <w:r w:rsidRPr="0067297E">
        <w:rPr>
          <w:rFonts w:asciiTheme="minorHAnsi" w:hAnsiTheme="minorHAnsi"/>
          <w:lang w:val="en-US"/>
        </w:rPr>
        <w:t xml:space="preserve"> a</w:t>
      </w:r>
      <w:r w:rsidRPr="0067297E">
        <w:rPr>
          <w:rFonts w:asciiTheme="minorHAnsi" w:hAnsiTheme="minorHAnsi"/>
        </w:rPr>
        <w:t>t least one tenant pays rent (or their employer pays it for them</w:t>
      </w:r>
    </w:p>
    <w:p w14:paraId="5630DC8D" w14:textId="245730FC"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Homeless Household: </w:t>
      </w:r>
      <w:r w:rsidRPr="0067297E">
        <w:rPr>
          <w:rFonts w:asciiTheme="minorHAnsi" w:hAnsiTheme="minorHAnsi" w:cs="Arial"/>
        </w:rPr>
        <w:t>A household is accepted as statutorily homeless by the authority if it meets the criteria set out in the Housing Act 1996.</w:t>
      </w:r>
    </w:p>
    <w:p w14:paraId="2B89E245" w14:textId="5E7CB7D9"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Household: </w:t>
      </w:r>
      <w:r w:rsidRPr="0067297E">
        <w:rPr>
          <w:rFonts w:asciiTheme="minorHAnsi" w:hAnsiTheme="minorHAnsi" w:cs="Arial"/>
        </w:rPr>
        <w:t xml:space="preserve">The Census defines a household as follows: </w:t>
      </w:r>
      <w:r w:rsidRPr="0067297E">
        <w:rPr>
          <w:rFonts w:asciiTheme="minorHAnsi" w:hAnsiTheme="minorHAnsi" w:cs="Arial"/>
          <w:iCs/>
        </w:rPr>
        <w:t>“A household comprises either one person living alone or a group of people (not</w:t>
      </w:r>
      <w:r w:rsidRPr="0067297E">
        <w:rPr>
          <w:rFonts w:asciiTheme="minorHAnsi" w:hAnsiTheme="minorHAnsi" w:cs="Arial"/>
        </w:rPr>
        <w:t xml:space="preserve"> </w:t>
      </w:r>
      <w:r w:rsidRPr="0067297E">
        <w:rPr>
          <w:rFonts w:asciiTheme="minorHAnsi" w:hAnsiTheme="minorHAnsi" w:cs="Arial"/>
          <w:iCs/>
        </w:rPr>
        <w:t>necessarily related) living at the same address with common housekeeping ‐</w:t>
      </w:r>
      <w:r w:rsidRPr="0067297E">
        <w:rPr>
          <w:rFonts w:asciiTheme="minorHAnsi" w:hAnsiTheme="minorHAnsi" w:cs="Arial"/>
        </w:rPr>
        <w:t xml:space="preserve"> </w:t>
      </w:r>
      <w:r w:rsidRPr="0067297E">
        <w:rPr>
          <w:rFonts w:asciiTheme="minorHAnsi" w:hAnsiTheme="minorHAnsi" w:cs="Arial"/>
          <w:iCs/>
        </w:rPr>
        <w:t>that is, sharing at least one meal a day or sharing a living room or sitting room.”</w:t>
      </w:r>
    </w:p>
    <w:p w14:paraId="2231244A" w14:textId="7F479186" w:rsidR="00116319" w:rsidRPr="0067297E" w:rsidRDefault="00116319" w:rsidP="0050310B">
      <w:pPr>
        <w:spacing w:before="120" w:after="120"/>
        <w:rPr>
          <w:rFonts w:asciiTheme="minorHAnsi" w:hAnsiTheme="minorHAnsi" w:cs="Arial"/>
          <w:b/>
          <w:bCs/>
        </w:rPr>
      </w:pPr>
      <w:r w:rsidRPr="0067297E">
        <w:rPr>
          <w:rFonts w:asciiTheme="minorHAnsi" w:hAnsiTheme="minorHAnsi" w:cs="Arial"/>
          <w:b/>
          <w:bCs/>
        </w:rPr>
        <w:t xml:space="preserve">Housing Action Areas </w:t>
      </w:r>
      <w:r w:rsidRPr="0067297E">
        <w:rPr>
          <w:rFonts w:asciiTheme="minorHAnsi" w:hAnsiTheme="minorHAnsi"/>
        </w:rPr>
        <w:t xml:space="preserve">were set up through the 1974 Housing Act. They were a response to ‘gentrification’ and combined council action with bottom-up methods to tackle inner city decline in small areas of around 500 properties. Declared areas attracted generous improvement grants aimed at encouraging residents to stay. Tenants’ rights were guaranteed and, where private landlords failed to improve, councils could compulsorily purchase and renovate. </w:t>
      </w:r>
    </w:p>
    <w:p w14:paraId="5B6DCD76" w14:textId="1402F72E" w:rsidR="00FA273F" w:rsidRPr="0067297E" w:rsidRDefault="00FA273F" w:rsidP="0050310B">
      <w:pPr>
        <w:spacing w:before="120" w:after="120"/>
        <w:rPr>
          <w:rFonts w:asciiTheme="minorHAnsi" w:hAnsiTheme="minorHAnsi" w:cs="Arial"/>
          <w:b/>
          <w:bCs/>
        </w:rPr>
      </w:pPr>
      <w:r w:rsidRPr="0067297E">
        <w:rPr>
          <w:rFonts w:asciiTheme="minorHAnsi" w:hAnsiTheme="minorHAnsi" w:cs="Calibri"/>
          <w:b/>
        </w:rPr>
        <w:t>Housing Delivery Test</w:t>
      </w:r>
      <w:r w:rsidRPr="0067297E">
        <w:rPr>
          <w:rFonts w:asciiTheme="minorHAnsi" w:hAnsiTheme="minorHAnsi" w:cs="Calibri"/>
        </w:rPr>
        <w:t xml:space="preserve"> </w:t>
      </w:r>
      <w:r w:rsidR="00EA3DAB" w:rsidRPr="0067297E">
        <w:rPr>
          <w:rFonts w:asciiTheme="minorHAnsi" w:hAnsiTheme="minorHAnsi" w:cs="Calibri"/>
        </w:rPr>
        <w:t xml:space="preserve">(HDL) </w:t>
      </w:r>
      <w:r w:rsidRPr="0067297E">
        <w:rPr>
          <w:rFonts w:asciiTheme="minorHAnsi" w:hAnsiTheme="minorHAnsi" w:cs="Calibri"/>
        </w:rPr>
        <w:t>is the annual measurement of housing delivery performance, to commence in November 2018</w:t>
      </w:r>
    </w:p>
    <w:p w14:paraId="13C7BC70" w14:textId="546C4CBC" w:rsidR="00FA273F" w:rsidRPr="0067297E" w:rsidRDefault="00EA3DAB" w:rsidP="0050310B">
      <w:pPr>
        <w:spacing w:before="120" w:after="120"/>
        <w:rPr>
          <w:rFonts w:asciiTheme="minorHAnsi" w:hAnsiTheme="minorHAnsi" w:cs="Arial"/>
          <w:b/>
          <w:bCs/>
        </w:rPr>
      </w:pPr>
      <w:r w:rsidRPr="0067297E">
        <w:rPr>
          <w:rFonts w:asciiTheme="minorHAnsi" w:hAnsiTheme="minorHAnsi" w:cs="Arial"/>
          <w:b/>
          <w:bCs/>
        </w:rPr>
        <w:t>Housing Needs Survey</w:t>
      </w:r>
      <w:r w:rsidR="003118DF" w:rsidRPr="0067297E">
        <w:rPr>
          <w:rFonts w:asciiTheme="minorHAnsi" w:hAnsiTheme="minorHAnsi" w:cs="Arial"/>
          <w:b/>
          <w:bCs/>
        </w:rPr>
        <w:t xml:space="preserve"> (HNS)</w:t>
      </w:r>
    </w:p>
    <w:p w14:paraId="26FC9021" w14:textId="3F950EF9" w:rsidR="00FC75C2" w:rsidRPr="0067297E" w:rsidRDefault="00FC75C2" w:rsidP="0050310B">
      <w:pPr>
        <w:spacing w:before="120" w:after="120"/>
        <w:rPr>
          <w:rFonts w:asciiTheme="minorHAnsi" w:hAnsiTheme="minorHAnsi" w:cs="Arial"/>
          <w:bCs/>
        </w:rPr>
      </w:pPr>
      <w:r w:rsidRPr="0067297E">
        <w:rPr>
          <w:rFonts w:asciiTheme="minorHAnsi" w:hAnsiTheme="minorHAnsi" w:cs="Arial"/>
          <w:bCs/>
        </w:rPr>
        <w:t>A specialised research method for determining the need for additional housing in an area</w:t>
      </w:r>
    </w:p>
    <w:p w14:paraId="4B7F31EF" w14:textId="00A7CE66"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Housing Register </w:t>
      </w:r>
      <w:r w:rsidRPr="0067297E">
        <w:rPr>
          <w:rFonts w:asciiTheme="minorHAnsi" w:hAnsiTheme="minorHAnsi" w:cs="Arial"/>
        </w:rPr>
        <w:t>A register of people waiting for affordable housing. It may have two components: a list for those not currently occupying affordable housing (more properly known as the Housing Register) and a Transfer List for those tenants who wish to move to another affordable home within the same District.</w:t>
      </w:r>
    </w:p>
    <w:p w14:paraId="69F65B5D" w14:textId="5AB3607B" w:rsidR="00255B16" w:rsidRPr="0067297E" w:rsidRDefault="00255B16" w:rsidP="0050310B">
      <w:pPr>
        <w:spacing w:before="120" w:after="120"/>
        <w:rPr>
          <w:rFonts w:asciiTheme="minorHAnsi" w:hAnsiTheme="minorHAnsi"/>
        </w:rPr>
      </w:pPr>
      <w:r w:rsidRPr="0067297E">
        <w:rPr>
          <w:rFonts w:asciiTheme="minorHAnsi" w:hAnsiTheme="minorHAnsi" w:cs="Arial"/>
          <w:b/>
          <w:bCs/>
        </w:rPr>
        <w:t xml:space="preserve">HRP Household Reference Person </w:t>
      </w:r>
      <w:r w:rsidRPr="0067297E">
        <w:rPr>
          <w:rFonts w:asciiTheme="minorHAnsi" w:hAnsiTheme="minorHAnsi" w:cs="Arial"/>
          <w:bCs/>
        </w:rPr>
        <w:t xml:space="preserve">is the individual taken to represent the household for statistical purposes. </w:t>
      </w:r>
    </w:p>
    <w:p w14:paraId="7505E4CD" w14:textId="39D89D79" w:rsidR="00255B16" w:rsidRPr="0067297E" w:rsidRDefault="00255B16" w:rsidP="0050310B">
      <w:pPr>
        <w:spacing w:before="120" w:after="120"/>
        <w:rPr>
          <w:rFonts w:asciiTheme="minorHAnsi" w:hAnsiTheme="minorHAnsi" w:cs="Arial"/>
          <w:lang w:eastAsia="en-GB"/>
        </w:rPr>
      </w:pPr>
      <w:r w:rsidRPr="0067297E">
        <w:rPr>
          <w:rFonts w:asciiTheme="minorHAnsi" w:hAnsiTheme="minorHAnsi" w:cs="Arial"/>
          <w:b/>
          <w:lang w:eastAsia="en-GB"/>
        </w:rPr>
        <w:t>Intermediate housing</w:t>
      </w:r>
      <w:r w:rsidRPr="0067297E">
        <w:rPr>
          <w:rFonts w:asciiTheme="minorHAnsi" w:hAnsiTheme="minorHAnsi" w:cs="Arial"/>
          <w:lang w:eastAsia="en-GB"/>
        </w:rPr>
        <w:t xml:space="preserve"> is homes for sale and rent provided at a cost above social rent, but below market levels subject to the criteria in the Affordable Housing definition above. These can include shared equity (shared ownership and equity loans), other low cost homes for sale and intermediate rent, but not affordable rented housing. Homes that do not meet the above definition of affordable housing, such as “low cost market” housing, may not be considered as affordable housing for planning</w:t>
      </w:r>
    </w:p>
    <w:p w14:paraId="7E278EEB" w14:textId="16B96E08"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LA </w:t>
      </w:r>
      <w:r w:rsidRPr="0067297E">
        <w:rPr>
          <w:rFonts w:asciiTheme="minorHAnsi" w:hAnsiTheme="minorHAnsi" w:cs="Arial"/>
        </w:rPr>
        <w:t>Local Authority.</w:t>
      </w:r>
    </w:p>
    <w:p w14:paraId="6789B0DD" w14:textId="3DD0EECD" w:rsidR="00116319" w:rsidRPr="0067297E" w:rsidRDefault="00116319" w:rsidP="0050310B">
      <w:pPr>
        <w:spacing w:before="120" w:after="120"/>
        <w:rPr>
          <w:rFonts w:asciiTheme="minorHAnsi" w:hAnsiTheme="minorHAnsi"/>
        </w:rPr>
      </w:pPr>
      <w:r w:rsidRPr="0067297E">
        <w:rPr>
          <w:rFonts w:asciiTheme="minorHAnsi" w:hAnsiTheme="minorHAnsi" w:cs="Arial"/>
          <w:b/>
          <w:bCs/>
        </w:rPr>
        <w:t xml:space="preserve">Local Housing Allowance </w:t>
      </w:r>
      <w:r w:rsidRPr="0067297E">
        <w:rPr>
          <w:rFonts w:asciiTheme="minorHAnsi" w:hAnsiTheme="minorHAnsi" w:cs="Arial"/>
          <w:color w:val="222222"/>
          <w:shd w:val="clear" w:color="auto" w:fill="FFFFFF"/>
        </w:rPr>
        <w:t>is used to work out how much</w:t>
      </w:r>
      <w:r w:rsidRPr="0067297E">
        <w:rPr>
          <w:rStyle w:val="apple-converted-space"/>
          <w:rFonts w:asciiTheme="minorHAnsi" w:hAnsiTheme="minorHAnsi" w:cs="Arial"/>
          <w:color w:val="222222"/>
          <w:shd w:val="clear" w:color="auto" w:fill="FFFFFF"/>
        </w:rPr>
        <w:t> </w:t>
      </w:r>
      <w:r w:rsidRPr="0067297E">
        <w:rPr>
          <w:rFonts w:asciiTheme="minorHAnsi" w:hAnsiTheme="minorHAnsi" w:cs="Arial"/>
          <w:bCs/>
          <w:color w:val="222222"/>
        </w:rPr>
        <w:t>housing benefit</w:t>
      </w:r>
      <w:r w:rsidRPr="0067297E">
        <w:rPr>
          <w:rFonts w:asciiTheme="minorHAnsi" w:hAnsiTheme="minorHAnsi" w:cs="Arial"/>
          <w:b/>
          <w:bCs/>
          <w:color w:val="222222"/>
        </w:rPr>
        <w:t xml:space="preserve"> </w:t>
      </w:r>
      <w:r w:rsidRPr="0067297E">
        <w:rPr>
          <w:rFonts w:asciiTheme="minorHAnsi" w:hAnsiTheme="minorHAnsi" w:cs="Arial"/>
          <w:color w:val="222222"/>
          <w:shd w:val="clear" w:color="auto" w:fill="FFFFFF"/>
        </w:rPr>
        <w:t>you can get if you rent your home from a private landlord.</w:t>
      </w:r>
    </w:p>
    <w:p w14:paraId="37CFEE76" w14:textId="09490515" w:rsidR="00812810"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LCHO </w:t>
      </w:r>
      <w:r w:rsidRPr="0067297E">
        <w:rPr>
          <w:rFonts w:asciiTheme="minorHAnsi" w:hAnsiTheme="minorHAnsi" w:cs="Arial"/>
        </w:rPr>
        <w:t>Low Cost Home Ownership.</w:t>
      </w:r>
    </w:p>
    <w:p w14:paraId="3779EB52" w14:textId="7F959CFE" w:rsidR="00255B16" w:rsidRPr="0067297E" w:rsidRDefault="00812810" w:rsidP="0050310B">
      <w:pPr>
        <w:spacing w:before="120" w:after="120"/>
        <w:rPr>
          <w:rFonts w:asciiTheme="minorHAnsi" w:hAnsiTheme="minorHAnsi" w:cs="Arial"/>
          <w:b/>
          <w:bCs/>
        </w:rPr>
      </w:pPr>
      <w:r w:rsidRPr="0067297E">
        <w:rPr>
          <w:rFonts w:asciiTheme="minorHAnsi" w:hAnsiTheme="minorHAnsi" w:cs="Calibri"/>
          <w:b/>
        </w:rPr>
        <w:t>London Affordable Rent</w:t>
      </w:r>
      <w:r w:rsidRPr="0067297E">
        <w:rPr>
          <w:rFonts w:asciiTheme="minorHAnsi" w:hAnsiTheme="minorHAnsi" w:cs="Calibri"/>
        </w:rPr>
        <w:t xml:space="preserve"> which is for households on low income with the rent level based on social rent levels. Nationally, affordable rent is set at up to 80% of market rent, but in London benchmarks are set substantially below this to ensure rents in London are genuinely affordable</w:t>
      </w:r>
    </w:p>
    <w:p w14:paraId="4A8561E1" w14:textId="2034044F" w:rsidR="00812810" w:rsidRPr="0067297E" w:rsidRDefault="00812810" w:rsidP="0050310B">
      <w:pPr>
        <w:spacing w:before="120" w:after="120"/>
        <w:rPr>
          <w:rFonts w:asciiTheme="minorHAnsi" w:hAnsiTheme="minorHAnsi" w:cs="Arial"/>
          <w:b/>
          <w:bCs/>
        </w:rPr>
      </w:pPr>
      <w:r w:rsidRPr="0067297E">
        <w:rPr>
          <w:rFonts w:asciiTheme="minorHAnsi" w:hAnsiTheme="minorHAnsi" w:cs="Calibri"/>
          <w:b/>
        </w:rPr>
        <w:t>London Living Rent</w:t>
      </w:r>
      <w:r w:rsidRPr="0067297E">
        <w:rPr>
          <w:rFonts w:asciiTheme="minorHAnsi" w:hAnsiTheme="minorHAnsi" w:cs="Calibri"/>
        </w:rPr>
        <w:t xml:space="preserve"> offers Londoners on average incomes a below-market rent, enabling them to save for a deposit. The Mayor has set out London Living Rent levels that vary by ward across London, set at a third of local average household incomes. When funded through the Mayor’s Affordable Homes Programme, London Living Rent is designed to offer sub-market rents for up to 10 years, helping households to save for a deposit. </w:t>
      </w:r>
      <w:r w:rsidR="005B2517" w:rsidRPr="0067297E">
        <w:rPr>
          <w:rFonts w:asciiTheme="minorHAnsi" w:hAnsiTheme="minorHAnsi" w:cs="Calibri"/>
        </w:rPr>
        <w:t>Eligibility</w:t>
      </w:r>
      <w:r w:rsidRPr="0067297E">
        <w:rPr>
          <w:rFonts w:asciiTheme="minorHAnsi" w:hAnsiTheme="minorHAnsi" w:cs="Calibri"/>
        </w:rPr>
        <w:t xml:space="preserve"> is restricted to households that are currently renting, with a maximum income of £60,000 and who are not currently able to purchase a home (including through shared ownership) in the local areas</w:t>
      </w:r>
    </w:p>
    <w:p w14:paraId="7742BC79" w14:textId="77777777" w:rsidR="00812810" w:rsidRPr="0067297E" w:rsidRDefault="00812810" w:rsidP="0050310B">
      <w:pPr>
        <w:pStyle w:val="Reporttext"/>
        <w:numPr>
          <w:ilvl w:val="0"/>
          <w:numId w:val="0"/>
        </w:numPr>
        <w:rPr>
          <w:rFonts w:asciiTheme="minorHAnsi" w:hAnsiTheme="minorHAnsi" w:cs="Calibri"/>
          <w:lang w:val="en-GB"/>
        </w:rPr>
      </w:pPr>
      <w:r w:rsidRPr="0067297E">
        <w:rPr>
          <w:rFonts w:asciiTheme="minorHAnsi" w:hAnsiTheme="minorHAnsi" w:cs="Calibri"/>
          <w:b/>
          <w:lang w:val="en-GB"/>
        </w:rPr>
        <w:t>London Shared Ownership</w:t>
      </w:r>
      <w:r w:rsidRPr="0067297E">
        <w:rPr>
          <w:rFonts w:asciiTheme="minorHAnsi" w:hAnsiTheme="minorHAnsi" w:cs="Calibri"/>
          <w:lang w:val="en-GB"/>
        </w:rPr>
        <w:t xml:space="preserve">: is based on the national shared ownership model but with extra assurances for Londoners over service charges. </w:t>
      </w:r>
    </w:p>
    <w:p w14:paraId="69E61865" w14:textId="77777777" w:rsidR="00BA0A2B" w:rsidRPr="0067297E" w:rsidRDefault="00BA0A2B" w:rsidP="0050310B">
      <w:pPr>
        <w:spacing w:before="120" w:after="120"/>
        <w:rPr>
          <w:rFonts w:asciiTheme="minorHAnsi" w:hAnsiTheme="minorHAnsi" w:cs="Arial"/>
        </w:rPr>
      </w:pPr>
      <w:r w:rsidRPr="0067297E">
        <w:rPr>
          <w:rFonts w:asciiTheme="minorHAnsi" w:hAnsiTheme="minorHAnsi" w:cs="Arial"/>
          <w:b/>
          <w:bCs/>
        </w:rPr>
        <w:t xml:space="preserve">LTV </w:t>
      </w:r>
      <w:r w:rsidRPr="0067297E">
        <w:rPr>
          <w:rFonts w:asciiTheme="minorHAnsi" w:hAnsiTheme="minorHAnsi" w:cs="Arial"/>
        </w:rPr>
        <w:t>Loan to Value ‐ the percentage of loan a person needs against the value of the property.</w:t>
      </w:r>
    </w:p>
    <w:p w14:paraId="64C3BA19" w14:textId="707444A2"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NOMIS </w:t>
      </w:r>
      <w:r w:rsidRPr="0067297E">
        <w:rPr>
          <w:rFonts w:asciiTheme="minorHAnsi" w:hAnsiTheme="minorHAnsi" w:cs="Arial"/>
        </w:rPr>
        <w:t>National On‐line Manpower Information System.</w:t>
      </w:r>
    </w:p>
    <w:p w14:paraId="43C73BEE" w14:textId="3B35AFF3" w:rsidR="00255B16" w:rsidRPr="0067297E" w:rsidRDefault="00255B16" w:rsidP="0050310B">
      <w:pPr>
        <w:spacing w:before="120" w:after="120"/>
        <w:rPr>
          <w:rFonts w:asciiTheme="minorHAnsi" w:hAnsiTheme="minorHAnsi" w:cs="Arial"/>
        </w:rPr>
      </w:pPr>
      <w:r w:rsidRPr="0067297E">
        <w:rPr>
          <w:rFonts w:asciiTheme="minorHAnsi" w:hAnsiTheme="minorHAnsi" w:cs="Arial"/>
          <w:b/>
        </w:rPr>
        <w:t>NPPF:</w:t>
      </w:r>
      <w:r w:rsidRPr="0067297E">
        <w:rPr>
          <w:rFonts w:asciiTheme="minorHAnsi" w:hAnsiTheme="minorHAnsi" w:cs="Arial"/>
        </w:rPr>
        <w:t xml:space="preserve"> National Planning Policy Framework</w:t>
      </w:r>
    </w:p>
    <w:p w14:paraId="4D52F40C" w14:textId="4212FB8A"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ONS: </w:t>
      </w:r>
      <w:r w:rsidRPr="0067297E">
        <w:rPr>
          <w:rFonts w:asciiTheme="minorHAnsi" w:hAnsiTheme="minorHAnsi" w:cs="Arial"/>
        </w:rPr>
        <w:t>Office for National Statistics.</w:t>
      </w:r>
    </w:p>
    <w:p w14:paraId="610C69AB" w14:textId="465FB08E"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Overcrowding </w:t>
      </w:r>
      <w:r w:rsidRPr="0067297E">
        <w:rPr>
          <w:rFonts w:asciiTheme="minorHAnsi" w:hAnsiTheme="minorHAnsi" w:cs="Arial"/>
        </w:rPr>
        <w:t xml:space="preserve">occurs when, using the </w:t>
      </w:r>
      <w:r w:rsidRPr="0067297E">
        <w:rPr>
          <w:rFonts w:asciiTheme="minorHAnsi" w:hAnsiTheme="minorHAnsi" w:cs="Arial"/>
          <w:bCs/>
        </w:rPr>
        <w:t>bedroom standard</w:t>
      </w:r>
      <w:r w:rsidRPr="0067297E">
        <w:rPr>
          <w:rFonts w:asciiTheme="minorHAnsi" w:hAnsiTheme="minorHAnsi" w:cs="Arial"/>
        </w:rPr>
        <w:t xml:space="preserve">, there are insufficient bedrooms in the property based on the number of residents and their age/sex/marital status composition. </w:t>
      </w:r>
    </w:p>
    <w:p w14:paraId="0F03D6E9" w14:textId="1AC77B6A" w:rsidR="00FA273F" w:rsidRPr="0067297E" w:rsidRDefault="00FA273F" w:rsidP="0050310B">
      <w:pPr>
        <w:spacing w:before="120" w:after="120"/>
        <w:rPr>
          <w:rFonts w:asciiTheme="minorHAnsi" w:hAnsiTheme="minorHAnsi" w:cs="Arial"/>
        </w:rPr>
      </w:pPr>
      <w:r w:rsidRPr="0067297E">
        <w:rPr>
          <w:rFonts w:asciiTheme="minorHAnsi" w:hAnsiTheme="minorHAnsi" w:cs="Arial"/>
          <w:b/>
        </w:rPr>
        <w:t xml:space="preserve">PCM </w:t>
      </w:r>
      <w:r w:rsidRPr="0067297E">
        <w:rPr>
          <w:rFonts w:asciiTheme="minorHAnsi" w:hAnsiTheme="minorHAnsi" w:cs="Arial"/>
        </w:rPr>
        <w:t>Per Calendar month</w:t>
      </w:r>
    </w:p>
    <w:p w14:paraId="1FC8903D" w14:textId="6DAAD201" w:rsidR="00255B16" w:rsidRPr="0067297E" w:rsidRDefault="00255B16" w:rsidP="0050310B">
      <w:pPr>
        <w:spacing w:before="120" w:after="120"/>
        <w:rPr>
          <w:rFonts w:asciiTheme="minorHAnsi" w:hAnsiTheme="minorHAnsi" w:cs="Arial"/>
        </w:rPr>
      </w:pPr>
      <w:r w:rsidRPr="0067297E">
        <w:rPr>
          <w:rFonts w:asciiTheme="minorHAnsi" w:hAnsiTheme="minorHAnsi" w:cs="Arial"/>
          <w:b/>
        </w:rPr>
        <w:t>PFI:</w:t>
      </w:r>
      <w:r w:rsidRPr="0067297E">
        <w:rPr>
          <w:rFonts w:asciiTheme="minorHAnsi" w:hAnsiTheme="minorHAnsi" w:cs="Arial"/>
        </w:rPr>
        <w:t xml:space="preserve"> Private Finance Initiative</w:t>
      </w:r>
    </w:p>
    <w:p w14:paraId="3BB2D388" w14:textId="6F0DB5BD" w:rsidR="00116319" w:rsidRPr="0067297E" w:rsidRDefault="00116319" w:rsidP="0050310B">
      <w:pPr>
        <w:spacing w:before="120" w:after="120"/>
        <w:rPr>
          <w:rFonts w:asciiTheme="minorHAnsi" w:hAnsiTheme="minorHAnsi"/>
          <w:color w:val="000000" w:themeColor="text1"/>
        </w:rPr>
      </w:pPr>
      <w:r w:rsidRPr="0067297E">
        <w:rPr>
          <w:rFonts w:asciiTheme="minorHAnsi" w:hAnsiTheme="minorHAnsi" w:cs="Arial"/>
          <w:b/>
          <w:bCs/>
          <w:color w:val="000000" w:themeColor="text1"/>
        </w:rPr>
        <w:t xml:space="preserve">PRS Private Rented Sector comprises </w:t>
      </w:r>
      <w:r w:rsidRPr="0067297E">
        <w:rPr>
          <w:rFonts w:asciiTheme="minorHAnsi" w:hAnsiTheme="minorHAnsi"/>
          <w:color w:val="000000" w:themeColor="text1"/>
          <w:shd w:val="clear" w:color="auto" w:fill="FFFFFF"/>
        </w:rPr>
        <w:t>property owned by a landlord and leased to a tenant. The landlord, in this case, could be an individual, a property company or an institutional investor. The tenants would either deal directly with an individual landlord, or alternatively with a management company or estate agency caring for the property on behalf of the landlord.</w:t>
      </w:r>
    </w:p>
    <w:p w14:paraId="6C524622" w14:textId="372ADF68"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Relets </w:t>
      </w:r>
      <w:r w:rsidRPr="0067297E">
        <w:rPr>
          <w:rFonts w:asciiTheme="minorHAnsi" w:hAnsiTheme="minorHAnsi" w:cs="Arial"/>
        </w:rPr>
        <w:t>Council/Registered Provider rented accommodation that becomes vacant due to the departure of a previous tenant; therefore the accommodation can be re‐let to another tenant or new applicant on the Housing Register.</w:t>
      </w:r>
    </w:p>
    <w:p w14:paraId="2B596C41" w14:textId="7EA3DDC2"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Registered Provider </w:t>
      </w:r>
      <w:r w:rsidRPr="0067297E">
        <w:rPr>
          <w:rFonts w:asciiTheme="minorHAnsi" w:hAnsiTheme="minorHAnsi" w:cs="Arial"/>
        </w:rPr>
        <w:t xml:space="preserve">A Housing Association or a not‐for‐profit company, registered by the Tenants Services Authority (TSA), which provides social housing. Also </w:t>
      </w:r>
      <w:r w:rsidR="005B2517" w:rsidRPr="0067297E">
        <w:rPr>
          <w:rFonts w:asciiTheme="minorHAnsi" w:hAnsiTheme="minorHAnsi" w:cs="Arial"/>
        </w:rPr>
        <w:t>referred</w:t>
      </w:r>
      <w:r w:rsidRPr="0067297E">
        <w:rPr>
          <w:rFonts w:asciiTheme="minorHAnsi" w:hAnsiTheme="minorHAnsi" w:cs="Arial"/>
        </w:rPr>
        <w:t xml:space="preserve"> to as a </w:t>
      </w:r>
      <w:r w:rsidR="005B2517" w:rsidRPr="0067297E">
        <w:rPr>
          <w:rFonts w:asciiTheme="minorHAnsi" w:hAnsiTheme="minorHAnsi" w:cs="Arial"/>
        </w:rPr>
        <w:t>Registered</w:t>
      </w:r>
      <w:r w:rsidRPr="0067297E">
        <w:rPr>
          <w:rFonts w:asciiTheme="minorHAnsi" w:hAnsiTheme="minorHAnsi" w:cs="Arial"/>
        </w:rPr>
        <w:t xml:space="preserve"> Social Landlord</w:t>
      </w:r>
    </w:p>
    <w:p w14:paraId="209AD4A7" w14:textId="103A8A70" w:rsidR="00255B16" w:rsidRPr="0067297E" w:rsidRDefault="00255B16" w:rsidP="0050310B">
      <w:pPr>
        <w:spacing w:before="120" w:after="120"/>
        <w:rPr>
          <w:rFonts w:asciiTheme="minorHAnsi" w:hAnsiTheme="minorHAnsi" w:cs="Arial"/>
          <w:b/>
          <w:bCs/>
        </w:rPr>
      </w:pPr>
      <w:r w:rsidRPr="0067297E">
        <w:rPr>
          <w:rFonts w:asciiTheme="minorHAnsi" w:hAnsiTheme="minorHAnsi" w:cs="Arial"/>
          <w:b/>
        </w:rPr>
        <w:t>Registered Social landlord</w:t>
      </w:r>
      <w:r w:rsidRPr="0067297E">
        <w:rPr>
          <w:rFonts w:asciiTheme="minorHAnsi" w:hAnsiTheme="minorHAnsi" w:cs="Arial"/>
        </w:rPr>
        <w:t xml:space="preserve"> – see Registered Provider</w:t>
      </w:r>
    </w:p>
    <w:p w14:paraId="0F3DB21D" w14:textId="1417397D" w:rsidR="00FA273F" w:rsidRPr="0067297E" w:rsidRDefault="00FA273F" w:rsidP="0050310B">
      <w:pPr>
        <w:spacing w:before="120" w:after="120"/>
        <w:rPr>
          <w:rFonts w:asciiTheme="minorHAnsi" w:hAnsiTheme="minorHAnsi"/>
        </w:rPr>
      </w:pPr>
      <w:r w:rsidRPr="0067297E">
        <w:rPr>
          <w:rFonts w:asciiTheme="minorHAnsi" w:hAnsiTheme="minorHAnsi" w:cs="Arial"/>
          <w:b/>
        </w:rPr>
        <w:t xml:space="preserve">Rental </w:t>
      </w:r>
      <w:r w:rsidR="00213D17" w:rsidRPr="0067297E">
        <w:rPr>
          <w:rFonts w:asciiTheme="minorHAnsi" w:hAnsiTheme="minorHAnsi" w:cs="Arial"/>
          <w:b/>
        </w:rPr>
        <w:t>Yield</w:t>
      </w:r>
      <w:r w:rsidRPr="0067297E">
        <w:rPr>
          <w:rFonts w:asciiTheme="minorHAnsi" w:hAnsiTheme="minorHAnsi" w:cs="Arial"/>
          <w:b/>
        </w:rPr>
        <w:t xml:space="preserve"> </w:t>
      </w:r>
      <w:r w:rsidRPr="0067297E">
        <w:rPr>
          <w:rFonts w:asciiTheme="minorHAnsi" w:hAnsiTheme="minorHAnsi" w:cs="Arial"/>
          <w:color w:val="222222"/>
          <w:shd w:val="clear" w:color="auto" w:fill="FFFFFF"/>
        </w:rPr>
        <w:t>is a measure of how much cash is produced each year as a percentage of a property’s value. For private rented dwellings it is the </w:t>
      </w:r>
      <w:r w:rsidRPr="0067297E">
        <w:rPr>
          <w:rFonts w:asciiTheme="minorHAnsi" w:hAnsiTheme="minorHAnsi" w:cs="Arial"/>
          <w:b/>
          <w:bCs/>
          <w:color w:val="222222"/>
        </w:rPr>
        <w:t>rental</w:t>
      </w:r>
      <w:r w:rsidRPr="0067297E">
        <w:rPr>
          <w:rFonts w:asciiTheme="minorHAnsi" w:hAnsiTheme="minorHAnsi" w:cs="Arial"/>
          <w:color w:val="222222"/>
          <w:shd w:val="clear" w:color="auto" w:fill="FFFFFF"/>
        </w:rPr>
        <w:t> income as a percentage of the property's value.</w:t>
      </w:r>
    </w:p>
    <w:p w14:paraId="6EDCD8BE" w14:textId="78818989" w:rsidR="00255B16" w:rsidRPr="0067297E" w:rsidRDefault="00255B16" w:rsidP="0050310B">
      <w:pPr>
        <w:spacing w:before="120" w:after="120"/>
        <w:rPr>
          <w:rFonts w:asciiTheme="minorHAnsi" w:hAnsiTheme="minorHAnsi" w:cs="Arial"/>
        </w:rPr>
      </w:pPr>
      <w:r w:rsidRPr="0067297E">
        <w:rPr>
          <w:rFonts w:asciiTheme="minorHAnsi" w:hAnsiTheme="minorHAnsi" w:cs="Arial"/>
          <w:b/>
        </w:rPr>
        <w:t>Residential Care Home</w:t>
      </w:r>
      <w:r w:rsidRPr="0067297E">
        <w:rPr>
          <w:rFonts w:asciiTheme="minorHAnsi" w:hAnsiTheme="minorHAnsi" w:cs="Arial"/>
        </w:rPr>
        <w:t xml:space="preserve"> is accommodation where you normally have a bedroom and the use of a shared lounge with other residents. Personal care is provided – bathing, help dressing, meals etc. </w:t>
      </w:r>
    </w:p>
    <w:p w14:paraId="2973D534" w14:textId="58373559" w:rsidR="00255B16"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Right to Buy (RTB) </w:t>
      </w:r>
      <w:r w:rsidRPr="0067297E">
        <w:rPr>
          <w:rFonts w:asciiTheme="minorHAnsi" w:hAnsiTheme="minorHAnsi" w:cs="Arial"/>
        </w:rPr>
        <w:t>The Right To Buy Scheme gives eligible council tenants the right to buy their property from their council at a discount. Many RP tenants have similar rights under the Right To Acquire.</w:t>
      </w:r>
    </w:p>
    <w:p w14:paraId="0E0B1DEB" w14:textId="77777777" w:rsidR="00BA0A2B" w:rsidRPr="0067297E" w:rsidRDefault="00BA0A2B" w:rsidP="0050310B">
      <w:pPr>
        <w:spacing w:before="120" w:after="120"/>
        <w:rPr>
          <w:rFonts w:asciiTheme="minorHAnsi" w:hAnsiTheme="minorHAnsi" w:cs="Arial"/>
          <w:b/>
          <w:bCs/>
        </w:rPr>
      </w:pPr>
      <w:r w:rsidRPr="0067297E">
        <w:rPr>
          <w:rFonts w:asciiTheme="minorHAnsi" w:hAnsiTheme="minorHAnsi" w:cs="Arial"/>
          <w:b/>
          <w:bCs/>
        </w:rPr>
        <w:t xml:space="preserve">Sheltered Housing </w:t>
      </w:r>
      <w:r w:rsidRPr="0067297E">
        <w:rPr>
          <w:rFonts w:asciiTheme="minorHAnsi" w:hAnsiTheme="minorHAnsi" w:cs="Arial"/>
          <w:bCs/>
        </w:rPr>
        <w:t xml:space="preserve">is usually a group of bungalows or flats and you have your own front door. Schemes usually have a manager/warden to arrange services and are linked to a careline/alarm system. </w:t>
      </w:r>
    </w:p>
    <w:p w14:paraId="7C5EF22C" w14:textId="77777777" w:rsidR="00255B16" w:rsidRPr="0067297E" w:rsidRDefault="00255B16" w:rsidP="0050310B">
      <w:pPr>
        <w:spacing w:before="120" w:after="120"/>
        <w:rPr>
          <w:rFonts w:asciiTheme="minorHAnsi" w:hAnsiTheme="minorHAnsi" w:cs="Arial"/>
          <w:lang w:eastAsia="en-GB"/>
        </w:rPr>
      </w:pPr>
      <w:r w:rsidRPr="0067297E">
        <w:rPr>
          <w:rFonts w:asciiTheme="minorHAnsi" w:hAnsiTheme="minorHAnsi" w:cs="Arial"/>
          <w:b/>
          <w:lang w:eastAsia="en-GB"/>
        </w:rPr>
        <w:t xml:space="preserve">SHLAA: </w:t>
      </w:r>
      <w:r w:rsidRPr="0067297E">
        <w:rPr>
          <w:rFonts w:asciiTheme="minorHAnsi" w:hAnsiTheme="minorHAnsi" w:cs="Arial"/>
          <w:lang w:eastAsia="en-GB"/>
        </w:rPr>
        <w:t>Strategic Housing Land Availability Assessment</w:t>
      </w:r>
    </w:p>
    <w:p w14:paraId="617D7FCA" w14:textId="21CD9BDE" w:rsidR="00255B16" w:rsidRPr="0067297E" w:rsidRDefault="00255B16" w:rsidP="0050310B">
      <w:pPr>
        <w:spacing w:before="120" w:after="120"/>
        <w:rPr>
          <w:rFonts w:asciiTheme="minorHAnsi" w:hAnsiTheme="minorHAnsi" w:cs="Arial"/>
          <w:lang w:eastAsia="en-GB"/>
        </w:rPr>
      </w:pPr>
      <w:r w:rsidRPr="0067297E">
        <w:rPr>
          <w:rFonts w:asciiTheme="minorHAnsi" w:hAnsiTheme="minorHAnsi" w:cs="Arial"/>
          <w:b/>
          <w:lang w:eastAsia="en-GB"/>
        </w:rPr>
        <w:t xml:space="preserve">SHMA: </w:t>
      </w:r>
      <w:r w:rsidRPr="0067297E">
        <w:rPr>
          <w:rFonts w:asciiTheme="minorHAnsi" w:hAnsiTheme="minorHAnsi" w:cs="Arial"/>
          <w:lang w:eastAsia="en-GB"/>
        </w:rPr>
        <w:t>Strategic Housing Market Assessment</w:t>
      </w:r>
    </w:p>
    <w:p w14:paraId="269C4153" w14:textId="5C9886D6" w:rsidR="00255B16" w:rsidRPr="0067297E" w:rsidRDefault="00255B16" w:rsidP="0050310B">
      <w:pPr>
        <w:spacing w:before="120" w:after="120"/>
        <w:rPr>
          <w:rFonts w:asciiTheme="minorHAnsi" w:hAnsiTheme="minorHAnsi" w:cs="Arial"/>
          <w:lang w:eastAsia="en-GB"/>
        </w:rPr>
      </w:pPr>
      <w:r w:rsidRPr="0067297E">
        <w:rPr>
          <w:rFonts w:asciiTheme="minorHAnsi" w:hAnsiTheme="minorHAnsi" w:cs="Arial"/>
          <w:b/>
          <w:lang w:eastAsia="en-GB"/>
        </w:rPr>
        <w:t>Social rented</w:t>
      </w:r>
      <w:r w:rsidRPr="0067297E">
        <w:rPr>
          <w:rFonts w:asciiTheme="minorHAnsi" w:hAnsiTheme="minorHAnsi" w:cs="Arial"/>
          <w:lang w:eastAsia="en-GB"/>
        </w:rPr>
        <w:t xml:space="preserve"> housing is owned by local authorities and private registered providers (as defined in section 80 of the Housing and Regeneration Act 2008), for which guideline target rents are determined through the national rent regime. It may also be owned by other persons and provided under equivalent rental arrangements to the above, as agreed with the local authority or with the Homes and Communities Agency.</w:t>
      </w:r>
    </w:p>
    <w:p w14:paraId="1D4313CF" w14:textId="376E8CBC" w:rsidR="00812810" w:rsidRPr="0067297E" w:rsidRDefault="00812810" w:rsidP="0050310B">
      <w:pPr>
        <w:pStyle w:val="Reporttext"/>
        <w:numPr>
          <w:ilvl w:val="0"/>
          <w:numId w:val="0"/>
        </w:numPr>
        <w:rPr>
          <w:rFonts w:asciiTheme="minorHAnsi" w:hAnsiTheme="minorHAnsi" w:cs="Calibri"/>
          <w:lang w:val="en-GB"/>
        </w:rPr>
      </w:pPr>
      <w:r w:rsidRPr="0067297E">
        <w:rPr>
          <w:rFonts w:asciiTheme="minorHAnsi" w:hAnsiTheme="minorHAnsi" w:cs="Calibri"/>
          <w:b/>
          <w:lang w:val="en-GB"/>
        </w:rPr>
        <w:t>Starter homes</w:t>
      </w:r>
      <w:r w:rsidRPr="0067297E">
        <w:rPr>
          <w:rFonts w:asciiTheme="minorHAnsi" w:hAnsiTheme="minorHAnsi" w:cs="Calibri"/>
          <w:lang w:val="en-GB"/>
        </w:rPr>
        <w:t xml:space="preserve"> is as specified in Sections 2 and 3 of the Housing and Planning Act 2016 and any secondary legislation made under these sections. The definition of a starter home should reflect the meaning set out in statute and any such secondary legislation at the time of plan-preparation or decision-making. Where secondary legislation has the effect of limiting a household’s eligibility to purchase a starter home to those with a particular maximum level of household income, those restrictions should be used.</w:t>
      </w:r>
    </w:p>
    <w:p w14:paraId="7399FCE5" w14:textId="77777777" w:rsidR="00255B16" w:rsidRPr="0067297E" w:rsidRDefault="00255B16" w:rsidP="0050310B">
      <w:pPr>
        <w:spacing w:before="120" w:after="120"/>
        <w:rPr>
          <w:rFonts w:asciiTheme="minorHAnsi" w:hAnsiTheme="minorHAnsi" w:cs="Arial"/>
        </w:rPr>
      </w:pPr>
      <w:r w:rsidRPr="0067297E">
        <w:rPr>
          <w:rFonts w:asciiTheme="minorHAnsi" w:hAnsiTheme="minorHAnsi" w:cs="Arial"/>
          <w:b/>
        </w:rPr>
        <w:t>TSA:</w:t>
      </w:r>
      <w:r w:rsidRPr="0067297E">
        <w:rPr>
          <w:rFonts w:asciiTheme="minorHAnsi" w:hAnsiTheme="minorHAnsi" w:cs="Arial"/>
        </w:rPr>
        <w:t xml:space="preserve"> Tenant Services Authority</w:t>
      </w:r>
    </w:p>
    <w:p w14:paraId="3DE7DD52" w14:textId="3638C907" w:rsidR="0038038C" w:rsidRPr="0067297E" w:rsidRDefault="00255B16" w:rsidP="0050310B">
      <w:pPr>
        <w:spacing w:before="120" w:after="120"/>
        <w:rPr>
          <w:rFonts w:asciiTheme="minorHAnsi" w:hAnsiTheme="minorHAnsi" w:cs="Arial"/>
        </w:rPr>
      </w:pPr>
      <w:r w:rsidRPr="0067297E">
        <w:rPr>
          <w:rFonts w:asciiTheme="minorHAnsi" w:hAnsiTheme="minorHAnsi" w:cs="Arial"/>
          <w:b/>
          <w:bCs/>
        </w:rPr>
        <w:t xml:space="preserve">Under Occupation </w:t>
      </w:r>
      <w:r w:rsidRPr="0067297E">
        <w:rPr>
          <w:rFonts w:asciiTheme="minorHAnsi" w:hAnsiTheme="minorHAnsi" w:cs="Arial"/>
        </w:rPr>
        <w:t xml:space="preserve">A household is under‐occupying if more than one spare bedroom is available, using the </w:t>
      </w:r>
      <w:r w:rsidRPr="0067297E">
        <w:rPr>
          <w:rFonts w:asciiTheme="minorHAnsi" w:hAnsiTheme="minorHAnsi" w:cs="Arial"/>
          <w:bCs/>
        </w:rPr>
        <w:t>bedroom standard</w:t>
      </w:r>
      <w:r w:rsidRPr="0067297E">
        <w:rPr>
          <w:rFonts w:asciiTheme="minorHAnsi" w:hAnsiTheme="minorHAnsi" w:cs="Arial"/>
          <w:b/>
          <w:bCs/>
        </w:rPr>
        <w:t xml:space="preserve"> </w:t>
      </w:r>
      <w:r w:rsidRPr="0067297E">
        <w:rPr>
          <w:rFonts w:asciiTheme="minorHAnsi" w:hAnsiTheme="minorHAnsi" w:cs="Arial"/>
        </w:rPr>
        <w:t xml:space="preserve">as a test. </w:t>
      </w:r>
    </w:p>
    <w:sectPr w:rsidR="0038038C" w:rsidRPr="0067297E" w:rsidSect="00164789">
      <w:headerReference w:type="default" r:id="rId124"/>
      <w:footerReference w:type="default" r:id="rId125"/>
      <w:pgSz w:w="11907" w:h="16840" w:code="9"/>
      <w:pgMar w:top="1440" w:right="1275" w:bottom="1134" w:left="1440" w:header="720" w:footer="567"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F207D2" w14:textId="77777777" w:rsidR="00CA31B3" w:rsidRDefault="00CA31B3">
      <w:r>
        <w:separator/>
      </w:r>
    </w:p>
  </w:endnote>
  <w:endnote w:type="continuationSeparator" w:id="0">
    <w:p w14:paraId="3BE2A61F" w14:textId="77777777" w:rsidR="00CA31B3" w:rsidRDefault="00CA31B3">
      <w:r>
        <w:continuationSeparator/>
      </w:r>
    </w:p>
  </w:endnote>
  <w:endnote w:type="continuationNotice" w:id="1">
    <w:p w14:paraId="3CA5B1AB" w14:textId="77777777" w:rsidR="00CA31B3" w:rsidRDefault="00CA31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Sans">
    <w:altName w:val="Arial"/>
    <w:charset w:val="B1"/>
    <w:family w:val="swiss"/>
    <w:pitch w:val="variable"/>
    <w:sig w:usb0="80000A67" w:usb1="00000000" w:usb2="00000000" w:usb3="00000000" w:csb0="000001F7" w:csb1="00000000"/>
  </w:font>
  <w:font w:name="GillSans Light">
    <w:altName w:val="Arial"/>
    <w:charset w:val="B1"/>
    <w:family w:val="swiss"/>
    <w:pitch w:val="variable"/>
    <w:sig w:usb0="80000A67"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Gill Sans MT">
    <w:charset w:val="4D"/>
    <w:family w:val="swiss"/>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ill Sans MT Pro Medium">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35175" w14:textId="77777777" w:rsidR="00CA31B3" w:rsidRDefault="00CA31B3" w:rsidP="006E0398">
    <w:pPr>
      <w:pStyle w:val="Footer-Abra"/>
      <w:pBdr>
        <w:top w:val="single" w:sz="18" w:space="1" w:color="0D5F5D"/>
      </w:pBdr>
      <w:tabs>
        <w:tab w:val="clear" w:pos="8640"/>
        <w:tab w:val="right" w:pos="9072"/>
        <w:tab w:val="right" w:pos="14742"/>
      </w:tabs>
      <w:ind w:right="-46"/>
      <w:rPr>
        <w:rFonts w:ascii="Arial" w:hAnsi="Arial" w:cs="Arial"/>
        <w:color w:val="0070C0"/>
        <w:sz w:val="20"/>
        <w:szCs w:val="20"/>
      </w:rPr>
    </w:pPr>
    <w:r>
      <w:rPr>
        <w:rFonts w:ascii="Arial" w:hAnsi="Arial" w:cs="Arial"/>
        <w:noProof/>
        <w:color w:val="009999"/>
        <w:sz w:val="18"/>
        <w:szCs w:val="20"/>
        <w:lang w:eastAsia="en-GB"/>
      </w:rPr>
      <w:drawing>
        <wp:anchor distT="0" distB="0" distL="114300" distR="114300" simplePos="0" relativeHeight="251653120" behindDoc="1" locked="0" layoutInCell="1" allowOverlap="1" wp14:anchorId="05B41162" wp14:editId="69E1FDE8">
          <wp:simplePos x="0" y="0"/>
          <wp:positionH relativeFrom="column">
            <wp:posOffset>5036185</wp:posOffset>
          </wp:positionH>
          <wp:positionV relativeFrom="paragraph">
            <wp:posOffset>49530</wp:posOffset>
          </wp:positionV>
          <wp:extent cx="723900" cy="419100"/>
          <wp:effectExtent l="0" t="0" r="0" b="0"/>
          <wp:wrapThrough wrapText="bothSides">
            <wp:wrapPolygon edited="0">
              <wp:start x="10232" y="0"/>
              <wp:lineTo x="0" y="9818"/>
              <wp:lineTo x="0" y="19636"/>
              <wp:lineTo x="17053" y="20618"/>
              <wp:lineTo x="19895" y="20618"/>
              <wp:lineTo x="21032" y="16691"/>
              <wp:lineTo x="21032" y="2945"/>
              <wp:lineTo x="18189" y="0"/>
              <wp:lineTo x="10232" y="0"/>
            </wp:wrapPolygon>
          </wp:wrapThrough>
          <wp:docPr id="57" name="Picture 57" descr="C:\Users\Sandie Brand\Documents\ARC4\Logos\Various File Formats\PNG\Logo small.pn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ie Brand\Documents\ARC4\Logos\Various File Formats\PNG\Logo sma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anchor>
      </w:drawing>
    </w:r>
  </w:p>
  <w:p w14:paraId="44E8A755" w14:textId="77777777" w:rsidR="00CA31B3" w:rsidRPr="00B263C9" w:rsidRDefault="00CA31B3" w:rsidP="00B263C9">
    <w:pPr>
      <w:pStyle w:val="Footer-Abra"/>
      <w:tabs>
        <w:tab w:val="clear" w:pos="8640"/>
        <w:tab w:val="right" w:pos="9356"/>
        <w:tab w:val="right" w:pos="14742"/>
      </w:tabs>
      <w:rPr>
        <w:rFonts w:ascii="Arial" w:hAnsi="Arial" w:cs="Arial"/>
        <w:color w:val="009999"/>
        <w:sz w:val="18"/>
        <w:szCs w:val="20"/>
      </w:rPr>
    </w:pPr>
    <w:r>
      <w:rPr>
        <w:rFonts w:ascii="Arial" w:hAnsi="Arial" w:cs="Arial"/>
        <w:color w:val="009999"/>
        <w:sz w:val="18"/>
        <w:szCs w:val="20"/>
      </w:rPr>
      <w:t>February 2016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A5435"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16448" behindDoc="1" locked="0" layoutInCell="1" allowOverlap="1" wp14:anchorId="3FD4BF04" wp14:editId="5D4B951C">
          <wp:simplePos x="0" y="0"/>
          <wp:positionH relativeFrom="margin">
            <wp:align>right</wp:align>
          </wp:positionH>
          <wp:positionV relativeFrom="paragraph">
            <wp:posOffset>120015</wp:posOffset>
          </wp:positionV>
          <wp:extent cx="466725" cy="269875"/>
          <wp:effectExtent l="0" t="0" r="9525" b="0"/>
          <wp:wrapNone/>
          <wp:docPr id="7176" name="Picture 7176"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69950A5F" w14:textId="7921EE20"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714AA"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14400" behindDoc="1" locked="0" layoutInCell="1" allowOverlap="1" wp14:anchorId="2C55337E" wp14:editId="37A42AC4">
          <wp:simplePos x="0" y="0"/>
          <wp:positionH relativeFrom="margin">
            <wp:align>right</wp:align>
          </wp:positionH>
          <wp:positionV relativeFrom="paragraph">
            <wp:posOffset>120015</wp:posOffset>
          </wp:positionV>
          <wp:extent cx="466725" cy="269875"/>
          <wp:effectExtent l="0" t="0" r="9525" b="0"/>
          <wp:wrapNone/>
          <wp:docPr id="7177" name="Picture 7177"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418D7D90" w14:textId="421C057D"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024D"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32832" behindDoc="1" locked="0" layoutInCell="1" allowOverlap="1" wp14:anchorId="51355773" wp14:editId="300961A5">
          <wp:simplePos x="0" y="0"/>
          <wp:positionH relativeFrom="margin">
            <wp:posOffset>5368290</wp:posOffset>
          </wp:positionH>
          <wp:positionV relativeFrom="paragraph">
            <wp:posOffset>135255</wp:posOffset>
          </wp:positionV>
          <wp:extent cx="466725" cy="269875"/>
          <wp:effectExtent l="0" t="0" r="9525" b="0"/>
          <wp:wrapNone/>
          <wp:docPr id="7181" name="Picture 7181"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53D5EEC1" w14:textId="1AA2F834"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6981B"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12352" behindDoc="1" locked="0" layoutInCell="1" allowOverlap="1" wp14:anchorId="544838BD" wp14:editId="72F3B282">
          <wp:simplePos x="0" y="0"/>
          <wp:positionH relativeFrom="margin">
            <wp:align>right</wp:align>
          </wp:positionH>
          <wp:positionV relativeFrom="paragraph">
            <wp:posOffset>120015</wp:posOffset>
          </wp:positionV>
          <wp:extent cx="466725" cy="269875"/>
          <wp:effectExtent l="0" t="0" r="9525" b="0"/>
          <wp:wrapNone/>
          <wp:docPr id="7185" name="Picture 7185"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79529624" w14:textId="516E0A48"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AFA44"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10304" behindDoc="1" locked="0" layoutInCell="1" allowOverlap="1" wp14:anchorId="0C407547" wp14:editId="0A140E94">
          <wp:simplePos x="0" y="0"/>
          <wp:positionH relativeFrom="margin">
            <wp:posOffset>5368290</wp:posOffset>
          </wp:positionH>
          <wp:positionV relativeFrom="paragraph">
            <wp:posOffset>135255</wp:posOffset>
          </wp:positionV>
          <wp:extent cx="466725" cy="269875"/>
          <wp:effectExtent l="0" t="0" r="9525" b="0"/>
          <wp:wrapNone/>
          <wp:docPr id="7189" name="Picture 7189"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7AC86EA8" w14:textId="278C42FB"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27462"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08256" behindDoc="1" locked="0" layoutInCell="1" allowOverlap="1" wp14:anchorId="44691714" wp14:editId="4850B6A0">
          <wp:simplePos x="0" y="0"/>
          <wp:positionH relativeFrom="margin">
            <wp:align>right</wp:align>
          </wp:positionH>
          <wp:positionV relativeFrom="paragraph">
            <wp:posOffset>112395</wp:posOffset>
          </wp:positionV>
          <wp:extent cx="466725" cy="269875"/>
          <wp:effectExtent l="0" t="0" r="9525" b="0"/>
          <wp:wrapNone/>
          <wp:docPr id="7195" name="Picture 7195"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79B2B2EE" w14:textId="3B6567F4"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B4F12"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02112" behindDoc="1" locked="0" layoutInCell="1" allowOverlap="1" wp14:anchorId="4AE4F551" wp14:editId="153732B3">
          <wp:simplePos x="0" y="0"/>
          <wp:positionH relativeFrom="margin">
            <wp:posOffset>5368290</wp:posOffset>
          </wp:positionH>
          <wp:positionV relativeFrom="paragraph">
            <wp:posOffset>135255</wp:posOffset>
          </wp:positionV>
          <wp:extent cx="466725" cy="269875"/>
          <wp:effectExtent l="0" t="0" r="9525" b="0"/>
          <wp:wrapNone/>
          <wp:docPr id="7196" name="Picture 7196"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080606F0" w14:textId="7F2A95F0"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A509A" w14:textId="743C506F"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43072" behindDoc="1" locked="0" layoutInCell="1" allowOverlap="1" wp14:anchorId="4AF5F39D" wp14:editId="01A0C497">
          <wp:simplePos x="0" y="0"/>
          <wp:positionH relativeFrom="margin">
            <wp:align>right</wp:align>
          </wp:positionH>
          <wp:positionV relativeFrom="paragraph">
            <wp:posOffset>119352</wp:posOffset>
          </wp:positionV>
          <wp:extent cx="466725" cy="269875"/>
          <wp:effectExtent l="0" t="0" r="9525" b="0"/>
          <wp:wrapNone/>
          <wp:docPr id="2" name="Picture 2"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2523014F" w14:textId="77777777"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0F63D"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45120" behindDoc="1" locked="0" layoutInCell="1" allowOverlap="1" wp14:anchorId="58AEB722" wp14:editId="0FA273E1">
          <wp:simplePos x="0" y="0"/>
          <wp:positionH relativeFrom="margin">
            <wp:posOffset>5368290</wp:posOffset>
          </wp:positionH>
          <wp:positionV relativeFrom="paragraph">
            <wp:posOffset>135255</wp:posOffset>
          </wp:positionV>
          <wp:extent cx="466725" cy="269875"/>
          <wp:effectExtent l="0" t="0" r="9525" b="0"/>
          <wp:wrapNone/>
          <wp:docPr id="3" name="Picture 3"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672384E8" w14:textId="77777777"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8F290"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00064" behindDoc="1" locked="0" layoutInCell="1" allowOverlap="1" wp14:anchorId="596C2372" wp14:editId="76430203">
          <wp:simplePos x="0" y="0"/>
          <wp:positionH relativeFrom="margin">
            <wp:align>right</wp:align>
          </wp:positionH>
          <wp:positionV relativeFrom="paragraph">
            <wp:posOffset>120015</wp:posOffset>
          </wp:positionV>
          <wp:extent cx="466725" cy="269875"/>
          <wp:effectExtent l="0" t="0" r="9525" b="0"/>
          <wp:wrapNone/>
          <wp:docPr id="7197" name="Picture 7197"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41955C2E" w14:textId="545B8C96"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85A58" w14:textId="49AD61F1" w:rsidR="00CA31B3" w:rsidRDefault="00CA31B3" w:rsidP="00FE05AD">
    <w:pPr>
      <w:pStyle w:val="Footer-Abra"/>
      <w:pBdr>
        <w:top w:val="single" w:sz="18" w:space="1" w:color="0D5F5D"/>
      </w:pBdr>
      <w:tabs>
        <w:tab w:val="clear" w:pos="4320"/>
        <w:tab w:val="clear" w:pos="8640"/>
        <w:tab w:val="right" w:pos="9190"/>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22592" behindDoc="1" locked="0" layoutInCell="1" allowOverlap="1" wp14:anchorId="3CF418C1" wp14:editId="2191DE0B">
          <wp:simplePos x="0" y="0"/>
          <wp:positionH relativeFrom="margin">
            <wp:posOffset>5368290</wp:posOffset>
          </wp:positionH>
          <wp:positionV relativeFrom="paragraph">
            <wp:posOffset>135255</wp:posOffset>
          </wp:positionV>
          <wp:extent cx="466725" cy="269875"/>
          <wp:effectExtent l="0" t="0" r="9525" b="0"/>
          <wp:wrapNone/>
          <wp:docPr id="6" name="Picture 6"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r>
      <w:rPr>
        <w:rFonts w:ascii="Calibri" w:hAnsi="Calibri" w:cs="Calibri"/>
        <w:color w:val="009999"/>
        <w:sz w:val="18"/>
        <w:szCs w:val="20"/>
      </w:rPr>
      <w:tab/>
    </w:r>
  </w:p>
  <w:p w14:paraId="7576BF8B" w14:textId="51235975"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06BC9"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795968" behindDoc="1" locked="0" layoutInCell="1" allowOverlap="1" wp14:anchorId="0A06F345" wp14:editId="03B131A4">
          <wp:simplePos x="0" y="0"/>
          <wp:positionH relativeFrom="margin">
            <wp:posOffset>5368290</wp:posOffset>
          </wp:positionH>
          <wp:positionV relativeFrom="paragraph">
            <wp:posOffset>135255</wp:posOffset>
          </wp:positionV>
          <wp:extent cx="466725" cy="269875"/>
          <wp:effectExtent l="0" t="0" r="9525" b="0"/>
          <wp:wrapNone/>
          <wp:docPr id="7198" name="Picture 7198"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77997C4A" w14:textId="6268CEA2"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81D21"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793920" behindDoc="1" locked="0" layoutInCell="1" allowOverlap="1" wp14:anchorId="794808FC" wp14:editId="3FCA207E">
          <wp:simplePos x="0" y="0"/>
          <wp:positionH relativeFrom="margin">
            <wp:align>right</wp:align>
          </wp:positionH>
          <wp:positionV relativeFrom="paragraph">
            <wp:posOffset>112395</wp:posOffset>
          </wp:positionV>
          <wp:extent cx="466725" cy="269875"/>
          <wp:effectExtent l="0" t="0" r="9525" b="0"/>
          <wp:wrapNone/>
          <wp:docPr id="7199" name="Picture 7199"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32440F37" w14:textId="7C65F7BF"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olor w:val="auto"/>
        <w:sz w:val="20"/>
        <w:szCs w:val="20"/>
        <w:lang w:val="x-none"/>
      </w:rPr>
      <w:id w:val="-1799282116"/>
      <w:docPartObj>
        <w:docPartGallery w:val="Page Numbers (Bottom of Page)"/>
        <w:docPartUnique/>
      </w:docPartObj>
    </w:sdtPr>
    <w:sdtEndPr>
      <w:rPr>
        <w:rFonts w:ascii="Calibri" w:hAnsi="Calibri"/>
        <w:color w:val="008080"/>
      </w:rPr>
    </w:sdtEndPr>
    <w:sdtContent>
      <w:sdt>
        <w:sdtPr>
          <w:rPr>
            <w:rFonts w:ascii="Arial" w:hAnsi="Arial"/>
            <w:color w:val="auto"/>
            <w:sz w:val="20"/>
            <w:szCs w:val="20"/>
            <w:lang w:val="x-none"/>
          </w:rPr>
          <w:id w:val="-1735226458"/>
          <w:docPartObj>
            <w:docPartGallery w:val="Page Numbers (Bottom of Page)"/>
            <w:docPartUnique/>
          </w:docPartObj>
        </w:sdtPr>
        <w:sdtEndPr>
          <w:rPr>
            <w:rFonts w:ascii="Calibri" w:hAnsi="Calibri"/>
            <w:color w:val="008080"/>
          </w:rPr>
        </w:sdtEndPr>
        <w:sdtContent>
          <w:p w14:paraId="78C5A2D9" w14:textId="77777777" w:rsidR="00CA31B3" w:rsidRPr="00495843" w:rsidRDefault="00CA31B3" w:rsidP="00EF1527">
            <w:pPr>
              <w:pStyle w:val="Footer-Abra"/>
              <w:pBdr>
                <w:top w:val="single" w:sz="4" w:space="1" w:color="008080"/>
              </w:pBdr>
              <w:tabs>
                <w:tab w:val="clear" w:pos="8640"/>
                <w:tab w:val="right" w:pos="14034"/>
              </w:tabs>
              <w:rPr>
                <w:rFonts w:ascii="Arial" w:hAnsi="Arial" w:cs="Arial"/>
                <w:szCs w:val="24"/>
              </w:rPr>
            </w:pPr>
            <w:r w:rsidRPr="00495843">
              <w:rPr>
                <w:rFonts w:ascii="Arial" w:hAnsi="Arial" w:cs="Arial"/>
                <w:szCs w:val="24"/>
              </w:rPr>
              <w:t>arc</w:t>
            </w:r>
            <w:r w:rsidRPr="00495843">
              <w:rPr>
                <w:rFonts w:ascii="Arial" w:hAnsi="Arial" w:cs="Arial"/>
                <w:szCs w:val="24"/>
                <w:vertAlign w:val="superscript"/>
              </w:rPr>
              <w:t>4</w:t>
            </w:r>
            <w:r>
              <w:rPr>
                <w:rFonts w:ascii="Arial" w:hAnsi="Arial" w:cs="Arial"/>
                <w:noProof/>
                <w:szCs w:val="24"/>
                <w:lang w:eastAsia="en-GB"/>
              </w:rPr>
              <mc:AlternateContent>
                <mc:Choice Requires="wps">
                  <w:drawing>
                    <wp:anchor distT="0" distB="0" distL="114300" distR="114300" simplePos="0" relativeHeight="251728384" behindDoc="0" locked="0" layoutInCell="1" allowOverlap="1" wp14:anchorId="6EAB495D" wp14:editId="36DC021C">
                      <wp:simplePos x="0" y="0"/>
                      <wp:positionH relativeFrom="column">
                        <wp:posOffset>660400</wp:posOffset>
                      </wp:positionH>
                      <wp:positionV relativeFrom="paragraph">
                        <wp:posOffset>3716020</wp:posOffset>
                      </wp:positionV>
                      <wp:extent cx="1753870" cy="722630"/>
                      <wp:effectExtent l="0" t="0" r="17780" b="20320"/>
                      <wp:wrapNone/>
                      <wp:docPr id="7180" name="Text Box 7180" title="Text box 7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722630"/>
                              </a:xfrm>
                              <a:prstGeom prst="rect">
                                <a:avLst/>
                              </a:prstGeom>
                              <a:solidFill>
                                <a:srgbClr val="FFFFFF"/>
                              </a:solidFill>
                              <a:ln w="9525">
                                <a:solidFill>
                                  <a:srgbClr val="000000"/>
                                </a:solidFill>
                                <a:miter lim="800000"/>
                                <a:headEnd/>
                                <a:tailEnd/>
                              </a:ln>
                            </wps:spPr>
                            <wps:txbx>
                              <w:txbxContent>
                                <w:p w14:paraId="7D8A345E" w14:textId="77777777" w:rsidR="00CA31B3" w:rsidRDefault="00CA31B3" w:rsidP="00EF15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B495D" id="_x0000_t202" coordsize="21600,21600" o:spt="202" path="m,l,21600r21600,l21600,xe">
                      <v:stroke joinstyle="miter"/>
                      <v:path gradientshapeok="t" o:connecttype="rect"/>
                    </v:shapetype>
                    <v:shape id="Text Box 7180" o:spid="_x0000_s1027" type="#_x0000_t202" alt="Title: Text box 7180" style="position:absolute;left:0;text-align:left;margin-left:52pt;margin-top:292.6pt;width:138.1pt;height:56.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">
                      <v:textbox>
                        <w:txbxContent>
                          <w:p w14:paraId="7D8A345E" w14:textId="77777777" w:rsidR="00CA31B3" w:rsidRDefault="00CA31B3" w:rsidP="00EF1527"/>
                        </w:txbxContent>
                      </v:textbox>
                    </v:shape>
                  </w:pict>
                </mc:Fallback>
              </mc:AlternateContent>
            </w:r>
            <w:r w:rsidRPr="00495843">
              <w:rPr>
                <w:rFonts w:ascii="Arial" w:hAnsi="Arial" w:cs="Arial"/>
                <w:szCs w:val="24"/>
                <w:vertAlign w:val="superscript"/>
              </w:rPr>
              <w:tab/>
            </w:r>
            <w:r>
              <w:rPr>
                <w:rFonts w:ascii="Arial" w:hAnsi="Arial" w:cs="Arial"/>
                <w:szCs w:val="24"/>
                <w:vertAlign w:val="superscript"/>
              </w:rPr>
              <w:tab/>
            </w:r>
            <w:r w:rsidRPr="0061095C">
              <w:rPr>
                <w:rStyle w:val="PageNumber"/>
                <w:rFonts w:ascii="Arial" w:hAnsi="Arial" w:cs="Arial"/>
              </w:rPr>
              <w:fldChar w:fldCharType="begin"/>
            </w:r>
            <w:r w:rsidRPr="0061095C">
              <w:rPr>
                <w:rStyle w:val="PageNumber"/>
                <w:rFonts w:ascii="Arial" w:hAnsi="Arial" w:cs="Arial"/>
              </w:rPr>
              <w:instrText xml:space="preserve"> PAGE </w:instrText>
            </w:r>
            <w:r w:rsidRPr="0061095C">
              <w:rPr>
                <w:rStyle w:val="PageNumber"/>
                <w:rFonts w:ascii="Arial" w:hAnsi="Arial" w:cs="Arial"/>
              </w:rPr>
              <w:fldChar w:fldCharType="separate"/>
            </w:r>
            <w:r>
              <w:rPr>
                <w:rStyle w:val="PageNumber"/>
                <w:rFonts w:ascii="Arial" w:hAnsi="Arial" w:cs="Arial"/>
                <w:noProof/>
              </w:rPr>
              <w:t>41</w:t>
            </w:r>
            <w:r w:rsidRPr="0061095C">
              <w:rPr>
                <w:rStyle w:val="PageNumber"/>
                <w:rFonts w:ascii="Arial" w:hAnsi="Arial" w:cs="Arial"/>
              </w:rPr>
              <w:fldChar w:fldCharType="end"/>
            </w:r>
          </w:p>
          <w:p w14:paraId="51055F2F" w14:textId="77777777" w:rsidR="00CA31B3" w:rsidRPr="00CF4DE7" w:rsidRDefault="00CA31B3" w:rsidP="00EF1527">
            <w:pPr>
              <w:pStyle w:val="Footer"/>
              <w:rPr>
                <w:color w:val="008080"/>
                <w:sz w:val="20"/>
                <w:szCs w:val="20"/>
              </w:rPr>
            </w:pPr>
            <w:r w:rsidRPr="00CF4DE7">
              <w:rPr>
                <w:rFonts w:cs="Arial"/>
                <w:color w:val="008080"/>
                <w:sz w:val="20"/>
                <w:szCs w:val="20"/>
              </w:rPr>
              <w:t xml:space="preserve">Barnsley </w:t>
            </w:r>
            <w:r>
              <w:rPr>
                <w:rFonts w:cs="Arial"/>
                <w:color w:val="008080"/>
                <w:sz w:val="20"/>
                <w:szCs w:val="20"/>
              </w:rPr>
              <w:t>District</w:t>
            </w:r>
            <w:r w:rsidRPr="00CF4DE7">
              <w:rPr>
                <w:rFonts w:cs="Arial"/>
                <w:color w:val="008080"/>
                <w:sz w:val="20"/>
                <w:szCs w:val="20"/>
              </w:rPr>
              <w:t xml:space="preserve"> 2014 Strategic Housing Market Assessment</w:t>
            </w:r>
          </w:p>
        </w:sdtContent>
      </w:sdt>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B13A2"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791872" behindDoc="1" locked="0" layoutInCell="1" allowOverlap="1" wp14:anchorId="43EDB21F" wp14:editId="484D594A">
          <wp:simplePos x="0" y="0"/>
          <wp:positionH relativeFrom="margin">
            <wp:posOffset>5368290</wp:posOffset>
          </wp:positionH>
          <wp:positionV relativeFrom="paragraph">
            <wp:posOffset>135255</wp:posOffset>
          </wp:positionV>
          <wp:extent cx="466725" cy="269875"/>
          <wp:effectExtent l="0" t="0" r="9525" b="0"/>
          <wp:wrapNone/>
          <wp:docPr id="55" name="Picture 55"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025EA36D" w14:textId="32571DE7"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86C56"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30784" behindDoc="1" locked="0" layoutInCell="1" allowOverlap="1" wp14:anchorId="73EEE25C" wp14:editId="5A674BB7">
          <wp:simplePos x="0" y="0"/>
          <wp:positionH relativeFrom="margin">
            <wp:align>right</wp:align>
          </wp:positionH>
          <wp:positionV relativeFrom="paragraph">
            <wp:posOffset>120015</wp:posOffset>
          </wp:positionV>
          <wp:extent cx="466725" cy="269875"/>
          <wp:effectExtent l="0" t="0" r="9525" b="0"/>
          <wp:wrapNone/>
          <wp:docPr id="56" name="Picture 56"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1540D9C4" w14:textId="043C2B9E"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B67E7"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28736" behindDoc="1" locked="0" layoutInCell="1" allowOverlap="1" wp14:anchorId="4479C31F" wp14:editId="47D09188">
          <wp:simplePos x="0" y="0"/>
          <wp:positionH relativeFrom="margin">
            <wp:posOffset>5368290</wp:posOffset>
          </wp:positionH>
          <wp:positionV relativeFrom="paragraph">
            <wp:posOffset>135255</wp:posOffset>
          </wp:positionV>
          <wp:extent cx="466725" cy="269875"/>
          <wp:effectExtent l="0" t="0" r="9525" b="0"/>
          <wp:wrapNone/>
          <wp:docPr id="62" name="Picture 62"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75EDF26A" w14:textId="7DF4D825"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DB72C"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26688" behindDoc="1" locked="0" layoutInCell="1" allowOverlap="1" wp14:anchorId="6128D458" wp14:editId="276BF762">
          <wp:simplePos x="0" y="0"/>
          <wp:positionH relativeFrom="margin">
            <wp:align>right</wp:align>
          </wp:positionH>
          <wp:positionV relativeFrom="paragraph">
            <wp:posOffset>120015</wp:posOffset>
          </wp:positionV>
          <wp:extent cx="466725" cy="269875"/>
          <wp:effectExtent l="0" t="0" r="9525" b="0"/>
          <wp:wrapNone/>
          <wp:docPr id="7200" name="Picture 7200"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0A28FAC4" w14:textId="1DA6AC59"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97F27"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24640" behindDoc="1" locked="0" layoutInCell="1" allowOverlap="1" wp14:anchorId="5D42C4D4" wp14:editId="62DE45DD">
          <wp:simplePos x="0" y="0"/>
          <wp:positionH relativeFrom="margin">
            <wp:posOffset>5368290</wp:posOffset>
          </wp:positionH>
          <wp:positionV relativeFrom="paragraph">
            <wp:posOffset>135255</wp:posOffset>
          </wp:positionV>
          <wp:extent cx="466725" cy="269875"/>
          <wp:effectExtent l="0" t="0" r="9525" b="0"/>
          <wp:wrapNone/>
          <wp:docPr id="7204" name="Picture 7204"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1B9FD1DD" w14:textId="0D490DBD"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2CE8F"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789824" behindDoc="1" locked="0" layoutInCell="1" allowOverlap="1" wp14:anchorId="314F5EC3" wp14:editId="0D1E3425">
          <wp:simplePos x="0" y="0"/>
          <wp:positionH relativeFrom="margin">
            <wp:align>right</wp:align>
          </wp:positionH>
          <wp:positionV relativeFrom="paragraph">
            <wp:posOffset>120015</wp:posOffset>
          </wp:positionV>
          <wp:extent cx="466725" cy="269875"/>
          <wp:effectExtent l="0" t="0" r="9525" b="0"/>
          <wp:wrapNone/>
          <wp:docPr id="51" name="Picture 51"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1F9156E0" w14:textId="7542C77F"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5B43E" w14:textId="30D723D4"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787776" behindDoc="1" locked="0" layoutInCell="1" allowOverlap="1" wp14:anchorId="402181A0" wp14:editId="23B8C43A">
          <wp:simplePos x="0" y="0"/>
          <wp:positionH relativeFrom="margin">
            <wp:posOffset>5391150</wp:posOffset>
          </wp:positionH>
          <wp:positionV relativeFrom="paragraph">
            <wp:posOffset>120015</wp:posOffset>
          </wp:positionV>
          <wp:extent cx="466725" cy="269875"/>
          <wp:effectExtent l="0" t="0" r="9525" b="0"/>
          <wp:wrapNone/>
          <wp:docPr id="7187" name="Picture 7187"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0C801C49" w14:textId="2F733B92"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AF5FB"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20544" behindDoc="1" locked="0" layoutInCell="1" allowOverlap="1" wp14:anchorId="3C9CB9AA" wp14:editId="02AC53D5">
          <wp:simplePos x="0" y="0"/>
          <wp:positionH relativeFrom="margin">
            <wp:align>right</wp:align>
          </wp:positionH>
          <wp:positionV relativeFrom="paragraph">
            <wp:posOffset>120015</wp:posOffset>
          </wp:positionV>
          <wp:extent cx="466725" cy="269875"/>
          <wp:effectExtent l="0" t="0" r="9525" b="0"/>
          <wp:wrapNone/>
          <wp:docPr id="7" name="Picture 7"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430EBE93" w14:textId="1BF90A62"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AE3FF" w14:textId="77777777" w:rsidR="00CA31B3" w:rsidRDefault="00CA31B3">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3B02C"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785728" behindDoc="1" locked="0" layoutInCell="1" allowOverlap="1" wp14:anchorId="7E6A9198" wp14:editId="172B5B4C">
          <wp:simplePos x="0" y="0"/>
          <wp:positionH relativeFrom="margin">
            <wp:align>right</wp:align>
          </wp:positionH>
          <wp:positionV relativeFrom="paragraph">
            <wp:posOffset>165735</wp:posOffset>
          </wp:positionV>
          <wp:extent cx="466725" cy="269875"/>
          <wp:effectExtent l="0" t="0" r="9525" b="0"/>
          <wp:wrapNone/>
          <wp:docPr id="7179" name="Picture 7179"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5290E403" w14:textId="09F61D20"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301BE" w14:textId="77777777" w:rsidR="00CA31B3" w:rsidRDefault="00CA31B3">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EE88A"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783680" behindDoc="1" locked="0" layoutInCell="1" allowOverlap="1" wp14:anchorId="4CA43E41" wp14:editId="70029087">
          <wp:simplePos x="0" y="0"/>
          <wp:positionH relativeFrom="margin">
            <wp:posOffset>5368290</wp:posOffset>
          </wp:positionH>
          <wp:positionV relativeFrom="paragraph">
            <wp:posOffset>135255</wp:posOffset>
          </wp:positionV>
          <wp:extent cx="466725" cy="269875"/>
          <wp:effectExtent l="0" t="0" r="9525" b="0"/>
          <wp:wrapNone/>
          <wp:docPr id="7169" name="Picture 7169"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305A9F61" w14:textId="76811C7F"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DEE26"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579903" behindDoc="1" locked="0" layoutInCell="1" allowOverlap="1" wp14:anchorId="42AB8811" wp14:editId="7788D212">
          <wp:simplePos x="0" y="0"/>
          <wp:positionH relativeFrom="margin">
            <wp:posOffset>5368290</wp:posOffset>
          </wp:positionH>
          <wp:positionV relativeFrom="paragraph">
            <wp:posOffset>135255</wp:posOffset>
          </wp:positionV>
          <wp:extent cx="466725" cy="269875"/>
          <wp:effectExtent l="0" t="0" r="9525" b="0"/>
          <wp:wrapNone/>
          <wp:docPr id="28" name="Picture 28"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079A39E4" w14:textId="28EA92D8"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olor w:val="auto"/>
        <w:sz w:val="20"/>
        <w:szCs w:val="20"/>
        <w:lang w:val="x-none"/>
      </w:rPr>
      <w:id w:val="-877477240"/>
      <w:docPartObj>
        <w:docPartGallery w:val="Page Numbers (Bottom of Page)"/>
        <w:docPartUnique/>
      </w:docPartObj>
    </w:sdtPr>
    <w:sdtEndPr>
      <w:rPr>
        <w:rFonts w:ascii="Calibri" w:hAnsi="Calibri"/>
        <w:color w:val="008080"/>
      </w:rPr>
    </w:sdtEndPr>
    <w:sdtContent>
      <w:sdt>
        <w:sdtPr>
          <w:rPr>
            <w:rFonts w:ascii="Arial" w:hAnsi="Arial"/>
            <w:color w:val="auto"/>
            <w:sz w:val="20"/>
            <w:szCs w:val="20"/>
            <w:lang w:val="x-none"/>
          </w:rPr>
          <w:id w:val="1231357581"/>
          <w:docPartObj>
            <w:docPartGallery w:val="Page Numbers (Bottom of Page)"/>
            <w:docPartUnique/>
          </w:docPartObj>
        </w:sdtPr>
        <w:sdtEndPr>
          <w:rPr>
            <w:rFonts w:ascii="Calibri" w:hAnsi="Calibri"/>
            <w:color w:val="008080"/>
          </w:rPr>
        </w:sdtEndPr>
        <w:sdtContent>
          <w:p w14:paraId="6F460417" w14:textId="77777777" w:rsidR="00CA31B3" w:rsidRPr="00495843" w:rsidRDefault="00CA31B3" w:rsidP="00EF1527">
            <w:pPr>
              <w:pStyle w:val="Footer-Abra"/>
              <w:pBdr>
                <w:top w:val="single" w:sz="4" w:space="1" w:color="008080"/>
              </w:pBdr>
              <w:tabs>
                <w:tab w:val="clear" w:pos="8640"/>
                <w:tab w:val="right" w:pos="14034"/>
              </w:tabs>
              <w:rPr>
                <w:rFonts w:ascii="Arial" w:hAnsi="Arial" w:cs="Arial"/>
                <w:szCs w:val="24"/>
              </w:rPr>
            </w:pPr>
            <w:r w:rsidRPr="00495843">
              <w:rPr>
                <w:rFonts w:ascii="Arial" w:hAnsi="Arial" w:cs="Arial"/>
                <w:szCs w:val="24"/>
              </w:rPr>
              <w:t>arc</w:t>
            </w:r>
            <w:r w:rsidRPr="00495843">
              <w:rPr>
                <w:rFonts w:ascii="Arial" w:hAnsi="Arial" w:cs="Arial"/>
                <w:szCs w:val="24"/>
                <w:vertAlign w:val="superscript"/>
              </w:rPr>
              <w:t>4</w:t>
            </w:r>
            <w:r>
              <w:rPr>
                <w:rFonts w:ascii="Arial" w:hAnsi="Arial" w:cs="Arial"/>
                <w:noProof/>
                <w:szCs w:val="24"/>
                <w:lang w:eastAsia="en-GB"/>
              </w:rPr>
              <mc:AlternateContent>
                <mc:Choice Requires="wps">
                  <w:drawing>
                    <wp:anchor distT="0" distB="0" distL="114300" distR="114300" simplePos="0" relativeHeight="251702784" behindDoc="0" locked="0" layoutInCell="1" allowOverlap="1" wp14:anchorId="100C6FC5" wp14:editId="1E61C34E">
                      <wp:simplePos x="0" y="0"/>
                      <wp:positionH relativeFrom="column">
                        <wp:posOffset>660400</wp:posOffset>
                      </wp:positionH>
                      <wp:positionV relativeFrom="paragraph">
                        <wp:posOffset>3716020</wp:posOffset>
                      </wp:positionV>
                      <wp:extent cx="1753870" cy="722630"/>
                      <wp:effectExtent l="0" t="0" r="17780" b="20320"/>
                      <wp:wrapNone/>
                      <wp:docPr id="48" name="Text Box 48" titl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722630"/>
                              </a:xfrm>
                              <a:prstGeom prst="rect">
                                <a:avLst/>
                              </a:prstGeom>
                              <a:solidFill>
                                <a:srgbClr val="FFFFFF"/>
                              </a:solidFill>
                              <a:ln w="9525">
                                <a:solidFill>
                                  <a:srgbClr val="000000"/>
                                </a:solidFill>
                                <a:miter lim="800000"/>
                                <a:headEnd/>
                                <a:tailEnd/>
                              </a:ln>
                            </wps:spPr>
                            <wps:txbx>
                              <w:txbxContent>
                                <w:p w14:paraId="08B8BDA6" w14:textId="77777777" w:rsidR="00CA31B3" w:rsidRDefault="00CA31B3" w:rsidP="00EF15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C6FC5" id="_x0000_t202" coordsize="21600,21600" o:spt="202" path="m,l,21600r21600,l21600,xe">
                      <v:stroke joinstyle="miter"/>
                      <v:path gradientshapeok="t" o:connecttype="rect"/>
                    </v:shapetype>
                    <v:shape id="Text Box 48" o:spid="_x0000_s1026" type="#_x0000_t202" alt="Title: Text box 48" style="position:absolute;left:0;text-align:left;margin-left:52pt;margin-top:292.6pt;width:138.1pt;height:56.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">
                      <v:textbox>
                        <w:txbxContent>
                          <w:p w14:paraId="08B8BDA6" w14:textId="77777777" w:rsidR="00CA31B3" w:rsidRDefault="00CA31B3" w:rsidP="00EF1527"/>
                        </w:txbxContent>
                      </v:textbox>
                    </v:shape>
                  </w:pict>
                </mc:Fallback>
              </mc:AlternateContent>
            </w:r>
            <w:r w:rsidRPr="00495843">
              <w:rPr>
                <w:rFonts w:ascii="Arial" w:hAnsi="Arial" w:cs="Arial"/>
                <w:szCs w:val="24"/>
                <w:vertAlign w:val="superscript"/>
              </w:rPr>
              <w:tab/>
            </w:r>
            <w:r>
              <w:rPr>
                <w:rFonts w:ascii="Arial" w:hAnsi="Arial" w:cs="Arial"/>
                <w:szCs w:val="24"/>
                <w:vertAlign w:val="superscript"/>
              </w:rPr>
              <w:tab/>
            </w:r>
            <w:r w:rsidRPr="0061095C">
              <w:rPr>
                <w:rStyle w:val="PageNumber"/>
                <w:rFonts w:ascii="Arial" w:hAnsi="Arial" w:cs="Arial"/>
              </w:rPr>
              <w:fldChar w:fldCharType="begin"/>
            </w:r>
            <w:r w:rsidRPr="0061095C">
              <w:rPr>
                <w:rStyle w:val="PageNumber"/>
                <w:rFonts w:ascii="Arial" w:hAnsi="Arial" w:cs="Arial"/>
              </w:rPr>
              <w:instrText xml:space="preserve"> PAGE </w:instrText>
            </w:r>
            <w:r w:rsidRPr="0061095C">
              <w:rPr>
                <w:rStyle w:val="PageNumber"/>
                <w:rFonts w:ascii="Arial" w:hAnsi="Arial" w:cs="Arial"/>
              </w:rPr>
              <w:fldChar w:fldCharType="separate"/>
            </w:r>
            <w:r>
              <w:rPr>
                <w:rStyle w:val="PageNumber"/>
                <w:rFonts w:ascii="Arial" w:hAnsi="Arial" w:cs="Arial"/>
                <w:noProof/>
              </w:rPr>
              <w:t>41</w:t>
            </w:r>
            <w:r w:rsidRPr="0061095C">
              <w:rPr>
                <w:rStyle w:val="PageNumber"/>
                <w:rFonts w:ascii="Arial" w:hAnsi="Arial" w:cs="Arial"/>
              </w:rPr>
              <w:fldChar w:fldCharType="end"/>
            </w:r>
          </w:p>
          <w:p w14:paraId="6C17CFED" w14:textId="77777777" w:rsidR="00CA31B3" w:rsidRPr="00CF4DE7" w:rsidRDefault="00CA31B3" w:rsidP="00EF1527">
            <w:pPr>
              <w:pStyle w:val="Footer"/>
              <w:rPr>
                <w:color w:val="008080"/>
                <w:sz w:val="20"/>
                <w:szCs w:val="20"/>
              </w:rPr>
            </w:pPr>
            <w:r w:rsidRPr="00CF4DE7">
              <w:rPr>
                <w:rFonts w:cs="Arial"/>
                <w:color w:val="008080"/>
                <w:sz w:val="20"/>
                <w:szCs w:val="20"/>
              </w:rPr>
              <w:t xml:space="preserve">Barnsley </w:t>
            </w:r>
            <w:r>
              <w:rPr>
                <w:rFonts w:cs="Arial"/>
                <w:color w:val="008080"/>
                <w:sz w:val="20"/>
                <w:szCs w:val="20"/>
              </w:rPr>
              <w:t>District</w:t>
            </w:r>
            <w:r w:rsidRPr="00CF4DE7">
              <w:rPr>
                <w:rFonts w:cs="Arial"/>
                <w:color w:val="008080"/>
                <w:sz w:val="20"/>
                <w:szCs w:val="20"/>
              </w:rPr>
              <w:t xml:space="preserve"> 2014 Strategic Housing Market Assessment</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F3B60"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18496" behindDoc="1" locked="0" layoutInCell="1" allowOverlap="1" wp14:anchorId="344DB690" wp14:editId="2818B359">
          <wp:simplePos x="0" y="0"/>
          <wp:positionH relativeFrom="margin">
            <wp:posOffset>5368290</wp:posOffset>
          </wp:positionH>
          <wp:positionV relativeFrom="paragraph">
            <wp:posOffset>135255</wp:posOffset>
          </wp:positionV>
          <wp:extent cx="466725" cy="269875"/>
          <wp:effectExtent l="0" t="0" r="9525" b="0"/>
          <wp:wrapNone/>
          <wp:docPr id="9" name="Picture 9"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212FEB9D" w14:textId="670ADA1F"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EA4C9"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41024" behindDoc="1" locked="0" layoutInCell="1" allowOverlap="1" wp14:anchorId="00F5F340" wp14:editId="56A5342D">
          <wp:simplePos x="0" y="0"/>
          <wp:positionH relativeFrom="margin">
            <wp:align>right</wp:align>
          </wp:positionH>
          <wp:positionV relativeFrom="paragraph">
            <wp:posOffset>120015</wp:posOffset>
          </wp:positionV>
          <wp:extent cx="466725" cy="269875"/>
          <wp:effectExtent l="0" t="0" r="9525" b="0"/>
          <wp:wrapNone/>
          <wp:docPr id="7171" name="Picture 7171"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53947268" w14:textId="769C5268"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09DC8"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38976" behindDoc="1" locked="0" layoutInCell="1" allowOverlap="1" wp14:anchorId="43C3E215" wp14:editId="1ACF80D6">
          <wp:simplePos x="0" y="0"/>
          <wp:positionH relativeFrom="margin">
            <wp:posOffset>5368290</wp:posOffset>
          </wp:positionH>
          <wp:positionV relativeFrom="paragraph">
            <wp:posOffset>135255</wp:posOffset>
          </wp:positionV>
          <wp:extent cx="466725" cy="269875"/>
          <wp:effectExtent l="0" t="0" r="9525" b="0"/>
          <wp:wrapNone/>
          <wp:docPr id="7173" name="Picture 7173"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1661DF65" w14:textId="1E3816CC"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2141E"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36928" behindDoc="1" locked="0" layoutInCell="1" allowOverlap="1" wp14:anchorId="5F6833C4" wp14:editId="258E4718">
          <wp:simplePos x="0" y="0"/>
          <wp:positionH relativeFrom="margin">
            <wp:align>right</wp:align>
          </wp:positionH>
          <wp:positionV relativeFrom="paragraph">
            <wp:posOffset>120015</wp:posOffset>
          </wp:positionV>
          <wp:extent cx="466725" cy="269875"/>
          <wp:effectExtent l="0" t="0" r="9525" b="0"/>
          <wp:wrapNone/>
          <wp:docPr id="7174" name="Picture 7174"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4C9A8835" w14:textId="57F0CDC8"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63A51" w14:textId="77777777" w:rsidR="00CA31B3" w:rsidRDefault="00CA31B3" w:rsidP="00FC1435">
    <w:pPr>
      <w:pStyle w:val="Footer-Abra"/>
      <w:pBdr>
        <w:top w:val="single" w:sz="18" w:space="1" w:color="0D5F5D"/>
      </w:pBdr>
      <w:tabs>
        <w:tab w:val="clear" w:pos="8640"/>
        <w:tab w:val="right" w:pos="9356"/>
        <w:tab w:val="right" w:pos="14742"/>
      </w:tabs>
      <w:spacing w:after="0"/>
      <w:rPr>
        <w:rFonts w:ascii="Calibri" w:hAnsi="Calibri" w:cs="Calibri"/>
        <w:color w:val="009999"/>
        <w:sz w:val="18"/>
        <w:szCs w:val="20"/>
      </w:rPr>
    </w:pPr>
    <w:r>
      <w:rPr>
        <w:rFonts w:ascii="Arial" w:hAnsi="Arial" w:cs="Arial"/>
        <w:noProof/>
        <w:color w:val="0070C0"/>
        <w:sz w:val="20"/>
        <w:szCs w:val="20"/>
        <w:lang w:eastAsia="en-GB"/>
      </w:rPr>
      <w:drawing>
        <wp:anchor distT="0" distB="0" distL="114300" distR="114300" simplePos="0" relativeHeight="251834880" behindDoc="1" locked="0" layoutInCell="1" allowOverlap="1" wp14:anchorId="785D555B" wp14:editId="5E4A23C8">
          <wp:simplePos x="0" y="0"/>
          <wp:positionH relativeFrom="margin">
            <wp:posOffset>5368290</wp:posOffset>
          </wp:positionH>
          <wp:positionV relativeFrom="paragraph">
            <wp:posOffset>135255</wp:posOffset>
          </wp:positionV>
          <wp:extent cx="466725" cy="269875"/>
          <wp:effectExtent l="0" t="0" r="9525" b="0"/>
          <wp:wrapNone/>
          <wp:docPr id="7175" name="Picture 7175" descr="C:\Users\Sandie Brand\Documents\ARC4\Logos\Various File Formats\JPG\Logo small.jpg" title="arc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63D8345A" w14:textId="4D4D88B6" w:rsidR="00CA31B3" w:rsidRPr="00FC1435" w:rsidRDefault="00CA31B3" w:rsidP="00FC1435">
    <w:pPr>
      <w:pStyle w:val="Footer-Abra"/>
      <w:pBdr>
        <w:top w:val="single" w:sz="18" w:space="1" w:color="0D5F5D"/>
      </w:pBdr>
      <w:tabs>
        <w:tab w:val="clear" w:pos="8640"/>
        <w:tab w:val="right" w:pos="9356"/>
        <w:tab w:val="right" w:pos="14742"/>
      </w:tabs>
      <w:spacing w:before="0"/>
      <w:rPr>
        <w:rFonts w:ascii="Calibri" w:hAnsi="Calibri" w:cs="Calibri"/>
        <w:color w:val="009999"/>
        <w:sz w:val="18"/>
        <w:szCs w:val="20"/>
      </w:rPr>
    </w:pPr>
    <w:r>
      <w:rPr>
        <w:rFonts w:ascii="Calibri" w:hAnsi="Calibri" w:cs="Calibri"/>
        <w:color w:val="009999"/>
        <w:sz w:val="18"/>
        <w:szCs w:val="20"/>
      </w:rPr>
      <w:t>October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7498E" w14:textId="77777777" w:rsidR="00CA31B3" w:rsidRDefault="00CA31B3">
      <w:r>
        <w:separator/>
      </w:r>
    </w:p>
  </w:footnote>
  <w:footnote w:type="continuationSeparator" w:id="0">
    <w:p w14:paraId="0A94DF07" w14:textId="77777777" w:rsidR="00CA31B3" w:rsidRDefault="00CA31B3">
      <w:r>
        <w:continuationSeparator/>
      </w:r>
    </w:p>
  </w:footnote>
  <w:footnote w:type="continuationNotice" w:id="1">
    <w:p w14:paraId="1503869C" w14:textId="77777777" w:rsidR="00CA31B3" w:rsidRDefault="00CA31B3"/>
  </w:footnote>
  <w:footnote w:id="2">
    <w:p w14:paraId="6CB80192" w14:textId="77777777" w:rsidR="00CA31B3" w:rsidRPr="00552513" w:rsidRDefault="00CA31B3" w:rsidP="00E2582E">
      <w:pPr>
        <w:pStyle w:val="FootnoteText"/>
        <w:rPr>
          <w:rFonts w:cs="Calibri"/>
          <w:lang w:val="en-GB"/>
        </w:rPr>
      </w:pPr>
      <w:r w:rsidRPr="00552513">
        <w:rPr>
          <w:rStyle w:val="FootnoteReference"/>
          <w:rFonts w:cs="Calibri"/>
        </w:rPr>
        <w:footnoteRef/>
      </w:r>
      <w:r w:rsidRPr="00552513">
        <w:rPr>
          <w:rFonts w:cs="Calibri"/>
        </w:rPr>
        <w:t xml:space="preserve"> Land Registry Price Paid Data</w:t>
      </w:r>
    </w:p>
  </w:footnote>
  <w:footnote w:id="3">
    <w:p w14:paraId="13A098D9" w14:textId="77777777" w:rsidR="00CA31B3" w:rsidRPr="000D6D61" w:rsidRDefault="00CA31B3">
      <w:pPr>
        <w:pStyle w:val="FootnoteText"/>
        <w:rPr>
          <w:lang w:val="en-US"/>
        </w:rPr>
      </w:pPr>
      <w:r>
        <w:rPr>
          <w:rStyle w:val="FootnoteReference"/>
        </w:rPr>
        <w:footnoteRef/>
      </w:r>
      <w:r>
        <w:t xml:space="preserve"> </w:t>
      </w:r>
      <w:r w:rsidRPr="00792675">
        <w:rPr>
          <w:rFonts w:asciiTheme="minorHAnsi" w:hAnsiTheme="minorHAnsi"/>
          <w:lang w:val="en-US"/>
        </w:rPr>
        <w:t>2017 Council Tax</w:t>
      </w:r>
    </w:p>
  </w:footnote>
  <w:footnote w:id="4">
    <w:p w14:paraId="13148391" w14:textId="77777777" w:rsidR="00CA31B3" w:rsidRPr="00792675" w:rsidRDefault="00CA31B3">
      <w:pPr>
        <w:pStyle w:val="FootnoteText"/>
        <w:rPr>
          <w:lang w:val="en-US"/>
        </w:rPr>
      </w:pPr>
      <w:r>
        <w:rPr>
          <w:rStyle w:val="FootnoteReference"/>
        </w:rPr>
        <w:footnoteRef/>
      </w:r>
      <w:r>
        <w:t xml:space="preserve"> </w:t>
      </w:r>
      <w:r>
        <w:rPr>
          <w:lang w:val="en-US"/>
        </w:rPr>
        <w:t>MHCLG Vacant Dwellings Table 615</w:t>
      </w:r>
    </w:p>
  </w:footnote>
  <w:footnote w:id="5">
    <w:p w14:paraId="726C5BCD" w14:textId="77777777" w:rsidR="00CA31B3" w:rsidRPr="004C2852" w:rsidRDefault="00CA31B3">
      <w:pPr>
        <w:pStyle w:val="FootnoteText"/>
        <w:rPr>
          <w:rFonts w:asciiTheme="minorHAnsi" w:hAnsiTheme="minorHAnsi"/>
          <w:lang w:val="en-GB"/>
        </w:rPr>
      </w:pPr>
      <w:r w:rsidRPr="004C2852">
        <w:rPr>
          <w:rStyle w:val="FootnoteReference"/>
          <w:rFonts w:asciiTheme="minorHAnsi" w:hAnsiTheme="minorHAnsi"/>
        </w:rPr>
        <w:footnoteRef/>
      </w:r>
      <w:r w:rsidRPr="004C2852">
        <w:rPr>
          <w:rFonts w:asciiTheme="minorHAnsi" w:hAnsiTheme="minorHAnsi"/>
        </w:rPr>
        <w:t xml:space="preserve"> </w:t>
      </w:r>
      <w:r>
        <w:rPr>
          <w:rFonts w:asciiTheme="minorHAnsi" w:hAnsiTheme="minorHAnsi"/>
        </w:rPr>
        <w:t>VOA/</w:t>
      </w:r>
      <w:r w:rsidRPr="004C2852">
        <w:rPr>
          <w:rFonts w:asciiTheme="minorHAnsi" w:hAnsiTheme="minorHAnsi"/>
          <w:lang w:val="en-GB"/>
        </w:rPr>
        <w:t>Council Tax 2017 data</w:t>
      </w:r>
    </w:p>
  </w:footnote>
  <w:footnote w:id="6">
    <w:p w14:paraId="420AA941" w14:textId="77777777" w:rsidR="00CA31B3" w:rsidRPr="004C2852" w:rsidRDefault="00CA31B3">
      <w:pPr>
        <w:pStyle w:val="FootnoteText"/>
        <w:rPr>
          <w:rFonts w:asciiTheme="minorHAnsi" w:hAnsiTheme="minorHAnsi"/>
          <w:lang w:val="en-GB"/>
        </w:rPr>
      </w:pPr>
      <w:r w:rsidRPr="004C2852">
        <w:rPr>
          <w:rStyle w:val="FootnoteReference"/>
          <w:rFonts w:asciiTheme="minorHAnsi" w:hAnsiTheme="minorHAnsi"/>
        </w:rPr>
        <w:footnoteRef/>
      </w:r>
      <w:r w:rsidRPr="004C2852">
        <w:rPr>
          <w:rFonts w:asciiTheme="minorHAnsi" w:hAnsiTheme="minorHAnsi"/>
        </w:rPr>
        <w:t xml:space="preserve"> </w:t>
      </w:r>
      <w:r>
        <w:rPr>
          <w:rFonts w:asciiTheme="minorHAnsi" w:hAnsiTheme="minorHAnsi"/>
        </w:rPr>
        <w:t>VOA/</w:t>
      </w:r>
      <w:r w:rsidRPr="004C2852">
        <w:rPr>
          <w:rFonts w:asciiTheme="minorHAnsi" w:hAnsiTheme="minorHAnsi"/>
          <w:lang w:val="en-GB"/>
        </w:rPr>
        <w:t>Council Tax 2017 data</w:t>
      </w:r>
    </w:p>
  </w:footnote>
  <w:footnote w:id="7">
    <w:p w14:paraId="2E0BFE1A" w14:textId="77777777" w:rsidR="00CA31B3" w:rsidRPr="004C2852" w:rsidRDefault="00CA31B3">
      <w:pPr>
        <w:pStyle w:val="FootnoteText"/>
        <w:rPr>
          <w:rFonts w:asciiTheme="minorHAnsi" w:hAnsiTheme="minorHAnsi"/>
          <w:lang w:val="en-GB"/>
        </w:rPr>
      </w:pPr>
      <w:r w:rsidRPr="004C2852">
        <w:rPr>
          <w:rStyle w:val="FootnoteReference"/>
          <w:rFonts w:asciiTheme="minorHAnsi" w:hAnsiTheme="minorHAnsi"/>
        </w:rPr>
        <w:footnoteRef/>
      </w:r>
      <w:r w:rsidRPr="004C2852">
        <w:rPr>
          <w:rFonts w:asciiTheme="minorHAnsi" w:hAnsiTheme="minorHAnsi"/>
        </w:rPr>
        <w:t xml:space="preserve"> </w:t>
      </w:r>
      <w:r w:rsidRPr="004C2852">
        <w:rPr>
          <w:rFonts w:asciiTheme="minorHAnsi" w:hAnsiTheme="minorHAnsi"/>
          <w:lang w:val="en-GB"/>
        </w:rPr>
        <w:t>Valuation Office Agency (VOA) 2016</w:t>
      </w:r>
    </w:p>
  </w:footnote>
  <w:footnote w:id="8">
    <w:p w14:paraId="1D1FFCF8" w14:textId="77777777" w:rsidR="00CA31B3" w:rsidRPr="00DA36F9" w:rsidRDefault="00CA31B3">
      <w:pPr>
        <w:pStyle w:val="FootnoteText"/>
        <w:rPr>
          <w:rFonts w:asciiTheme="minorHAnsi" w:hAnsiTheme="minorHAnsi"/>
          <w:lang w:val="en-GB"/>
        </w:rPr>
      </w:pPr>
      <w:r w:rsidRPr="004C2852">
        <w:rPr>
          <w:rStyle w:val="FootnoteReference"/>
          <w:rFonts w:asciiTheme="minorHAnsi" w:hAnsiTheme="minorHAnsi"/>
        </w:rPr>
        <w:footnoteRef/>
      </w:r>
      <w:r w:rsidRPr="004C2852">
        <w:rPr>
          <w:rFonts w:asciiTheme="minorHAnsi" w:hAnsiTheme="minorHAnsi"/>
        </w:rPr>
        <w:t xml:space="preserve"> </w:t>
      </w:r>
      <w:r>
        <w:rPr>
          <w:rFonts w:asciiTheme="minorHAnsi" w:hAnsiTheme="minorHAnsi"/>
          <w:lang w:val="en-GB"/>
        </w:rPr>
        <w:t>ONS 2</w:t>
      </w:r>
      <w:r w:rsidRPr="004C2852">
        <w:rPr>
          <w:rFonts w:asciiTheme="minorHAnsi" w:hAnsiTheme="minorHAnsi"/>
          <w:lang w:val="en-GB"/>
        </w:rPr>
        <w:t>011 Census</w:t>
      </w:r>
    </w:p>
  </w:footnote>
  <w:footnote w:id="9">
    <w:p w14:paraId="6F38818B" w14:textId="77777777" w:rsidR="00CA31B3" w:rsidRPr="005A50A7" w:rsidRDefault="00CA31B3" w:rsidP="00E2582E">
      <w:pPr>
        <w:pStyle w:val="FootnoteText"/>
        <w:rPr>
          <w:rFonts w:cs="Calibri"/>
        </w:rPr>
      </w:pPr>
      <w:r w:rsidRPr="005A50A7">
        <w:rPr>
          <w:rStyle w:val="FootnoteReference"/>
          <w:rFonts w:cs="Calibri"/>
        </w:rPr>
        <w:footnoteRef/>
      </w:r>
      <w:r>
        <w:rPr>
          <w:rFonts w:cs="Calibri"/>
        </w:rPr>
        <w:t xml:space="preserve"> ONS 2016</w:t>
      </w:r>
      <w:r w:rsidRPr="005A50A7">
        <w:rPr>
          <w:rFonts w:cs="Calibri"/>
        </w:rPr>
        <w:t xml:space="preserve">-based </w:t>
      </w:r>
      <w:r w:rsidRPr="005A50A7">
        <w:rPr>
          <w:rFonts w:cs="Calibri"/>
          <w:lang w:val="en-GB"/>
        </w:rPr>
        <w:t xml:space="preserve">Subnational </w:t>
      </w:r>
      <w:r w:rsidRPr="005A50A7">
        <w:rPr>
          <w:rFonts w:cs="Calibri"/>
        </w:rPr>
        <w:t>Population Projections</w:t>
      </w:r>
    </w:p>
  </w:footnote>
  <w:footnote w:id="10">
    <w:p w14:paraId="65CEAE53" w14:textId="77777777" w:rsidR="00CA31B3" w:rsidRPr="005A50A7" w:rsidRDefault="00CA31B3" w:rsidP="00E2582E">
      <w:pPr>
        <w:pStyle w:val="FootnoteText"/>
        <w:rPr>
          <w:rFonts w:cs="Calibri"/>
        </w:rPr>
      </w:pPr>
      <w:r w:rsidRPr="005A50A7">
        <w:rPr>
          <w:rStyle w:val="FootnoteReference"/>
          <w:rFonts w:cs="Calibri"/>
        </w:rPr>
        <w:footnoteRef/>
      </w:r>
      <w:r>
        <w:rPr>
          <w:rFonts w:cs="Calibri"/>
        </w:rPr>
        <w:t xml:space="preserve"> ONS 2016</w:t>
      </w:r>
      <w:r w:rsidRPr="005A50A7">
        <w:rPr>
          <w:rFonts w:cs="Calibri"/>
        </w:rPr>
        <w:t>-based Subnational Population Projections</w:t>
      </w:r>
    </w:p>
  </w:footnote>
  <w:footnote w:id="11">
    <w:p w14:paraId="0540BC86" w14:textId="77777777" w:rsidR="00CA31B3" w:rsidRPr="005C675A" w:rsidRDefault="00CA31B3" w:rsidP="00A869ED">
      <w:pPr>
        <w:pStyle w:val="FootnoteText"/>
        <w:rPr>
          <w:rFonts w:cs="Calibri"/>
        </w:rPr>
      </w:pPr>
      <w:r w:rsidRPr="005C675A">
        <w:rPr>
          <w:rStyle w:val="FootnoteReference"/>
          <w:rFonts w:cs="Calibri"/>
        </w:rPr>
        <w:footnoteRef/>
      </w:r>
      <w:r w:rsidRPr="005C675A">
        <w:rPr>
          <w:rFonts w:cs="Calibri"/>
        </w:rPr>
        <w:t xml:space="preserve"> </w:t>
      </w:r>
      <w:r>
        <w:rPr>
          <w:rFonts w:cs="Calibri"/>
        </w:rPr>
        <w:t>ONS 2016</w:t>
      </w:r>
      <w:r w:rsidRPr="005C675A">
        <w:rPr>
          <w:rFonts w:cs="Calibri"/>
        </w:rPr>
        <w:t>-based Subnational population projections</w:t>
      </w:r>
    </w:p>
  </w:footnote>
  <w:footnote w:id="12">
    <w:p w14:paraId="0F815C15" w14:textId="77777777" w:rsidR="00CA31B3" w:rsidRPr="00674522" w:rsidRDefault="00CA31B3">
      <w:pPr>
        <w:pStyle w:val="FootnoteText"/>
        <w:rPr>
          <w:lang w:val="en-US"/>
        </w:rPr>
      </w:pPr>
      <w:r>
        <w:t xml:space="preserve">, </w:t>
      </w:r>
      <w:r>
        <w:rPr>
          <w:rStyle w:val="FootnoteReference"/>
        </w:rPr>
        <w:footnoteRef/>
      </w:r>
      <w:r>
        <w:t xml:space="preserve"> ONS </w:t>
      </w:r>
      <w:r>
        <w:rPr>
          <w:lang w:val="en-US"/>
        </w:rPr>
        <w:t>2011 census</w:t>
      </w:r>
    </w:p>
  </w:footnote>
  <w:footnote w:id="13">
    <w:p w14:paraId="70B646C0" w14:textId="77777777" w:rsidR="00CA31B3" w:rsidRPr="0041210F" w:rsidRDefault="00CA31B3">
      <w:pPr>
        <w:pStyle w:val="FootnoteText"/>
        <w:rPr>
          <w:lang w:val="en-US"/>
        </w:rPr>
      </w:pPr>
      <w:r>
        <w:rPr>
          <w:rStyle w:val="FootnoteReference"/>
        </w:rPr>
        <w:footnoteRef/>
      </w:r>
      <w:r>
        <w:t xml:space="preserve"> </w:t>
      </w:r>
      <w:r>
        <w:rPr>
          <w:lang w:val="en-US"/>
        </w:rPr>
        <w:t>Annual Survey of Hours and Earnings 2017</w:t>
      </w:r>
    </w:p>
  </w:footnote>
  <w:footnote w:id="14">
    <w:p w14:paraId="2C558756" w14:textId="77777777" w:rsidR="00CA31B3" w:rsidRPr="00E96972" w:rsidRDefault="00CA31B3" w:rsidP="00D55A8B">
      <w:pPr>
        <w:pStyle w:val="FootnoteText"/>
        <w:rPr>
          <w:rFonts w:asciiTheme="minorHAnsi" w:hAnsiTheme="minorHAnsi" w:cstheme="minorHAnsi"/>
          <w:szCs w:val="16"/>
        </w:rPr>
      </w:pPr>
      <w:r w:rsidRPr="00E96972">
        <w:rPr>
          <w:rStyle w:val="FootnoteReference"/>
          <w:rFonts w:asciiTheme="minorHAnsi" w:hAnsiTheme="minorHAnsi" w:cstheme="minorHAnsi"/>
          <w:szCs w:val="16"/>
        </w:rPr>
        <w:footnoteRef/>
      </w:r>
      <w:r w:rsidRPr="00E96972">
        <w:rPr>
          <w:rFonts w:asciiTheme="minorHAnsi" w:hAnsiTheme="minorHAnsi" w:cstheme="minorHAnsi"/>
          <w:szCs w:val="16"/>
        </w:rPr>
        <w:t xml:space="preserve"> NPPF </w:t>
      </w:r>
      <w:r>
        <w:rPr>
          <w:rFonts w:asciiTheme="minorHAnsi" w:hAnsiTheme="minorHAnsi" w:cstheme="minorHAnsi"/>
          <w:szCs w:val="16"/>
        </w:rPr>
        <w:t>Feb</w:t>
      </w:r>
      <w:r w:rsidRPr="00E96972">
        <w:rPr>
          <w:rFonts w:asciiTheme="minorHAnsi" w:hAnsiTheme="minorHAnsi" w:cstheme="minorHAnsi"/>
          <w:szCs w:val="16"/>
        </w:rPr>
        <w:t xml:space="preserve"> 201</w:t>
      </w:r>
      <w:r>
        <w:rPr>
          <w:rFonts w:asciiTheme="minorHAnsi" w:hAnsiTheme="minorHAnsi" w:cstheme="minorHAnsi"/>
          <w:szCs w:val="16"/>
        </w:rPr>
        <w:t>9</w:t>
      </w:r>
      <w:r w:rsidRPr="00E96972">
        <w:rPr>
          <w:rFonts w:asciiTheme="minorHAnsi" w:hAnsiTheme="minorHAnsi" w:cstheme="minorHAnsi"/>
          <w:szCs w:val="16"/>
        </w:rPr>
        <w:t>, Paragraph 1</w:t>
      </w:r>
      <w:r>
        <w:rPr>
          <w:rFonts w:asciiTheme="minorHAnsi" w:hAnsiTheme="minorHAnsi" w:cstheme="minorHAnsi"/>
          <w:szCs w:val="16"/>
        </w:rPr>
        <w:t>0</w:t>
      </w:r>
    </w:p>
  </w:footnote>
  <w:footnote w:id="15">
    <w:p w14:paraId="71899196" w14:textId="77777777" w:rsidR="00CA31B3" w:rsidRPr="00B03555" w:rsidRDefault="00CA31B3" w:rsidP="00B52071">
      <w:pPr>
        <w:pStyle w:val="FootnoteText"/>
        <w:rPr>
          <w:lang w:val="en-GB"/>
        </w:rPr>
      </w:pPr>
      <w:r w:rsidRPr="0082541C">
        <w:rPr>
          <w:rStyle w:val="FootnoteReference"/>
        </w:rPr>
        <w:footnoteRef/>
      </w:r>
      <w:r w:rsidRPr="0082541C">
        <w:t xml:space="preserve"> </w:t>
      </w:r>
      <w:r>
        <w:rPr>
          <w:lang w:val="en-GB"/>
        </w:rPr>
        <w:t>2016</w:t>
      </w:r>
      <w:r w:rsidRPr="0082541C">
        <w:rPr>
          <w:lang w:val="en-GB"/>
        </w:rPr>
        <w:t>-based Subnational Population Projections (ONS)</w:t>
      </w:r>
    </w:p>
  </w:footnote>
  <w:footnote w:id="16">
    <w:p w14:paraId="5B661F37" w14:textId="09654D60" w:rsidR="00CA31B3" w:rsidRPr="00DE6A36" w:rsidRDefault="00CA31B3">
      <w:pPr>
        <w:pStyle w:val="FootnoteText"/>
        <w:rPr>
          <w:lang w:val="en-US"/>
        </w:rPr>
      </w:pPr>
      <w:r>
        <w:rPr>
          <w:rStyle w:val="FootnoteReference"/>
        </w:rPr>
        <w:footnoteRef/>
      </w:r>
      <w:r>
        <w:t xml:space="preserve"> </w:t>
      </w:r>
      <w:r>
        <w:rPr>
          <w:lang w:val="en-US"/>
        </w:rPr>
        <w:t>Detailed price paid data by ward has been assembled using Land Registry data for the period 2007 onwards</w:t>
      </w:r>
    </w:p>
  </w:footnote>
  <w:footnote w:id="17">
    <w:p w14:paraId="45A31902" w14:textId="77777777" w:rsidR="00CA31B3" w:rsidRPr="002F71C1" w:rsidRDefault="00CA31B3">
      <w:pPr>
        <w:pStyle w:val="FootnoteText"/>
        <w:rPr>
          <w:rFonts w:asciiTheme="minorHAnsi" w:hAnsiTheme="minorHAnsi" w:cstheme="minorHAnsi"/>
          <w:lang w:val="en-GB"/>
        </w:rPr>
      </w:pPr>
      <w:r w:rsidRPr="002F71C1">
        <w:rPr>
          <w:rStyle w:val="FootnoteReference"/>
          <w:rFonts w:asciiTheme="minorHAnsi" w:hAnsiTheme="minorHAnsi" w:cstheme="minorHAnsi"/>
        </w:rPr>
        <w:footnoteRef/>
      </w:r>
      <w:r w:rsidRPr="002F71C1">
        <w:rPr>
          <w:rFonts w:asciiTheme="minorHAnsi" w:hAnsiTheme="minorHAnsi" w:cstheme="minorHAnsi"/>
        </w:rPr>
        <w:t xml:space="preserve"> </w:t>
      </w:r>
      <w:r w:rsidRPr="002F71C1">
        <w:rPr>
          <w:rFonts w:asciiTheme="minorHAnsi" w:hAnsiTheme="minorHAnsi" w:cstheme="minorHAnsi"/>
          <w:lang w:val="en-GB"/>
        </w:rPr>
        <w:t>2017 Council Tax data</w:t>
      </w:r>
    </w:p>
  </w:footnote>
  <w:footnote w:id="18">
    <w:p w14:paraId="3297407B" w14:textId="77777777" w:rsidR="00CA31B3" w:rsidRDefault="00CA31B3" w:rsidP="00D9194F">
      <w:pPr>
        <w:pStyle w:val="FootnoteText"/>
      </w:pPr>
    </w:p>
  </w:footnote>
  <w:footnote w:id="19">
    <w:p w14:paraId="2124EEEF" w14:textId="77777777" w:rsidR="00CA31B3" w:rsidRPr="009D369A" w:rsidRDefault="00CA31B3" w:rsidP="009D369A">
      <w:pPr>
        <w:pStyle w:val="FootnoteText"/>
        <w:rPr>
          <w:rFonts w:cs="Calibri"/>
        </w:rPr>
      </w:pPr>
      <w:r w:rsidRPr="009D369A">
        <w:rPr>
          <w:rStyle w:val="FootnoteReference"/>
          <w:rFonts w:cs="Calibri"/>
        </w:rPr>
        <w:footnoteRef/>
      </w:r>
      <w:r w:rsidRPr="009D369A">
        <w:rPr>
          <w:rFonts w:cs="Calibri"/>
        </w:rPr>
        <w:t xml:space="preserve"> https://www.gov.uk/government/uploads/system/uploads/attachment_data/file/7812/138355.pdf</w:t>
      </w:r>
    </w:p>
  </w:footnote>
  <w:footnote w:id="20">
    <w:p w14:paraId="20EF143A" w14:textId="77777777" w:rsidR="00CA31B3" w:rsidRDefault="00CA31B3" w:rsidP="00CD1C49">
      <w:pPr>
        <w:pStyle w:val="FootnoteText"/>
      </w:pPr>
      <w:r>
        <w:rPr>
          <w:rStyle w:val="FootnoteReference"/>
          <w:rFonts w:cs="Arial"/>
        </w:rPr>
        <w:footnoteRef/>
      </w:r>
      <w:r>
        <w:t xml:space="preserve"> </w:t>
      </w:r>
      <w:r w:rsidRPr="00524981">
        <w:rPr>
          <w:i/>
          <w:iCs/>
        </w:rPr>
        <w:t>Laying The Foundations</w:t>
      </w:r>
      <w:r>
        <w:t>; A Housing Strategy for England, 2011</w:t>
      </w:r>
    </w:p>
  </w:footnote>
  <w:footnote w:id="21">
    <w:p w14:paraId="0EE7C0E7" w14:textId="77777777" w:rsidR="00CA31B3" w:rsidRPr="009C5883" w:rsidRDefault="00CA31B3" w:rsidP="009C5883">
      <w:pPr>
        <w:pStyle w:val="FootnoteText"/>
        <w:rPr>
          <w:rFonts w:cs="Calibri"/>
          <w:lang w:val="en-US"/>
        </w:rPr>
      </w:pPr>
      <w:r w:rsidRPr="009C5883">
        <w:rPr>
          <w:rStyle w:val="FootnoteReference"/>
          <w:rFonts w:cs="Calibri"/>
        </w:rPr>
        <w:footnoteRef/>
      </w:r>
      <w:r w:rsidRPr="009C5883">
        <w:rPr>
          <w:rFonts w:cs="Calibri"/>
        </w:rPr>
        <w:t xml:space="preserve"> </w:t>
      </w:r>
      <w:r w:rsidRPr="009C5883">
        <w:rPr>
          <w:rFonts w:cs="Calibri"/>
          <w:lang w:val="en-US"/>
        </w:rPr>
        <w:t>A Broad Rental Market Area is an area ‘within which a person could reasonably be expected to live having regard to facilities and services for purposes of health, education, recreation, personal banking and shopping, taking account of the distance of travel, by public and private transport and from those facilities and services’.  A BRMA must contain ‘residential premises for a variety of types, including such premises held on a variety of tenures’ PLUS ‘sufficient privately rented residential premises, to ensure that, in the rent officer’s opinion, the LHA for the area is representative of the rents that a landlord might reasonably be expected to obtain in that area’ Source: VOA BRMA statistics</w:t>
      </w:r>
    </w:p>
  </w:footnote>
  <w:footnote w:id="22">
    <w:p w14:paraId="6BE00A7F" w14:textId="14324FD2" w:rsidR="00CA31B3" w:rsidRPr="00A406E8" w:rsidRDefault="00CA31B3" w:rsidP="002D4C53">
      <w:pPr>
        <w:pStyle w:val="FootnoteText"/>
        <w:rPr>
          <w:rFonts w:cs="Calibri"/>
          <w:szCs w:val="16"/>
          <w:lang w:val="en-US"/>
        </w:rPr>
      </w:pPr>
      <w:r w:rsidRPr="00A406E8">
        <w:rPr>
          <w:rStyle w:val="FootnoteReference"/>
          <w:rFonts w:cs="Calibri"/>
          <w:szCs w:val="16"/>
        </w:rPr>
        <w:footnoteRef/>
      </w:r>
      <w:r w:rsidRPr="00A406E8">
        <w:rPr>
          <w:rFonts w:cs="Calibri"/>
          <w:szCs w:val="16"/>
        </w:rPr>
        <w:t xml:space="preserve"> PPG 201</w:t>
      </w:r>
      <w:r w:rsidRPr="00A406E8">
        <w:rPr>
          <w:rFonts w:cs="Calibri"/>
          <w:szCs w:val="16"/>
          <w:lang w:val="en-US"/>
        </w:rPr>
        <w:t>9</w:t>
      </w:r>
      <w:r w:rsidRPr="00A406E8">
        <w:rPr>
          <w:rFonts w:cs="Calibri"/>
          <w:szCs w:val="16"/>
        </w:rPr>
        <w:t xml:space="preserve"> </w:t>
      </w:r>
      <w:r w:rsidRPr="00A406E8">
        <w:rPr>
          <w:rFonts w:cs="Calibri"/>
          <w:color w:val="0B0C0C"/>
          <w:szCs w:val="16"/>
          <w:shd w:val="clear" w:color="auto" w:fill="FFFFFF"/>
        </w:rPr>
        <w:t>Paragraph: 001 Reference ID: 2a-001-20190220</w:t>
      </w:r>
    </w:p>
  </w:footnote>
  <w:footnote w:id="23">
    <w:p w14:paraId="6E99AA2D" w14:textId="62FCD34D" w:rsidR="00CA31B3" w:rsidRPr="00A406E8" w:rsidRDefault="00CA31B3" w:rsidP="00723FAE">
      <w:pPr>
        <w:rPr>
          <w:rFonts w:cs="Calibri"/>
          <w:sz w:val="16"/>
          <w:szCs w:val="16"/>
        </w:rPr>
      </w:pPr>
      <w:r w:rsidRPr="00A406E8">
        <w:rPr>
          <w:rStyle w:val="FootnoteReference"/>
          <w:rFonts w:cs="Calibri"/>
          <w:sz w:val="16"/>
          <w:szCs w:val="16"/>
        </w:rPr>
        <w:footnoteRef/>
      </w:r>
      <w:r w:rsidRPr="00A406E8">
        <w:rPr>
          <w:rFonts w:cs="Calibri"/>
          <w:sz w:val="16"/>
          <w:szCs w:val="16"/>
        </w:rPr>
        <w:t xml:space="preserve"> </w:t>
      </w:r>
      <w:r w:rsidRPr="00A406E8">
        <w:rPr>
          <w:rFonts w:cs="Calibri"/>
          <w:sz w:val="16"/>
          <w:szCs w:val="16"/>
          <w:lang w:val="en-US"/>
        </w:rPr>
        <w:t xml:space="preserve">PPG 2019 </w:t>
      </w:r>
      <w:r w:rsidRPr="00A406E8">
        <w:rPr>
          <w:rFonts w:cs="Calibri"/>
          <w:color w:val="0B0C0C"/>
          <w:sz w:val="16"/>
          <w:szCs w:val="16"/>
          <w:shd w:val="clear" w:color="auto" w:fill="FFFFFF"/>
        </w:rPr>
        <w:t>002 Reference ID: 2a-002-20190220</w:t>
      </w:r>
    </w:p>
  </w:footnote>
  <w:footnote w:id="24">
    <w:p w14:paraId="61FC67A8" w14:textId="70CF9A77" w:rsidR="00CA31B3" w:rsidRPr="00D8430C" w:rsidRDefault="00CA31B3" w:rsidP="00070C83">
      <w:pPr>
        <w:rPr>
          <w:sz w:val="20"/>
          <w:szCs w:val="20"/>
        </w:rPr>
      </w:pPr>
      <w:r w:rsidRPr="00D8430C">
        <w:rPr>
          <w:rStyle w:val="FootnoteReference"/>
          <w:rFonts w:asciiTheme="minorHAnsi" w:hAnsiTheme="minorHAnsi"/>
          <w:sz w:val="20"/>
          <w:szCs w:val="20"/>
        </w:rPr>
        <w:footnoteRef/>
      </w:r>
      <w:r w:rsidRPr="00D8430C">
        <w:rPr>
          <w:rFonts w:asciiTheme="minorHAnsi" w:hAnsiTheme="minorHAnsi"/>
          <w:sz w:val="20"/>
          <w:szCs w:val="20"/>
        </w:rPr>
        <w:t xml:space="preserve"> </w:t>
      </w:r>
      <w:r w:rsidRPr="00D8430C">
        <w:rPr>
          <w:rFonts w:asciiTheme="minorHAnsi" w:hAnsiTheme="minorHAnsi"/>
          <w:sz w:val="16"/>
          <w:szCs w:val="16"/>
        </w:rPr>
        <w:t xml:space="preserve">PPG 2019 </w:t>
      </w:r>
      <w:r w:rsidRPr="00D8430C">
        <w:rPr>
          <w:rFonts w:asciiTheme="minorHAnsi" w:hAnsiTheme="minorHAnsi" w:cs="Arial"/>
          <w:color w:val="0B0C0C"/>
          <w:sz w:val="16"/>
          <w:szCs w:val="16"/>
          <w:shd w:val="clear" w:color="auto" w:fill="FFFFFF"/>
        </w:rPr>
        <w:t>006 Reference ID: 2a-006-20190220</w:t>
      </w:r>
    </w:p>
  </w:footnote>
  <w:footnote w:id="25">
    <w:p w14:paraId="4174E10C" w14:textId="77777777" w:rsidR="00CA31B3" w:rsidRPr="00AD07C8" w:rsidRDefault="00CA31B3" w:rsidP="00D8430C">
      <w:pPr>
        <w:pStyle w:val="FootnoteText"/>
        <w:rPr>
          <w:lang w:val="en-US"/>
        </w:rPr>
      </w:pPr>
      <w:r>
        <w:rPr>
          <w:rStyle w:val="FootnoteReference"/>
        </w:rPr>
        <w:footnoteRef/>
      </w:r>
      <w:r>
        <w:t xml:space="preserve"> </w:t>
      </w:r>
      <w:r w:rsidRPr="00D77A7D">
        <w:rPr>
          <w:rFonts w:asciiTheme="minorHAnsi" w:hAnsiTheme="minorHAnsi" w:cstheme="minorHAnsi"/>
          <w:szCs w:val="16"/>
        </w:rPr>
        <w:t xml:space="preserve">PPG 2019 Paragraph </w:t>
      </w:r>
      <w:r w:rsidRPr="00D77A7D">
        <w:rPr>
          <w:rFonts w:asciiTheme="minorHAnsi" w:hAnsiTheme="minorHAnsi" w:cstheme="minorHAnsi"/>
          <w:color w:val="0B0C0C"/>
          <w:szCs w:val="16"/>
          <w:shd w:val="clear" w:color="auto" w:fill="FFFFFF"/>
        </w:rPr>
        <w:t>00</w:t>
      </w:r>
      <w:r>
        <w:rPr>
          <w:rFonts w:asciiTheme="minorHAnsi" w:hAnsiTheme="minorHAnsi" w:cstheme="minorHAnsi"/>
          <w:color w:val="0B0C0C"/>
          <w:szCs w:val="16"/>
          <w:shd w:val="clear" w:color="auto" w:fill="FFFFFF"/>
        </w:rPr>
        <w:t>5</w:t>
      </w:r>
      <w:r w:rsidRPr="00D77A7D">
        <w:rPr>
          <w:rFonts w:asciiTheme="minorHAnsi" w:hAnsiTheme="minorHAnsi" w:cstheme="minorHAnsi"/>
          <w:color w:val="0B0C0C"/>
          <w:szCs w:val="16"/>
          <w:shd w:val="clear" w:color="auto" w:fill="FFFFFF"/>
        </w:rPr>
        <w:t xml:space="preserve"> Reference ID: 2a-00</w:t>
      </w:r>
      <w:r>
        <w:rPr>
          <w:rFonts w:asciiTheme="minorHAnsi" w:hAnsiTheme="minorHAnsi" w:cstheme="minorHAnsi"/>
          <w:color w:val="0B0C0C"/>
          <w:szCs w:val="16"/>
          <w:shd w:val="clear" w:color="auto" w:fill="FFFFFF"/>
        </w:rPr>
        <w:t>5</w:t>
      </w:r>
      <w:r w:rsidRPr="00D77A7D">
        <w:rPr>
          <w:rFonts w:asciiTheme="minorHAnsi" w:hAnsiTheme="minorHAnsi" w:cstheme="minorHAnsi"/>
          <w:color w:val="0B0C0C"/>
          <w:szCs w:val="16"/>
          <w:shd w:val="clear" w:color="auto" w:fill="FFFFFF"/>
        </w:rPr>
        <w:t>-20190220</w:t>
      </w:r>
    </w:p>
  </w:footnote>
  <w:footnote w:id="26">
    <w:p w14:paraId="3BEA5184" w14:textId="77777777" w:rsidR="00CA31B3" w:rsidRPr="005450C2" w:rsidRDefault="00CA31B3" w:rsidP="00D8430C">
      <w:pPr>
        <w:pStyle w:val="FootnoteText"/>
        <w:rPr>
          <w:lang w:val="en-US"/>
        </w:rPr>
      </w:pPr>
      <w:r>
        <w:rPr>
          <w:rStyle w:val="FootnoteReference"/>
        </w:rPr>
        <w:footnoteRef/>
      </w:r>
      <w:r>
        <w:t xml:space="preserve"> </w:t>
      </w:r>
      <w:r w:rsidRPr="00D77A7D">
        <w:rPr>
          <w:rFonts w:asciiTheme="minorHAnsi" w:hAnsiTheme="minorHAnsi" w:cstheme="minorHAnsi"/>
          <w:szCs w:val="16"/>
        </w:rPr>
        <w:t xml:space="preserve">PPG 2019 Paragraph </w:t>
      </w:r>
      <w:r w:rsidRPr="00D77A7D">
        <w:rPr>
          <w:rFonts w:asciiTheme="minorHAnsi" w:hAnsiTheme="minorHAnsi" w:cstheme="minorHAnsi"/>
          <w:color w:val="0B0C0C"/>
          <w:szCs w:val="16"/>
          <w:shd w:val="clear" w:color="auto" w:fill="FFFFFF"/>
        </w:rPr>
        <w:t>0</w:t>
      </w:r>
      <w:r>
        <w:rPr>
          <w:rFonts w:asciiTheme="minorHAnsi" w:hAnsiTheme="minorHAnsi" w:cstheme="minorHAnsi"/>
          <w:color w:val="0B0C0C"/>
          <w:szCs w:val="16"/>
          <w:shd w:val="clear" w:color="auto" w:fill="FFFFFF"/>
        </w:rPr>
        <w:t>15</w:t>
      </w:r>
      <w:r w:rsidRPr="00D77A7D">
        <w:rPr>
          <w:rFonts w:asciiTheme="minorHAnsi" w:hAnsiTheme="minorHAnsi" w:cstheme="minorHAnsi"/>
          <w:color w:val="0B0C0C"/>
          <w:szCs w:val="16"/>
          <w:shd w:val="clear" w:color="auto" w:fill="FFFFFF"/>
        </w:rPr>
        <w:t xml:space="preserve"> Reference ID: 2a-0</w:t>
      </w:r>
      <w:r>
        <w:rPr>
          <w:rFonts w:asciiTheme="minorHAnsi" w:hAnsiTheme="minorHAnsi" w:cstheme="minorHAnsi"/>
          <w:color w:val="0B0C0C"/>
          <w:szCs w:val="16"/>
          <w:shd w:val="clear" w:color="auto" w:fill="FFFFFF"/>
        </w:rPr>
        <w:t>15</w:t>
      </w:r>
      <w:r w:rsidRPr="00D77A7D">
        <w:rPr>
          <w:rFonts w:asciiTheme="minorHAnsi" w:hAnsiTheme="minorHAnsi" w:cstheme="minorHAnsi"/>
          <w:color w:val="0B0C0C"/>
          <w:szCs w:val="16"/>
          <w:shd w:val="clear" w:color="auto" w:fill="FFFFFF"/>
        </w:rPr>
        <w:t>-20190220</w:t>
      </w:r>
    </w:p>
  </w:footnote>
  <w:footnote w:id="27">
    <w:p w14:paraId="4210D086" w14:textId="1797914D" w:rsidR="00CA31B3" w:rsidRPr="00D90862" w:rsidRDefault="00CA31B3">
      <w:pPr>
        <w:pStyle w:val="FootnoteText"/>
        <w:rPr>
          <w:lang w:val="en-US"/>
        </w:rPr>
      </w:pPr>
      <w:r w:rsidRPr="004A2C67">
        <w:rPr>
          <w:rStyle w:val="FootnoteReference"/>
          <w:szCs w:val="16"/>
        </w:rPr>
        <w:footnoteRef/>
      </w:r>
      <w:r w:rsidRPr="004A2C67">
        <w:rPr>
          <w:szCs w:val="16"/>
        </w:rPr>
        <w:t xml:space="preserve"> </w:t>
      </w:r>
      <w:r w:rsidRPr="00207770">
        <w:rPr>
          <w:rFonts w:asciiTheme="minorHAnsi" w:hAnsiTheme="minorHAnsi" w:cstheme="minorHAnsi"/>
          <w:szCs w:val="16"/>
          <w:lang w:val="en-US"/>
        </w:rPr>
        <w:t xml:space="preserve">PPG 2019 Paragraph </w:t>
      </w:r>
      <w:r w:rsidRPr="00207770">
        <w:rPr>
          <w:rFonts w:asciiTheme="minorHAnsi" w:hAnsiTheme="minorHAnsi" w:cstheme="minorHAnsi"/>
          <w:color w:val="0B0C0C"/>
          <w:szCs w:val="16"/>
          <w:shd w:val="clear" w:color="auto" w:fill="FFFFFF"/>
        </w:rPr>
        <w:t>004 Reference ID: 2a-004-20190220</w:t>
      </w:r>
    </w:p>
  </w:footnote>
  <w:footnote w:id="28">
    <w:p w14:paraId="1A1C6BA4" w14:textId="5F235619" w:rsidR="00CA31B3" w:rsidRPr="004A2C67" w:rsidRDefault="00CA31B3">
      <w:pPr>
        <w:pStyle w:val="FootnoteText"/>
        <w:rPr>
          <w:szCs w:val="16"/>
          <w:lang w:val="en-US"/>
        </w:rPr>
      </w:pPr>
      <w:r w:rsidRPr="004A2C67">
        <w:rPr>
          <w:rStyle w:val="FootnoteReference"/>
          <w:szCs w:val="16"/>
        </w:rPr>
        <w:footnoteRef/>
      </w:r>
      <w:r w:rsidRPr="004A2C67">
        <w:rPr>
          <w:szCs w:val="16"/>
        </w:rPr>
        <w:t xml:space="preserve"> </w:t>
      </w:r>
      <w:r w:rsidRPr="00207770">
        <w:rPr>
          <w:rFonts w:asciiTheme="minorHAnsi" w:hAnsiTheme="minorHAnsi" w:cstheme="minorHAnsi"/>
          <w:szCs w:val="16"/>
          <w:lang w:val="en-US"/>
        </w:rPr>
        <w:t xml:space="preserve">PPG 2019 Paragraph </w:t>
      </w:r>
      <w:r w:rsidRPr="00207770">
        <w:rPr>
          <w:rFonts w:asciiTheme="minorHAnsi" w:hAnsiTheme="minorHAnsi" w:cstheme="minorHAnsi"/>
          <w:color w:val="0B0C0C"/>
          <w:szCs w:val="16"/>
          <w:shd w:val="clear" w:color="auto" w:fill="FFFFFF"/>
        </w:rPr>
        <w:t>00</w:t>
      </w:r>
      <w:r>
        <w:rPr>
          <w:rFonts w:asciiTheme="minorHAnsi" w:hAnsiTheme="minorHAnsi" w:cstheme="minorHAnsi"/>
          <w:color w:val="0B0C0C"/>
          <w:szCs w:val="16"/>
          <w:shd w:val="clear" w:color="auto" w:fill="FFFFFF"/>
        </w:rPr>
        <w:t>6</w:t>
      </w:r>
      <w:r w:rsidRPr="00207770">
        <w:rPr>
          <w:rFonts w:asciiTheme="minorHAnsi" w:hAnsiTheme="minorHAnsi" w:cstheme="minorHAnsi"/>
          <w:color w:val="0B0C0C"/>
          <w:szCs w:val="16"/>
          <w:shd w:val="clear" w:color="auto" w:fill="FFFFFF"/>
        </w:rPr>
        <w:t xml:space="preserve"> Reference ID: 2a-00</w:t>
      </w:r>
      <w:r>
        <w:rPr>
          <w:rFonts w:asciiTheme="minorHAnsi" w:hAnsiTheme="minorHAnsi" w:cstheme="minorHAnsi"/>
          <w:color w:val="0B0C0C"/>
          <w:szCs w:val="16"/>
          <w:shd w:val="clear" w:color="auto" w:fill="FFFFFF"/>
        </w:rPr>
        <w:t>6</w:t>
      </w:r>
      <w:r w:rsidRPr="00207770">
        <w:rPr>
          <w:rFonts w:asciiTheme="minorHAnsi" w:hAnsiTheme="minorHAnsi" w:cstheme="minorHAnsi"/>
          <w:color w:val="0B0C0C"/>
          <w:szCs w:val="16"/>
          <w:shd w:val="clear" w:color="auto" w:fill="FFFFFF"/>
        </w:rPr>
        <w:t>-20190220</w:t>
      </w:r>
    </w:p>
  </w:footnote>
  <w:footnote w:id="29">
    <w:p w14:paraId="733BDA5D" w14:textId="77777777" w:rsidR="00CA31B3" w:rsidRPr="005E0A6D" w:rsidRDefault="00CA31B3" w:rsidP="00677C6B">
      <w:pPr>
        <w:pStyle w:val="FootnoteText"/>
        <w:rPr>
          <w:lang w:val="en-US"/>
        </w:rPr>
      </w:pPr>
      <w:r>
        <w:rPr>
          <w:rStyle w:val="FootnoteReference"/>
        </w:rPr>
        <w:footnoteRef/>
      </w:r>
      <w:r>
        <w:t xml:space="preserve"> </w:t>
      </w:r>
      <w:r w:rsidRPr="001173FB">
        <w:rPr>
          <w:rFonts w:asciiTheme="minorHAnsi" w:hAnsiTheme="minorHAnsi" w:cstheme="minorHAnsi"/>
          <w:szCs w:val="16"/>
          <w:lang w:val="en-US"/>
        </w:rPr>
        <w:t xml:space="preserve">PPG 2019 </w:t>
      </w:r>
      <w:r w:rsidRPr="00207770">
        <w:rPr>
          <w:rFonts w:asciiTheme="minorHAnsi" w:hAnsiTheme="minorHAnsi" w:cstheme="minorHAnsi"/>
          <w:szCs w:val="16"/>
          <w:lang w:val="en-US"/>
        </w:rPr>
        <w:t xml:space="preserve">Paragraph </w:t>
      </w:r>
      <w:r w:rsidRPr="001173FB">
        <w:rPr>
          <w:rFonts w:asciiTheme="minorHAnsi" w:hAnsiTheme="minorHAnsi" w:cstheme="minorHAnsi"/>
          <w:color w:val="0B0C0C"/>
          <w:szCs w:val="16"/>
          <w:shd w:val="clear" w:color="auto" w:fill="FFFFFF"/>
        </w:rPr>
        <w:t>00</w:t>
      </w:r>
      <w:r>
        <w:rPr>
          <w:rFonts w:asciiTheme="minorHAnsi" w:hAnsiTheme="minorHAnsi" w:cstheme="minorHAnsi"/>
          <w:color w:val="0B0C0C"/>
          <w:szCs w:val="16"/>
          <w:shd w:val="clear" w:color="auto" w:fill="FFFFFF"/>
        </w:rPr>
        <w:t>7</w:t>
      </w:r>
      <w:r w:rsidRPr="001173FB">
        <w:rPr>
          <w:rFonts w:asciiTheme="minorHAnsi" w:hAnsiTheme="minorHAnsi" w:cstheme="minorHAnsi"/>
          <w:color w:val="0B0C0C"/>
          <w:szCs w:val="16"/>
          <w:shd w:val="clear" w:color="auto" w:fill="FFFFFF"/>
        </w:rPr>
        <w:t xml:space="preserve"> Reference ID: 2a-00</w:t>
      </w:r>
      <w:r>
        <w:rPr>
          <w:rFonts w:asciiTheme="minorHAnsi" w:hAnsiTheme="minorHAnsi" w:cstheme="minorHAnsi"/>
          <w:color w:val="0B0C0C"/>
          <w:szCs w:val="16"/>
          <w:shd w:val="clear" w:color="auto" w:fill="FFFFFF"/>
        </w:rPr>
        <w:t>7</w:t>
      </w:r>
      <w:r w:rsidRPr="001173FB">
        <w:rPr>
          <w:rFonts w:asciiTheme="minorHAnsi" w:hAnsiTheme="minorHAnsi" w:cstheme="minorHAnsi"/>
          <w:color w:val="0B0C0C"/>
          <w:szCs w:val="16"/>
          <w:shd w:val="clear" w:color="auto" w:fill="FFFFFF"/>
        </w:rPr>
        <w:t>-20190220</w:t>
      </w:r>
    </w:p>
  </w:footnote>
  <w:footnote w:id="30">
    <w:p w14:paraId="7562E5B5" w14:textId="3A772CF9" w:rsidR="00CA31B3" w:rsidRPr="00A32EE5" w:rsidRDefault="00CA31B3" w:rsidP="00A32EE5">
      <w:pPr>
        <w:rPr>
          <w:rFonts w:asciiTheme="minorHAnsi" w:hAnsiTheme="minorHAnsi"/>
          <w:sz w:val="16"/>
          <w:szCs w:val="16"/>
        </w:rPr>
      </w:pPr>
      <w:r w:rsidRPr="00A32EE5">
        <w:rPr>
          <w:rStyle w:val="FootnoteReference"/>
          <w:rFonts w:asciiTheme="minorHAnsi" w:hAnsiTheme="minorHAnsi"/>
          <w:sz w:val="16"/>
          <w:szCs w:val="16"/>
        </w:rPr>
        <w:footnoteRef/>
      </w:r>
      <w:r w:rsidRPr="00A32EE5">
        <w:rPr>
          <w:rFonts w:asciiTheme="minorHAnsi" w:hAnsiTheme="minorHAnsi"/>
          <w:sz w:val="16"/>
          <w:szCs w:val="16"/>
        </w:rPr>
        <w:t xml:space="preserve"> PPG 2019 </w:t>
      </w:r>
      <w:r w:rsidRPr="00A32EE5">
        <w:rPr>
          <w:rFonts w:asciiTheme="minorHAnsi" w:hAnsiTheme="minorHAnsi" w:cs="Arial"/>
          <w:color w:val="0B0C0C"/>
          <w:sz w:val="16"/>
          <w:szCs w:val="16"/>
          <w:shd w:val="clear" w:color="auto" w:fill="FFFFFF"/>
        </w:rPr>
        <w:t>Paragraph: 004 Reference ID: 2a-004-20190220</w:t>
      </w:r>
    </w:p>
  </w:footnote>
  <w:footnote w:id="31">
    <w:p w14:paraId="6E134C75" w14:textId="77777777" w:rsidR="00CA31B3" w:rsidRPr="00DC3864" w:rsidRDefault="00CA31B3">
      <w:pPr>
        <w:pStyle w:val="FootnoteText"/>
        <w:rPr>
          <w:rFonts w:asciiTheme="minorHAnsi" w:hAnsiTheme="minorHAnsi"/>
          <w:lang w:val="en-US"/>
        </w:rPr>
      </w:pPr>
      <w:r w:rsidRPr="004A2C67">
        <w:rPr>
          <w:rStyle w:val="FootnoteReference"/>
          <w:rFonts w:asciiTheme="minorHAnsi" w:hAnsiTheme="minorHAnsi"/>
          <w:szCs w:val="16"/>
        </w:rPr>
        <w:footnoteRef/>
      </w:r>
      <w:r w:rsidRPr="004A2C67">
        <w:rPr>
          <w:rFonts w:asciiTheme="minorHAnsi" w:hAnsiTheme="minorHAnsi"/>
          <w:szCs w:val="16"/>
        </w:rPr>
        <w:t xml:space="preserve"> </w:t>
      </w:r>
      <w:r w:rsidRPr="004A2C67">
        <w:rPr>
          <w:rFonts w:asciiTheme="minorHAnsi" w:hAnsiTheme="minorHAnsi"/>
          <w:szCs w:val="16"/>
          <w:lang w:val="en-US"/>
        </w:rPr>
        <w:t>Cap = 2,117 + (40% x 2,117) = 2,117 + 847 = 2,964</w:t>
      </w:r>
    </w:p>
  </w:footnote>
  <w:footnote w:id="32">
    <w:p w14:paraId="00729F64" w14:textId="77777777" w:rsidR="00CA31B3" w:rsidRPr="005E0A6D" w:rsidRDefault="00CA31B3" w:rsidP="00677C6B">
      <w:pPr>
        <w:pStyle w:val="FootnoteText"/>
        <w:rPr>
          <w:lang w:val="en-US"/>
        </w:rPr>
      </w:pPr>
      <w:r>
        <w:rPr>
          <w:rStyle w:val="FootnoteReference"/>
        </w:rPr>
        <w:footnoteRef/>
      </w:r>
      <w:r>
        <w:t xml:space="preserve"> </w:t>
      </w:r>
      <w:r w:rsidRPr="001173FB">
        <w:rPr>
          <w:rFonts w:asciiTheme="minorHAnsi" w:hAnsiTheme="minorHAnsi" w:cstheme="minorHAnsi"/>
          <w:szCs w:val="16"/>
          <w:lang w:val="en-US"/>
        </w:rPr>
        <w:t xml:space="preserve">PPG 2019 </w:t>
      </w:r>
      <w:r w:rsidRPr="00207770">
        <w:rPr>
          <w:rFonts w:asciiTheme="minorHAnsi" w:hAnsiTheme="minorHAnsi" w:cstheme="minorHAnsi"/>
          <w:szCs w:val="16"/>
          <w:lang w:val="en-US"/>
        </w:rPr>
        <w:t xml:space="preserve">Paragraph </w:t>
      </w:r>
      <w:r w:rsidRPr="001173FB">
        <w:rPr>
          <w:rFonts w:asciiTheme="minorHAnsi" w:hAnsiTheme="minorHAnsi" w:cstheme="minorHAnsi"/>
          <w:color w:val="0B0C0C"/>
          <w:szCs w:val="16"/>
          <w:shd w:val="clear" w:color="auto" w:fill="FFFFFF"/>
        </w:rPr>
        <w:t>00</w:t>
      </w:r>
      <w:r>
        <w:rPr>
          <w:rFonts w:asciiTheme="minorHAnsi" w:hAnsiTheme="minorHAnsi" w:cstheme="minorHAnsi"/>
          <w:color w:val="0B0C0C"/>
          <w:szCs w:val="16"/>
          <w:shd w:val="clear" w:color="auto" w:fill="FFFFFF"/>
        </w:rPr>
        <w:t>7</w:t>
      </w:r>
      <w:r w:rsidRPr="001173FB">
        <w:rPr>
          <w:rFonts w:asciiTheme="minorHAnsi" w:hAnsiTheme="minorHAnsi" w:cstheme="minorHAnsi"/>
          <w:color w:val="0B0C0C"/>
          <w:szCs w:val="16"/>
          <w:shd w:val="clear" w:color="auto" w:fill="FFFFFF"/>
        </w:rPr>
        <w:t xml:space="preserve"> Reference ID: 2a-00</w:t>
      </w:r>
      <w:r>
        <w:rPr>
          <w:rFonts w:asciiTheme="minorHAnsi" w:hAnsiTheme="minorHAnsi" w:cstheme="minorHAnsi"/>
          <w:color w:val="0B0C0C"/>
          <w:szCs w:val="16"/>
          <w:shd w:val="clear" w:color="auto" w:fill="FFFFFF"/>
        </w:rPr>
        <w:t>7</w:t>
      </w:r>
      <w:r w:rsidRPr="001173FB">
        <w:rPr>
          <w:rFonts w:asciiTheme="minorHAnsi" w:hAnsiTheme="minorHAnsi" w:cstheme="minorHAnsi"/>
          <w:color w:val="0B0C0C"/>
          <w:szCs w:val="16"/>
          <w:shd w:val="clear" w:color="auto" w:fill="FFFFFF"/>
        </w:rPr>
        <w:t>-20190220</w:t>
      </w:r>
    </w:p>
  </w:footnote>
  <w:footnote w:id="33">
    <w:p w14:paraId="7252959B" w14:textId="3A3C88A3" w:rsidR="00CA31B3" w:rsidRPr="009A128E" w:rsidRDefault="00CA31B3" w:rsidP="009A128E">
      <w:pPr>
        <w:rPr>
          <w:rFonts w:asciiTheme="minorHAnsi" w:hAnsiTheme="minorHAnsi"/>
          <w:sz w:val="16"/>
          <w:szCs w:val="16"/>
        </w:rPr>
      </w:pPr>
      <w:r w:rsidRPr="009A128E">
        <w:rPr>
          <w:rStyle w:val="FootnoteReference"/>
          <w:rFonts w:asciiTheme="minorHAnsi" w:hAnsiTheme="minorHAnsi"/>
          <w:sz w:val="16"/>
          <w:szCs w:val="16"/>
        </w:rPr>
        <w:footnoteRef/>
      </w:r>
      <w:r w:rsidRPr="009A128E">
        <w:rPr>
          <w:rFonts w:asciiTheme="minorHAnsi" w:hAnsiTheme="minorHAnsi"/>
          <w:sz w:val="16"/>
          <w:szCs w:val="16"/>
        </w:rPr>
        <w:t xml:space="preserve"> PPG 2019 </w:t>
      </w:r>
      <w:r w:rsidRPr="009A128E">
        <w:rPr>
          <w:rFonts w:asciiTheme="minorHAnsi" w:hAnsiTheme="minorHAnsi" w:cs="Arial"/>
          <w:color w:val="0B0C0C"/>
          <w:sz w:val="16"/>
          <w:szCs w:val="16"/>
          <w:shd w:val="clear" w:color="auto" w:fill="FFFFFF"/>
        </w:rPr>
        <w:t>Paragraph: 011 Reference ID: 2a-011-20190220</w:t>
      </w:r>
    </w:p>
  </w:footnote>
  <w:footnote w:id="34">
    <w:p w14:paraId="5CFB675C" w14:textId="10D18B58" w:rsidR="00CA31B3" w:rsidRPr="009A128E" w:rsidRDefault="00CA31B3" w:rsidP="00585BC6">
      <w:pPr>
        <w:rPr>
          <w:lang w:val="en-US"/>
        </w:rPr>
      </w:pPr>
      <w:r w:rsidRPr="009A128E">
        <w:rPr>
          <w:rStyle w:val="FootnoteReference"/>
          <w:rFonts w:asciiTheme="minorHAnsi" w:hAnsiTheme="minorHAnsi"/>
          <w:sz w:val="20"/>
          <w:szCs w:val="20"/>
        </w:rPr>
        <w:footnoteRef/>
      </w:r>
      <w:r w:rsidRPr="009A128E">
        <w:rPr>
          <w:rFonts w:asciiTheme="minorHAnsi" w:hAnsiTheme="minorHAnsi"/>
          <w:sz w:val="20"/>
          <w:szCs w:val="20"/>
        </w:rPr>
        <w:t xml:space="preserve"> </w:t>
      </w:r>
      <w:r w:rsidRPr="009A128E">
        <w:rPr>
          <w:rFonts w:asciiTheme="minorHAnsi" w:hAnsiTheme="minorHAnsi" w:cs="Arial"/>
          <w:color w:val="0B0C0C"/>
          <w:sz w:val="16"/>
          <w:szCs w:val="16"/>
          <w:shd w:val="clear" w:color="auto" w:fill="FFFFFF"/>
        </w:rPr>
        <w:t>Paragraph: 012 Reference ID: 2a-012-20190220</w:t>
      </w:r>
    </w:p>
  </w:footnote>
  <w:footnote w:id="35">
    <w:p w14:paraId="4784298E" w14:textId="77777777" w:rsidR="00CA31B3" w:rsidRPr="008B3CBD" w:rsidRDefault="00CA31B3" w:rsidP="009A128E">
      <w:pPr>
        <w:pStyle w:val="FootnoteText"/>
        <w:rPr>
          <w:rFonts w:asciiTheme="minorHAnsi" w:hAnsiTheme="minorHAnsi" w:cstheme="minorHAnsi"/>
          <w:lang w:val="en-US"/>
        </w:rPr>
      </w:pPr>
      <w:r w:rsidRPr="008B3CBD">
        <w:rPr>
          <w:rStyle w:val="FootnoteReference"/>
          <w:rFonts w:asciiTheme="minorHAnsi" w:hAnsiTheme="minorHAnsi" w:cstheme="minorHAnsi"/>
        </w:rPr>
        <w:footnoteRef/>
      </w:r>
      <w:r w:rsidRPr="008B3CBD">
        <w:rPr>
          <w:rFonts w:asciiTheme="minorHAnsi" w:hAnsiTheme="minorHAnsi" w:cstheme="minorHAnsi"/>
        </w:rPr>
        <w:t xml:space="preserve"> </w:t>
      </w:r>
      <w:r w:rsidRPr="008B3CBD">
        <w:rPr>
          <w:rFonts w:asciiTheme="minorHAnsi" w:hAnsiTheme="minorHAnsi" w:cstheme="minorHAnsi"/>
          <w:szCs w:val="16"/>
          <w:lang w:val="en-US"/>
        </w:rPr>
        <w:t>PPG 201</w:t>
      </w:r>
      <w:r>
        <w:rPr>
          <w:rFonts w:asciiTheme="minorHAnsi" w:hAnsiTheme="minorHAnsi" w:cstheme="minorHAnsi"/>
          <w:szCs w:val="16"/>
          <w:lang w:val="en-US"/>
        </w:rPr>
        <w:t>9</w:t>
      </w:r>
      <w:r w:rsidRPr="008B3CBD">
        <w:rPr>
          <w:rFonts w:asciiTheme="minorHAnsi" w:hAnsiTheme="minorHAnsi" w:cstheme="minorHAnsi"/>
          <w:szCs w:val="16"/>
          <w:lang w:val="en-US"/>
        </w:rPr>
        <w:t xml:space="preserve"> Paragraph </w:t>
      </w:r>
      <w:r w:rsidRPr="008B3CBD">
        <w:rPr>
          <w:rFonts w:asciiTheme="minorHAnsi" w:hAnsiTheme="minorHAnsi" w:cstheme="minorHAnsi"/>
          <w:color w:val="0B0C0C"/>
          <w:szCs w:val="16"/>
          <w:shd w:val="clear" w:color="auto" w:fill="FFFFFF"/>
        </w:rPr>
        <w:t>010 Reference ID: 2a-</w:t>
      </w:r>
      <w:r>
        <w:rPr>
          <w:rFonts w:asciiTheme="minorHAnsi" w:hAnsiTheme="minorHAnsi" w:cstheme="minorHAnsi"/>
          <w:color w:val="0B0C0C"/>
          <w:szCs w:val="16"/>
          <w:shd w:val="clear" w:color="auto" w:fill="FFFFFF"/>
        </w:rPr>
        <w:t>010-20190220</w:t>
      </w:r>
    </w:p>
  </w:footnote>
  <w:footnote w:id="36">
    <w:p w14:paraId="540B92AE" w14:textId="2FE6378D" w:rsidR="00CA31B3" w:rsidRPr="00873F3B" w:rsidRDefault="00CA31B3" w:rsidP="00873F3B">
      <w:pPr>
        <w:rPr>
          <w:rFonts w:asciiTheme="minorHAnsi" w:hAnsiTheme="minorHAnsi"/>
          <w:sz w:val="16"/>
          <w:szCs w:val="16"/>
        </w:rPr>
      </w:pPr>
      <w:r w:rsidRPr="00873F3B">
        <w:rPr>
          <w:rStyle w:val="FootnoteReference"/>
          <w:rFonts w:asciiTheme="minorHAnsi" w:hAnsiTheme="minorHAnsi"/>
          <w:sz w:val="16"/>
          <w:szCs w:val="16"/>
        </w:rPr>
        <w:footnoteRef/>
      </w:r>
      <w:r w:rsidRPr="00873F3B">
        <w:rPr>
          <w:rFonts w:asciiTheme="minorHAnsi" w:hAnsiTheme="minorHAnsi"/>
          <w:sz w:val="16"/>
          <w:szCs w:val="16"/>
        </w:rPr>
        <w:t xml:space="preserve"> </w:t>
      </w:r>
      <w:r>
        <w:rPr>
          <w:rFonts w:asciiTheme="minorHAnsi" w:hAnsiTheme="minorHAnsi"/>
          <w:sz w:val="16"/>
          <w:szCs w:val="16"/>
        </w:rPr>
        <w:t xml:space="preserve">2019 PPG </w:t>
      </w:r>
      <w:r w:rsidRPr="00873F3B">
        <w:rPr>
          <w:rFonts w:asciiTheme="minorHAnsi" w:hAnsiTheme="minorHAnsi" w:cs="Arial"/>
          <w:color w:val="0B0C0C"/>
          <w:sz w:val="16"/>
          <w:szCs w:val="16"/>
          <w:shd w:val="clear" w:color="auto" w:fill="FFFFFF"/>
        </w:rPr>
        <w:t>Paragraph: 017 Reference ID: 2a-017-20190220</w:t>
      </w:r>
    </w:p>
    <w:p w14:paraId="7222B60E" w14:textId="36F79B3F" w:rsidR="00CA31B3" w:rsidRPr="00E313B3" w:rsidRDefault="00CA31B3">
      <w:pPr>
        <w:pStyle w:val="FootnoteText"/>
        <w:rPr>
          <w:lang w:val="en-US"/>
        </w:rPr>
      </w:pPr>
    </w:p>
  </w:footnote>
  <w:footnote w:id="37">
    <w:p w14:paraId="2E884C99" w14:textId="09BB8F39" w:rsidR="00CA31B3" w:rsidRPr="00FF0436" w:rsidRDefault="00CA31B3" w:rsidP="00FF0436">
      <w:pPr>
        <w:rPr>
          <w:rFonts w:asciiTheme="minorHAnsi" w:hAnsiTheme="minorHAnsi"/>
          <w:sz w:val="16"/>
          <w:szCs w:val="16"/>
        </w:rPr>
      </w:pPr>
      <w:r w:rsidRPr="00FF0436">
        <w:rPr>
          <w:rStyle w:val="FootnoteReference"/>
          <w:rFonts w:asciiTheme="minorHAnsi" w:hAnsiTheme="minorHAnsi"/>
          <w:sz w:val="16"/>
          <w:szCs w:val="16"/>
        </w:rPr>
        <w:footnoteRef/>
      </w:r>
      <w:r w:rsidRPr="00FF0436">
        <w:rPr>
          <w:rFonts w:asciiTheme="minorHAnsi" w:hAnsiTheme="minorHAnsi"/>
          <w:sz w:val="16"/>
          <w:szCs w:val="16"/>
        </w:rPr>
        <w:t xml:space="preserve"> PPG 2019 </w:t>
      </w:r>
      <w:r w:rsidRPr="00FF0436">
        <w:rPr>
          <w:rFonts w:asciiTheme="minorHAnsi" w:hAnsiTheme="minorHAnsi" w:cs="Arial"/>
          <w:color w:val="0B0C0C"/>
          <w:sz w:val="16"/>
          <w:szCs w:val="16"/>
          <w:shd w:val="clear" w:color="auto" w:fill="FFFFFF"/>
        </w:rPr>
        <w:t>Paragraph: 018 Reference ID: 2a-018-20190220</w:t>
      </w:r>
    </w:p>
    <w:p w14:paraId="38AF198B" w14:textId="7DC94C7D" w:rsidR="00CA31B3" w:rsidRPr="00A916E6" w:rsidRDefault="00CA31B3">
      <w:pPr>
        <w:pStyle w:val="FootnoteText"/>
        <w:rPr>
          <w:lang w:val="en-US"/>
        </w:rPr>
      </w:pPr>
    </w:p>
  </w:footnote>
  <w:footnote w:id="38">
    <w:p w14:paraId="2661B1CC" w14:textId="77777777" w:rsidR="00CA31B3" w:rsidRPr="00320374" w:rsidRDefault="00CA31B3" w:rsidP="00DA5DBD">
      <w:pPr>
        <w:pStyle w:val="FootnoteText"/>
        <w:rPr>
          <w:lang w:val="en-US"/>
        </w:rPr>
      </w:pPr>
      <w:r>
        <w:rPr>
          <w:rStyle w:val="FootnoteReference"/>
        </w:rPr>
        <w:footnoteRef/>
      </w:r>
      <w:r>
        <w:t xml:space="preserve"> </w:t>
      </w:r>
      <w:r>
        <w:rPr>
          <w:rFonts w:asciiTheme="minorHAnsi" w:hAnsiTheme="minorHAnsi"/>
          <w:lang w:val="en-US"/>
        </w:rPr>
        <w:t>The percentage data for who can afford based on local income data totals 136.9%. This is rebased to 100% and adjusts the proportions accordingly. For instance, 70.5% who can afford social rent translates to 70.5% x 100/139.6%  = 51.5%</w:t>
      </w:r>
    </w:p>
  </w:footnote>
  <w:footnote w:id="39">
    <w:p w14:paraId="3073B70C" w14:textId="77777777" w:rsidR="00CA31B3" w:rsidRPr="005C675A" w:rsidRDefault="00CA31B3" w:rsidP="00D87564">
      <w:pPr>
        <w:pStyle w:val="FootnoteText"/>
        <w:rPr>
          <w:rFonts w:cs="Calibri"/>
        </w:rPr>
      </w:pPr>
      <w:r w:rsidRPr="005C675A">
        <w:rPr>
          <w:rStyle w:val="FootnoteReference"/>
          <w:rFonts w:cs="Calibri"/>
        </w:rPr>
        <w:footnoteRef/>
      </w:r>
      <w:r w:rsidRPr="005C675A">
        <w:rPr>
          <w:rFonts w:cs="Calibri"/>
        </w:rPr>
        <w:t xml:space="preserve"> </w:t>
      </w:r>
      <w:r>
        <w:rPr>
          <w:rFonts w:cs="Calibri"/>
        </w:rPr>
        <w:t>ONS 2016</w:t>
      </w:r>
      <w:r w:rsidRPr="005C675A">
        <w:rPr>
          <w:rFonts w:cs="Calibri"/>
        </w:rPr>
        <w:t>-based Subnational population projections</w:t>
      </w:r>
    </w:p>
  </w:footnote>
  <w:footnote w:id="40">
    <w:p w14:paraId="6242211F" w14:textId="77AF58F4" w:rsidR="00CA31B3" w:rsidRPr="00DF6685" w:rsidRDefault="00CA31B3" w:rsidP="00D87564">
      <w:pPr>
        <w:pStyle w:val="FootnoteText"/>
        <w:rPr>
          <w:lang w:val="en-US"/>
        </w:rPr>
      </w:pPr>
      <w:r>
        <w:rPr>
          <w:rStyle w:val="FootnoteReference"/>
        </w:rPr>
        <w:footnoteRef/>
      </w:r>
      <w:r>
        <w:t xml:space="preserve"> </w:t>
      </w:r>
      <w:r>
        <w:rPr>
          <w:lang w:val="en-US"/>
        </w:rPr>
        <w:t xml:space="preserve">CLG 2014-based household projections </w:t>
      </w:r>
    </w:p>
  </w:footnote>
  <w:footnote w:id="41">
    <w:p w14:paraId="34DBFE47" w14:textId="0460DBE2" w:rsidR="00CA31B3" w:rsidRPr="0015368C" w:rsidRDefault="00CA31B3">
      <w:pPr>
        <w:pStyle w:val="FootnoteText"/>
        <w:rPr>
          <w:lang w:val="en-US"/>
        </w:rPr>
      </w:pPr>
      <w:r>
        <w:rPr>
          <w:rStyle w:val="FootnoteReference"/>
        </w:rPr>
        <w:footnoteRef/>
      </w:r>
      <w:r>
        <w:t xml:space="preserve"> </w:t>
      </w:r>
      <w:r>
        <w:rPr>
          <w:lang w:val="en-US"/>
        </w:rPr>
        <w:t>Note MHCLG 2014-based household projections run to 2039</w:t>
      </w:r>
    </w:p>
  </w:footnote>
  <w:footnote w:id="42">
    <w:p w14:paraId="7D9E98EA" w14:textId="32FF1F5A" w:rsidR="00CA31B3" w:rsidRPr="00FF0436" w:rsidRDefault="00CA31B3" w:rsidP="00FF0436">
      <w:pPr>
        <w:rPr>
          <w:rFonts w:asciiTheme="minorHAnsi" w:hAnsiTheme="minorHAnsi"/>
          <w:sz w:val="16"/>
          <w:szCs w:val="16"/>
        </w:rPr>
      </w:pPr>
      <w:r w:rsidRPr="00FF0436">
        <w:rPr>
          <w:rStyle w:val="FootnoteReference"/>
          <w:rFonts w:asciiTheme="minorHAnsi" w:hAnsiTheme="minorHAnsi"/>
          <w:sz w:val="16"/>
          <w:szCs w:val="16"/>
        </w:rPr>
        <w:footnoteRef/>
      </w:r>
      <w:r w:rsidRPr="00FF0436">
        <w:rPr>
          <w:rFonts w:asciiTheme="minorHAnsi" w:hAnsiTheme="minorHAnsi"/>
          <w:sz w:val="16"/>
          <w:szCs w:val="16"/>
        </w:rPr>
        <w:t xml:space="preserve"> PPG 2019 </w:t>
      </w:r>
      <w:r w:rsidRPr="00FF0436">
        <w:rPr>
          <w:rFonts w:asciiTheme="minorHAnsi" w:hAnsiTheme="minorHAnsi" w:cs="Arial"/>
          <w:color w:val="0B0C0C"/>
          <w:sz w:val="16"/>
          <w:szCs w:val="16"/>
          <w:shd w:val="clear" w:color="auto" w:fill="FFFFFF"/>
        </w:rPr>
        <w:t>Paragraph: 017 Reference ID: 2a-017-20190220</w:t>
      </w:r>
    </w:p>
    <w:p w14:paraId="314090ED" w14:textId="6D559B98" w:rsidR="00CA31B3" w:rsidRPr="00FF0436" w:rsidRDefault="00CA31B3">
      <w:pPr>
        <w:pStyle w:val="FootnoteText"/>
        <w:rPr>
          <w:lang w:val="en-US"/>
        </w:rPr>
      </w:pPr>
    </w:p>
  </w:footnote>
  <w:footnote w:id="43">
    <w:p w14:paraId="217D6B1F" w14:textId="17014573" w:rsidR="00CA31B3" w:rsidRPr="00FF0436" w:rsidRDefault="00CA31B3" w:rsidP="00FF0436">
      <w:pPr>
        <w:rPr>
          <w:rFonts w:asciiTheme="minorHAnsi" w:hAnsiTheme="minorHAnsi"/>
          <w:sz w:val="16"/>
          <w:szCs w:val="16"/>
        </w:rPr>
      </w:pPr>
      <w:r w:rsidRPr="00FF0436">
        <w:rPr>
          <w:rStyle w:val="FootnoteReference"/>
          <w:rFonts w:asciiTheme="minorHAnsi" w:hAnsiTheme="minorHAnsi"/>
          <w:sz w:val="16"/>
          <w:szCs w:val="16"/>
        </w:rPr>
        <w:footnoteRef/>
      </w:r>
      <w:r w:rsidRPr="00FF0436">
        <w:rPr>
          <w:rFonts w:asciiTheme="minorHAnsi" w:hAnsiTheme="minorHAnsi"/>
          <w:sz w:val="16"/>
          <w:szCs w:val="16"/>
        </w:rPr>
        <w:t xml:space="preserve"> 2019 PPG </w:t>
      </w:r>
      <w:r w:rsidRPr="00FF0436">
        <w:rPr>
          <w:rFonts w:asciiTheme="minorHAnsi" w:hAnsiTheme="minorHAnsi" w:cs="Arial"/>
          <w:color w:val="0B0C0C"/>
          <w:sz w:val="16"/>
          <w:szCs w:val="16"/>
          <w:shd w:val="clear" w:color="auto" w:fill="FFFFFF"/>
        </w:rPr>
        <w:t>Paragraph: 017 Reference ID: 2a-017-20190220</w:t>
      </w:r>
    </w:p>
    <w:p w14:paraId="4BBDBA16" w14:textId="254FDDDF" w:rsidR="00CA31B3" w:rsidRPr="00FF0436" w:rsidRDefault="00CA31B3">
      <w:pPr>
        <w:pStyle w:val="FootnoteText"/>
        <w:rPr>
          <w:lang w:val="en-US"/>
        </w:rPr>
      </w:pPr>
    </w:p>
  </w:footnote>
  <w:footnote w:id="44">
    <w:p w14:paraId="64247016" w14:textId="77777777" w:rsidR="00CA31B3" w:rsidRPr="00E020DF" w:rsidRDefault="00CA31B3" w:rsidP="00C12BC3">
      <w:pPr>
        <w:pStyle w:val="FootnoteText"/>
        <w:rPr>
          <w:rFonts w:asciiTheme="minorHAnsi" w:hAnsiTheme="minorHAnsi" w:cstheme="minorHAnsi"/>
          <w:szCs w:val="16"/>
          <w:lang w:val="en-US"/>
        </w:rPr>
      </w:pPr>
      <w:r w:rsidRPr="00E020DF">
        <w:rPr>
          <w:rStyle w:val="FootnoteReference"/>
          <w:rFonts w:asciiTheme="minorHAnsi" w:hAnsiTheme="minorHAnsi" w:cstheme="minorHAnsi"/>
        </w:rPr>
        <w:footnoteRef/>
      </w:r>
      <w:r w:rsidRPr="00E020DF">
        <w:rPr>
          <w:rFonts w:asciiTheme="minorHAnsi" w:hAnsiTheme="minorHAnsi" w:cstheme="minorHAnsi"/>
        </w:rPr>
        <w:t xml:space="preserve"> </w:t>
      </w:r>
      <w:r w:rsidRPr="00E020DF">
        <w:rPr>
          <w:rFonts w:asciiTheme="minorHAnsi" w:hAnsiTheme="minorHAnsi" w:cstheme="minorHAnsi"/>
          <w:szCs w:val="16"/>
        </w:rPr>
        <w:t>Leeds City Council Core Strategy Selective Review: Accessible housing need assessment background paper February 2018</w:t>
      </w:r>
    </w:p>
  </w:footnote>
  <w:footnote w:id="45">
    <w:p w14:paraId="64ECD514" w14:textId="29C29BD5" w:rsidR="00CA31B3" w:rsidRPr="001F35AA" w:rsidRDefault="00CA31B3" w:rsidP="00C12BC3">
      <w:pPr>
        <w:rPr>
          <w:rFonts w:ascii="Times" w:hAnsi="Times"/>
          <w:sz w:val="20"/>
          <w:szCs w:val="20"/>
        </w:rPr>
      </w:pPr>
      <w:r w:rsidRPr="00E020DF">
        <w:rPr>
          <w:rStyle w:val="FootnoteReference"/>
          <w:rFonts w:asciiTheme="minorHAnsi" w:hAnsiTheme="minorHAnsi" w:cstheme="minorHAnsi"/>
          <w:sz w:val="16"/>
          <w:szCs w:val="16"/>
        </w:rPr>
        <w:footnoteRef/>
      </w:r>
      <w:r w:rsidRPr="00E020DF">
        <w:rPr>
          <w:rFonts w:asciiTheme="minorHAnsi" w:hAnsiTheme="minorHAnsi" w:cstheme="minorHAnsi"/>
          <w:sz w:val="16"/>
          <w:szCs w:val="16"/>
        </w:rPr>
        <w:t>https://www.planningportal.co.uk/info/200135/approved_documents/80/part_m_-_access_to_and_use_of_buildings</w:t>
      </w:r>
    </w:p>
  </w:footnote>
  <w:footnote w:id="46">
    <w:p w14:paraId="7BB2CFB1" w14:textId="77777777" w:rsidR="00CA31B3" w:rsidRPr="001E1DFC" w:rsidRDefault="00CA31B3" w:rsidP="00C12BC3">
      <w:pPr>
        <w:pStyle w:val="FootnoteText"/>
        <w:rPr>
          <w:lang w:val="en-US"/>
        </w:rPr>
      </w:pPr>
      <w:r>
        <w:rPr>
          <w:rStyle w:val="FootnoteReference"/>
        </w:rPr>
        <w:footnoteRef/>
      </w:r>
      <w:r>
        <w:t xml:space="preserve"> </w:t>
      </w:r>
      <w:r>
        <w:rPr>
          <w:lang w:val="en-US"/>
        </w:rPr>
        <w:t>Local Authority Housing Statistics 2016/17</w:t>
      </w:r>
    </w:p>
  </w:footnote>
  <w:footnote w:id="47">
    <w:p w14:paraId="15D6B3A9" w14:textId="77777777" w:rsidR="00CA31B3" w:rsidRPr="001E1DFC" w:rsidRDefault="00CA31B3" w:rsidP="00C12BC3">
      <w:pPr>
        <w:pStyle w:val="FootnoteText"/>
        <w:rPr>
          <w:lang w:val="en-US"/>
        </w:rPr>
      </w:pPr>
      <w:r>
        <w:rPr>
          <w:rStyle w:val="FootnoteReference"/>
        </w:rPr>
        <w:footnoteRef/>
      </w:r>
      <w:r>
        <w:t xml:space="preserve"> </w:t>
      </w:r>
      <w:r>
        <w:rPr>
          <w:lang w:val="en-US"/>
        </w:rPr>
        <w:t>Housing Strategy Statistical Appendix 2011/12</w:t>
      </w:r>
    </w:p>
  </w:footnote>
  <w:footnote w:id="48">
    <w:p w14:paraId="5EC7F790" w14:textId="77777777" w:rsidR="00CA31B3" w:rsidRDefault="00CA31B3" w:rsidP="00AB55EF">
      <w:pPr>
        <w:pStyle w:val="FootnoteText"/>
      </w:pPr>
      <w:r>
        <w:rPr>
          <w:rStyle w:val="FootnoteReference"/>
        </w:rPr>
        <w:footnoteRef/>
      </w:r>
      <w:r>
        <w:t xml:space="preserve"> </w:t>
      </w:r>
      <w:hyperlink r:id="rId1" w:history="1">
        <w:r w:rsidRPr="00C50BA3">
          <w:rPr>
            <w:rStyle w:val="Hyperlink"/>
          </w:rPr>
          <w:t>https://www.ons.gov.uk/peoplepopulationandcommunity/housing/adhocs/008207ct07732011censusnumberofstudentsinstudentonlyhouseholdnationaltolocalauthoritylevel</w:t>
        </w:r>
      </w:hyperlink>
      <w:r>
        <w:t xml:space="preserve"> [accessed January 2019]</w:t>
      </w:r>
    </w:p>
  </w:footnote>
  <w:footnote w:id="49">
    <w:p w14:paraId="43845A88" w14:textId="4791E17B" w:rsidR="00CA31B3" w:rsidRDefault="00CA31B3" w:rsidP="00AB55EF">
      <w:pPr>
        <w:pStyle w:val="FootnoteText"/>
      </w:pPr>
      <w:r>
        <w:rPr>
          <w:rStyle w:val="FootnoteReference"/>
        </w:rPr>
        <w:footnoteRef/>
      </w:r>
      <w:r>
        <w:t xml:space="preserve"> </w:t>
      </w:r>
      <w:hyperlink r:id="rId2" w:history="1">
        <w:r w:rsidRPr="00C50BA3">
          <w:rPr>
            <w:rStyle w:val="Hyperlink"/>
          </w:rPr>
          <w:t>https://www.timeshighereducation.com/student/best-universities/student-experience-survey-2017-best-uk-universities-accommodation</w:t>
        </w:r>
      </w:hyperlink>
      <w:r>
        <w:t xml:space="preserve"> [accessed January 2019]</w:t>
      </w:r>
    </w:p>
  </w:footnote>
  <w:footnote w:id="50">
    <w:p w14:paraId="68728CC5" w14:textId="77777777" w:rsidR="00CA31B3" w:rsidRDefault="00CA31B3" w:rsidP="00AB55EF">
      <w:pPr>
        <w:pStyle w:val="FootnoteText"/>
      </w:pPr>
      <w:r>
        <w:rPr>
          <w:rStyle w:val="FootnoteReference"/>
        </w:rPr>
        <w:footnoteRef/>
      </w:r>
      <w:r>
        <w:t xml:space="preserve"> </w:t>
      </w:r>
      <w:hyperlink r:id="rId3" w:history="1">
        <w:r w:rsidRPr="00C45029">
          <w:rPr>
            <w:rStyle w:val="Hyperlink"/>
          </w:rPr>
          <w:t>https://www.thesac.org.uk/</w:t>
        </w:r>
      </w:hyperlink>
      <w:r>
        <w:t xml:space="preserve"> [accessed January 2019]</w:t>
      </w:r>
    </w:p>
  </w:footnote>
  <w:footnote w:id="51">
    <w:p w14:paraId="0D8F45C0" w14:textId="77777777" w:rsidR="00CA31B3" w:rsidRDefault="00CA31B3" w:rsidP="00AB55EF">
      <w:pPr>
        <w:pStyle w:val="FootnoteText"/>
      </w:pPr>
      <w:r>
        <w:rPr>
          <w:rStyle w:val="FootnoteReference"/>
        </w:rPr>
        <w:footnoteRef/>
      </w:r>
      <w:r>
        <w:t xml:space="preserve"> </w:t>
      </w:r>
      <w:hyperlink r:id="rId4" w:history="1">
        <w:r w:rsidRPr="00C45029">
          <w:rPr>
            <w:rStyle w:val="Hyperlink"/>
          </w:rPr>
          <w:t>https://www.gold.ac.uk/accommodation/halls/</w:t>
        </w:r>
      </w:hyperlink>
      <w:r>
        <w:t xml:space="preserve"> [Accessed January 2019]</w:t>
      </w:r>
    </w:p>
  </w:footnote>
  <w:footnote w:id="52">
    <w:p w14:paraId="4C73849B" w14:textId="77777777" w:rsidR="00CA31B3" w:rsidRDefault="00CA31B3" w:rsidP="00AB55EF">
      <w:pPr>
        <w:pStyle w:val="FootnoteText"/>
      </w:pPr>
      <w:r>
        <w:rPr>
          <w:rStyle w:val="FootnoteReference"/>
        </w:rPr>
        <w:footnoteRef/>
      </w:r>
      <w:r>
        <w:t xml:space="preserve"> </w:t>
      </w:r>
      <w:hyperlink r:id="rId5" w:history="1">
        <w:r w:rsidRPr="00C45029">
          <w:rPr>
            <w:rStyle w:val="Hyperlink"/>
          </w:rPr>
          <w:t>https://www.nationalcode.org/</w:t>
        </w:r>
      </w:hyperlink>
      <w:r>
        <w:t xml:space="preserve"> [Accessed January 2019]</w:t>
      </w:r>
    </w:p>
  </w:footnote>
  <w:footnote w:id="53">
    <w:p w14:paraId="06B30E72" w14:textId="77777777" w:rsidR="00CA31B3" w:rsidRDefault="00CA31B3" w:rsidP="00AB55EF">
      <w:pPr>
        <w:pStyle w:val="FootnoteText"/>
      </w:pPr>
      <w:r>
        <w:rPr>
          <w:rStyle w:val="FootnoteReference"/>
        </w:rPr>
        <w:footnoteRef/>
      </w:r>
      <w:r>
        <w:t xml:space="preserve"> </w:t>
      </w:r>
      <w:hyperlink r:id="rId6" w:history="1">
        <w:r w:rsidRPr="00C45029">
          <w:rPr>
            <w:rStyle w:val="Hyperlink"/>
          </w:rPr>
          <w:t>http://studenthomes.london.ac.uk/</w:t>
        </w:r>
      </w:hyperlink>
      <w:r>
        <w:t xml:space="preserve"> [Accessed January 2019]</w:t>
      </w:r>
    </w:p>
  </w:footnote>
  <w:footnote w:id="54">
    <w:p w14:paraId="1E3DE09E" w14:textId="77777777" w:rsidR="00CA31B3" w:rsidRDefault="00CA31B3" w:rsidP="00AB55EF">
      <w:pPr>
        <w:pStyle w:val="FootnoteText"/>
      </w:pPr>
      <w:r>
        <w:rPr>
          <w:rStyle w:val="FootnoteReference"/>
        </w:rPr>
        <w:footnoteRef/>
      </w:r>
      <w:r>
        <w:t xml:space="preserve"> </w:t>
      </w:r>
      <w:hyperlink r:id="rId7" w:history="1">
        <w:r w:rsidRPr="00C45029">
          <w:rPr>
            <w:rStyle w:val="Hyperlink"/>
          </w:rPr>
          <w:t>https://www.nationalcode.org/</w:t>
        </w:r>
      </w:hyperlink>
      <w:r>
        <w:t xml:space="preserve"> [Accessed January 2019]</w:t>
      </w:r>
    </w:p>
  </w:footnote>
  <w:footnote w:id="55">
    <w:p w14:paraId="46DEBF86" w14:textId="77777777" w:rsidR="00CA31B3" w:rsidRDefault="00CA31B3" w:rsidP="00AB55EF">
      <w:pPr>
        <w:pStyle w:val="FootnoteText"/>
      </w:pPr>
      <w:r>
        <w:rPr>
          <w:rStyle w:val="FootnoteReference"/>
        </w:rPr>
        <w:footnoteRef/>
      </w:r>
      <w:r>
        <w:t xml:space="preserve"> </w:t>
      </w:r>
      <w:hyperlink r:id="rId8" w:history="1">
        <w:r w:rsidRPr="00C45029">
          <w:rPr>
            <w:rStyle w:val="Hyperlink"/>
          </w:rPr>
          <w:t>https://www.greenwichstudentpad.co.uk/Accommodation</w:t>
        </w:r>
      </w:hyperlink>
      <w:r>
        <w:t xml:space="preserve"> [Accessed January 2019]</w:t>
      </w:r>
    </w:p>
  </w:footnote>
  <w:footnote w:id="56">
    <w:p w14:paraId="6A66655F" w14:textId="77777777" w:rsidR="00CA31B3" w:rsidRDefault="00CA31B3" w:rsidP="00AB55EF">
      <w:pPr>
        <w:pStyle w:val="FootnoteText"/>
      </w:pPr>
      <w:r>
        <w:rPr>
          <w:rStyle w:val="FootnoteReference"/>
        </w:rPr>
        <w:footnoteRef/>
      </w:r>
      <w:r>
        <w:t xml:space="preserve"> HESA website </w:t>
      </w:r>
      <w:hyperlink r:id="rId9" w:history="1">
        <w:r w:rsidRPr="00C50BA3">
          <w:rPr>
            <w:rStyle w:val="Hyperlink"/>
          </w:rPr>
          <w:t>https://www.hesa.ac.uk/data-and-analysis/students/where-study</w:t>
        </w:r>
      </w:hyperlink>
      <w:r>
        <w:t xml:space="preserve"> [accessed January 2019]</w:t>
      </w:r>
    </w:p>
  </w:footnote>
  <w:footnote w:id="57">
    <w:p w14:paraId="754BEAB7" w14:textId="77777777" w:rsidR="00CA31B3" w:rsidRDefault="00CA31B3" w:rsidP="00AB55EF">
      <w:pPr>
        <w:pStyle w:val="FootnoteText"/>
      </w:pPr>
      <w:r>
        <w:rPr>
          <w:rStyle w:val="FootnoteReference"/>
        </w:rPr>
        <w:footnoteRef/>
      </w:r>
      <w:r>
        <w:t xml:space="preserve"> Paragraph 3.53A, The London Plan</w:t>
      </w:r>
    </w:p>
  </w:footnote>
  <w:footnote w:id="58">
    <w:p w14:paraId="7C785C52" w14:textId="77777777" w:rsidR="00CA31B3" w:rsidRDefault="00CA31B3" w:rsidP="00AB55EF">
      <w:pPr>
        <w:pStyle w:val="FootnoteText"/>
      </w:pPr>
      <w:r>
        <w:rPr>
          <w:rStyle w:val="FootnoteReference"/>
        </w:rPr>
        <w:footnoteRef/>
      </w:r>
      <w:r>
        <w:t xml:space="preserve"> Paragraph 3.53, The London Plan</w:t>
      </w:r>
    </w:p>
  </w:footnote>
  <w:footnote w:id="59">
    <w:p w14:paraId="6AD0B812" w14:textId="21C6D2A1" w:rsidR="00CA31B3" w:rsidRPr="00203E57" w:rsidRDefault="00CA31B3">
      <w:pPr>
        <w:pStyle w:val="FootnoteText"/>
        <w:rPr>
          <w:lang w:val="en-US"/>
        </w:rPr>
      </w:pPr>
      <w:r>
        <w:rPr>
          <w:rStyle w:val="FootnoteReference"/>
        </w:rPr>
        <w:footnoteRef/>
      </w:r>
      <w:r>
        <w:t xml:space="preserve"> </w:t>
      </w:r>
      <w:r>
        <w:rPr>
          <w:lang w:val="en-US"/>
        </w:rPr>
        <w:t>Note detailed 2016-based household projection data is due for publication in December 2018</w:t>
      </w:r>
    </w:p>
  </w:footnote>
  <w:footnote w:id="60">
    <w:p w14:paraId="2409DB07" w14:textId="21C2CEAB" w:rsidR="00CA31B3" w:rsidRPr="00793E74" w:rsidRDefault="00CA31B3" w:rsidP="00793E74">
      <w:pPr>
        <w:rPr>
          <w:rFonts w:ascii="Times" w:hAnsi="Times"/>
          <w:sz w:val="16"/>
          <w:szCs w:val="16"/>
        </w:rPr>
      </w:pPr>
      <w:r w:rsidRPr="00793E74">
        <w:rPr>
          <w:rStyle w:val="FootnoteReference"/>
          <w:sz w:val="16"/>
          <w:szCs w:val="16"/>
        </w:rPr>
        <w:footnoteRef/>
      </w:r>
      <w:r w:rsidRPr="00793E74">
        <w:rPr>
          <w:sz w:val="16"/>
          <w:szCs w:val="16"/>
        </w:rPr>
        <w:t xml:space="preserve"> </w:t>
      </w:r>
      <w:r>
        <w:rPr>
          <w:rFonts w:asciiTheme="minorHAnsi" w:hAnsiTheme="minorHAnsi" w:cstheme="minorHAnsi"/>
          <w:sz w:val="16"/>
          <w:szCs w:val="16"/>
        </w:rPr>
        <w:t xml:space="preserve">PPG 2019 </w:t>
      </w:r>
      <w:r w:rsidRPr="00E662BE">
        <w:rPr>
          <w:rFonts w:asciiTheme="minorHAnsi" w:hAnsiTheme="minorHAnsi" w:cstheme="minorHAnsi"/>
          <w:color w:val="0B0C0C"/>
          <w:sz w:val="16"/>
          <w:szCs w:val="16"/>
          <w:shd w:val="clear" w:color="auto" w:fill="FFFFFF"/>
        </w:rPr>
        <w:t>Paragraph: 0</w:t>
      </w:r>
      <w:r>
        <w:rPr>
          <w:rFonts w:asciiTheme="minorHAnsi" w:hAnsiTheme="minorHAnsi" w:cstheme="minorHAnsi"/>
          <w:color w:val="0B0C0C"/>
          <w:sz w:val="16"/>
          <w:szCs w:val="16"/>
          <w:shd w:val="clear" w:color="auto" w:fill="FFFFFF"/>
        </w:rPr>
        <w:t>18</w:t>
      </w:r>
      <w:r w:rsidRPr="00E662BE">
        <w:rPr>
          <w:rFonts w:asciiTheme="minorHAnsi" w:hAnsiTheme="minorHAnsi" w:cstheme="minorHAnsi"/>
          <w:color w:val="0B0C0C"/>
          <w:sz w:val="16"/>
          <w:szCs w:val="16"/>
          <w:shd w:val="clear" w:color="auto" w:fill="FFFFFF"/>
        </w:rPr>
        <w:t xml:space="preserve"> Reference ID: 2a-0</w:t>
      </w:r>
      <w:r>
        <w:rPr>
          <w:rFonts w:asciiTheme="minorHAnsi" w:hAnsiTheme="minorHAnsi" w:cstheme="minorHAnsi"/>
          <w:color w:val="0B0C0C"/>
          <w:sz w:val="16"/>
          <w:szCs w:val="16"/>
          <w:shd w:val="clear" w:color="auto" w:fill="FFFFFF"/>
        </w:rPr>
        <w:t>18</w:t>
      </w:r>
      <w:r w:rsidRPr="00E662BE">
        <w:rPr>
          <w:rFonts w:asciiTheme="minorHAnsi" w:hAnsiTheme="minorHAnsi" w:cstheme="minorHAnsi"/>
          <w:color w:val="0B0C0C"/>
          <w:sz w:val="16"/>
          <w:szCs w:val="16"/>
          <w:shd w:val="clear" w:color="auto" w:fill="FFFFFF"/>
        </w:rPr>
        <w:t>-201</w:t>
      </w:r>
      <w:r>
        <w:rPr>
          <w:rFonts w:asciiTheme="minorHAnsi" w:hAnsiTheme="minorHAnsi" w:cstheme="minorHAnsi"/>
          <w:color w:val="0B0C0C"/>
          <w:sz w:val="16"/>
          <w:szCs w:val="16"/>
          <w:shd w:val="clear" w:color="auto" w:fill="FFFFFF"/>
        </w:rPr>
        <w:t>90220</w:t>
      </w:r>
    </w:p>
  </w:footnote>
  <w:footnote w:id="61">
    <w:p w14:paraId="29246965" w14:textId="09117C6C" w:rsidR="00CA31B3" w:rsidRPr="00A916E6" w:rsidRDefault="00CA31B3">
      <w:pPr>
        <w:pStyle w:val="FootnoteText"/>
        <w:rPr>
          <w:lang w:val="en-US"/>
        </w:rPr>
      </w:pPr>
      <w:r w:rsidRPr="00793E74">
        <w:rPr>
          <w:rStyle w:val="FootnoteReference"/>
          <w:szCs w:val="16"/>
        </w:rPr>
        <w:footnoteRef/>
      </w:r>
      <w:r w:rsidRPr="00793E74">
        <w:rPr>
          <w:szCs w:val="16"/>
        </w:rPr>
        <w:t xml:space="preserve"> </w:t>
      </w:r>
      <w:r>
        <w:rPr>
          <w:rFonts w:asciiTheme="minorHAnsi" w:hAnsiTheme="minorHAnsi" w:cstheme="minorHAnsi"/>
          <w:szCs w:val="16"/>
        </w:rPr>
        <w:t xml:space="preserve">PPG 2019 </w:t>
      </w:r>
      <w:r w:rsidRPr="00E662BE">
        <w:rPr>
          <w:rFonts w:asciiTheme="minorHAnsi" w:hAnsiTheme="minorHAnsi" w:cstheme="minorHAnsi"/>
          <w:color w:val="0B0C0C"/>
          <w:szCs w:val="16"/>
          <w:shd w:val="clear" w:color="auto" w:fill="FFFFFF"/>
        </w:rPr>
        <w:t>Paragraph: 0</w:t>
      </w:r>
      <w:r>
        <w:rPr>
          <w:rFonts w:asciiTheme="minorHAnsi" w:hAnsiTheme="minorHAnsi" w:cstheme="minorHAnsi"/>
          <w:color w:val="0B0C0C"/>
          <w:szCs w:val="16"/>
          <w:shd w:val="clear" w:color="auto" w:fill="FFFFFF"/>
        </w:rPr>
        <w:t>19</w:t>
      </w:r>
      <w:r w:rsidRPr="00E662BE">
        <w:rPr>
          <w:rFonts w:asciiTheme="minorHAnsi" w:hAnsiTheme="minorHAnsi" w:cstheme="minorHAnsi"/>
          <w:color w:val="0B0C0C"/>
          <w:szCs w:val="16"/>
          <w:shd w:val="clear" w:color="auto" w:fill="FFFFFF"/>
        </w:rPr>
        <w:t xml:space="preserve"> Reference ID: 2a-0</w:t>
      </w:r>
      <w:r>
        <w:rPr>
          <w:rFonts w:asciiTheme="minorHAnsi" w:hAnsiTheme="minorHAnsi" w:cstheme="minorHAnsi"/>
          <w:color w:val="0B0C0C"/>
          <w:szCs w:val="16"/>
          <w:shd w:val="clear" w:color="auto" w:fill="FFFFFF"/>
        </w:rPr>
        <w:t>19</w:t>
      </w:r>
      <w:r w:rsidRPr="00E662BE">
        <w:rPr>
          <w:rFonts w:asciiTheme="minorHAnsi" w:hAnsiTheme="minorHAnsi" w:cstheme="minorHAnsi"/>
          <w:color w:val="0B0C0C"/>
          <w:szCs w:val="16"/>
          <w:shd w:val="clear" w:color="auto" w:fill="FFFFFF"/>
        </w:rPr>
        <w:t>-20</w:t>
      </w:r>
      <w:r>
        <w:rPr>
          <w:rFonts w:asciiTheme="minorHAnsi" w:hAnsiTheme="minorHAnsi" w:cstheme="minorHAnsi"/>
          <w:color w:val="0B0C0C"/>
          <w:szCs w:val="16"/>
          <w:shd w:val="clear" w:color="auto" w:fill="FFFFFF"/>
        </w:rPr>
        <w:t>190220</w:t>
      </w:r>
    </w:p>
  </w:footnote>
  <w:footnote w:id="62">
    <w:p w14:paraId="74EC16F6" w14:textId="4A2B501E" w:rsidR="00CA31B3" w:rsidRPr="00D12B0D" w:rsidRDefault="00CA31B3">
      <w:pPr>
        <w:pStyle w:val="FootnoteText"/>
        <w:rPr>
          <w:lang w:val="en-US"/>
        </w:rPr>
      </w:pPr>
      <w:r>
        <w:rPr>
          <w:rStyle w:val="FootnoteReference"/>
        </w:rPr>
        <w:footnoteRef/>
      </w:r>
      <w:r>
        <w:t xml:space="preserve"> </w:t>
      </w:r>
      <w:r>
        <w:rPr>
          <w:lang w:val="en-US"/>
        </w:rPr>
        <w:t xml:space="preserve">2019 PPG </w:t>
      </w:r>
      <w:r w:rsidRPr="007F4BB0">
        <w:rPr>
          <w:rFonts w:asciiTheme="minorHAnsi" w:hAnsiTheme="minorHAnsi" w:cstheme="minorHAnsi"/>
          <w:color w:val="0B0C0C"/>
          <w:szCs w:val="16"/>
          <w:shd w:val="clear" w:color="auto" w:fill="FFFFFF"/>
        </w:rPr>
        <w:t>Paragraph: 02</w:t>
      </w:r>
      <w:r>
        <w:rPr>
          <w:rFonts w:asciiTheme="minorHAnsi" w:hAnsiTheme="minorHAnsi" w:cstheme="minorHAnsi"/>
          <w:color w:val="0B0C0C"/>
          <w:szCs w:val="16"/>
          <w:shd w:val="clear" w:color="auto" w:fill="FFFFFF"/>
        </w:rPr>
        <w:t>0</w:t>
      </w:r>
      <w:r w:rsidRPr="007F4BB0">
        <w:rPr>
          <w:rFonts w:asciiTheme="minorHAnsi" w:hAnsiTheme="minorHAnsi" w:cstheme="minorHAnsi"/>
          <w:color w:val="0B0C0C"/>
          <w:szCs w:val="16"/>
          <w:shd w:val="clear" w:color="auto" w:fill="FFFFFF"/>
        </w:rPr>
        <w:t xml:space="preserve"> Reference ID: 2a-021-201</w:t>
      </w:r>
      <w:r>
        <w:rPr>
          <w:rFonts w:asciiTheme="minorHAnsi" w:hAnsiTheme="minorHAnsi" w:cstheme="minorHAnsi"/>
          <w:color w:val="0B0C0C"/>
          <w:szCs w:val="16"/>
          <w:shd w:val="clear" w:color="auto" w:fill="FFFFFF"/>
        </w:rPr>
        <w:t>90220</w:t>
      </w:r>
    </w:p>
  </w:footnote>
  <w:footnote w:id="63">
    <w:p w14:paraId="2039E251" w14:textId="6688F9D5" w:rsidR="00CA31B3" w:rsidRPr="00E205A7" w:rsidRDefault="00CA31B3">
      <w:pPr>
        <w:pStyle w:val="FootnoteText"/>
        <w:rPr>
          <w:lang w:val="en-US"/>
        </w:rPr>
      </w:pPr>
      <w:r>
        <w:rPr>
          <w:rStyle w:val="FootnoteReference"/>
        </w:rPr>
        <w:footnoteRef/>
      </w:r>
      <w:r>
        <w:t xml:space="preserve"> </w:t>
      </w:r>
      <w:r>
        <w:rPr>
          <w:rFonts w:asciiTheme="minorHAnsi" w:hAnsiTheme="minorHAnsi" w:cstheme="minorHAnsi"/>
          <w:szCs w:val="16"/>
        </w:rPr>
        <w:t xml:space="preserve">PPG 2019 </w:t>
      </w:r>
      <w:r w:rsidRPr="007F4BB0">
        <w:rPr>
          <w:rFonts w:asciiTheme="minorHAnsi" w:hAnsiTheme="minorHAnsi" w:cstheme="minorHAnsi"/>
          <w:color w:val="0B0C0C"/>
          <w:szCs w:val="16"/>
          <w:shd w:val="clear" w:color="auto" w:fill="FFFFFF"/>
        </w:rPr>
        <w:t>Paragraph: 02</w:t>
      </w:r>
      <w:r>
        <w:rPr>
          <w:rFonts w:asciiTheme="minorHAnsi" w:hAnsiTheme="minorHAnsi" w:cstheme="minorHAnsi"/>
          <w:color w:val="0B0C0C"/>
          <w:szCs w:val="16"/>
          <w:shd w:val="clear" w:color="auto" w:fill="FFFFFF"/>
        </w:rPr>
        <w:t>1</w:t>
      </w:r>
      <w:r w:rsidRPr="007F4BB0">
        <w:rPr>
          <w:rFonts w:asciiTheme="minorHAnsi" w:hAnsiTheme="minorHAnsi" w:cstheme="minorHAnsi"/>
          <w:color w:val="0B0C0C"/>
          <w:szCs w:val="16"/>
          <w:shd w:val="clear" w:color="auto" w:fill="FFFFFF"/>
        </w:rPr>
        <w:t xml:space="preserve"> Reference ID: 2a-021-20</w:t>
      </w:r>
      <w:r>
        <w:rPr>
          <w:rFonts w:asciiTheme="minorHAnsi" w:hAnsiTheme="minorHAnsi" w:cstheme="minorHAnsi"/>
          <w:color w:val="0B0C0C"/>
          <w:szCs w:val="16"/>
          <w:shd w:val="clear" w:color="auto" w:fill="FFFFFF"/>
        </w:rPr>
        <w:t>190220</w:t>
      </w:r>
    </w:p>
  </w:footnote>
  <w:footnote w:id="64">
    <w:p w14:paraId="67ABF625" w14:textId="6E08D832" w:rsidR="00CA31B3" w:rsidRPr="00E205A7" w:rsidRDefault="00CA31B3">
      <w:pPr>
        <w:pStyle w:val="FootnoteText"/>
        <w:rPr>
          <w:lang w:val="en-US"/>
        </w:rPr>
      </w:pPr>
      <w:r>
        <w:rPr>
          <w:rStyle w:val="FootnoteReference"/>
        </w:rPr>
        <w:footnoteRef/>
      </w:r>
      <w:r>
        <w:t xml:space="preserve"> </w:t>
      </w:r>
      <w:r>
        <w:rPr>
          <w:lang w:val="en-US"/>
        </w:rPr>
        <w:t xml:space="preserve">PPG 2019 </w:t>
      </w:r>
      <w:r w:rsidRPr="007F4BB0">
        <w:rPr>
          <w:rFonts w:asciiTheme="minorHAnsi" w:hAnsiTheme="minorHAnsi" w:cstheme="minorHAnsi"/>
          <w:color w:val="0B0C0C"/>
          <w:szCs w:val="16"/>
          <w:shd w:val="clear" w:color="auto" w:fill="FFFFFF"/>
        </w:rPr>
        <w:t>Paragraph: 02</w:t>
      </w:r>
      <w:r>
        <w:rPr>
          <w:rFonts w:asciiTheme="minorHAnsi" w:hAnsiTheme="minorHAnsi" w:cstheme="minorHAnsi"/>
          <w:color w:val="0B0C0C"/>
          <w:szCs w:val="16"/>
          <w:shd w:val="clear" w:color="auto" w:fill="FFFFFF"/>
        </w:rPr>
        <w:t>2</w:t>
      </w:r>
      <w:r w:rsidRPr="007F4BB0">
        <w:rPr>
          <w:rFonts w:asciiTheme="minorHAnsi" w:hAnsiTheme="minorHAnsi" w:cstheme="minorHAnsi"/>
          <w:color w:val="0B0C0C"/>
          <w:szCs w:val="16"/>
          <w:shd w:val="clear" w:color="auto" w:fill="FFFFFF"/>
        </w:rPr>
        <w:t xml:space="preserve"> Reference ID: 2a-02</w:t>
      </w:r>
      <w:r>
        <w:rPr>
          <w:rFonts w:asciiTheme="minorHAnsi" w:hAnsiTheme="minorHAnsi" w:cstheme="minorHAnsi"/>
          <w:color w:val="0B0C0C"/>
          <w:szCs w:val="16"/>
          <w:shd w:val="clear" w:color="auto" w:fill="FFFFFF"/>
        </w:rPr>
        <w:t>2</w:t>
      </w:r>
      <w:r w:rsidRPr="007F4BB0">
        <w:rPr>
          <w:rFonts w:asciiTheme="minorHAnsi" w:hAnsiTheme="minorHAnsi" w:cstheme="minorHAnsi"/>
          <w:color w:val="0B0C0C"/>
          <w:szCs w:val="16"/>
          <w:shd w:val="clear" w:color="auto" w:fill="FFFFFF"/>
        </w:rPr>
        <w:t>-201</w:t>
      </w:r>
      <w:r>
        <w:rPr>
          <w:rFonts w:asciiTheme="minorHAnsi" w:hAnsiTheme="minorHAnsi" w:cstheme="minorHAnsi"/>
          <w:color w:val="0B0C0C"/>
          <w:szCs w:val="16"/>
          <w:shd w:val="clear" w:color="auto" w:fill="FFFFFF"/>
        </w:rPr>
        <w:t>90220</w:t>
      </w:r>
    </w:p>
  </w:footnote>
  <w:footnote w:id="65">
    <w:p w14:paraId="60D0F67A" w14:textId="332E835C" w:rsidR="00CA31B3" w:rsidRPr="00824DC2" w:rsidRDefault="00CA31B3">
      <w:pPr>
        <w:pStyle w:val="FootnoteText"/>
        <w:rPr>
          <w:lang w:val="en-US"/>
        </w:rPr>
      </w:pPr>
      <w:r>
        <w:rPr>
          <w:rStyle w:val="FootnoteReference"/>
        </w:rPr>
        <w:footnoteRef/>
      </w:r>
      <w:r>
        <w:t xml:space="preserve"> </w:t>
      </w:r>
      <w:r>
        <w:rPr>
          <w:lang w:val="en-US"/>
        </w:rPr>
        <w:t>Annual average lettings of 1,388 over period 2015/16 to 2017/18 and total stock of 24,771 (2018 SDR return) =5.6% stock relet each year</w:t>
      </w:r>
    </w:p>
  </w:footnote>
  <w:footnote w:id="66">
    <w:p w14:paraId="4B0ED689" w14:textId="77777777" w:rsidR="00CA31B3" w:rsidRDefault="00CA31B3" w:rsidP="00C4521E">
      <w:pPr>
        <w:pStyle w:val="FootnoteText"/>
      </w:pPr>
      <w:r>
        <w:rPr>
          <w:rStyle w:val="FootnoteReference"/>
        </w:rPr>
        <w:footnoteRef/>
      </w:r>
      <w:r>
        <w:t xml:space="preserve"> Laying The Foundations; A Housing Strategy for England, 2011</w:t>
      </w:r>
    </w:p>
  </w:footnote>
  <w:footnote w:id="67">
    <w:p w14:paraId="13493198" w14:textId="77777777" w:rsidR="00CA31B3" w:rsidRPr="00DD5CB4" w:rsidRDefault="00CA31B3" w:rsidP="00C4521E">
      <w:pPr>
        <w:pStyle w:val="FootnoteText"/>
      </w:pPr>
      <w:r>
        <w:rPr>
          <w:rStyle w:val="FootnoteReference"/>
        </w:rPr>
        <w:footnoteRef/>
      </w:r>
      <w:r>
        <w:t xml:space="preserve"> Council of Mortgage Lenders (2015) The challenge facing first time buyers</w:t>
      </w:r>
    </w:p>
  </w:footnote>
  <w:footnote w:id="68">
    <w:p w14:paraId="7A00564D" w14:textId="77777777" w:rsidR="00CA31B3" w:rsidRDefault="00CA31B3" w:rsidP="00C4521E">
      <w:pPr>
        <w:pStyle w:val="FootnoteText"/>
      </w:pPr>
      <w:r>
        <w:rPr>
          <w:rStyle w:val="FootnoteReference"/>
        </w:rPr>
        <w:footnoteRef/>
      </w:r>
      <w:r>
        <w:t xml:space="preserve"> Annual survey of hours and earning </w:t>
      </w:r>
      <w:r>
        <w:rPr>
          <w:rFonts w:cs="Arial"/>
        </w:rPr>
        <w:t>ONS Crown Copyright Reserved  [from Nomis on 10</w:t>
      </w:r>
      <w:r w:rsidRPr="009855DF">
        <w:rPr>
          <w:rFonts w:cs="Arial"/>
          <w:vertAlign w:val="superscript"/>
        </w:rPr>
        <w:t>th</w:t>
      </w:r>
      <w:r>
        <w:rPr>
          <w:rFonts w:cs="Arial"/>
        </w:rPr>
        <w:t xml:space="preserve"> July 2018]</w:t>
      </w:r>
    </w:p>
  </w:footnote>
  <w:footnote w:id="69">
    <w:p w14:paraId="79FBD01D" w14:textId="77777777" w:rsidR="00CA31B3" w:rsidRDefault="00CA31B3" w:rsidP="00C4521E">
      <w:pPr>
        <w:pStyle w:val="FootnoteText"/>
      </w:pPr>
      <w:r>
        <w:rPr>
          <w:rStyle w:val="FootnoteReference"/>
        </w:rPr>
        <w:footnoteRef/>
      </w:r>
      <w:r>
        <w:t xml:space="preserve"> There will be significant difference between property types and specific locations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3D862" w14:textId="77777777" w:rsidR="00CA31B3" w:rsidRPr="00FC386C" w:rsidRDefault="00C632F2" w:rsidP="007423AE">
    <w:pPr>
      <w:pStyle w:val="Header"/>
      <w:pBdr>
        <w:bottom w:val="single" w:sz="18" w:space="1" w:color="0D5F5D"/>
      </w:pBdr>
      <w:tabs>
        <w:tab w:val="clear" w:pos="4153"/>
        <w:tab w:val="clear" w:pos="8306"/>
        <w:tab w:val="left" w:pos="4710"/>
        <w:tab w:val="right" w:pos="9072"/>
      </w:tabs>
      <w:ind w:right="-29"/>
      <w:rPr>
        <w:rFonts w:cs="Calibri"/>
        <w:b/>
        <w:bCs/>
        <w:color w:val="009999"/>
        <w:sz w:val="18"/>
        <w:szCs w:val="18"/>
      </w:rPr>
    </w:pPr>
    <w:sdt>
      <w:sdtPr>
        <w:rPr>
          <w:rFonts w:cs="Calibri"/>
          <w:color w:val="009999"/>
          <w:sz w:val="18"/>
          <w:szCs w:val="18"/>
        </w:rPr>
        <w:id w:val="1276064134"/>
        <w:docPartObj>
          <w:docPartGallery w:val="Page Numbers (Top of Page)"/>
          <w:docPartUnique/>
        </w:docPartObj>
      </w:sdtPr>
      <w:sdtEndPr>
        <w:rPr>
          <w:b/>
          <w:bCs/>
          <w:noProof/>
        </w:rPr>
      </w:sdtEndPr>
      <w:sdtContent>
        <w:r w:rsidR="00CA31B3" w:rsidRPr="00FC386C">
          <w:rPr>
            <w:rFonts w:cs="Calibri"/>
            <w:color w:val="009999"/>
            <w:sz w:val="18"/>
            <w:szCs w:val="18"/>
          </w:rPr>
          <w:t xml:space="preserve">Sevenoaks HNS </w:t>
        </w:r>
        <w:r w:rsidR="00CA31B3" w:rsidRPr="00FC386C">
          <w:rPr>
            <w:rFonts w:cs="Calibri"/>
            <w:color w:val="009999"/>
            <w:sz w:val="18"/>
            <w:szCs w:val="18"/>
            <w:lang w:val="en-GB"/>
          </w:rPr>
          <w:t>2018</w:t>
        </w:r>
        <w:r w:rsidR="00CA31B3" w:rsidRPr="00FC386C">
          <w:rPr>
            <w:rFonts w:cs="Calibri"/>
            <w:color w:val="009999"/>
            <w:sz w:val="18"/>
            <w:szCs w:val="18"/>
          </w:rPr>
          <w:tab/>
        </w:r>
        <w:r w:rsidR="00CA31B3" w:rsidRPr="00FC386C">
          <w:rPr>
            <w:rFonts w:cs="Calibri"/>
            <w:color w:val="009999"/>
            <w:sz w:val="18"/>
            <w:szCs w:val="18"/>
          </w:rPr>
          <w:tab/>
          <w:t xml:space="preserve"> Page | </w:t>
        </w:r>
        <w:r w:rsidR="00CA31B3" w:rsidRPr="00FC386C">
          <w:rPr>
            <w:rFonts w:cs="Calibri"/>
            <w:color w:val="009999"/>
            <w:sz w:val="18"/>
            <w:szCs w:val="18"/>
          </w:rPr>
          <w:fldChar w:fldCharType="begin"/>
        </w:r>
        <w:r w:rsidR="00CA31B3" w:rsidRPr="00FC386C">
          <w:rPr>
            <w:rFonts w:cs="Calibri"/>
            <w:color w:val="009999"/>
            <w:sz w:val="18"/>
            <w:szCs w:val="18"/>
          </w:rPr>
          <w:instrText xml:space="preserve"> PAGE   \* MERGEFORMAT </w:instrText>
        </w:r>
        <w:r w:rsidR="00CA31B3" w:rsidRPr="00FC386C">
          <w:rPr>
            <w:rFonts w:cs="Calibri"/>
            <w:color w:val="009999"/>
            <w:sz w:val="18"/>
            <w:szCs w:val="18"/>
          </w:rPr>
          <w:fldChar w:fldCharType="separate"/>
        </w:r>
        <w:r w:rsidR="00CA31B3" w:rsidRPr="001259C4">
          <w:rPr>
            <w:rFonts w:cs="Calibri"/>
            <w:b/>
            <w:bCs/>
            <w:noProof/>
            <w:color w:val="009999"/>
            <w:sz w:val="18"/>
            <w:szCs w:val="18"/>
          </w:rPr>
          <w:t>2</w:t>
        </w:r>
        <w:r w:rsidR="00CA31B3" w:rsidRPr="00FC386C">
          <w:rPr>
            <w:rFonts w:cs="Calibri"/>
            <w:b/>
            <w:bCs/>
            <w:noProof/>
            <w:color w:val="009999"/>
            <w:sz w:val="18"/>
            <w:szCs w:val="18"/>
          </w:rPr>
          <w:fldChar w:fldCharType="end"/>
        </w:r>
      </w:sdtContent>
    </w:sdt>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8B369" w14:textId="7F512A8D" w:rsidR="00CA31B3" w:rsidRPr="00185AE8" w:rsidRDefault="00CA31B3" w:rsidP="002132D8">
    <w:pPr>
      <w:pStyle w:val="Header"/>
      <w:pBdr>
        <w:bottom w:val="single" w:sz="18" w:space="1" w:color="0D5F5D"/>
      </w:pBdr>
      <w:tabs>
        <w:tab w:val="clear" w:pos="4153"/>
        <w:tab w:val="clear" w:pos="8306"/>
        <w:tab w:val="left" w:pos="6855"/>
        <w:tab w:val="right" w:pos="13987"/>
      </w:tabs>
      <w:ind w:right="-29"/>
      <w:rPr>
        <w:b/>
        <w:bCs/>
        <w:color w:val="009999"/>
        <w:sz w:val="18"/>
        <w:szCs w:val="18"/>
      </w:rPr>
    </w:pPr>
    <w:r>
      <w:rPr>
        <w:rFonts w:asciiTheme="minorHAnsi" w:hAnsiTheme="minorHAnsi" w:cstheme="minorHAnsi"/>
        <w:color w:val="009999"/>
        <w:sz w:val="18"/>
        <w:szCs w:val="18"/>
        <w:lang w:val="en-GB"/>
      </w:rPr>
      <w:t>Borough of Lewisham</w:t>
    </w:r>
    <w:r w:rsidRPr="009D369A">
      <w:rPr>
        <w:rFonts w:asciiTheme="minorHAnsi" w:hAnsiTheme="minorHAnsi" w:cstheme="minorHAnsi"/>
        <w:color w:val="009999"/>
        <w:sz w:val="18"/>
        <w:szCs w:val="18"/>
      </w:rPr>
      <w:t xml:space="preserve"> SHMA 201</w:t>
    </w:r>
    <w:r>
      <w:rPr>
        <w:rFonts w:asciiTheme="minorHAnsi" w:hAnsiTheme="minorHAnsi" w:cstheme="minorHAnsi"/>
        <w:color w:val="009999"/>
        <w:sz w:val="18"/>
        <w:szCs w:val="18"/>
        <w:lang w:val="en-GB"/>
      </w:rPr>
      <w:t>9</w:t>
    </w:r>
    <w:r w:rsidRPr="004B1CF8">
      <w:rPr>
        <w:color w:val="009999"/>
        <w:sz w:val="18"/>
        <w:szCs w:val="18"/>
      </w:rPr>
      <w:tab/>
    </w:r>
    <w:r>
      <w:rPr>
        <w:color w:val="009999"/>
        <w:sz w:val="18"/>
        <w:szCs w:val="18"/>
      </w:rPr>
      <w:tab/>
    </w:r>
    <w:r w:rsidRPr="004B1CF8">
      <w:rPr>
        <w:color w:val="009999"/>
        <w:sz w:val="18"/>
        <w:szCs w:val="18"/>
      </w:rPr>
      <w:t xml:space="preserve"> Page | </w:t>
    </w:r>
    <w:r w:rsidRPr="004B1CF8">
      <w:rPr>
        <w:color w:val="009999"/>
        <w:sz w:val="18"/>
        <w:szCs w:val="18"/>
      </w:rPr>
      <w:fldChar w:fldCharType="begin"/>
    </w:r>
    <w:r w:rsidRPr="004B1CF8">
      <w:rPr>
        <w:color w:val="009999"/>
        <w:sz w:val="18"/>
        <w:szCs w:val="18"/>
      </w:rPr>
      <w:instrText xml:space="preserve"> PAGE   \* MERGEFORMAT </w:instrText>
    </w:r>
    <w:r w:rsidRPr="004B1CF8">
      <w:rPr>
        <w:color w:val="009999"/>
        <w:sz w:val="18"/>
        <w:szCs w:val="18"/>
      </w:rPr>
      <w:fldChar w:fldCharType="separate"/>
    </w:r>
    <w:r w:rsidR="00874CB4" w:rsidRPr="00874CB4">
      <w:rPr>
        <w:b/>
        <w:bCs/>
        <w:noProof/>
        <w:color w:val="009999"/>
        <w:sz w:val="18"/>
        <w:szCs w:val="18"/>
      </w:rPr>
      <w:t>48</w:t>
    </w:r>
    <w:r w:rsidRPr="004B1CF8">
      <w:rPr>
        <w:color w:val="009999"/>
        <w:sz w:val="18"/>
        <w:szCs w:val="18"/>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D5554" w14:textId="4197ED96" w:rsidR="00CA31B3" w:rsidRPr="00185AE8" w:rsidRDefault="00CA31B3" w:rsidP="009D369A">
    <w:pPr>
      <w:pStyle w:val="Header"/>
      <w:pBdr>
        <w:bottom w:val="single" w:sz="18" w:space="1" w:color="0D5F5D"/>
      </w:pBdr>
      <w:tabs>
        <w:tab w:val="clear" w:pos="4153"/>
        <w:tab w:val="clear" w:pos="8306"/>
        <w:tab w:val="left" w:pos="6855"/>
        <w:tab w:val="right" w:pos="9214"/>
      </w:tabs>
      <w:ind w:right="-29"/>
      <w:rPr>
        <w:b/>
        <w:bCs/>
        <w:color w:val="009999"/>
        <w:sz w:val="18"/>
        <w:szCs w:val="18"/>
      </w:rPr>
    </w:pPr>
    <w:r>
      <w:rPr>
        <w:rFonts w:asciiTheme="minorHAnsi" w:hAnsiTheme="minorHAnsi" w:cstheme="minorHAnsi"/>
        <w:color w:val="009999"/>
        <w:sz w:val="18"/>
        <w:szCs w:val="18"/>
        <w:lang w:val="en-GB"/>
      </w:rPr>
      <w:t>Borough of Lewisham</w:t>
    </w:r>
    <w:r w:rsidRPr="009D369A">
      <w:rPr>
        <w:rFonts w:asciiTheme="minorHAnsi" w:hAnsiTheme="minorHAnsi" w:cstheme="minorHAnsi"/>
        <w:color w:val="009999"/>
        <w:sz w:val="18"/>
        <w:szCs w:val="18"/>
      </w:rPr>
      <w:t xml:space="preserve"> SHMA 201</w:t>
    </w:r>
    <w:r>
      <w:rPr>
        <w:rFonts w:asciiTheme="minorHAnsi" w:hAnsiTheme="minorHAnsi" w:cstheme="minorHAnsi"/>
        <w:color w:val="009999"/>
        <w:sz w:val="18"/>
        <w:szCs w:val="18"/>
        <w:lang w:val="en-GB"/>
      </w:rPr>
      <w:t>9</w:t>
    </w:r>
    <w:r w:rsidRPr="004B1CF8">
      <w:rPr>
        <w:color w:val="009999"/>
        <w:sz w:val="18"/>
        <w:szCs w:val="18"/>
      </w:rPr>
      <w:tab/>
    </w:r>
    <w:r>
      <w:rPr>
        <w:color w:val="009999"/>
        <w:sz w:val="18"/>
        <w:szCs w:val="18"/>
      </w:rPr>
      <w:tab/>
    </w:r>
    <w:r w:rsidRPr="004B1CF8">
      <w:rPr>
        <w:color w:val="009999"/>
        <w:sz w:val="18"/>
        <w:szCs w:val="18"/>
      </w:rPr>
      <w:t xml:space="preserve"> Page | </w:t>
    </w:r>
    <w:r w:rsidRPr="004B1CF8">
      <w:rPr>
        <w:color w:val="009999"/>
        <w:sz w:val="18"/>
        <w:szCs w:val="18"/>
      </w:rPr>
      <w:fldChar w:fldCharType="begin"/>
    </w:r>
    <w:r w:rsidRPr="004B1CF8">
      <w:rPr>
        <w:color w:val="009999"/>
        <w:sz w:val="18"/>
        <w:szCs w:val="18"/>
      </w:rPr>
      <w:instrText xml:space="preserve"> PAGE   \* MERGEFORMAT </w:instrText>
    </w:r>
    <w:r w:rsidRPr="004B1CF8">
      <w:rPr>
        <w:color w:val="009999"/>
        <w:sz w:val="18"/>
        <w:szCs w:val="18"/>
      </w:rPr>
      <w:fldChar w:fldCharType="separate"/>
    </w:r>
    <w:r w:rsidR="00874CB4" w:rsidRPr="00874CB4">
      <w:rPr>
        <w:b/>
        <w:bCs/>
        <w:noProof/>
        <w:color w:val="009999"/>
        <w:sz w:val="18"/>
        <w:szCs w:val="18"/>
      </w:rPr>
      <w:t>49</w:t>
    </w:r>
    <w:r w:rsidRPr="004B1CF8">
      <w:rPr>
        <w:color w:val="009999"/>
        <w:sz w:val="18"/>
        <w:szCs w:val="18"/>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55E30" w14:textId="3369BEE3" w:rsidR="00CA31B3" w:rsidRPr="00955F3D" w:rsidRDefault="00CA31B3" w:rsidP="009D369A">
    <w:pPr>
      <w:pStyle w:val="Header"/>
      <w:pBdr>
        <w:bottom w:val="single" w:sz="18" w:space="1" w:color="0D5F5D"/>
      </w:pBdr>
      <w:tabs>
        <w:tab w:val="clear" w:pos="4153"/>
        <w:tab w:val="clear" w:pos="8306"/>
        <w:tab w:val="left" w:pos="6855"/>
        <w:tab w:val="right" w:pos="14175"/>
      </w:tabs>
      <w:ind w:right="-29"/>
      <w:rPr>
        <w:rFonts w:cs="Calibri"/>
        <w:b/>
        <w:bCs/>
        <w:color w:val="009999"/>
        <w:sz w:val="18"/>
        <w:szCs w:val="18"/>
      </w:rPr>
    </w:pPr>
    <w:r>
      <w:rPr>
        <w:rFonts w:asciiTheme="minorHAnsi" w:hAnsiTheme="minorHAnsi" w:cstheme="minorHAnsi"/>
        <w:color w:val="009999"/>
        <w:sz w:val="18"/>
        <w:szCs w:val="18"/>
        <w:lang w:val="en-GB"/>
      </w:rPr>
      <w:t>Borough of Lewisham SHMA 2019</w:t>
    </w:r>
    <w:r w:rsidRPr="004B1CF8">
      <w:rPr>
        <w:color w:val="009999"/>
        <w:sz w:val="18"/>
        <w:szCs w:val="18"/>
      </w:rPr>
      <w:tab/>
    </w:r>
    <w:r>
      <w:rPr>
        <w:color w:val="009999"/>
        <w:sz w:val="18"/>
        <w:szCs w:val="18"/>
      </w:rPr>
      <w:tab/>
    </w:r>
    <w:r w:rsidRPr="00955F3D">
      <w:rPr>
        <w:rFonts w:cs="Calibri"/>
        <w:color w:val="009999"/>
        <w:sz w:val="18"/>
        <w:szCs w:val="18"/>
      </w:rPr>
      <w:t xml:space="preserve"> Page | </w:t>
    </w:r>
    <w:r w:rsidRPr="00955F3D">
      <w:rPr>
        <w:rFonts w:cs="Calibri"/>
        <w:color w:val="009999"/>
        <w:sz w:val="18"/>
        <w:szCs w:val="18"/>
      </w:rPr>
      <w:fldChar w:fldCharType="begin"/>
    </w:r>
    <w:r w:rsidRPr="00955F3D">
      <w:rPr>
        <w:rFonts w:cs="Calibri"/>
        <w:color w:val="009999"/>
        <w:sz w:val="18"/>
        <w:szCs w:val="18"/>
      </w:rPr>
      <w:instrText xml:space="preserve"> PAGE   \* MERGEFORMAT </w:instrText>
    </w:r>
    <w:r w:rsidRPr="00955F3D">
      <w:rPr>
        <w:rFonts w:cs="Calibri"/>
        <w:color w:val="009999"/>
        <w:sz w:val="18"/>
        <w:szCs w:val="18"/>
      </w:rPr>
      <w:fldChar w:fldCharType="separate"/>
    </w:r>
    <w:r w:rsidR="00874CB4" w:rsidRPr="00874CB4">
      <w:rPr>
        <w:rFonts w:cs="Calibri"/>
        <w:b/>
        <w:bCs/>
        <w:noProof/>
        <w:color w:val="009999"/>
        <w:sz w:val="18"/>
        <w:szCs w:val="18"/>
      </w:rPr>
      <w:t>50</w:t>
    </w:r>
    <w:r w:rsidRPr="00955F3D">
      <w:rPr>
        <w:rFonts w:cs="Calibri"/>
        <w:color w:val="009999"/>
        <w:sz w:val="18"/>
        <w:szCs w:val="18"/>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EFF3F" w14:textId="453B6BA1" w:rsidR="00CA31B3" w:rsidRPr="003718A3" w:rsidRDefault="00C632F2" w:rsidP="007F6E31">
    <w:pPr>
      <w:pStyle w:val="Header"/>
      <w:pBdr>
        <w:bottom w:val="single" w:sz="18" w:space="1" w:color="0D5F5D"/>
      </w:pBdr>
      <w:tabs>
        <w:tab w:val="clear" w:pos="4153"/>
        <w:tab w:val="clear" w:pos="8306"/>
        <w:tab w:val="right" w:pos="9214"/>
        <w:tab w:val="right" w:pos="14175"/>
      </w:tabs>
      <w:ind w:right="-29"/>
      <w:rPr>
        <w:rFonts w:cs="Calibri"/>
        <w:b/>
        <w:bCs/>
        <w:color w:val="009999"/>
        <w:sz w:val="18"/>
        <w:szCs w:val="18"/>
        <w:lang w:val="en-GB"/>
      </w:rPr>
    </w:pPr>
    <w:sdt>
      <w:sdtPr>
        <w:rPr>
          <w:rFonts w:cs="Calibri"/>
          <w:color w:val="009999"/>
          <w:sz w:val="18"/>
          <w:szCs w:val="18"/>
        </w:rPr>
        <w:id w:val="1229806878"/>
        <w:docPartObj>
          <w:docPartGallery w:val="Page Numbers (Top of Page)"/>
          <w:docPartUnique/>
        </w:docPartObj>
      </w:sdtPr>
      <w:sdtEndPr>
        <w:rPr>
          <w:b/>
          <w:bCs/>
          <w:noProof/>
        </w:rPr>
      </w:sdtEndPr>
      <w:sdtContent>
        <w:r w:rsidR="00CA31B3">
          <w:rPr>
            <w:rFonts w:cs="Calibri"/>
            <w:color w:val="009999"/>
            <w:sz w:val="18"/>
            <w:szCs w:val="18"/>
            <w:lang w:val="en-GB"/>
          </w:rPr>
          <w:t>Borough of Lewisham</w:t>
        </w:r>
        <w:r w:rsidR="00CA31B3" w:rsidRPr="003718A3">
          <w:rPr>
            <w:rFonts w:cs="Calibri"/>
            <w:color w:val="009999"/>
            <w:sz w:val="18"/>
            <w:szCs w:val="18"/>
          </w:rPr>
          <w:t xml:space="preserve"> </w:t>
        </w:r>
        <w:r w:rsidR="00CA31B3">
          <w:rPr>
            <w:rFonts w:cs="Calibri"/>
            <w:color w:val="009999"/>
            <w:sz w:val="18"/>
            <w:szCs w:val="18"/>
            <w:lang w:val="en-GB"/>
          </w:rPr>
          <w:t>SHMA</w:t>
        </w:r>
        <w:r w:rsidR="00CA31B3" w:rsidRPr="003718A3">
          <w:rPr>
            <w:rFonts w:cs="Calibri"/>
            <w:color w:val="009999"/>
            <w:sz w:val="18"/>
            <w:szCs w:val="18"/>
            <w:lang w:val="en-GB"/>
          </w:rPr>
          <w:t xml:space="preserve"> 201</w:t>
        </w:r>
        <w:r w:rsidR="00CA31B3">
          <w:rPr>
            <w:rFonts w:cs="Calibri"/>
            <w:color w:val="009999"/>
            <w:sz w:val="18"/>
            <w:szCs w:val="18"/>
            <w:lang w:val="en-GB"/>
          </w:rPr>
          <w:t>9</w:t>
        </w:r>
        <w:r w:rsidR="00CA31B3" w:rsidRPr="003718A3">
          <w:rPr>
            <w:rFonts w:cs="Calibri"/>
            <w:color w:val="009999"/>
            <w:sz w:val="18"/>
            <w:szCs w:val="18"/>
          </w:rPr>
          <w:tab/>
          <w:t xml:space="preserve"> Page | </w:t>
        </w:r>
        <w:r w:rsidR="00CA31B3" w:rsidRPr="003718A3">
          <w:rPr>
            <w:rFonts w:cs="Calibri"/>
            <w:color w:val="009999"/>
            <w:sz w:val="18"/>
            <w:szCs w:val="18"/>
          </w:rPr>
          <w:fldChar w:fldCharType="begin"/>
        </w:r>
        <w:r w:rsidR="00CA31B3" w:rsidRPr="003718A3">
          <w:rPr>
            <w:rFonts w:cs="Calibri"/>
            <w:color w:val="009999"/>
            <w:sz w:val="18"/>
            <w:szCs w:val="18"/>
          </w:rPr>
          <w:instrText xml:space="preserve"> PAGE   \* MERGEFORMAT </w:instrText>
        </w:r>
        <w:r w:rsidR="00CA31B3" w:rsidRPr="003718A3">
          <w:rPr>
            <w:rFonts w:cs="Calibri"/>
            <w:color w:val="009999"/>
            <w:sz w:val="18"/>
            <w:szCs w:val="18"/>
          </w:rPr>
          <w:fldChar w:fldCharType="separate"/>
        </w:r>
        <w:r w:rsidR="00874CB4" w:rsidRPr="00874CB4">
          <w:rPr>
            <w:rFonts w:cs="Calibri"/>
            <w:b/>
            <w:bCs/>
            <w:noProof/>
            <w:color w:val="009999"/>
            <w:sz w:val="18"/>
            <w:szCs w:val="18"/>
          </w:rPr>
          <w:t>52</w:t>
        </w:r>
        <w:r w:rsidR="00CA31B3" w:rsidRPr="003718A3">
          <w:rPr>
            <w:rFonts w:cs="Calibri"/>
            <w:b/>
            <w:bCs/>
            <w:noProof/>
            <w:color w:val="009999"/>
            <w:sz w:val="18"/>
            <w:szCs w:val="18"/>
          </w:rPr>
          <w:fldChar w:fldCharType="end"/>
        </w:r>
      </w:sdtContent>
    </w:sdt>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AF792" w14:textId="37B55FF5" w:rsidR="00CA31B3" w:rsidRPr="003718A3" w:rsidRDefault="00C632F2" w:rsidP="004A65A7">
    <w:pPr>
      <w:pStyle w:val="Header"/>
      <w:pBdr>
        <w:bottom w:val="single" w:sz="18" w:space="1" w:color="0D5F5D"/>
      </w:pBdr>
      <w:tabs>
        <w:tab w:val="clear" w:pos="4153"/>
        <w:tab w:val="clear" w:pos="8306"/>
        <w:tab w:val="right" w:pos="9214"/>
        <w:tab w:val="right" w:pos="14293"/>
      </w:tabs>
      <w:ind w:right="-29"/>
      <w:rPr>
        <w:rFonts w:cs="Calibri"/>
        <w:b/>
        <w:bCs/>
        <w:color w:val="009999"/>
        <w:sz w:val="18"/>
        <w:szCs w:val="18"/>
        <w:lang w:val="en-GB"/>
      </w:rPr>
    </w:pPr>
    <w:sdt>
      <w:sdtPr>
        <w:rPr>
          <w:rFonts w:cs="Calibri"/>
          <w:color w:val="009999"/>
          <w:sz w:val="18"/>
          <w:szCs w:val="18"/>
        </w:rPr>
        <w:id w:val="-1591388360"/>
        <w:docPartObj>
          <w:docPartGallery w:val="Page Numbers (Top of Page)"/>
          <w:docPartUnique/>
        </w:docPartObj>
      </w:sdtPr>
      <w:sdtEndPr>
        <w:rPr>
          <w:b/>
          <w:bCs/>
          <w:noProof/>
        </w:rPr>
      </w:sdtEndPr>
      <w:sdtContent>
        <w:r w:rsidR="00CA31B3">
          <w:rPr>
            <w:rFonts w:cs="Calibri"/>
            <w:color w:val="009999"/>
            <w:sz w:val="18"/>
            <w:szCs w:val="18"/>
            <w:lang w:val="en-GB"/>
          </w:rPr>
          <w:t>Borough of Lewisham</w:t>
        </w:r>
        <w:r w:rsidR="00CA31B3" w:rsidRPr="003718A3">
          <w:rPr>
            <w:rFonts w:cs="Calibri"/>
            <w:color w:val="009999"/>
            <w:sz w:val="18"/>
            <w:szCs w:val="18"/>
          </w:rPr>
          <w:t xml:space="preserve"> </w:t>
        </w:r>
        <w:r w:rsidR="00CA31B3">
          <w:rPr>
            <w:rFonts w:cs="Calibri"/>
            <w:color w:val="009999"/>
            <w:sz w:val="18"/>
            <w:szCs w:val="18"/>
            <w:lang w:val="en-GB"/>
          </w:rPr>
          <w:t>SHMA</w:t>
        </w:r>
        <w:r w:rsidR="00CA31B3" w:rsidRPr="003718A3">
          <w:rPr>
            <w:rFonts w:cs="Calibri"/>
            <w:color w:val="009999"/>
            <w:sz w:val="18"/>
            <w:szCs w:val="18"/>
            <w:lang w:val="en-GB"/>
          </w:rPr>
          <w:t xml:space="preserve"> 201</w:t>
        </w:r>
        <w:r w:rsidR="00CA31B3">
          <w:rPr>
            <w:rFonts w:cs="Calibri"/>
            <w:color w:val="009999"/>
            <w:sz w:val="18"/>
            <w:szCs w:val="18"/>
            <w:lang w:val="en-GB"/>
          </w:rPr>
          <w:t>9</w:t>
        </w:r>
        <w:r w:rsidR="00CA31B3">
          <w:rPr>
            <w:rFonts w:cs="Calibri"/>
            <w:color w:val="009999"/>
            <w:sz w:val="18"/>
            <w:szCs w:val="18"/>
            <w:lang w:val="en-GB"/>
          </w:rPr>
          <w:tab/>
        </w:r>
        <w:r w:rsidR="00CA31B3" w:rsidRPr="003718A3">
          <w:rPr>
            <w:rFonts w:cs="Calibri"/>
            <w:color w:val="009999"/>
            <w:sz w:val="18"/>
            <w:szCs w:val="18"/>
          </w:rPr>
          <w:tab/>
          <w:t xml:space="preserve"> Page | </w:t>
        </w:r>
        <w:r w:rsidR="00CA31B3" w:rsidRPr="003718A3">
          <w:rPr>
            <w:rFonts w:cs="Calibri"/>
            <w:color w:val="009999"/>
            <w:sz w:val="18"/>
            <w:szCs w:val="18"/>
          </w:rPr>
          <w:fldChar w:fldCharType="begin"/>
        </w:r>
        <w:r w:rsidR="00CA31B3" w:rsidRPr="003718A3">
          <w:rPr>
            <w:rFonts w:cs="Calibri"/>
            <w:color w:val="009999"/>
            <w:sz w:val="18"/>
            <w:szCs w:val="18"/>
          </w:rPr>
          <w:instrText xml:space="preserve"> PAGE   \* MERGEFORMAT </w:instrText>
        </w:r>
        <w:r w:rsidR="00CA31B3" w:rsidRPr="003718A3">
          <w:rPr>
            <w:rFonts w:cs="Calibri"/>
            <w:color w:val="009999"/>
            <w:sz w:val="18"/>
            <w:szCs w:val="18"/>
          </w:rPr>
          <w:fldChar w:fldCharType="separate"/>
        </w:r>
        <w:r w:rsidR="00874CB4" w:rsidRPr="00874CB4">
          <w:rPr>
            <w:rFonts w:cs="Calibri"/>
            <w:b/>
            <w:bCs/>
            <w:noProof/>
            <w:color w:val="009999"/>
            <w:sz w:val="18"/>
            <w:szCs w:val="18"/>
          </w:rPr>
          <w:t>53</w:t>
        </w:r>
        <w:r w:rsidR="00CA31B3" w:rsidRPr="003718A3">
          <w:rPr>
            <w:rFonts w:cs="Calibri"/>
            <w:b/>
            <w:bCs/>
            <w:noProof/>
            <w:color w:val="009999"/>
            <w:sz w:val="18"/>
            <w:szCs w:val="18"/>
          </w:rPr>
          <w:fldChar w:fldCharType="end"/>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35C6" w14:textId="0ADB3167" w:rsidR="00CA31B3" w:rsidRPr="003718A3" w:rsidRDefault="00C632F2" w:rsidP="007F6E31">
    <w:pPr>
      <w:pStyle w:val="Header"/>
      <w:pBdr>
        <w:bottom w:val="single" w:sz="18" w:space="1" w:color="0D5F5D"/>
      </w:pBdr>
      <w:tabs>
        <w:tab w:val="clear" w:pos="4153"/>
        <w:tab w:val="clear" w:pos="8306"/>
        <w:tab w:val="right" w:pos="9214"/>
        <w:tab w:val="right" w:pos="14175"/>
      </w:tabs>
      <w:ind w:right="-29"/>
      <w:rPr>
        <w:rFonts w:cs="Calibri"/>
        <w:b/>
        <w:bCs/>
        <w:color w:val="009999"/>
        <w:sz w:val="18"/>
        <w:szCs w:val="18"/>
        <w:lang w:val="en-GB"/>
      </w:rPr>
    </w:pPr>
    <w:sdt>
      <w:sdtPr>
        <w:rPr>
          <w:rFonts w:cs="Calibri"/>
          <w:color w:val="009999"/>
          <w:sz w:val="18"/>
          <w:szCs w:val="18"/>
        </w:rPr>
        <w:id w:val="-823349765"/>
        <w:docPartObj>
          <w:docPartGallery w:val="Page Numbers (Top of Page)"/>
          <w:docPartUnique/>
        </w:docPartObj>
      </w:sdtPr>
      <w:sdtEndPr>
        <w:rPr>
          <w:b/>
          <w:bCs/>
          <w:noProof/>
        </w:rPr>
      </w:sdtEndPr>
      <w:sdtContent>
        <w:r w:rsidR="00CA31B3">
          <w:rPr>
            <w:rFonts w:cs="Calibri"/>
            <w:color w:val="009999"/>
            <w:sz w:val="18"/>
            <w:szCs w:val="18"/>
            <w:lang w:val="en-GB"/>
          </w:rPr>
          <w:t>Borough of Lewisham</w:t>
        </w:r>
        <w:r w:rsidR="00CA31B3" w:rsidRPr="003718A3">
          <w:rPr>
            <w:rFonts w:cs="Calibri"/>
            <w:color w:val="009999"/>
            <w:sz w:val="18"/>
            <w:szCs w:val="18"/>
          </w:rPr>
          <w:t xml:space="preserve"> </w:t>
        </w:r>
        <w:r w:rsidR="00CA31B3">
          <w:rPr>
            <w:rFonts w:cs="Calibri"/>
            <w:color w:val="009999"/>
            <w:sz w:val="18"/>
            <w:szCs w:val="18"/>
            <w:lang w:val="en-GB"/>
          </w:rPr>
          <w:t>SHMA</w:t>
        </w:r>
        <w:r w:rsidR="00CA31B3" w:rsidRPr="003718A3">
          <w:rPr>
            <w:rFonts w:cs="Calibri"/>
            <w:color w:val="009999"/>
            <w:sz w:val="18"/>
            <w:szCs w:val="18"/>
            <w:lang w:val="en-GB"/>
          </w:rPr>
          <w:t xml:space="preserve"> 201</w:t>
        </w:r>
        <w:r w:rsidR="00CA31B3">
          <w:rPr>
            <w:rFonts w:cs="Calibri"/>
            <w:color w:val="009999"/>
            <w:sz w:val="18"/>
            <w:szCs w:val="18"/>
            <w:lang w:val="en-GB"/>
          </w:rPr>
          <w:t>9</w:t>
        </w:r>
        <w:r w:rsidR="00CA31B3" w:rsidRPr="003718A3">
          <w:rPr>
            <w:rFonts w:cs="Calibri"/>
            <w:color w:val="009999"/>
            <w:sz w:val="18"/>
            <w:szCs w:val="18"/>
          </w:rPr>
          <w:tab/>
          <w:t xml:space="preserve"> Page | </w:t>
        </w:r>
        <w:r w:rsidR="00CA31B3" w:rsidRPr="003718A3">
          <w:rPr>
            <w:rFonts w:cs="Calibri"/>
            <w:color w:val="009999"/>
            <w:sz w:val="18"/>
            <w:szCs w:val="18"/>
          </w:rPr>
          <w:fldChar w:fldCharType="begin"/>
        </w:r>
        <w:r w:rsidR="00CA31B3" w:rsidRPr="003718A3">
          <w:rPr>
            <w:rFonts w:cs="Calibri"/>
            <w:color w:val="009999"/>
            <w:sz w:val="18"/>
            <w:szCs w:val="18"/>
          </w:rPr>
          <w:instrText xml:space="preserve"> PAGE   \* MERGEFORMAT </w:instrText>
        </w:r>
        <w:r w:rsidR="00CA31B3" w:rsidRPr="003718A3">
          <w:rPr>
            <w:rFonts w:cs="Calibri"/>
            <w:color w:val="009999"/>
            <w:sz w:val="18"/>
            <w:szCs w:val="18"/>
          </w:rPr>
          <w:fldChar w:fldCharType="separate"/>
        </w:r>
        <w:r w:rsidR="00874CB4" w:rsidRPr="00874CB4">
          <w:rPr>
            <w:rFonts w:cs="Calibri"/>
            <w:b/>
            <w:bCs/>
            <w:noProof/>
            <w:color w:val="009999"/>
            <w:sz w:val="18"/>
            <w:szCs w:val="18"/>
          </w:rPr>
          <w:t>57</w:t>
        </w:r>
        <w:r w:rsidR="00CA31B3" w:rsidRPr="003718A3">
          <w:rPr>
            <w:rFonts w:cs="Calibri"/>
            <w:b/>
            <w:bCs/>
            <w:noProof/>
            <w:color w:val="009999"/>
            <w:sz w:val="18"/>
            <w:szCs w:val="18"/>
          </w:rPr>
          <w:fldChar w:fldCharType="end"/>
        </w:r>
      </w:sdtContent>
    </w:sdt>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E0F68" w14:textId="77777777" w:rsidR="00CA31B3" w:rsidRPr="003718A3" w:rsidRDefault="00C632F2" w:rsidP="002132D8">
    <w:pPr>
      <w:pStyle w:val="Header"/>
      <w:pBdr>
        <w:bottom w:val="single" w:sz="18" w:space="1" w:color="0D5F5D"/>
      </w:pBdr>
      <w:tabs>
        <w:tab w:val="clear" w:pos="4153"/>
        <w:tab w:val="clear" w:pos="8306"/>
        <w:tab w:val="right" w:pos="14293"/>
      </w:tabs>
      <w:ind w:right="-29"/>
      <w:rPr>
        <w:rFonts w:cs="Calibri"/>
        <w:b/>
        <w:bCs/>
        <w:color w:val="009999"/>
        <w:sz w:val="18"/>
        <w:szCs w:val="18"/>
        <w:lang w:val="en-GB"/>
      </w:rPr>
    </w:pPr>
    <w:sdt>
      <w:sdtPr>
        <w:rPr>
          <w:rFonts w:cs="Calibri"/>
          <w:color w:val="009999"/>
          <w:sz w:val="18"/>
          <w:szCs w:val="18"/>
        </w:rPr>
        <w:id w:val="1751303759"/>
        <w:docPartObj>
          <w:docPartGallery w:val="Page Numbers (Top of Page)"/>
          <w:docPartUnique/>
        </w:docPartObj>
      </w:sdtPr>
      <w:sdtEndPr>
        <w:rPr>
          <w:b/>
          <w:bCs/>
          <w:noProof/>
        </w:rPr>
      </w:sdtEndPr>
      <w:sdtContent>
        <w:r w:rsidR="00CA31B3">
          <w:rPr>
            <w:rFonts w:cs="Calibri"/>
            <w:color w:val="009999"/>
            <w:sz w:val="18"/>
            <w:szCs w:val="18"/>
            <w:lang w:val="en-GB"/>
          </w:rPr>
          <w:t>Borough of Lewisham</w:t>
        </w:r>
        <w:r w:rsidR="00CA31B3" w:rsidRPr="003718A3">
          <w:rPr>
            <w:rFonts w:cs="Calibri"/>
            <w:color w:val="009999"/>
            <w:sz w:val="18"/>
            <w:szCs w:val="18"/>
          </w:rPr>
          <w:t xml:space="preserve"> </w:t>
        </w:r>
        <w:r w:rsidR="00CA31B3">
          <w:rPr>
            <w:rFonts w:cs="Calibri"/>
            <w:color w:val="009999"/>
            <w:sz w:val="18"/>
            <w:szCs w:val="18"/>
            <w:lang w:val="en-GB"/>
          </w:rPr>
          <w:t>SHMA</w:t>
        </w:r>
        <w:r w:rsidR="00CA31B3" w:rsidRPr="003718A3">
          <w:rPr>
            <w:rFonts w:cs="Calibri"/>
            <w:color w:val="009999"/>
            <w:sz w:val="18"/>
            <w:szCs w:val="18"/>
            <w:lang w:val="en-GB"/>
          </w:rPr>
          <w:t xml:space="preserve"> 201</w:t>
        </w:r>
        <w:r w:rsidR="00CA31B3">
          <w:rPr>
            <w:rFonts w:cs="Calibri"/>
            <w:color w:val="009999"/>
            <w:sz w:val="18"/>
            <w:szCs w:val="18"/>
            <w:lang w:val="en-GB"/>
          </w:rPr>
          <w:t>9</w:t>
        </w:r>
        <w:r w:rsidR="00CA31B3" w:rsidRPr="003718A3">
          <w:rPr>
            <w:rFonts w:cs="Calibri"/>
            <w:color w:val="009999"/>
            <w:sz w:val="18"/>
            <w:szCs w:val="18"/>
          </w:rPr>
          <w:tab/>
          <w:t xml:space="preserve"> Page | </w:t>
        </w:r>
        <w:r w:rsidR="00CA31B3" w:rsidRPr="003718A3">
          <w:rPr>
            <w:rFonts w:cs="Calibri"/>
            <w:color w:val="009999"/>
            <w:sz w:val="18"/>
            <w:szCs w:val="18"/>
          </w:rPr>
          <w:fldChar w:fldCharType="begin"/>
        </w:r>
        <w:r w:rsidR="00CA31B3" w:rsidRPr="003718A3">
          <w:rPr>
            <w:rFonts w:cs="Calibri"/>
            <w:color w:val="009999"/>
            <w:sz w:val="18"/>
            <w:szCs w:val="18"/>
          </w:rPr>
          <w:instrText xml:space="preserve"> PAGE   \* MERGEFORMAT </w:instrText>
        </w:r>
        <w:r w:rsidR="00CA31B3" w:rsidRPr="003718A3">
          <w:rPr>
            <w:rFonts w:cs="Calibri"/>
            <w:color w:val="009999"/>
            <w:sz w:val="18"/>
            <w:szCs w:val="18"/>
          </w:rPr>
          <w:fldChar w:fldCharType="separate"/>
        </w:r>
        <w:r w:rsidR="00874CB4" w:rsidRPr="00874CB4">
          <w:rPr>
            <w:rFonts w:cs="Calibri"/>
            <w:b/>
            <w:bCs/>
            <w:noProof/>
            <w:color w:val="009999"/>
            <w:sz w:val="18"/>
            <w:szCs w:val="18"/>
          </w:rPr>
          <w:t>58</w:t>
        </w:r>
        <w:r w:rsidR="00CA31B3" w:rsidRPr="003718A3">
          <w:rPr>
            <w:rFonts w:cs="Calibri"/>
            <w:b/>
            <w:bCs/>
            <w:noProof/>
            <w:color w:val="009999"/>
            <w:sz w:val="18"/>
            <w:szCs w:val="18"/>
          </w:rPr>
          <w:fldChar w:fldCharType="end"/>
        </w:r>
      </w:sdtContent>
    </w:sdt>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E493B" w14:textId="77777777" w:rsidR="00CA31B3" w:rsidRPr="003718A3" w:rsidRDefault="00C632F2" w:rsidP="007F6E31">
    <w:pPr>
      <w:pStyle w:val="Header"/>
      <w:pBdr>
        <w:bottom w:val="single" w:sz="18" w:space="1" w:color="0D5F5D"/>
      </w:pBdr>
      <w:tabs>
        <w:tab w:val="clear" w:pos="4153"/>
        <w:tab w:val="clear" w:pos="8306"/>
        <w:tab w:val="right" w:pos="9214"/>
        <w:tab w:val="right" w:pos="14175"/>
      </w:tabs>
      <w:ind w:right="-29"/>
      <w:rPr>
        <w:rFonts w:cs="Calibri"/>
        <w:b/>
        <w:bCs/>
        <w:color w:val="009999"/>
        <w:sz w:val="18"/>
        <w:szCs w:val="18"/>
        <w:lang w:val="en-GB"/>
      </w:rPr>
    </w:pPr>
    <w:sdt>
      <w:sdtPr>
        <w:rPr>
          <w:rFonts w:cs="Calibri"/>
          <w:color w:val="009999"/>
          <w:sz w:val="18"/>
          <w:szCs w:val="18"/>
        </w:rPr>
        <w:id w:val="-698462596"/>
        <w:docPartObj>
          <w:docPartGallery w:val="Page Numbers (Top of Page)"/>
          <w:docPartUnique/>
        </w:docPartObj>
      </w:sdtPr>
      <w:sdtEndPr>
        <w:rPr>
          <w:b/>
          <w:bCs/>
          <w:noProof/>
        </w:rPr>
      </w:sdtEndPr>
      <w:sdtContent>
        <w:r w:rsidR="00CA31B3">
          <w:rPr>
            <w:rFonts w:cs="Calibri"/>
            <w:color w:val="009999"/>
            <w:sz w:val="18"/>
            <w:szCs w:val="18"/>
            <w:lang w:val="en-GB"/>
          </w:rPr>
          <w:t>Borough of Lewisham</w:t>
        </w:r>
        <w:r w:rsidR="00CA31B3" w:rsidRPr="003718A3">
          <w:rPr>
            <w:rFonts w:cs="Calibri"/>
            <w:color w:val="009999"/>
            <w:sz w:val="18"/>
            <w:szCs w:val="18"/>
          </w:rPr>
          <w:t xml:space="preserve"> </w:t>
        </w:r>
        <w:r w:rsidR="00CA31B3">
          <w:rPr>
            <w:rFonts w:cs="Calibri"/>
            <w:color w:val="009999"/>
            <w:sz w:val="18"/>
            <w:szCs w:val="18"/>
            <w:lang w:val="en-GB"/>
          </w:rPr>
          <w:t>SHMA</w:t>
        </w:r>
        <w:r w:rsidR="00CA31B3" w:rsidRPr="003718A3">
          <w:rPr>
            <w:rFonts w:cs="Calibri"/>
            <w:color w:val="009999"/>
            <w:sz w:val="18"/>
            <w:szCs w:val="18"/>
            <w:lang w:val="en-GB"/>
          </w:rPr>
          <w:t xml:space="preserve"> 201</w:t>
        </w:r>
        <w:r w:rsidR="00CA31B3">
          <w:rPr>
            <w:rFonts w:cs="Calibri"/>
            <w:color w:val="009999"/>
            <w:sz w:val="18"/>
            <w:szCs w:val="18"/>
            <w:lang w:val="en-GB"/>
          </w:rPr>
          <w:t>9</w:t>
        </w:r>
        <w:r w:rsidR="00CA31B3" w:rsidRPr="003718A3">
          <w:rPr>
            <w:rFonts w:cs="Calibri"/>
            <w:color w:val="009999"/>
            <w:sz w:val="18"/>
            <w:szCs w:val="18"/>
          </w:rPr>
          <w:tab/>
          <w:t xml:space="preserve"> Page | </w:t>
        </w:r>
        <w:r w:rsidR="00CA31B3" w:rsidRPr="003718A3">
          <w:rPr>
            <w:rFonts w:cs="Calibri"/>
            <w:color w:val="009999"/>
            <w:sz w:val="18"/>
            <w:szCs w:val="18"/>
          </w:rPr>
          <w:fldChar w:fldCharType="begin"/>
        </w:r>
        <w:r w:rsidR="00CA31B3" w:rsidRPr="003718A3">
          <w:rPr>
            <w:rFonts w:cs="Calibri"/>
            <w:color w:val="009999"/>
            <w:sz w:val="18"/>
            <w:szCs w:val="18"/>
          </w:rPr>
          <w:instrText xml:space="preserve"> PAGE   \* MERGEFORMAT </w:instrText>
        </w:r>
        <w:r w:rsidR="00CA31B3" w:rsidRPr="003718A3">
          <w:rPr>
            <w:rFonts w:cs="Calibri"/>
            <w:color w:val="009999"/>
            <w:sz w:val="18"/>
            <w:szCs w:val="18"/>
          </w:rPr>
          <w:fldChar w:fldCharType="separate"/>
        </w:r>
        <w:r w:rsidR="00874CB4" w:rsidRPr="00874CB4">
          <w:rPr>
            <w:rFonts w:cs="Calibri"/>
            <w:b/>
            <w:bCs/>
            <w:noProof/>
            <w:color w:val="009999"/>
            <w:sz w:val="18"/>
            <w:szCs w:val="18"/>
          </w:rPr>
          <w:t>64</w:t>
        </w:r>
        <w:r w:rsidR="00CA31B3" w:rsidRPr="003718A3">
          <w:rPr>
            <w:rFonts w:cs="Calibri"/>
            <w:b/>
            <w:bCs/>
            <w:noProof/>
            <w:color w:val="009999"/>
            <w:sz w:val="18"/>
            <w:szCs w:val="18"/>
          </w:rPr>
          <w:fldChar w:fldCharType="end"/>
        </w:r>
      </w:sdtContent>
    </w:sdt>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0B406" w14:textId="4F352759" w:rsidR="00CA31B3" w:rsidRPr="003718A3" w:rsidRDefault="00C632F2" w:rsidP="007F6E31">
    <w:pPr>
      <w:pStyle w:val="Header"/>
      <w:pBdr>
        <w:bottom w:val="single" w:sz="18" w:space="1" w:color="0D5F5D"/>
      </w:pBdr>
      <w:tabs>
        <w:tab w:val="clear" w:pos="4153"/>
        <w:tab w:val="clear" w:pos="8306"/>
        <w:tab w:val="right" w:pos="14175"/>
      </w:tabs>
      <w:ind w:right="-29"/>
      <w:rPr>
        <w:rFonts w:cs="Calibri"/>
        <w:b/>
        <w:bCs/>
        <w:color w:val="009999"/>
        <w:sz w:val="18"/>
        <w:szCs w:val="18"/>
        <w:lang w:val="en-GB"/>
      </w:rPr>
    </w:pPr>
    <w:sdt>
      <w:sdtPr>
        <w:rPr>
          <w:rFonts w:cs="Calibri"/>
          <w:color w:val="009999"/>
          <w:sz w:val="18"/>
          <w:szCs w:val="18"/>
        </w:rPr>
        <w:id w:val="242072404"/>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w:t>
        </w:r>
        <w:r w:rsidR="00CA31B3" w:rsidRPr="003718A3">
          <w:rPr>
            <w:rFonts w:cs="Calibri"/>
            <w:color w:val="009999"/>
            <w:sz w:val="18"/>
            <w:szCs w:val="18"/>
            <w:lang w:val="en-GB"/>
          </w:rPr>
          <w:t xml:space="preserve"> 201</w:t>
        </w:r>
        <w:r w:rsidR="00CA31B3">
          <w:rPr>
            <w:rFonts w:cs="Calibri"/>
            <w:color w:val="009999"/>
            <w:sz w:val="18"/>
            <w:szCs w:val="18"/>
            <w:lang w:val="en-GB"/>
          </w:rPr>
          <w:t>9</w:t>
        </w:r>
        <w:r w:rsidR="00CA31B3" w:rsidRPr="003718A3">
          <w:rPr>
            <w:rFonts w:cs="Calibri"/>
            <w:color w:val="009999"/>
            <w:sz w:val="18"/>
            <w:szCs w:val="18"/>
          </w:rPr>
          <w:tab/>
          <w:t xml:space="preserve"> Page | </w:t>
        </w:r>
        <w:r w:rsidR="00CA31B3" w:rsidRPr="003718A3">
          <w:rPr>
            <w:rFonts w:cs="Calibri"/>
            <w:color w:val="009999"/>
            <w:sz w:val="18"/>
            <w:szCs w:val="18"/>
          </w:rPr>
          <w:fldChar w:fldCharType="begin"/>
        </w:r>
        <w:r w:rsidR="00CA31B3" w:rsidRPr="003718A3">
          <w:rPr>
            <w:rFonts w:cs="Calibri"/>
            <w:color w:val="009999"/>
            <w:sz w:val="18"/>
            <w:szCs w:val="18"/>
          </w:rPr>
          <w:instrText xml:space="preserve"> PAGE   \* MERGEFORMAT </w:instrText>
        </w:r>
        <w:r w:rsidR="00CA31B3" w:rsidRPr="003718A3">
          <w:rPr>
            <w:rFonts w:cs="Calibri"/>
            <w:color w:val="009999"/>
            <w:sz w:val="18"/>
            <w:szCs w:val="18"/>
          </w:rPr>
          <w:fldChar w:fldCharType="separate"/>
        </w:r>
        <w:r w:rsidR="00874CB4" w:rsidRPr="00874CB4">
          <w:rPr>
            <w:rFonts w:cs="Calibri"/>
            <w:b/>
            <w:bCs/>
            <w:noProof/>
            <w:color w:val="009999"/>
            <w:sz w:val="18"/>
            <w:szCs w:val="18"/>
          </w:rPr>
          <w:t>69</w:t>
        </w:r>
        <w:r w:rsidR="00CA31B3" w:rsidRPr="003718A3">
          <w:rPr>
            <w:rFonts w:cs="Calibri"/>
            <w:b/>
            <w:bCs/>
            <w:noProof/>
            <w:color w:val="009999"/>
            <w:sz w:val="18"/>
            <w:szCs w:val="18"/>
          </w:rPr>
          <w:fldChar w:fldCharType="end"/>
        </w:r>
      </w:sdtContent>
    </w:sdt>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8112A" w14:textId="01D51281" w:rsidR="00CA31B3" w:rsidRPr="00865697" w:rsidRDefault="00C632F2" w:rsidP="007F6E31">
    <w:pPr>
      <w:pStyle w:val="Header"/>
      <w:pBdr>
        <w:bottom w:val="single" w:sz="18" w:space="1" w:color="0D5F5D"/>
      </w:pBdr>
      <w:tabs>
        <w:tab w:val="clear" w:pos="4153"/>
        <w:tab w:val="clear" w:pos="8306"/>
        <w:tab w:val="right" w:pos="9214"/>
        <w:tab w:val="right" w:pos="14317"/>
      </w:tabs>
      <w:ind w:right="-29"/>
      <w:rPr>
        <w:rFonts w:cs="Calibri"/>
        <w:b/>
        <w:bCs/>
        <w:color w:val="009999"/>
        <w:sz w:val="18"/>
        <w:szCs w:val="18"/>
      </w:rPr>
    </w:pPr>
    <w:sdt>
      <w:sdtPr>
        <w:rPr>
          <w:rFonts w:cs="Calibri"/>
          <w:color w:val="009999"/>
          <w:sz w:val="18"/>
          <w:szCs w:val="18"/>
        </w:rPr>
        <w:id w:val="-543909219"/>
        <w:docPartObj>
          <w:docPartGallery w:val="Page Numbers (Top of Page)"/>
          <w:docPartUnique/>
        </w:docPartObj>
      </w:sdtPr>
      <w:sdtEndPr>
        <w:rPr>
          <w:b/>
          <w:bCs/>
          <w:noProof/>
        </w:rPr>
      </w:sdtEndPr>
      <w:sdtContent>
        <w:r w:rsidR="00CA31B3">
          <w:rPr>
            <w:rFonts w:cs="Calibri"/>
            <w:color w:val="009999"/>
            <w:sz w:val="18"/>
            <w:szCs w:val="18"/>
            <w:lang w:val="en-GB"/>
          </w:rPr>
          <w:t xml:space="preserve">Borough of Lewisham SHMA </w:t>
        </w:r>
        <w:r w:rsidR="00CA31B3" w:rsidRPr="00865697">
          <w:rPr>
            <w:rFonts w:cs="Calibri"/>
            <w:color w:val="009999"/>
            <w:sz w:val="18"/>
            <w:szCs w:val="18"/>
            <w:lang w:val="en-GB"/>
          </w:rPr>
          <w:t>201</w:t>
        </w:r>
        <w:r w:rsidR="00CA31B3">
          <w:rPr>
            <w:rFonts w:cs="Calibri"/>
            <w:color w:val="009999"/>
            <w:sz w:val="18"/>
            <w:szCs w:val="18"/>
            <w:lang w:val="en-GB"/>
          </w:rPr>
          <w:t>9</w:t>
        </w:r>
        <w:r w:rsidR="00CA31B3" w:rsidRPr="00865697">
          <w:rPr>
            <w:rFonts w:cs="Calibri"/>
            <w:color w:val="009999"/>
            <w:sz w:val="18"/>
            <w:szCs w:val="18"/>
          </w:rPr>
          <w:tab/>
          <w:t xml:space="preserve"> Page | </w:t>
        </w:r>
        <w:r w:rsidR="00CA31B3" w:rsidRPr="00865697">
          <w:rPr>
            <w:rFonts w:cs="Calibri"/>
            <w:color w:val="009999"/>
            <w:sz w:val="18"/>
            <w:szCs w:val="18"/>
          </w:rPr>
          <w:fldChar w:fldCharType="begin"/>
        </w:r>
        <w:r w:rsidR="00CA31B3" w:rsidRPr="00865697">
          <w:rPr>
            <w:rFonts w:cs="Calibri"/>
            <w:color w:val="009999"/>
            <w:sz w:val="18"/>
            <w:szCs w:val="18"/>
          </w:rPr>
          <w:instrText xml:space="preserve"> PAGE   \* MERGEFORMAT </w:instrText>
        </w:r>
        <w:r w:rsidR="00CA31B3" w:rsidRPr="00865697">
          <w:rPr>
            <w:rFonts w:cs="Calibri"/>
            <w:color w:val="009999"/>
            <w:sz w:val="18"/>
            <w:szCs w:val="18"/>
          </w:rPr>
          <w:fldChar w:fldCharType="separate"/>
        </w:r>
        <w:r w:rsidR="00874CB4" w:rsidRPr="00874CB4">
          <w:rPr>
            <w:rFonts w:cs="Calibri"/>
            <w:b/>
            <w:bCs/>
            <w:noProof/>
            <w:color w:val="009999"/>
            <w:sz w:val="18"/>
            <w:szCs w:val="18"/>
          </w:rPr>
          <w:t>70</w:t>
        </w:r>
        <w:r w:rsidR="00CA31B3" w:rsidRPr="00865697">
          <w:rPr>
            <w:rFonts w:cs="Calibri"/>
            <w:b/>
            <w:bCs/>
            <w:noProof/>
            <w:color w:val="009999"/>
            <w:sz w:val="18"/>
            <w:szCs w:val="18"/>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534A6" w14:textId="15E55EBF" w:rsidR="00CA31B3" w:rsidRPr="00865697" w:rsidRDefault="00C632F2" w:rsidP="007F6E31">
    <w:pPr>
      <w:pStyle w:val="Header"/>
      <w:pBdr>
        <w:bottom w:val="single" w:sz="18" w:space="1" w:color="0D5F5D"/>
      </w:pBdr>
      <w:tabs>
        <w:tab w:val="clear" w:pos="4153"/>
        <w:tab w:val="clear" w:pos="8306"/>
        <w:tab w:val="right" w:pos="9214"/>
        <w:tab w:val="right" w:pos="14317"/>
      </w:tabs>
      <w:ind w:right="-29"/>
      <w:rPr>
        <w:rFonts w:cs="Calibri"/>
        <w:b/>
        <w:bCs/>
        <w:color w:val="009999"/>
        <w:sz w:val="18"/>
        <w:szCs w:val="18"/>
      </w:rPr>
    </w:pPr>
    <w:sdt>
      <w:sdtPr>
        <w:rPr>
          <w:rFonts w:cs="Calibri"/>
          <w:color w:val="009999"/>
          <w:sz w:val="18"/>
          <w:szCs w:val="18"/>
        </w:rPr>
        <w:id w:val="-1650124471"/>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w:t>
        </w:r>
        <w:r w:rsidR="00CA31B3" w:rsidRPr="00865697">
          <w:rPr>
            <w:rFonts w:cs="Calibri"/>
            <w:color w:val="009999"/>
            <w:sz w:val="18"/>
            <w:szCs w:val="18"/>
            <w:lang w:val="en-GB"/>
          </w:rPr>
          <w:t xml:space="preserve"> 201</w:t>
        </w:r>
        <w:r w:rsidR="00CA31B3">
          <w:rPr>
            <w:rFonts w:cs="Calibri"/>
            <w:color w:val="009999"/>
            <w:sz w:val="18"/>
            <w:szCs w:val="18"/>
            <w:lang w:val="en-GB"/>
          </w:rPr>
          <w:t>9</w:t>
        </w:r>
        <w:r w:rsidR="00CA31B3" w:rsidRPr="00865697">
          <w:rPr>
            <w:rFonts w:cs="Calibri"/>
            <w:color w:val="009999"/>
            <w:sz w:val="18"/>
            <w:szCs w:val="18"/>
          </w:rPr>
          <w:tab/>
          <w:t xml:space="preserve"> Page | </w:t>
        </w:r>
        <w:r w:rsidR="00CA31B3" w:rsidRPr="00865697">
          <w:rPr>
            <w:rFonts w:cs="Calibri"/>
            <w:color w:val="009999"/>
            <w:sz w:val="18"/>
            <w:szCs w:val="18"/>
          </w:rPr>
          <w:fldChar w:fldCharType="begin"/>
        </w:r>
        <w:r w:rsidR="00CA31B3" w:rsidRPr="00865697">
          <w:rPr>
            <w:rFonts w:cs="Calibri"/>
            <w:color w:val="009999"/>
            <w:sz w:val="18"/>
            <w:szCs w:val="18"/>
          </w:rPr>
          <w:instrText xml:space="preserve"> PAGE   \* MERGEFORMAT </w:instrText>
        </w:r>
        <w:r w:rsidR="00CA31B3" w:rsidRPr="00865697">
          <w:rPr>
            <w:rFonts w:cs="Calibri"/>
            <w:color w:val="009999"/>
            <w:sz w:val="18"/>
            <w:szCs w:val="18"/>
          </w:rPr>
          <w:fldChar w:fldCharType="separate"/>
        </w:r>
        <w:r w:rsidRPr="00C632F2">
          <w:rPr>
            <w:rFonts w:cs="Calibri"/>
            <w:b/>
            <w:bCs/>
            <w:noProof/>
            <w:color w:val="009999"/>
            <w:sz w:val="18"/>
            <w:szCs w:val="18"/>
          </w:rPr>
          <w:t>27</w:t>
        </w:r>
        <w:r w:rsidR="00CA31B3" w:rsidRPr="00865697">
          <w:rPr>
            <w:rFonts w:cs="Calibri"/>
            <w:b/>
            <w:bCs/>
            <w:noProof/>
            <w:color w:val="009999"/>
            <w:sz w:val="18"/>
            <w:szCs w:val="18"/>
          </w:rPr>
          <w:fldChar w:fldCharType="end"/>
        </w:r>
      </w:sdtContent>
    </w:sdt>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2A2F2" w14:textId="0BF06A7A" w:rsidR="00CA31B3" w:rsidRPr="00332AFA" w:rsidRDefault="00C632F2" w:rsidP="007F6E31">
    <w:pPr>
      <w:pStyle w:val="Header"/>
      <w:pBdr>
        <w:bottom w:val="single" w:sz="18" w:space="1" w:color="0D5F5D"/>
      </w:pBdr>
      <w:tabs>
        <w:tab w:val="clear" w:pos="4153"/>
        <w:tab w:val="clear" w:pos="8306"/>
        <w:tab w:val="right" w:pos="14175"/>
      </w:tabs>
      <w:ind w:right="-29"/>
      <w:rPr>
        <w:rFonts w:cs="Calibri"/>
        <w:b/>
        <w:bCs/>
        <w:color w:val="009999"/>
        <w:sz w:val="18"/>
        <w:szCs w:val="18"/>
      </w:rPr>
    </w:pPr>
    <w:sdt>
      <w:sdtPr>
        <w:rPr>
          <w:rFonts w:cs="Calibri"/>
          <w:color w:val="009999"/>
          <w:sz w:val="18"/>
          <w:szCs w:val="18"/>
        </w:rPr>
        <w:id w:val="-861901217"/>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 2019</w:t>
        </w:r>
        <w:r w:rsidR="00CA31B3" w:rsidRPr="00332AFA">
          <w:rPr>
            <w:rFonts w:cs="Calibri"/>
            <w:color w:val="009999"/>
            <w:sz w:val="18"/>
            <w:szCs w:val="18"/>
          </w:rPr>
          <w:tab/>
          <w:t xml:space="preserve"> Page | </w:t>
        </w:r>
        <w:r w:rsidR="00CA31B3" w:rsidRPr="00332AFA">
          <w:rPr>
            <w:rFonts w:cs="Calibri"/>
            <w:color w:val="009999"/>
            <w:sz w:val="18"/>
            <w:szCs w:val="18"/>
          </w:rPr>
          <w:fldChar w:fldCharType="begin"/>
        </w:r>
        <w:r w:rsidR="00CA31B3" w:rsidRPr="00332AFA">
          <w:rPr>
            <w:rFonts w:cs="Calibri"/>
            <w:color w:val="009999"/>
            <w:sz w:val="18"/>
            <w:szCs w:val="18"/>
          </w:rPr>
          <w:instrText xml:space="preserve"> PAGE   \* MERGEFORMAT </w:instrText>
        </w:r>
        <w:r w:rsidR="00CA31B3" w:rsidRPr="00332AFA">
          <w:rPr>
            <w:rFonts w:cs="Calibri"/>
            <w:color w:val="009999"/>
            <w:sz w:val="18"/>
            <w:szCs w:val="18"/>
          </w:rPr>
          <w:fldChar w:fldCharType="separate"/>
        </w:r>
        <w:r w:rsidR="00874CB4" w:rsidRPr="00874CB4">
          <w:rPr>
            <w:rFonts w:cs="Calibri"/>
            <w:b/>
            <w:bCs/>
            <w:noProof/>
            <w:color w:val="009999"/>
            <w:sz w:val="18"/>
            <w:szCs w:val="18"/>
          </w:rPr>
          <w:t>71</w:t>
        </w:r>
        <w:r w:rsidR="00CA31B3" w:rsidRPr="00332AFA">
          <w:rPr>
            <w:rFonts w:cs="Calibri"/>
            <w:b/>
            <w:bCs/>
            <w:noProof/>
            <w:color w:val="009999"/>
            <w:sz w:val="18"/>
            <w:szCs w:val="18"/>
          </w:rPr>
          <w:fldChar w:fldCharType="end"/>
        </w:r>
      </w:sdtContent>
    </w:sdt>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2C54D" w14:textId="278E7DFF" w:rsidR="00CA31B3" w:rsidRPr="002B000C" w:rsidRDefault="00C632F2" w:rsidP="004A65A7">
    <w:pPr>
      <w:pStyle w:val="Header"/>
      <w:pBdr>
        <w:bottom w:val="single" w:sz="18" w:space="1" w:color="0D5F5D"/>
      </w:pBdr>
      <w:tabs>
        <w:tab w:val="clear" w:pos="4153"/>
        <w:tab w:val="clear" w:pos="8306"/>
        <w:tab w:val="right" w:pos="9214"/>
      </w:tabs>
      <w:ind w:right="-57"/>
      <w:rPr>
        <w:rFonts w:cs="Calibri"/>
        <w:b/>
        <w:bCs/>
        <w:color w:val="009999"/>
        <w:sz w:val="18"/>
        <w:szCs w:val="18"/>
      </w:rPr>
    </w:pPr>
    <w:sdt>
      <w:sdtPr>
        <w:rPr>
          <w:rFonts w:cs="Calibri"/>
          <w:color w:val="009999"/>
          <w:sz w:val="18"/>
          <w:szCs w:val="18"/>
        </w:rPr>
        <w:id w:val="-1090621357"/>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w:t>
        </w:r>
        <w:r w:rsidR="00CA31B3" w:rsidRPr="009932DF">
          <w:rPr>
            <w:rFonts w:cs="Calibri"/>
            <w:color w:val="009999"/>
            <w:sz w:val="18"/>
            <w:szCs w:val="18"/>
            <w:lang w:val="en-GB"/>
          </w:rPr>
          <w:t xml:space="preserve"> 201</w:t>
        </w:r>
        <w:r w:rsidR="00CA31B3">
          <w:rPr>
            <w:rFonts w:cs="Calibri"/>
            <w:color w:val="009999"/>
            <w:sz w:val="18"/>
            <w:szCs w:val="18"/>
            <w:lang w:val="en-GB"/>
          </w:rPr>
          <w:t>9</w:t>
        </w:r>
        <w:r w:rsidR="00CA31B3" w:rsidRPr="009932DF">
          <w:rPr>
            <w:rFonts w:cs="Calibri"/>
            <w:color w:val="009999"/>
            <w:sz w:val="18"/>
            <w:szCs w:val="18"/>
          </w:rPr>
          <w:tab/>
          <w:t xml:space="preserve"> Page | </w:t>
        </w:r>
        <w:r w:rsidR="00CA31B3" w:rsidRPr="009932DF">
          <w:rPr>
            <w:rFonts w:cs="Calibri"/>
            <w:color w:val="009999"/>
            <w:sz w:val="18"/>
            <w:szCs w:val="18"/>
          </w:rPr>
          <w:fldChar w:fldCharType="begin"/>
        </w:r>
        <w:r w:rsidR="00CA31B3" w:rsidRPr="009932DF">
          <w:rPr>
            <w:rFonts w:cs="Calibri"/>
            <w:color w:val="009999"/>
            <w:sz w:val="18"/>
            <w:szCs w:val="18"/>
          </w:rPr>
          <w:instrText xml:space="preserve"> PAGE   \* MERGEFORMAT </w:instrText>
        </w:r>
        <w:r w:rsidR="00CA31B3" w:rsidRPr="009932DF">
          <w:rPr>
            <w:rFonts w:cs="Calibri"/>
            <w:color w:val="009999"/>
            <w:sz w:val="18"/>
            <w:szCs w:val="18"/>
          </w:rPr>
          <w:fldChar w:fldCharType="separate"/>
        </w:r>
        <w:r w:rsidR="00874CB4" w:rsidRPr="00874CB4">
          <w:rPr>
            <w:rFonts w:cs="Calibri"/>
            <w:b/>
            <w:bCs/>
            <w:noProof/>
            <w:color w:val="009999"/>
            <w:sz w:val="18"/>
            <w:szCs w:val="18"/>
          </w:rPr>
          <w:t>75</w:t>
        </w:r>
        <w:r w:rsidR="00CA31B3" w:rsidRPr="009932DF">
          <w:rPr>
            <w:rFonts w:cs="Calibri"/>
            <w:b/>
            <w:bCs/>
            <w:noProof/>
            <w:color w:val="009999"/>
            <w:sz w:val="18"/>
            <w:szCs w:val="18"/>
          </w:rPr>
          <w:fldChar w:fldCharType="end"/>
        </w:r>
      </w:sdtContent>
    </w:sdt>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066DE" w14:textId="6EA9D69C" w:rsidR="00CA31B3" w:rsidRPr="002B000C" w:rsidRDefault="00C632F2" w:rsidP="00845887">
    <w:pPr>
      <w:pStyle w:val="Header"/>
      <w:pBdr>
        <w:bottom w:val="single" w:sz="18" w:space="1" w:color="0D5F5D"/>
      </w:pBdr>
      <w:tabs>
        <w:tab w:val="clear" w:pos="4153"/>
        <w:tab w:val="clear" w:pos="8306"/>
        <w:tab w:val="right" w:pos="14317"/>
      </w:tabs>
      <w:ind w:right="-57"/>
      <w:rPr>
        <w:rFonts w:cs="Calibri"/>
        <w:b/>
        <w:bCs/>
        <w:color w:val="009999"/>
        <w:sz w:val="18"/>
        <w:szCs w:val="18"/>
      </w:rPr>
    </w:pPr>
    <w:sdt>
      <w:sdtPr>
        <w:rPr>
          <w:rFonts w:cs="Calibri"/>
          <w:color w:val="009999"/>
          <w:sz w:val="18"/>
          <w:szCs w:val="18"/>
        </w:rPr>
        <w:id w:val="1454913115"/>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w:t>
        </w:r>
        <w:r w:rsidR="00CA31B3" w:rsidRPr="009932DF">
          <w:rPr>
            <w:rFonts w:cs="Calibri"/>
            <w:color w:val="009999"/>
            <w:sz w:val="18"/>
            <w:szCs w:val="18"/>
            <w:lang w:val="en-GB"/>
          </w:rPr>
          <w:t xml:space="preserve"> 201</w:t>
        </w:r>
        <w:r w:rsidR="00CA31B3">
          <w:rPr>
            <w:rFonts w:cs="Calibri"/>
            <w:color w:val="009999"/>
            <w:sz w:val="18"/>
            <w:szCs w:val="18"/>
            <w:lang w:val="en-GB"/>
          </w:rPr>
          <w:t>9</w:t>
        </w:r>
        <w:r w:rsidR="00CA31B3" w:rsidRPr="009932DF">
          <w:rPr>
            <w:rFonts w:cs="Calibri"/>
            <w:color w:val="009999"/>
            <w:sz w:val="18"/>
            <w:szCs w:val="18"/>
          </w:rPr>
          <w:tab/>
          <w:t xml:space="preserve"> Page | </w:t>
        </w:r>
        <w:r w:rsidR="00CA31B3" w:rsidRPr="009932DF">
          <w:rPr>
            <w:rFonts w:cs="Calibri"/>
            <w:color w:val="009999"/>
            <w:sz w:val="18"/>
            <w:szCs w:val="18"/>
          </w:rPr>
          <w:fldChar w:fldCharType="begin"/>
        </w:r>
        <w:r w:rsidR="00CA31B3" w:rsidRPr="009932DF">
          <w:rPr>
            <w:rFonts w:cs="Calibri"/>
            <w:color w:val="009999"/>
            <w:sz w:val="18"/>
            <w:szCs w:val="18"/>
          </w:rPr>
          <w:instrText xml:space="preserve"> PAGE   \* MERGEFORMAT </w:instrText>
        </w:r>
        <w:r w:rsidR="00CA31B3" w:rsidRPr="009932DF">
          <w:rPr>
            <w:rFonts w:cs="Calibri"/>
            <w:color w:val="009999"/>
            <w:sz w:val="18"/>
            <w:szCs w:val="18"/>
          </w:rPr>
          <w:fldChar w:fldCharType="separate"/>
        </w:r>
        <w:r w:rsidR="00874CB4" w:rsidRPr="00874CB4">
          <w:rPr>
            <w:rFonts w:cs="Calibri"/>
            <w:b/>
            <w:bCs/>
            <w:noProof/>
            <w:color w:val="009999"/>
            <w:sz w:val="18"/>
            <w:szCs w:val="18"/>
          </w:rPr>
          <w:t>76</w:t>
        </w:r>
        <w:r w:rsidR="00CA31B3" w:rsidRPr="009932DF">
          <w:rPr>
            <w:rFonts w:cs="Calibri"/>
            <w:b/>
            <w:bCs/>
            <w:noProof/>
            <w:color w:val="009999"/>
            <w:sz w:val="18"/>
            <w:szCs w:val="18"/>
          </w:rPr>
          <w:fldChar w:fldCharType="end"/>
        </w:r>
      </w:sdtContent>
    </w:sdt>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90E0D" w14:textId="7B8E2791" w:rsidR="00CA31B3" w:rsidRPr="002B000C" w:rsidRDefault="00C632F2" w:rsidP="004A65A7">
    <w:pPr>
      <w:pStyle w:val="Header"/>
      <w:pBdr>
        <w:bottom w:val="single" w:sz="18" w:space="1" w:color="0D5F5D"/>
      </w:pBdr>
      <w:tabs>
        <w:tab w:val="clear" w:pos="4153"/>
        <w:tab w:val="clear" w:pos="8306"/>
        <w:tab w:val="right" w:pos="9214"/>
      </w:tabs>
      <w:ind w:right="-57"/>
      <w:rPr>
        <w:rFonts w:cs="Calibri"/>
        <w:b/>
        <w:bCs/>
        <w:color w:val="009999"/>
        <w:sz w:val="18"/>
        <w:szCs w:val="18"/>
      </w:rPr>
    </w:pPr>
    <w:sdt>
      <w:sdtPr>
        <w:rPr>
          <w:rFonts w:cs="Calibri"/>
          <w:color w:val="009999"/>
          <w:sz w:val="18"/>
          <w:szCs w:val="18"/>
        </w:rPr>
        <w:id w:val="-1043825444"/>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w:t>
        </w:r>
        <w:r w:rsidR="00CA31B3" w:rsidRPr="009932DF">
          <w:rPr>
            <w:rFonts w:cs="Calibri"/>
            <w:color w:val="009999"/>
            <w:sz w:val="18"/>
            <w:szCs w:val="18"/>
            <w:lang w:val="en-GB"/>
          </w:rPr>
          <w:t xml:space="preserve"> 201</w:t>
        </w:r>
        <w:r w:rsidR="00CA31B3">
          <w:rPr>
            <w:rFonts w:cs="Calibri"/>
            <w:color w:val="009999"/>
            <w:sz w:val="18"/>
            <w:szCs w:val="18"/>
            <w:lang w:val="en-GB"/>
          </w:rPr>
          <w:t>9</w:t>
        </w:r>
        <w:r w:rsidR="00CA31B3" w:rsidRPr="009932DF">
          <w:rPr>
            <w:rFonts w:cs="Calibri"/>
            <w:color w:val="009999"/>
            <w:sz w:val="18"/>
            <w:szCs w:val="18"/>
          </w:rPr>
          <w:tab/>
          <w:t xml:space="preserve"> Page | </w:t>
        </w:r>
        <w:r w:rsidR="00CA31B3" w:rsidRPr="009932DF">
          <w:rPr>
            <w:rFonts w:cs="Calibri"/>
            <w:color w:val="009999"/>
            <w:sz w:val="18"/>
            <w:szCs w:val="18"/>
          </w:rPr>
          <w:fldChar w:fldCharType="begin"/>
        </w:r>
        <w:r w:rsidR="00CA31B3" w:rsidRPr="009932DF">
          <w:rPr>
            <w:rFonts w:cs="Calibri"/>
            <w:color w:val="009999"/>
            <w:sz w:val="18"/>
            <w:szCs w:val="18"/>
          </w:rPr>
          <w:instrText xml:space="preserve"> PAGE   \* MERGEFORMAT </w:instrText>
        </w:r>
        <w:r w:rsidR="00CA31B3" w:rsidRPr="009932DF">
          <w:rPr>
            <w:rFonts w:cs="Calibri"/>
            <w:color w:val="009999"/>
            <w:sz w:val="18"/>
            <w:szCs w:val="18"/>
          </w:rPr>
          <w:fldChar w:fldCharType="separate"/>
        </w:r>
        <w:r w:rsidR="00874CB4" w:rsidRPr="00874CB4">
          <w:rPr>
            <w:rFonts w:cs="Calibri"/>
            <w:b/>
            <w:bCs/>
            <w:noProof/>
            <w:color w:val="009999"/>
            <w:sz w:val="18"/>
            <w:szCs w:val="18"/>
          </w:rPr>
          <w:t>77</w:t>
        </w:r>
        <w:r w:rsidR="00CA31B3" w:rsidRPr="009932DF">
          <w:rPr>
            <w:rFonts w:cs="Calibri"/>
            <w:b/>
            <w:bCs/>
            <w:noProof/>
            <w:color w:val="009999"/>
            <w:sz w:val="18"/>
            <w:szCs w:val="18"/>
          </w:rPr>
          <w:fldChar w:fldCharType="end"/>
        </w:r>
      </w:sdtContent>
    </w:sdt>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FD3C9" w14:textId="652614CB" w:rsidR="00CA31B3" w:rsidRPr="002B000C" w:rsidRDefault="00C632F2" w:rsidP="00845887">
    <w:pPr>
      <w:pStyle w:val="Header"/>
      <w:pBdr>
        <w:bottom w:val="single" w:sz="18" w:space="1" w:color="0D5F5D"/>
      </w:pBdr>
      <w:tabs>
        <w:tab w:val="clear" w:pos="4153"/>
        <w:tab w:val="clear" w:pos="8306"/>
        <w:tab w:val="right" w:pos="14317"/>
      </w:tabs>
      <w:ind w:right="-57"/>
      <w:rPr>
        <w:rFonts w:cs="Calibri"/>
        <w:b/>
        <w:bCs/>
        <w:color w:val="009999"/>
        <w:sz w:val="18"/>
        <w:szCs w:val="18"/>
      </w:rPr>
    </w:pPr>
    <w:sdt>
      <w:sdtPr>
        <w:rPr>
          <w:rFonts w:cs="Calibri"/>
          <w:color w:val="009999"/>
          <w:sz w:val="18"/>
          <w:szCs w:val="18"/>
        </w:rPr>
        <w:id w:val="947588376"/>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w:t>
        </w:r>
        <w:r w:rsidR="00CA31B3" w:rsidRPr="009932DF">
          <w:rPr>
            <w:rFonts w:cs="Calibri"/>
            <w:color w:val="009999"/>
            <w:sz w:val="18"/>
            <w:szCs w:val="18"/>
            <w:lang w:val="en-GB"/>
          </w:rPr>
          <w:t xml:space="preserve"> 201</w:t>
        </w:r>
        <w:r w:rsidR="00CA31B3">
          <w:rPr>
            <w:rFonts w:cs="Calibri"/>
            <w:color w:val="009999"/>
            <w:sz w:val="18"/>
            <w:szCs w:val="18"/>
            <w:lang w:val="en-GB"/>
          </w:rPr>
          <w:t>9</w:t>
        </w:r>
        <w:r w:rsidR="00CA31B3" w:rsidRPr="009932DF">
          <w:rPr>
            <w:rFonts w:cs="Calibri"/>
            <w:color w:val="009999"/>
            <w:sz w:val="18"/>
            <w:szCs w:val="18"/>
          </w:rPr>
          <w:tab/>
          <w:t xml:space="preserve"> Page | </w:t>
        </w:r>
        <w:r w:rsidR="00CA31B3" w:rsidRPr="009932DF">
          <w:rPr>
            <w:rFonts w:cs="Calibri"/>
            <w:color w:val="009999"/>
            <w:sz w:val="18"/>
            <w:szCs w:val="18"/>
          </w:rPr>
          <w:fldChar w:fldCharType="begin"/>
        </w:r>
        <w:r w:rsidR="00CA31B3" w:rsidRPr="009932DF">
          <w:rPr>
            <w:rFonts w:cs="Calibri"/>
            <w:color w:val="009999"/>
            <w:sz w:val="18"/>
            <w:szCs w:val="18"/>
          </w:rPr>
          <w:instrText xml:space="preserve"> PAGE   \* MERGEFORMAT </w:instrText>
        </w:r>
        <w:r w:rsidR="00CA31B3" w:rsidRPr="009932DF">
          <w:rPr>
            <w:rFonts w:cs="Calibri"/>
            <w:color w:val="009999"/>
            <w:sz w:val="18"/>
            <w:szCs w:val="18"/>
          </w:rPr>
          <w:fldChar w:fldCharType="separate"/>
        </w:r>
        <w:r w:rsidR="00874CB4" w:rsidRPr="00874CB4">
          <w:rPr>
            <w:rFonts w:cs="Calibri"/>
            <w:b/>
            <w:bCs/>
            <w:noProof/>
            <w:color w:val="009999"/>
            <w:sz w:val="18"/>
            <w:szCs w:val="18"/>
          </w:rPr>
          <w:t>78</w:t>
        </w:r>
        <w:r w:rsidR="00CA31B3" w:rsidRPr="009932DF">
          <w:rPr>
            <w:rFonts w:cs="Calibri"/>
            <w:b/>
            <w:bCs/>
            <w:noProof/>
            <w:color w:val="009999"/>
            <w:sz w:val="18"/>
            <w:szCs w:val="18"/>
          </w:rPr>
          <w:fldChar w:fldCharType="end"/>
        </w:r>
      </w:sdtContent>
    </w:sdt>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7FAC8" w14:textId="19436090" w:rsidR="00CA31B3" w:rsidRPr="002B000C" w:rsidRDefault="00C632F2" w:rsidP="004A65A7">
    <w:pPr>
      <w:pStyle w:val="Header"/>
      <w:pBdr>
        <w:bottom w:val="single" w:sz="18" w:space="1" w:color="0D5F5D"/>
      </w:pBdr>
      <w:tabs>
        <w:tab w:val="clear" w:pos="4153"/>
        <w:tab w:val="clear" w:pos="8306"/>
        <w:tab w:val="right" w:pos="9214"/>
      </w:tabs>
      <w:ind w:right="-57"/>
      <w:rPr>
        <w:rFonts w:cs="Calibri"/>
        <w:b/>
        <w:bCs/>
        <w:color w:val="009999"/>
        <w:sz w:val="18"/>
        <w:szCs w:val="18"/>
      </w:rPr>
    </w:pPr>
    <w:sdt>
      <w:sdtPr>
        <w:rPr>
          <w:rFonts w:cs="Calibri"/>
          <w:color w:val="009999"/>
          <w:sz w:val="18"/>
          <w:szCs w:val="18"/>
        </w:rPr>
        <w:id w:val="1225719468"/>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w:t>
        </w:r>
        <w:r w:rsidR="00CA31B3" w:rsidRPr="009932DF">
          <w:rPr>
            <w:rFonts w:cs="Calibri"/>
            <w:color w:val="009999"/>
            <w:sz w:val="18"/>
            <w:szCs w:val="18"/>
            <w:lang w:val="en-GB"/>
          </w:rPr>
          <w:t xml:space="preserve"> 201</w:t>
        </w:r>
        <w:r w:rsidR="00CA31B3">
          <w:rPr>
            <w:rFonts w:cs="Calibri"/>
            <w:color w:val="009999"/>
            <w:sz w:val="18"/>
            <w:szCs w:val="18"/>
            <w:lang w:val="en-GB"/>
          </w:rPr>
          <w:t>9</w:t>
        </w:r>
        <w:r w:rsidR="00CA31B3" w:rsidRPr="009932DF">
          <w:rPr>
            <w:rFonts w:cs="Calibri"/>
            <w:color w:val="009999"/>
            <w:sz w:val="18"/>
            <w:szCs w:val="18"/>
          </w:rPr>
          <w:tab/>
          <w:t xml:space="preserve"> Page | </w:t>
        </w:r>
        <w:r w:rsidR="00CA31B3" w:rsidRPr="009932DF">
          <w:rPr>
            <w:rFonts w:cs="Calibri"/>
            <w:color w:val="009999"/>
            <w:sz w:val="18"/>
            <w:szCs w:val="18"/>
          </w:rPr>
          <w:fldChar w:fldCharType="begin"/>
        </w:r>
        <w:r w:rsidR="00CA31B3" w:rsidRPr="009932DF">
          <w:rPr>
            <w:rFonts w:cs="Calibri"/>
            <w:color w:val="009999"/>
            <w:sz w:val="18"/>
            <w:szCs w:val="18"/>
          </w:rPr>
          <w:instrText xml:space="preserve"> PAGE   \* MERGEFORMAT </w:instrText>
        </w:r>
        <w:r w:rsidR="00CA31B3" w:rsidRPr="009932DF">
          <w:rPr>
            <w:rFonts w:cs="Calibri"/>
            <w:color w:val="009999"/>
            <w:sz w:val="18"/>
            <w:szCs w:val="18"/>
          </w:rPr>
          <w:fldChar w:fldCharType="separate"/>
        </w:r>
        <w:r w:rsidR="00874CB4" w:rsidRPr="00874CB4">
          <w:rPr>
            <w:rFonts w:cs="Calibri"/>
            <w:b/>
            <w:bCs/>
            <w:noProof/>
            <w:color w:val="009999"/>
            <w:sz w:val="18"/>
            <w:szCs w:val="18"/>
          </w:rPr>
          <w:t>105</w:t>
        </w:r>
        <w:r w:rsidR="00CA31B3" w:rsidRPr="009932DF">
          <w:rPr>
            <w:rFonts w:cs="Calibri"/>
            <w:b/>
            <w:bCs/>
            <w:noProof/>
            <w:color w:val="009999"/>
            <w:sz w:val="18"/>
            <w:szCs w:val="18"/>
          </w:rPr>
          <w:fldChar w:fldCharType="end"/>
        </w:r>
      </w:sdtContent>
    </w:sdt>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8C96B" w14:textId="0A0F91D0" w:rsidR="00CA31B3" w:rsidRPr="002B000C" w:rsidRDefault="00C632F2" w:rsidP="004A65A7">
    <w:pPr>
      <w:pStyle w:val="Header"/>
      <w:pBdr>
        <w:bottom w:val="single" w:sz="18" w:space="1" w:color="0D5F5D"/>
      </w:pBdr>
      <w:tabs>
        <w:tab w:val="clear" w:pos="4153"/>
        <w:tab w:val="clear" w:pos="8306"/>
        <w:tab w:val="right" w:pos="14317"/>
      </w:tabs>
      <w:ind w:right="-57"/>
      <w:rPr>
        <w:rFonts w:cs="Calibri"/>
        <w:b/>
        <w:bCs/>
        <w:color w:val="009999"/>
        <w:sz w:val="18"/>
        <w:szCs w:val="18"/>
      </w:rPr>
    </w:pPr>
    <w:sdt>
      <w:sdtPr>
        <w:rPr>
          <w:rFonts w:cs="Calibri"/>
          <w:color w:val="009999"/>
          <w:sz w:val="18"/>
          <w:szCs w:val="18"/>
        </w:rPr>
        <w:id w:val="45575908"/>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w:t>
        </w:r>
        <w:r w:rsidR="00CA31B3" w:rsidRPr="009932DF">
          <w:rPr>
            <w:rFonts w:cs="Calibri"/>
            <w:color w:val="009999"/>
            <w:sz w:val="18"/>
            <w:szCs w:val="18"/>
            <w:lang w:val="en-GB"/>
          </w:rPr>
          <w:t xml:space="preserve"> 201</w:t>
        </w:r>
        <w:r w:rsidR="00CA31B3">
          <w:rPr>
            <w:rFonts w:cs="Calibri"/>
            <w:color w:val="009999"/>
            <w:sz w:val="18"/>
            <w:szCs w:val="18"/>
            <w:lang w:val="en-GB"/>
          </w:rPr>
          <w:t>9</w:t>
        </w:r>
        <w:r w:rsidR="00CA31B3" w:rsidRPr="009932DF">
          <w:rPr>
            <w:rFonts w:cs="Calibri"/>
            <w:color w:val="009999"/>
            <w:sz w:val="18"/>
            <w:szCs w:val="18"/>
          </w:rPr>
          <w:tab/>
          <w:t xml:space="preserve"> Page | </w:t>
        </w:r>
        <w:r w:rsidR="00CA31B3" w:rsidRPr="009932DF">
          <w:rPr>
            <w:rFonts w:cs="Calibri"/>
            <w:color w:val="009999"/>
            <w:sz w:val="18"/>
            <w:szCs w:val="18"/>
          </w:rPr>
          <w:fldChar w:fldCharType="begin"/>
        </w:r>
        <w:r w:rsidR="00CA31B3" w:rsidRPr="009932DF">
          <w:rPr>
            <w:rFonts w:cs="Calibri"/>
            <w:color w:val="009999"/>
            <w:sz w:val="18"/>
            <w:szCs w:val="18"/>
          </w:rPr>
          <w:instrText xml:space="preserve"> PAGE   \* MERGEFORMAT </w:instrText>
        </w:r>
        <w:r w:rsidR="00CA31B3" w:rsidRPr="009932DF">
          <w:rPr>
            <w:rFonts w:cs="Calibri"/>
            <w:color w:val="009999"/>
            <w:sz w:val="18"/>
            <w:szCs w:val="18"/>
          </w:rPr>
          <w:fldChar w:fldCharType="separate"/>
        </w:r>
        <w:r w:rsidR="00874CB4" w:rsidRPr="00874CB4">
          <w:rPr>
            <w:rFonts w:cs="Calibri"/>
            <w:b/>
            <w:bCs/>
            <w:noProof/>
            <w:color w:val="009999"/>
            <w:sz w:val="18"/>
            <w:szCs w:val="18"/>
          </w:rPr>
          <w:t>106</w:t>
        </w:r>
        <w:r w:rsidR="00CA31B3" w:rsidRPr="009932DF">
          <w:rPr>
            <w:rFonts w:cs="Calibri"/>
            <w:b/>
            <w:bCs/>
            <w:noProof/>
            <w:color w:val="009999"/>
            <w:sz w:val="18"/>
            <w:szCs w:val="18"/>
          </w:rPr>
          <w:fldChar w:fldCharType="end"/>
        </w:r>
      </w:sdtContent>
    </w:sdt>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89F11" w14:textId="7E6186FB" w:rsidR="00CA31B3" w:rsidRPr="002B000C" w:rsidRDefault="00C632F2" w:rsidP="002B000C">
    <w:pPr>
      <w:pStyle w:val="Header"/>
      <w:pBdr>
        <w:bottom w:val="single" w:sz="18" w:space="1" w:color="0D5F5D"/>
      </w:pBdr>
      <w:tabs>
        <w:tab w:val="clear" w:pos="4153"/>
        <w:tab w:val="clear" w:pos="8306"/>
        <w:tab w:val="right" w:pos="9214"/>
      </w:tabs>
      <w:ind w:right="-57"/>
      <w:rPr>
        <w:rFonts w:cs="Calibri"/>
        <w:b/>
        <w:bCs/>
        <w:color w:val="009999"/>
        <w:sz w:val="18"/>
        <w:szCs w:val="18"/>
      </w:rPr>
    </w:pPr>
    <w:sdt>
      <w:sdtPr>
        <w:rPr>
          <w:rFonts w:cs="Calibri"/>
          <w:color w:val="009999"/>
          <w:sz w:val="18"/>
          <w:szCs w:val="18"/>
        </w:rPr>
        <w:id w:val="1362633952"/>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w:t>
        </w:r>
        <w:r w:rsidR="00CA31B3" w:rsidRPr="009932DF">
          <w:rPr>
            <w:rFonts w:cs="Calibri"/>
            <w:color w:val="009999"/>
            <w:sz w:val="18"/>
            <w:szCs w:val="18"/>
            <w:lang w:val="en-GB"/>
          </w:rPr>
          <w:t xml:space="preserve"> 201</w:t>
        </w:r>
        <w:r w:rsidR="00CA31B3">
          <w:rPr>
            <w:rFonts w:cs="Calibri"/>
            <w:color w:val="009999"/>
            <w:sz w:val="18"/>
            <w:szCs w:val="18"/>
            <w:lang w:val="en-GB"/>
          </w:rPr>
          <w:t>9</w:t>
        </w:r>
        <w:r w:rsidR="00CA31B3" w:rsidRPr="009932DF">
          <w:rPr>
            <w:rFonts w:cs="Calibri"/>
            <w:color w:val="009999"/>
            <w:sz w:val="18"/>
            <w:szCs w:val="18"/>
          </w:rPr>
          <w:tab/>
          <w:t xml:space="preserve"> Page | </w:t>
        </w:r>
        <w:r w:rsidR="00CA31B3" w:rsidRPr="009932DF">
          <w:rPr>
            <w:rFonts w:cs="Calibri"/>
            <w:color w:val="009999"/>
            <w:sz w:val="18"/>
            <w:szCs w:val="18"/>
          </w:rPr>
          <w:fldChar w:fldCharType="begin"/>
        </w:r>
        <w:r w:rsidR="00CA31B3" w:rsidRPr="009932DF">
          <w:rPr>
            <w:rFonts w:cs="Calibri"/>
            <w:color w:val="009999"/>
            <w:sz w:val="18"/>
            <w:szCs w:val="18"/>
          </w:rPr>
          <w:instrText xml:space="preserve"> PAGE   \* MERGEFORMAT </w:instrText>
        </w:r>
        <w:r w:rsidR="00CA31B3" w:rsidRPr="009932DF">
          <w:rPr>
            <w:rFonts w:cs="Calibri"/>
            <w:color w:val="009999"/>
            <w:sz w:val="18"/>
            <w:szCs w:val="18"/>
          </w:rPr>
          <w:fldChar w:fldCharType="separate"/>
        </w:r>
        <w:r w:rsidR="00874CB4" w:rsidRPr="00874CB4">
          <w:rPr>
            <w:rFonts w:cs="Calibri"/>
            <w:b/>
            <w:bCs/>
            <w:noProof/>
            <w:color w:val="009999"/>
            <w:sz w:val="18"/>
            <w:szCs w:val="18"/>
          </w:rPr>
          <w:t>117</w:t>
        </w:r>
        <w:r w:rsidR="00CA31B3" w:rsidRPr="009932DF">
          <w:rPr>
            <w:rFonts w:cs="Calibri"/>
            <w:b/>
            <w:bCs/>
            <w:noProof/>
            <w:color w:val="009999"/>
            <w:sz w:val="18"/>
            <w:szCs w:val="18"/>
          </w:rPr>
          <w:fldChar w:fldCharType="end"/>
        </w:r>
      </w:sdtContent>
    </w:sdt>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76D1C" w14:textId="77777777" w:rsidR="00CA31B3" w:rsidRDefault="00CA31B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0CA27" w14:textId="5E8A564B" w:rsidR="00CA31B3" w:rsidRPr="004A65A7" w:rsidRDefault="00C632F2" w:rsidP="004A65A7">
    <w:pPr>
      <w:pStyle w:val="Header"/>
      <w:pBdr>
        <w:bottom w:val="single" w:sz="18" w:space="1" w:color="0D5F5D"/>
      </w:pBdr>
      <w:tabs>
        <w:tab w:val="clear" w:pos="4153"/>
        <w:tab w:val="clear" w:pos="8306"/>
        <w:tab w:val="left" w:pos="6855"/>
        <w:tab w:val="right" w:pos="9214"/>
        <w:tab w:val="right" w:pos="14034"/>
      </w:tabs>
      <w:ind w:right="-29"/>
      <w:rPr>
        <w:b/>
        <w:bCs/>
        <w:color w:val="009999"/>
        <w:sz w:val="18"/>
        <w:szCs w:val="18"/>
      </w:rPr>
    </w:pPr>
    <w:sdt>
      <w:sdtPr>
        <w:rPr>
          <w:color w:val="009999"/>
          <w:sz w:val="18"/>
          <w:szCs w:val="18"/>
        </w:rPr>
        <w:id w:val="1868093037"/>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w:t>
        </w:r>
        <w:r w:rsidR="00CA31B3" w:rsidRPr="009932DF">
          <w:rPr>
            <w:rFonts w:cs="Calibri"/>
            <w:color w:val="009999"/>
            <w:sz w:val="18"/>
            <w:szCs w:val="18"/>
            <w:lang w:val="en-GB"/>
          </w:rPr>
          <w:t xml:space="preserve"> 201</w:t>
        </w:r>
        <w:r w:rsidR="00CA31B3">
          <w:rPr>
            <w:rFonts w:cs="Calibri"/>
            <w:color w:val="009999"/>
            <w:sz w:val="18"/>
            <w:szCs w:val="18"/>
            <w:lang w:val="en-GB"/>
          </w:rPr>
          <w:t>9</w:t>
        </w:r>
        <w:r w:rsidR="00CA31B3" w:rsidRPr="004B1CF8">
          <w:rPr>
            <w:color w:val="009999"/>
            <w:sz w:val="18"/>
            <w:szCs w:val="18"/>
          </w:rPr>
          <w:tab/>
        </w:r>
        <w:r w:rsidR="00CA31B3">
          <w:rPr>
            <w:color w:val="009999"/>
            <w:sz w:val="18"/>
            <w:szCs w:val="18"/>
          </w:rPr>
          <w:tab/>
        </w:r>
        <w:r w:rsidR="00CA31B3" w:rsidRPr="004B1CF8">
          <w:rPr>
            <w:color w:val="009999"/>
            <w:sz w:val="18"/>
            <w:szCs w:val="18"/>
          </w:rPr>
          <w:t xml:space="preserve"> Page | </w:t>
        </w:r>
        <w:r w:rsidR="00CA31B3" w:rsidRPr="004B1CF8">
          <w:rPr>
            <w:color w:val="009999"/>
            <w:sz w:val="18"/>
            <w:szCs w:val="18"/>
          </w:rPr>
          <w:fldChar w:fldCharType="begin"/>
        </w:r>
        <w:r w:rsidR="00CA31B3" w:rsidRPr="004B1CF8">
          <w:rPr>
            <w:color w:val="009999"/>
            <w:sz w:val="18"/>
            <w:szCs w:val="18"/>
          </w:rPr>
          <w:instrText xml:space="preserve"> PAGE   \* MERGEFORMAT </w:instrText>
        </w:r>
        <w:r w:rsidR="00CA31B3" w:rsidRPr="004B1CF8">
          <w:rPr>
            <w:color w:val="009999"/>
            <w:sz w:val="18"/>
            <w:szCs w:val="18"/>
          </w:rPr>
          <w:fldChar w:fldCharType="separate"/>
        </w:r>
        <w:r w:rsidR="00874CB4">
          <w:rPr>
            <w:noProof/>
            <w:color w:val="009999"/>
            <w:sz w:val="18"/>
            <w:szCs w:val="18"/>
          </w:rPr>
          <w:t>151</w:t>
        </w:r>
        <w:r w:rsidR="00CA31B3" w:rsidRPr="004B1CF8">
          <w:rPr>
            <w:b/>
            <w:bCs/>
            <w:noProof/>
            <w:color w:val="009999"/>
            <w:sz w:val="18"/>
            <w:szCs w:val="18"/>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8C0E1" w14:textId="29CB55DF" w:rsidR="00CA31B3" w:rsidRPr="00332AFA" w:rsidRDefault="00C632F2" w:rsidP="007F6E31">
    <w:pPr>
      <w:pStyle w:val="Header"/>
      <w:pBdr>
        <w:bottom w:val="single" w:sz="18" w:space="1" w:color="0D5F5D"/>
      </w:pBdr>
      <w:tabs>
        <w:tab w:val="clear" w:pos="4153"/>
        <w:tab w:val="clear" w:pos="8306"/>
        <w:tab w:val="right" w:pos="14175"/>
      </w:tabs>
      <w:ind w:right="-29"/>
      <w:rPr>
        <w:rFonts w:cs="Calibri"/>
        <w:b/>
        <w:bCs/>
        <w:color w:val="009999"/>
        <w:sz w:val="18"/>
        <w:szCs w:val="18"/>
      </w:rPr>
    </w:pPr>
    <w:sdt>
      <w:sdtPr>
        <w:rPr>
          <w:rFonts w:cs="Calibri"/>
          <w:color w:val="009999"/>
          <w:sz w:val="18"/>
          <w:szCs w:val="18"/>
        </w:rPr>
        <w:id w:val="153817666"/>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 2019</w:t>
        </w:r>
        <w:r w:rsidR="00CA31B3" w:rsidRPr="00332AFA">
          <w:rPr>
            <w:rFonts w:cs="Calibri"/>
            <w:color w:val="009999"/>
            <w:sz w:val="18"/>
            <w:szCs w:val="18"/>
          </w:rPr>
          <w:tab/>
          <w:t xml:space="preserve"> Page | </w:t>
        </w:r>
        <w:r w:rsidR="00CA31B3" w:rsidRPr="00332AFA">
          <w:rPr>
            <w:rFonts w:cs="Calibri"/>
            <w:color w:val="009999"/>
            <w:sz w:val="18"/>
            <w:szCs w:val="18"/>
          </w:rPr>
          <w:fldChar w:fldCharType="begin"/>
        </w:r>
        <w:r w:rsidR="00CA31B3" w:rsidRPr="00332AFA">
          <w:rPr>
            <w:rFonts w:cs="Calibri"/>
            <w:color w:val="009999"/>
            <w:sz w:val="18"/>
            <w:szCs w:val="18"/>
          </w:rPr>
          <w:instrText xml:space="preserve"> PAGE   \* MERGEFORMAT </w:instrText>
        </w:r>
        <w:r w:rsidR="00CA31B3" w:rsidRPr="00332AFA">
          <w:rPr>
            <w:rFonts w:cs="Calibri"/>
            <w:color w:val="009999"/>
            <w:sz w:val="18"/>
            <w:szCs w:val="18"/>
          </w:rPr>
          <w:fldChar w:fldCharType="separate"/>
        </w:r>
        <w:r w:rsidRPr="00C632F2">
          <w:rPr>
            <w:rFonts w:cs="Calibri"/>
            <w:b/>
            <w:bCs/>
            <w:noProof/>
            <w:color w:val="009999"/>
            <w:sz w:val="18"/>
            <w:szCs w:val="18"/>
          </w:rPr>
          <w:t>28</w:t>
        </w:r>
        <w:r w:rsidR="00CA31B3" w:rsidRPr="00332AFA">
          <w:rPr>
            <w:rFonts w:cs="Calibri"/>
            <w:b/>
            <w:bCs/>
            <w:noProof/>
            <w:color w:val="009999"/>
            <w:sz w:val="18"/>
            <w:szCs w:val="18"/>
          </w:rPr>
          <w:fldChar w:fldCharType="end"/>
        </w:r>
      </w:sdtContent>
    </w:sdt>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4925C" w14:textId="6A547451" w:rsidR="00CA31B3" w:rsidRPr="004A65A7" w:rsidRDefault="00C632F2" w:rsidP="004A65A7">
    <w:pPr>
      <w:pStyle w:val="Header"/>
      <w:pBdr>
        <w:bottom w:val="single" w:sz="18" w:space="1" w:color="0D5F5D"/>
      </w:pBdr>
      <w:tabs>
        <w:tab w:val="clear" w:pos="4153"/>
        <w:tab w:val="clear" w:pos="8306"/>
        <w:tab w:val="left" w:pos="6855"/>
        <w:tab w:val="right" w:pos="9214"/>
        <w:tab w:val="right" w:pos="14034"/>
      </w:tabs>
      <w:ind w:right="-29"/>
      <w:rPr>
        <w:b/>
        <w:bCs/>
        <w:color w:val="009999"/>
        <w:sz w:val="18"/>
        <w:szCs w:val="18"/>
      </w:rPr>
    </w:pPr>
    <w:sdt>
      <w:sdtPr>
        <w:rPr>
          <w:color w:val="009999"/>
          <w:sz w:val="18"/>
          <w:szCs w:val="18"/>
        </w:rPr>
        <w:id w:val="2045704713"/>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w:t>
        </w:r>
        <w:r w:rsidR="00CA31B3" w:rsidRPr="009932DF">
          <w:rPr>
            <w:rFonts w:cs="Calibri"/>
            <w:color w:val="009999"/>
            <w:sz w:val="18"/>
            <w:szCs w:val="18"/>
            <w:lang w:val="en-GB"/>
          </w:rPr>
          <w:t xml:space="preserve"> 2018</w:t>
        </w:r>
        <w:r w:rsidR="00CA31B3" w:rsidRPr="004B1CF8">
          <w:rPr>
            <w:color w:val="009999"/>
            <w:sz w:val="18"/>
            <w:szCs w:val="18"/>
          </w:rPr>
          <w:tab/>
        </w:r>
        <w:r w:rsidR="00CA31B3">
          <w:rPr>
            <w:color w:val="009999"/>
            <w:sz w:val="18"/>
            <w:szCs w:val="18"/>
          </w:rPr>
          <w:tab/>
        </w:r>
        <w:r w:rsidR="00CA31B3" w:rsidRPr="004B1CF8">
          <w:rPr>
            <w:color w:val="009999"/>
            <w:sz w:val="18"/>
            <w:szCs w:val="18"/>
          </w:rPr>
          <w:t xml:space="preserve"> Page | </w:t>
        </w:r>
        <w:r w:rsidR="00CA31B3" w:rsidRPr="004B1CF8">
          <w:rPr>
            <w:color w:val="009999"/>
            <w:sz w:val="18"/>
            <w:szCs w:val="18"/>
          </w:rPr>
          <w:fldChar w:fldCharType="begin"/>
        </w:r>
        <w:r w:rsidR="00CA31B3" w:rsidRPr="004B1CF8">
          <w:rPr>
            <w:color w:val="009999"/>
            <w:sz w:val="18"/>
            <w:szCs w:val="18"/>
          </w:rPr>
          <w:instrText xml:space="preserve"> PAGE   \* MERGEFORMAT </w:instrText>
        </w:r>
        <w:r w:rsidR="00CA31B3" w:rsidRPr="004B1CF8">
          <w:rPr>
            <w:color w:val="009999"/>
            <w:sz w:val="18"/>
            <w:szCs w:val="18"/>
          </w:rPr>
          <w:fldChar w:fldCharType="separate"/>
        </w:r>
        <w:r w:rsidR="00CA31B3">
          <w:rPr>
            <w:color w:val="009999"/>
            <w:sz w:val="18"/>
            <w:szCs w:val="18"/>
          </w:rPr>
          <w:t>136</w:t>
        </w:r>
        <w:r w:rsidR="00CA31B3" w:rsidRPr="004B1CF8">
          <w:rPr>
            <w:b/>
            <w:bCs/>
            <w:noProof/>
            <w:color w:val="009999"/>
            <w:sz w:val="18"/>
            <w:szCs w:val="18"/>
          </w:rPr>
          <w:fldChar w:fldCharType="end"/>
        </w:r>
      </w:sdtContent>
    </w:sdt>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FD3AE" w14:textId="37677EBD" w:rsidR="00CA31B3" w:rsidRPr="004B1CF8" w:rsidRDefault="00C632F2" w:rsidP="004A65A7">
    <w:pPr>
      <w:pStyle w:val="Header"/>
      <w:pBdr>
        <w:bottom w:val="single" w:sz="18" w:space="1" w:color="0D5F5D"/>
      </w:pBdr>
      <w:tabs>
        <w:tab w:val="clear" w:pos="4153"/>
        <w:tab w:val="clear" w:pos="8306"/>
        <w:tab w:val="left" w:pos="6855"/>
        <w:tab w:val="right" w:pos="9214"/>
        <w:tab w:val="right" w:pos="14034"/>
      </w:tabs>
      <w:ind w:right="-29"/>
      <w:rPr>
        <w:b/>
        <w:bCs/>
        <w:color w:val="009999"/>
        <w:sz w:val="18"/>
        <w:szCs w:val="18"/>
      </w:rPr>
    </w:pPr>
    <w:sdt>
      <w:sdtPr>
        <w:rPr>
          <w:color w:val="009999"/>
          <w:sz w:val="18"/>
          <w:szCs w:val="18"/>
        </w:rPr>
        <w:id w:val="-1836754055"/>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w:t>
        </w:r>
        <w:r w:rsidR="00CA31B3" w:rsidRPr="009932DF">
          <w:rPr>
            <w:rFonts w:cs="Calibri"/>
            <w:color w:val="009999"/>
            <w:sz w:val="18"/>
            <w:szCs w:val="18"/>
            <w:lang w:val="en-GB"/>
          </w:rPr>
          <w:t xml:space="preserve"> 201</w:t>
        </w:r>
        <w:r w:rsidR="00CA31B3">
          <w:rPr>
            <w:rFonts w:cs="Calibri"/>
            <w:color w:val="009999"/>
            <w:sz w:val="18"/>
            <w:szCs w:val="18"/>
            <w:lang w:val="en-GB"/>
          </w:rPr>
          <w:t>9</w:t>
        </w:r>
        <w:r w:rsidR="00CA31B3" w:rsidRPr="004B1CF8">
          <w:rPr>
            <w:color w:val="009999"/>
            <w:sz w:val="18"/>
            <w:szCs w:val="18"/>
          </w:rPr>
          <w:tab/>
        </w:r>
        <w:r w:rsidR="00CA31B3">
          <w:rPr>
            <w:color w:val="009999"/>
            <w:sz w:val="18"/>
            <w:szCs w:val="18"/>
          </w:rPr>
          <w:tab/>
        </w:r>
        <w:r w:rsidR="00CA31B3" w:rsidRPr="004B1CF8">
          <w:rPr>
            <w:color w:val="009999"/>
            <w:sz w:val="18"/>
            <w:szCs w:val="18"/>
          </w:rPr>
          <w:t xml:space="preserve"> Page | </w:t>
        </w:r>
        <w:r w:rsidR="00CA31B3" w:rsidRPr="004B1CF8">
          <w:rPr>
            <w:color w:val="009999"/>
            <w:sz w:val="18"/>
            <w:szCs w:val="18"/>
          </w:rPr>
          <w:fldChar w:fldCharType="begin"/>
        </w:r>
        <w:r w:rsidR="00CA31B3" w:rsidRPr="004B1CF8">
          <w:rPr>
            <w:color w:val="009999"/>
            <w:sz w:val="18"/>
            <w:szCs w:val="18"/>
          </w:rPr>
          <w:instrText xml:space="preserve"> PAGE   \* MERGEFORMAT </w:instrText>
        </w:r>
        <w:r w:rsidR="00CA31B3" w:rsidRPr="004B1CF8">
          <w:rPr>
            <w:color w:val="009999"/>
            <w:sz w:val="18"/>
            <w:szCs w:val="18"/>
          </w:rPr>
          <w:fldChar w:fldCharType="separate"/>
        </w:r>
        <w:r w:rsidR="00874CB4" w:rsidRPr="00874CB4">
          <w:rPr>
            <w:b/>
            <w:bCs/>
            <w:noProof/>
            <w:color w:val="009999"/>
            <w:sz w:val="18"/>
            <w:szCs w:val="18"/>
          </w:rPr>
          <w:t>183</w:t>
        </w:r>
        <w:r w:rsidR="00CA31B3" w:rsidRPr="004B1CF8">
          <w:rPr>
            <w:b/>
            <w:bCs/>
            <w:noProof/>
            <w:color w:val="009999"/>
            <w:sz w:val="18"/>
            <w:szCs w:val="18"/>
          </w:rPr>
          <w:fldChar w:fldCharType="end"/>
        </w:r>
      </w:sdtContent>
    </w:sdt>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1EDEF" w14:textId="7D610723" w:rsidR="00CA31B3" w:rsidRPr="004B1CF8" w:rsidRDefault="00C632F2" w:rsidP="004A65A7">
    <w:pPr>
      <w:pStyle w:val="Header"/>
      <w:pBdr>
        <w:bottom w:val="single" w:sz="18" w:space="1" w:color="0D5F5D"/>
      </w:pBdr>
      <w:tabs>
        <w:tab w:val="clear" w:pos="4153"/>
        <w:tab w:val="clear" w:pos="8306"/>
        <w:tab w:val="left" w:pos="6855"/>
        <w:tab w:val="right" w:pos="9214"/>
        <w:tab w:val="right" w:pos="14034"/>
      </w:tabs>
      <w:ind w:right="-29"/>
      <w:rPr>
        <w:b/>
        <w:bCs/>
        <w:color w:val="009999"/>
        <w:sz w:val="18"/>
        <w:szCs w:val="18"/>
      </w:rPr>
    </w:pPr>
    <w:sdt>
      <w:sdtPr>
        <w:rPr>
          <w:color w:val="009999"/>
          <w:sz w:val="18"/>
          <w:szCs w:val="18"/>
        </w:rPr>
        <w:id w:val="415594784"/>
        <w:docPartObj>
          <w:docPartGallery w:val="Page Numbers (Top of Page)"/>
          <w:docPartUnique/>
        </w:docPartObj>
      </w:sdtPr>
      <w:sdtEndPr>
        <w:rPr>
          <w:b/>
          <w:bCs/>
          <w:noProof/>
        </w:rPr>
      </w:sdtEndPr>
      <w:sdtContent>
        <w:r w:rsidR="00CA31B3">
          <w:rPr>
            <w:rFonts w:cs="Calibri"/>
            <w:color w:val="009999"/>
            <w:sz w:val="18"/>
            <w:szCs w:val="18"/>
            <w:lang w:val="en-GB"/>
          </w:rPr>
          <w:t>Borough of Lewisham SHMA</w:t>
        </w:r>
        <w:r w:rsidR="00CA31B3" w:rsidRPr="009932DF">
          <w:rPr>
            <w:rFonts w:cs="Calibri"/>
            <w:color w:val="009999"/>
            <w:sz w:val="18"/>
            <w:szCs w:val="18"/>
            <w:lang w:val="en-GB"/>
          </w:rPr>
          <w:t xml:space="preserve"> 201</w:t>
        </w:r>
        <w:r w:rsidR="00CA31B3">
          <w:rPr>
            <w:rFonts w:cs="Calibri"/>
            <w:color w:val="009999"/>
            <w:sz w:val="18"/>
            <w:szCs w:val="18"/>
            <w:lang w:val="en-GB"/>
          </w:rPr>
          <w:t>9</w:t>
        </w:r>
        <w:r w:rsidR="00CA31B3" w:rsidRPr="004B1CF8">
          <w:rPr>
            <w:color w:val="009999"/>
            <w:sz w:val="18"/>
            <w:szCs w:val="18"/>
          </w:rPr>
          <w:tab/>
        </w:r>
        <w:r w:rsidR="00CA31B3">
          <w:rPr>
            <w:color w:val="009999"/>
            <w:sz w:val="18"/>
            <w:szCs w:val="18"/>
          </w:rPr>
          <w:tab/>
        </w:r>
        <w:r w:rsidR="00CA31B3" w:rsidRPr="004B1CF8">
          <w:rPr>
            <w:color w:val="009999"/>
            <w:sz w:val="18"/>
            <w:szCs w:val="18"/>
          </w:rPr>
          <w:t xml:space="preserve"> Page | </w:t>
        </w:r>
        <w:r w:rsidR="00CA31B3" w:rsidRPr="004B1CF8">
          <w:rPr>
            <w:color w:val="009999"/>
            <w:sz w:val="18"/>
            <w:szCs w:val="18"/>
          </w:rPr>
          <w:fldChar w:fldCharType="begin"/>
        </w:r>
        <w:r w:rsidR="00CA31B3" w:rsidRPr="004B1CF8">
          <w:rPr>
            <w:color w:val="009999"/>
            <w:sz w:val="18"/>
            <w:szCs w:val="18"/>
          </w:rPr>
          <w:instrText xml:space="preserve"> PAGE   \* MERGEFORMAT </w:instrText>
        </w:r>
        <w:r w:rsidR="00CA31B3" w:rsidRPr="004B1CF8">
          <w:rPr>
            <w:color w:val="009999"/>
            <w:sz w:val="18"/>
            <w:szCs w:val="18"/>
          </w:rPr>
          <w:fldChar w:fldCharType="separate"/>
        </w:r>
        <w:r w:rsidR="00874CB4" w:rsidRPr="00874CB4">
          <w:rPr>
            <w:b/>
            <w:bCs/>
            <w:noProof/>
            <w:color w:val="009999"/>
            <w:sz w:val="18"/>
            <w:szCs w:val="18"/>
          </w:rPr>
          <w:t>187</w:t>
        </w:r>
        <w:r w:rsidR="00CA31B3" w:rsidRPr="004B1CF8">
          <w:rPr>
            <w:b/>
            <w:bCs/>
            <w:noProof/>
            <w:color w:val="009999"/>
            <w:sz w:val="18"/>
            <w:szCs w:val="18"/>
          </w:rPr>
          <w:fldChar w:fldCharType="end"/>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F1063" w14:textId="422EE62A" w:rsidR="00CA31B3" w:rsidRPr="003718A3" w:rsidRDefault="00C632F2" w:rsidP="007F6E31">
    <w:pPr>
      <w:pStyle w:val="Header"/>
      <w:pBdr>
        <w:bottom w:val="single" w:sz="18" w:space="1" w:color="0D5F5D"/>
      </w:pBdr>
      <w:tabs>
        <w:tab w:val="clear" w:pos="4153"/>
        <w:tab w:val="clear" w:pos="8306"/>
        <w:tab w:val="right" w:pos="9214"/>
        <w:tab w:val="right" w:pos="14175"/>
      </w:tabs>
      <w:ind w:right="-29"/>
      <w:rPr>
        <w:rFonts w:cs="Calibri"/>
        <w:b/>
        <w:bCs/>
        <w:color w:val="009999"/>
        <w:sz w:val="18"/>
        <w:szCs w:val="18"/>
        <w:lang w:val="en-GB"/>
      </w:rPr>
    </w:pPr>
    <w:sdt>
      <w:sdtPr>
        <w:rPr>
          <w:rFonts w:cs="Calibri"/>
          <w:color w:val="009999"/>
          <w:sz w:val="18"/>
          <w:szCs w:val="18"/>
        </w:rPr>
        <w:id w:val="-1525940849"/>
        <w:docPartObj>
          <w:docPartGallery w:val="Page Numbers (Top of Page)"/>
          <w:docPartUnique/>
        </w:docPartObj>
      </w:sdtPr>
      <w:sdtEndPr>
        <w:rPr>
          <w:b/>
          <w:bCs/>
          <w:noProof/>
        </w:rPr>
      </w:sdtEndPr>
      <w:sdtContent>
        <w:r w:rsidR="00CA31B3">
          <w:rPr>
            <w:rFonts w:cs="Calibri"/>
            <w:color w:val="009999"/>
            <w:sz w:val="18"/>
            <w:szCs w:val="18"/>
            <w:lang w:val="en-GB"/>
          </w:rPr>
          <w:t>Borough of Lewisham</w:t>
        </w:r>
        <w:r w:rsidR="00CA31B3" w:rsidRPr="003718A3">
          <w:rPr>
            <w:rFonts w:cs="Calibri"/>
            <w:color w:val="009999"/>
            <w:sz w:val="18"/>
            <w:szCs w:val="18"/>
          </w:rPr>
          <w:t xml:space="preserve"> </w:t>
        </w:r>
        <w:r w:rsidR="00CA31B3">
          <w:rPr>
            <w:rFonts w:cs="Calibri"/>
            <w:color w:val="009999"/>
            <w:sz w:val="18"/>
            <w:szCs w:val="18"/>
            <w:lang w:val="en-GB"/>
          </w:rPr>
          <w:t>SHMA</w:t>
        </w:r>
        <w:r w:rsidR="00CA31B3" w:rsidRPr="003718A3">
          <w:rPr>
            <w:rFonts w:cs="Calibri"/>
            <w:color w:val="009999"/>
            <w:sz w:val="18"/>
            <w:szCs w:val="18"/>
            <w:lang w:val="en-GB"/>
          </w:rPr>
          <w:t xml:space="preserve"> 201</w:t>
        </w:r>
        <w:r w:rsidR="00CA31B3">
          <w:rPr>
            <w:rFonts w:cs="Calibri"/>
            <w:color w:val="009999"/>
            <w:sz w:val="18"/>
            <w:szCs w:val="18"/>
            <w:lang w:val="en-GB"/>
          </w:rPr>
          <w:t>9</w:t>
        </w:r>
        <w:r w:rsidR="00CA31B3" w:rsidRPr="003718A3">
          <w:rPr>
            <w:rFonts w:cs="Calibri"/>
            <w:color w:val="009999"/>
            <w:sz w:val="18"/>
            <w:szCs w:val="18"/>
          </w:rPr>
          <w:tab/>
          <w:t xml:space="preserve"> Page | </w:t>
        </w:r>
        <w:r w:rsidR="00CA31B3" w:rsidRPr="003718A3">
          <w:rPr>
            <w:rFonts w:cs="Calibri"/>
            <w:color w:val="009999"/>
            <w:sz w:val="18"/>
            <w:szCs w:val="18"/>
          </w:rPr>
          <w:fldChar w:fldCharType="begin"/>
        </w:r>
        <w:r w:rsidR="00CA31B3" w:rsidRPr="003718A3">
          <w:rPr>
            <w:rFonts w:cs="Calibri"/>
            <w:color w:val="009999"/>
            <w:sz w:val="18"/>
            <w:szCs w:val="18"/>
          </w:rPr>
          <w:instrText xml:space="preserve"> PAGE   \* MERGEFORMAT </w:instrText>
        </w:r>
        <w:r w:rsidR="00CA31B3" w:rsidRPr="003718A3">
          <w:rPr>
            <w:rFonts w:cs="Calibri"/>
            <w:color w:val="009999"/>
            <w:sz w:val="18"/>
            <w:szCs w:val="18"/>
          </w:rPr>
          <w:fldChar w:fldCharType="separate"/>
        </w:r>
        <w:r w:rsidRPr="00C632F2">
          <w:rPr>
            <w:rFonts w:cs="Calibri"/>
            <w:b/>
            <w:bCs/>
            <w:noProof/>
            <w:color w:val="009999"/>
            <w:sz w:val="18"/>
            <w:szCs w:val="18"/>
          </w:rPr>
          <w:t>29</w:t>
        </w:r>
        <w:r w:rsidR="00CA31B3" w:rsidRPr="003718A3">
          <w:rPr>
            <w:rFonts w:cs="Calibri"/>
            <w:b/>
            <w:bCs/>
            <w:noProof/>
            <w:color w:val="009999"/>
            <w:sz w:val="18"/>
            <w:szCs w:val="18"/>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00F25" w14:textId="350ABB0E" w:rsidR="00CA31B3" w:rsidRPr="003718A3" w:rsidRDefault="00C632F2" w:rsidP="00845887">
    <w:pPr>
      <w:pStyle w:val="Header"/>
      <w:pBdr>
        <w:bottom w:val="single" w:sz="18" w:space="1" w:color="0D5F5D"/>
      </w:pBdr>
      <w:tabs>
        <w:tab w:val="clear" w:pos="4153"/>
        <w:tab w:val="clear" w:pos="8306"/>
        <w:tab w:val="right" w:pos="14293"/>
      </w:tabs>
      <w:ind w:right="-29"/>
      <w:rPr>
        <w:rFonts w:cs="Calibri"/>
        <w:b/>
        <w:bCs/>
        <w:color w:val="009999"/>
        <w:sz w:val="18"/>
        <w:szCs w:val="18"/>
        <w:lang w:val="en-GB"/>
      </w:rPr>
    </w:pPr>
    <w:sdt>
      <w:sdtPr>
        <w:rPr>
          <w:rFonts w:cs="Calibri"/>
          <w:color w:val="009999"/>
          <w:sz w:val="18"/>
          <w:szCs w:val="18"/>
        </w:rPr>
        <w:id w:val="1786230202"/>
        <w:docPartObj>
          <w:docPartGallery w:val="Page Numbers (Top of Page)"/>
          <w:docPartUnique/>
        </w:docPartObj>
      </w:sdtPr>
      <w:sdtEndPr>
        <w:rPr>
          <w:b/>
          <w:bCs/>
          <w:noProof/>
        </w:rPr>
      </w:sdtEndPr>
      <w:sdtContent>
        <w:r w:rsidR="00CA31B3">
          <w:rPr>
            <w:rFonts w:cs="Calibri"/>
            <w:color w:val="009999"/>
            <w:sz w:val="18"/>
            <w:szCs w:val="18"/>
            <w:lang w:val="en-GB"/>
          </w:rPr>
          <w:t>Borough of Lewisham</w:t>
        </w:r>
        <w:r w:rsidR="00CA31B3" w:rsidRPr="003718A3">
          <w:rPr>
            <w:rFonts w:cs="Calibri"/>
            <w:color w:val="009999"/>
            <w:sz w:val="18"/>
            <w:szCs w:val="18"/>
          </w:rPr>
          <w:t xml:space="preserve"> </w:t>
        </w:r>
        <w:r w:rsidR="00CA31B3">
          <w:rPr>
            <w:rFonts w:cs="Calibri"/>
            <w:color w:val="009999"/>
            <w:sz w:val="18"/>
            <w:szCs w:val="18"/>
            <w:lang w:val="en-GB"/>
          </w:rPr>
          <w:t>SHMA</w:t>
        </w:r>
        <w:r w:rsidR="00CA31B3" w:rsidRPr="003718A3">
          <w:rPr>
            <w:rFonts w:cs="Calibri"/>
            <w:color w:val="009999"/>
            <w:sz w:val="18"/>
            <w:szCs w:val="18"/>
            <w:lang w:val="en-GB"/>
          </w:rPr>
          <w:t xml:space="preserve"> 201</w:t>
        </w:r>
        <w:r w:rsidR="00CA31B3">
          <w:rPr>
            <w:rFonts w:cs="Calibri"/>
            <w:color w:val="009999"/>
            <w:sz w:val="18"/>
            <w:szCs w:val="18"/>
            <w:lang w:val="en-GB"/>
          </w:rPr>
          <w:t>9</w:t>
        </w:r>
        <w:r w:rsidR="00CA31B3" w:rsidRPr="003718A3">
          <w:rPr>
            <w:rFonts w:cs="Calibri"/>
            <w:color w:val="009999"/>
            <w:sz w:val="18"/>
            <w:szCs w:val="18"/>
          </w:rPr>
          <w:tab/>
          <w:t xml:space="preserve"> Page | </w:t>
        </w:r>
        <w:r w:rsidR="00CA31B3" w:rsidRPr="003718A3">
          <w:rPr>
            <w:rFonts w:cs="Calibri"/>
            <w:color w:val="009999"/>
            <w:sz w:val="18"/>
            <w:szCs w:val="18"/>
          </w:rPr>
          <w:fldChar w:fldCharType="begin"/>
        </w:r>
        <w:r w:rsidR="00CA31B3" w:rsidRPr="003718A3">
          <w:rPr>
            <w:rFonts w:cs="Calibri"/>
            <w:color w:val="009999"/>
            <w:sz w:val="18"/>
            <w:szCs w:val="18"/>
          </w:rPr>
          <w:instrText xml:space="preserve"> PAGE   \* MERGEFORMAT </w:instrText>
        </w:r>
        <w:r w:rsidR="00CA31B3" w:rsidRPr="003718A3">
          <w:rPr>
            <w:rFonts w:cs="Calibri"/>
            <w:color w:val="009999"/>
            <w:sz w:val="18"/>
            <w:szCs w:val="18"/>
          </w:rPr>
          <w:fldChar w:fldCharType="separate"/>
        </w:r>
        <w:r w:rsidRPr="00C632F2">
          <w:rPr>
            <w:rFonts w:cs="Calibri"/>
            <w:b/>
            <w:bCs/>
            <w:noProof/>
            <w:color w:val="009999"/>
            <w:sz w:val="18"/>
            <w:szCs w:val="18"/>
          </w:rPr>
          <w:t>30</w:t>
        </w:r>
        <w:r w:rsidR="00CA31B3" w:rsidRPr="003718A3">
          <w:rPr>
            <w:rFonts w:cs="Calibri"/>
            <w:b/>
            <w:bCs/>
            <w:noProof/>
            <w:color w:val="009999"/>
            <w:sz w:val="18"/>
            <w:szCs w:val="18"/>
          </w:rPr>
          <w:fldChar w:fldCharType="end"/>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4D0CC" w14:textId="7C3447C5" w:rsidR="00CA31B3" w:rsidRPr="003718A3" w:rsidRDefault="00C632F2" w:rsidP="007F6E31">
    <w:pPr>
      <w:pStyle w:val="Header"/>
      <w:pBdr>
        <w:bottom w:val="single" w:sz="18" w:space="1" w:color="0D5F5D"/>
      </w:pBdr>
      <w:tabs>
        <w:tab w:val="clear" w:pos="4153"/>
        <w:tab w:val="clear" w:pos="8306"/>
        <w:tab w:val="right" w:pos="9214"/>
        <w:tab w:val="right" w:pos="14175"/>
      </w:tabs>
      <w:ind w:right="-29"/>
      <w:rPr>
        <w:rFonts w:cs="Calibri"/>
        <w:b/>
        <w:bCs/>
        <w:color w:val="009999"/>
        <w:sz w:val="18"/>
        <w:szCs w:val="18"/>
        <w:lang w:val="en-GB"/>
      </w:rPr>
    </w:pPr>
    <w:sdt>
      <w:sdtPr>
        <w:rPr>
          <w:rFonts w:cs="Calibri"/>
          <w:color w:val="009999"/>
          <w:sz w:val="18"/>
          <w:szCs w:val="18"/>
        </w:rPr>
        <w:id w:val="943651985"/>
        <w:docPartObj>
          <w:docPartGallery w:val="Page Numbers (Top of Page)"/>
          <w:docPartUnique/>
        </w:docPartObj>
      </w:sdtPr>
      <w:sdtEndPr>
        <w:rPr>
          <w:b/>
          <w:bCs/>
          <w:noProof/>
        </w:rPr>
      </w:sdtEndPr>
      <w:sdtContent>
        <w:r w:rsidR="00CA31B3">
          <w:rPr>
            <w:rFonts w:cs="Calibri"/>
            <w:color w:val="009999"/>
            <w:sz w:val="18"/>
            <w:szCs w:val="18"/>
            <w:lang w:val="en-GB"/>
          </w:rPr>
          <w:t>Borough of Lewisham</w:t>
        </w:r>
        <w:r w:rsidR="00CA31B3" w:rsidRPr="003718A3">
          <w:rPr>
            <w:rFonts w:cs="Calibri"/>
            <w:color w:val="009999"/>
            <w:sz w:val="18"/>
            <w:szCs w:val="18"/>
          </w:rPr>
          <w:t xml:space="preserve"> </w:t>
        </w:r>
        <w:r w:rsidR="00CA31B3">
          <w:rPr>
            <w:rFonts w:cs="Calibri"/>
            <w:color w:val="009999"/>
            <w:sz w:val="18"/>
            <w:szCs w:val="18"/>
            <w:lang w:val="en-GB"/>
          </w:rPr>
          <w:t>SHMA</w:t>
        </w:r>
        <w:r w:rsidR="00CA31B3" w:rsidRPr="003718A3">
          <w:rPr>
            <w:rFonts w:cs="Calibri"/>
            <w:color w:val="009999"/>
            <w:sz w:val="18"/>
            <w:szCs w:val="18"/>
            <w:lang w:val="en-GB"/>
          </w:rPr>
          <w:t xml:space="preserve"> 201</w:t>
        </w:r>
        <w:r w:rsidR="00CA31B3">
          <w:rPr>
            <w:rFonts w:cs="Calibri"/>
            <w:color w:val="009999"/>
            <w:sz w:val="18"/>
            <w:szCs w:val="18"/>
            <w:lang w:val="en-GB"/>
          </w:rPr>
          <w:t>9</w:t>
        </w:r>
        <w:r w:rsidR="00CA31B3" w:rsidRPr="003718A3">
          <w:rPr>
            <w:rFonts w:cs="Calibri"/>
            <w:color w:val="009999"/>
            <w:sz w:val="18"/>
            <w:szCs w:val="18"/>
          </w:rPr>
          <w:tab/>
          <w:t xml:space="preserve"> Page | </w:t>
        </w:r>
        <w:r w:rsidR="00CA31B3" w:rsidRPr="003718A3">
          <w:rPr>
            <w:rFonts w:cs="Calibri"/>
            <w:color w:val="009999"/>
            <w:sz w:val="18"/>
            <w:szCs w:val="18"/>
          </w:rPr>
          <w:fldChar w:fldCharType="begin"/>
        </w:r>
        <w:r w:rsidR="00CA31B3" w:rsidRPr="003718A3">
          <w:rPr>
            <w:rFonts w:cs="Calibri"/>
            <w:color w:val="009999"/>
            <w:sz w:val="18"/>
            <w:szCs w:val="18"/>
          </w:rPr>
          <w:instrText xml:space="preserve"> PAGE   \* MERGEFORMAT </w:instrText>
        </w:r>
        <w:r w:rsidR="00CA31B3" w:rsidRPr="003718A3">
          <w:rPr>
            <w:rFonts w:cs="Calibri"/>
            <w:color w:val="009999"/>
            <w:sz w:val="18"/>
            <w:szCs w:val="18"/>
          </w:rPr>
          <w:fldChar w:fldCharType="separate"/>
        </w:r>
        <w:r w:rsidRPr="00C632F2">
          <w:rPr>
            <w:rFonts w:cs="Calibri"/>
            <w:b/>
            <w:bCs/>
            <w:noProof/>
            <w:color w:val="009999"/>
            <w:sz w:val="18"/>
            <w:szCs w:val="18"/>
          </w:rPr>
          <w:t>31</w:t>
        </w:r>
        <w:r w:rsidR="00CA31B3" w:rsidRPr="003718A3">
          <w:rPr>
            <w:rFonts w:cs="Calibri"/>
            <w:b/>
            <w:bCs/>
            <w:noProof/>
            <w:color w:val="009999"/>
            <w:sz w:val="18"/>
            <w:szCs w:val="18"/>
          </w:rPr>
          <w:fldChar w:fldCharType="end"/>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4F2B7" w14:textId="20BDBEBE" w:rsidR="00CA31B3" w:rsidRPr="003718A3" w:rsidRDefault="00C632F2" w:rsidP="00845887">
    <w:pPr>
      <w:pStyle w:val="Header"/>
      <w:pBdr>
        <w:bottom w:val="single" w:sz="18" w:space="1" w:color="0D5F5D"/>
      </w:pBdr>
      <w:tabs>
        <w:tab w:val="clear" w:pos="4153"/>
        <w:tab w:val="clear" w:pos="8306"/>
        <w:tab w:val="right" w:pos="14293"/>
      </w:tabs>
      <w:ind w:right="-29"/>
      <w:rPr>
        <w:rFonts w:cs="Calibri"/>
        <w:b/>
        <w:bCs/>
        <w:color w:val="009999"/>
        <w:sz w:val="18"/>
        <w:szCs w:val="18"/>
        <w:lang w:val="en-GB"/>
      </w:rPr>
    </w:pPr>
    <w:sdt>
      <w:sdtPr>
        <w:rPr>
          <w:rFonts w:cs="Calibri"/>
          <w:color w:val="009999"/>
          <w:sz w:val="18"/>
          <w:szCs w:val="18"/>
        </w:rPr>
        <w:id w:val="-338620631"/>
        <w:docPartObj>
          <w:docPartGallery w:val="Page Numbers (Top of Page)"/>
          <w:docPartUnique/>
        </w:docPartObj>
      </w:sdtPr>
      <w:sdtEndPr>
        <w:rPr>
          <w:b/>
          <w:bCs/>
          <w:noProof/>
        </w:rPr>
      </w:sdtEndPr>
      <w:sdtContent>
        <w:r w:rsidR="00CA31B3">
          <w:rPr>
            <w:rFonts w:cs="Calibri"/>
            <w:color w:val="009999"/>
            <w:sz w:val="18"/>
            <w:szCs w:val="18"/>
            <w:lang w:val="en-GB"/>
          </w:rPr>
          <w:t>Borough of Lewisham</w:t>
        </w:r>
        <w:r w:rsidR="00CA31B3" w:rsidRPr="003718A3">
          <w:rPr>
            <w:rFonts w:cs="Calibri"/>
            <w:color w:val="009999"/>
            <w:sz w:val="18"/>
            <w:szCs w:val="18"/>
          </w:rPr>
          <w:t xml:space="preserve"> </w:t>
        </w:r>
        <w:r w:rsidR="00CA31B3">
          <w:rPr>
            <w:rFonts w:cs="Calibri"/>
            <w:color w:val="009999"/>
            <w:sz w:val="18"/>
            <w:szCs w:val="18"/>
            <w:lang w:val="en-GB"/>
          </w:rPr>
          <w:t>SHMA</w:t>
        </w:r>
        <w:r w:rsidR="00CA31B3" w:rsidRPr="003718A3">
          <w:rPr>
            <w:rFonts w:cs="Calibri"/>
            <w:color w:val="009999"/>
            <w:sz w:val="18"/>
            <w:szCs w:val="18"/>
            <w:lang w:val="en-GB"/>
          </w:rPr>
          <w:t xml:space="preserve"> 201</w:t>
        </w:r>
        <w:r w:rsidR="00CA31B3">
          <w:rPr>
            <w:rFonts w:cs="Calibri"/>
            <w:color w:val="009999"/>
            <w:sz w:val="18"/>
            <w:szCs w:val="18"/>
            <w:lang w:val="en-GB"/>
          </w:rPr>
          <w:t>9</w:t>
        </w:r>
        <w:r w:rsidR="00CA31B3" w:rsidRPr="003718A3">
          <w:rPr>
            <w:rFonts w:cs="Calibri"/>
            <w:color w:val="009999"/>
            <w:sz w:val="18"/>
            <w:szCs w:val="18"/>
          </w:rPr>
          <w:tab/>
          <w:t xml:space="preserve"> Page | </w:t>
        </w:r>
        <w:r w:rsidR="00CA31B3" w:rsidRPr="003718A3">
          <w:rPr>
            <w:rFonts w:cs="Calibri"/>
            <w:color w:val="009999"/>
            <w:sz w:val="18"/>
            <w:szCs w:val="18"/>
          </w:rPr>
          <w:fldChar w:fldCharType="begin"/>
        </w:r>
        <w:r w:rsidR="00CA31B3" w:rsidRPr="003718A3">
          <w:rPr>
            <w:rFonts w:cs="Calibri"/>
            <w:color w:val="009999"/>
            <w:sz w:val="18"/>
            <w:szCs w:val="18"/>
          </w:rPr>
          <w:instrText xml:space="preserve"> PAGE   \* MERGEFORMAT </w:instrText>
        </w:r>
        <w:r w:rsidR="00CA31B3" w:rsidRPr="003718A3">
          <w:rPr>
            <w:rFonts w:cs="Calibri"/>
            <w:color w:val="009999"/>
            <w:sz w:val="18"/>
            <w:szCs w:val="18"/>
          </w:rPr>
          <w:fldChar w:fldCharType="separate"/>
        </w:r>
        <w:r w:rsidRPr="00C632F2">
          <w:rPr>
            <w:rFonts w:cs="Calibri"/>
            <w:b/>
            <w:bCs/>
            <w:noProof/>
            <w:color w:val="009999"/>
            <w:sz w:val="18"/>
            <w:szCs w:val="18"/>
          </w:rPr>
          <w:t>33</w:t>
        </w:r>
        <w:r w:rsidR="00CA31B3" w:rsidRPr="003718A3">
          <w:rPr>
            <w:rFonts w:cs="Calibri"/>
            <w:b/>
            <w:bCs/>
            <w:noProof/>
            <w:color w:val="009999"/>
            <w:sz w:val="18"/>
            <w:szCs w:val="18"/>
          </w:rPr>
          <w:fldChar w:fldCharType="end"/>
        </w:r>
      </w:sdtContent>
    </w:sdt>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6F01" w14:textId="760FC6B2" w:rsidR="00CA31B3" w:rsidRPr="003718A3" w:rsidRDefault="00C632F2" w:rsidP="007F6E31">
    <w:pPr>
      <w:pStyle w:val="Header"/>
      <w:pBdr>
        <w:bottom w:val="single" w:sz="18" w:space="1" w:color="0D5F5D"/>
      </w:pBdr>
      <w:tabs>
        <w:tab w:val="clear" w:pos="4153"/>
        <w:tab w:val="clear" w:pos="8306"/>
        <w:tab w:val="right" w:pos="9214"/>
        <w:tab w:val="right" w:pos="14175"/>
      </w:tabs>
      <w:ind w:right="-29"/>
      <w:rPr>
        <w:rFonts w:cs="Calibri"/>
        <w:b/>
        <w:bCs/>
        <w:color w:val="009999"/>
        <w:sz w:val="18"/>
        <w:szCs w:val="18"/>
        <w:lang w:val="en-GB"/>
      </w:rPr>
    </w:pPr>
    <w:sdt>
      <w:sdtPr>
        <w:rPr>
          <w:rFonts w:cs="Calibri"/>
          <w:color w:val="009999"/>
          <w:sz w:val="18"/>
          <w:szCs w:val="18"/>
        </w:rPr>
        <w:id w:val="748539005"/>
        <w:docPartObj>
          <w:docPartGallery w:val="Page Numbers (Top of Page)"/>
          <w:docPartUnique/>
        </w:docPartObj>
      </w:sdtPr>
      <w:sdtEndPr>
        <w:rPr>
          <w:b/>
          <w:bCs/>
          <w:noProof/>
        </w:rPr>
      </w:sdtEndPr>
      <w:sdtContent>
        <w:r w:rsidR="00CA31B3">
          <w:rPr>
            <w:rFonts w:cs="Calibri"/>
            <w:color w:val="009999"/>
            <w:sz w:val="18"/>
            <w:szCs w:val="18"/>
            <w:lang w:val="en-GB"/>
          </w:rPr>
          <w:t>Borough of Lewisham</w:t>
        </w:r>
        <w:r w:rsidR="00CA31B3" w:rsidRPr="003718A3">
          <w:rPr>
            <w:rFonts w:cs="Calibri"/>
            <w:color w:val="009999"/>
            <w:sz w:val="18"/>
            <w:szCs w:val="18"/>
          </w:rPr>
          <w:t xml:space="preserve"> </w:t>
        </w:r>
        <w:r w:rsidR="00CA31B3">
          <w:rPr>
            <w:rFonts w:cs="Calibri"/>
            <w:color w:val="009999"/>
            <w:sz w:val="18"/>
            <w:szCs w:val="18"/>
            <w:lang w:val="en-GB"/>
          </w:rPr>
          <w:t>SHMA</w:t>
        </w:r>
        <w:r w:rsidR="00CA31B3" w:rsidRPr="003718A3">
          <w:rPr>
            <w:rFonts w:cs="Calibri"/>
            <w:color w:val="009999"/>
            <w:sz w:val="18"/>
            <w:szCs w:val="18"/>
            <w:lang w:val="en-GB"/>
          </w:rPr>
          <w:t xml:space="preserve"> 201</w:t>
        </w:r>
        <w:r w:rsidR="00CA31B3">
          <w:rPr>
            <w:rFonts w:cs="Calibri"/>
            <w:color w:val="009999"/>
            <w:sz w:val="18"/>
            <w:szCs w:val="18"/>
            <w:lang w:val="en-GB"/>
          </w:rPr>
          <w:t>9</w:t>
        </w:r>
        <w:r w:rsidR="00CA31B3" w:rsidRPr="003718A3">
          <w:rPr>
            <w:rFonts w:cs="Calibri"/>
            <w:color w:val="009999"/>
            <w:sz w:val="18"/>
            <w:szCs w:val="18"/>
          </w:rPr>
          <w:tab/>
          <w:t xml:space="preserve"> Page | </w:t>
        </w:r>
        <w:r w:rsidR="00CA31B3" w:rsidRPr="003718A3">
          <w:rPr>
            <w:rFonts w:cs="Calibri"/>
            <w:color w:val="009999"/>
            <w:sz w:val="18"/>
            <w:szCs w:val="18"/>
          </w:rPr>
          <w:fldChar w:fldCharType="begin"/>
        </w:r>
        <w:r w:rsidR="00CA31B3" w:rsidRPr="003718A3">
          <w:rPr>
            <w:rFonts w:cs="Calibri"/>
            <w:color w:val="009999"/>
            <w:sz w:val="18"/>
            <w:szCs w:val="18"/>
          </w:rPr>
          <w:instrText xml:space="preserve"> PAGE   \* MERGEFORMAT </w:instrText>
        </w:r>
        <w:r w:rsidR="00CA31B3" w:rsidRPr="003718A3">
          <w:rPr>
            <w:rFonts w:cs="Calibri"/>
            <w:color w:val="009999"/>
            <w:sz w:val="18"/>
            <w:szCs w:val="18"/>
          </w:rPr>
          <w:fldChar w:fldCharType="separate"/>
        </w:r>
        <w:r w:rsidRPr="00C632F2">
          <w:rPr>
            <w:rFonts w:cs="Calibri"/>
            <w:b/>
            <w:bCs/>
            <w:noProof/>
            <w:color w:val="009999"/>
            <w:sz w:val="18"/>
            <w:szCs w:val="18"/>
          </w:rPr>
          <w:t>34</w:t>
        </w:r>
        <w:r w:rsidR="00CA31B3" w:rsidRPr="003718A3">
          <w:rPr>
            <w:rFonts w:cs="Calibri"/>
            <w:b/>
            <w:bCs/>
            <w:noProof/>
            <w:color w:val="009999"/>
            <w:sz w:val="18"/>
            <w:szCs w:val="18"/>
          </w:rPr>
          <w:fldChar w:fldCharType="end"/>
        </w:r>
      </w:sdtContent>
    </w:sdt>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32A76" w14:textId="515FDE69" w:rsidR="00CA31B3" w:rsidRPr="003718A3" w:rsidRDefault="00C632F2" w:rsidP="004A65A7">
    <w:pPr>
      <w:pStyle w:val="Header"/>
      <w:pBdr>
        <w:bottom w:val="single" w:sz="18" w:space="1" w:color="0D5F5D"/>
      </w:pBdr>
      <w:tabs>
        <w:tab w:val="clear" w:pos="4153"/>
        <w:tab w:val="clear" w:pos="8306"/>
        <w:tab w:val="right" w:pos="9214"/>
        <w:tab w:val="right" w:pos="14293"/>
      </w:tabs>
      <w:ind w:right="-29"/>
      <w:rPr>
        <w:rFonts w:cs="Calibri"/>
        <w:b/>
        <w:bCs/>
        <w:color w:val="009999"/>
        <w:sz w:val="18"/>
        <w:szCs w:val="18"/>
        <w:lang w:val="en-GB"/>
      </w:rPr>
    </w:pPr>
    <w:sdt>
      <w:sdtPr>
        <w:rPr>
          <w:rFonts w:cs="Calibri"/>
          <w:color w:val="009999"/>
          <w:sz w:val="18"/>
          <w:szCs w:val="18"/>
        </w:rPr>
        <w:id w:val="465551614"/>
        <w:docPartObj>
          <w:docPartGallery w:val="Page Numbers (Top of Page)"/>
          <w:docPartUnique/>
        </w:docPartObj>
      </w:sdtPr>
      <w:sdtEndPr>
        <w:rPr>
          <w:b/>
          <w:bCs/>
          <w:noProof/>
        </w:rPr>
      </w:sdtEndPr>
      <w:sdtContent>
        <w:r w:rsidR="00CA31B3">
          <w:rPr>
            <w:rFonts w:cs="Calibri"/>
            <w:color w:val="009999"/>
            <w:sz w:val="18"/>
            <w:szCs w:val="18"/>
            <w:lang w:val="en-GB"/>
          </w:rPr>
          <w:t>Borough of Lewisham</w:t>
        </w:r>
        <w:r w:rsidR="00CA31B3" w:rsidRPr="003718A3">
          <w:rPr>
            <w:rFonts w:cs="Calibri"/>
            <w:color w:val="009999"/>
            <w:sz w:val="18"/>
            <w:szCs w:val="18"/>
          </w:rPr>
          <w:t xml:space="preserve"> </w:t>
        </w:r>
        <w:r w:rsidR="00CA31B3">
          <w:rPr>
            <w:rFonts w:cs="Calibri"/>
            <w:color w:val="009999"/>
            <w:sz w:val="18"/>
            <w:szCs w:val="18"/>
            <w:lang w:val="en-GB"/>
          </w:rPr>
          <w:t>SHMA</w:t>
        </w:r>
        <w:r w:rsidR="00CA31B3" w:rsidRPr="003718A3">
          <w:rPr>
            <w:rFonts w:cs="Calibri"/>
            <w:color w:val="009999"/>
            <w:sz w:val="18"/>
            <w:szCs w:val="18"/>
            <w:lang w:val="en-GB"/>
          </w:rPr>
          <w:t xml:space="preserve"> 201</w:t>
        </w:r>
        <w:r w:rsidR="00CA31B3">
          <w:rPr>
            <w:rFonts w:cs="Calibri"/>
            <w:color w:val="009999"/>
            <w:sz w:val="18"/>
            <w:szCs w:val="18"/>
            <w:lang w:val="en-GB"/>
          </w:rPr>
          <w:t>9</w:t>
        </w:r>
        <w:r w:rsidR="00CA31B3" w:rsidRPr="003718A3">
          <w:rPr>
            <w:rFonts w:cs="Calibri"/>
            <w:color w:val="009999"/>
            <w:sz w:val="18"/>
            <w:szCs w:val="18"/>
          </w:rPr>
          <w:tab/>
        </w:r>
        <w:r w:rsidR="00CA31B3">
          <w:rPr>
            <w:rFonts w:cs="Calibri"/>
            <w:color w:val="009999"/>
            <w:sz w:val="18"/>
            <w:szCs w:val="18"/>
          </w:rPr>
          <w:tab/>
        </w:r>
        <w:r w:rsidR="00CA31B3" w:rsidRPr="003718A3">
          <w:rPr>
            <w:rFonts w:cs="Calibri"/>
            <w:color w:val="009999"/>
            <w:sz w:val="18"/>
            <w:szCs w:val="18"/>
          </w:rPr>
          <w:t xml:space="preserve"> Page | </w:t>
        </w:r>
        <w:r w:rsidR="00CA31B3" w:rsidRPr="003718A3">
          <w:rPr>
            <w:rFonts w:cs="Calibri"/>
            <w:color w:val="009999"/>
            <w:sz w:val="18"/>
            <w:szCs w:val="18"/>
          </w:rPr>
          <w:fldChar w:fldCharType="begin"/>
        </w:r>
        <w:r w:rsidR="00CA31B3" w:rsidRPr="003718A3">
          <w:rPr>
            <w:rFonts w:cs="Calibri"/>
            <w:color w:val="009999"/>
            <w:sz w:val="18"/>
            <w:szCs w:val="18"/>
          </w:rPr>
          <w:instrText xml:space="preserve"> PAGE   \* MERGEFORMAT </w:instrText>
        </w:r>
        <w:r w:rsidR="00CA31B3" w:rsidRPr="003718A3">
          <w:rPr>
            <w:rFonts w:cs="Calibri"/>
            <w:color w:val="009999"/>
            <w:sz w:val="18"/>
            <w:szCs w:val="18"/>
          </w:rPr>
          <w:fldChar w:fldCharType="separate"/>
        </w:r>
        <w:r w:rsidR="00874CB4" w:rsidRPr="00874CB4">
          <w:rPr>
            <w:rFonts w:cs="Calibri"/>
            <w:b/>
            <w:bCs/>
            <w:noProof/>
            <w:color w:val="009999"/>
            <w:sz w:val="18"/>
            <w:szCs w:val="18"/>
          </w:rPr>
          <w:t>47</w:t>
        </w:r>
        <w:r w:rsidR="00CA31B3" w:rsidRPr="003718A3">
          <w:rPr>
            <w:rFonts w:cs="Calibri"/>
            <w:b/>
            <w:bCs/>
            <w:noProof/>
            <w:color w:val="009999"/>
            <w:sz w:val="18"/>
            <w:szCs w:val="18"/>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8A6A4AE"/>
    <w:lvl w:ilvl="0">
      <w:start w:val="1"/>
      <w:numFmt w:val="bullet"/>
      <w:pStyle w:val="ListBullet"/>
      <w:lvlText w:val=""/>
      <w:lvlJc w:val="left"/>
      <w:pPr>
        <w:tabs>
          <w:tab w:val="num" w:pos="1134"/>
        </w:tabs>
        <w:ind w:left="1134" w:hanging="425"/>
      </w:pPr>
      <w:rPr>
        <w:rFonts w:ascii="Symbol" w:hAnsi="Symbol" w:hint="default"/>
      </w:rPr>
    </w:lvl>
  </w:abstractNum>
  <w:abstractNum w:abstractNumId="1" w15:restartNumberingAfterBreak="0">
    <w:nsid w:val="017B097C"/>
    <w:multiLevelType w:val="multilevel"/>
    <w:tmpl w:val="05DE78E0"/>
    <w:lvl w:ilvl="0">
      <w:start w:val="1"/>
      <w:numFmt w:val="bullet"/>
      <w:lvlText w:val=""/>
      <w:lvlJc w:val="left"/>
      <w:pPr>
        <w:tabs>
          <w:tab w:val="num" w:pos="432"/>
        </w:tabs>
        <w:ind w:left="432" w:hanging="432"/>
      </w:pPr>
      <w:rPr>
        <w:rFonts w:ascii="Symbol" w:hAnsi="Symbol" w:hint="default"/>
      </w:rPr>
    </w:lvl>
    <w:lvl w:ilvl="1">
      <w:start w:val="1"/>
      <w:numFmt w:val="bullet"/>
      <w:pStyle w:val="Bulletindent"/>
      <w:lvlText w:val="-"/>
      <w:lvlJc w:val="left"/>
      <w:pPr>
        <w:tabs>
          <w:tab w:val="num" w:pos="709"/>
        </w:tabs>
        <w:ind w:left="709" w:hanging="709"/>
      </w:pPr>
      <w:rPr>
        <w:rFonts w:ascii="Arial" w:hAnsi="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09681064"/>
    <w:multiLevelType w:val="hybridMultilevel"/>
    <w:tmpl w:val="EA926F82"/>
    <w:lvl w:ilvl="0" w:tplc="FFFFFFFF">
      <w:start w:val="1"/>
      <w:numFmt w:val="bullet"/>
      <w:pStyle w:val="mrukbullet1"/>
      <w:lvlText w:val=""/>
      <w:lvlJc w:val="left"/>
      <w:pPr>
        <w:tabs>
          <w:tab w:val="num" w:pos="360"/>
        </w:tabs>
        <w:ind w:left="340" w:hanging="340"/>
      </w:pPr>
      <w:rPr>
        <w:rFonts w:ascii="Wingdings" w:hAnsi="Wingdings" w:hint="default"/>
        <w:color w:val="C94338"/>
        <w:position w:val="-2"/>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91293"/>
    <w:multiLevelType w:val="hybridMultilevel"/>
    <w:tmpl w:val="2A5A4434"/>
    <w:lvl w:ilvl="0" w:tplc="D05A8C64">
      <w:start w:val="1"/>
      <w:numFmt w:val="bullet"/>
      <w:pStyle w:val="bullet"/>
      <w:lvlText w:val=""/>
      <w:lvlJc w:val="left"/>
      <w:pPr>
        <w:ind w:left="1069" w:hanging="360"/>
      </w:pPr>
      <w:rPr>
        <w:rFonts w:ascii="Symbol" w:hAnsi="Symbol" w:hint="default"/>
        <w:color w:val="006666"/>
      </w:rPr>
    </w:lvl>
    <w:lvl w:ilvl="1" w:tplc="08090003">
      <w:start w:val="1"/>
      <w:numFmt w:val="bullet"/>
      <w:lvlText w:val="o"/>
      <w:lvlJc w:val="left"/>
      <w:pPr>
        <w:ind w:left="2874" w:hanging="360"/>
      </w:pPr>
      <w:rPr>
        <w:rFonts w:ascii="Courier New" w:hAnsi="Courier New" w:cs="Courier New" w:hint="default"/>
      </w:rPr>
    </w:lvl>
    <w:lvl w:ilvl="2" w:tplc="08090005">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4" w15:restartNumberingAfterBreak="0">
    <w:nsid w:val="107A50CC"/>
    <w:multiLevelType w:val="hybridMultilevel"/>
    <w:tmpl w:val="90546DEE"/>
    <w:lvl w:ilvl="0" w:tplc="08090001">
      <w:start w:val="1"/>
      <w:numFmt w:val="bullet"/>
      <w:lvlText w:val=""/>
      <w:lvlJc w:val="left"/>
      <w:pPr>
        <w:ind w:left="1080" w:hanging="360"/>
      </w:pPr>
      <w:rPr>
        <w:rFonts w:ascii="Symbol" w:hAnsi="Symbol" w:hint="default"/>
      </w:rPr>
    </w:lvl>
    <w:lvl w:ilvl="1" w:tplc="E16C81A0">
      <w:start w:val="1"/>
      <w:numFmt w:val="bullet"/>
      <w:pStyle w:val="bullet2"/>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D3708E2"/>
    <w:multiLevelType w:val="multilevel"/>
    <w:tmpl w:val="CDFA927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9"/>
        </w:tabs>
        <w:ind w:left="1419" w:hanging="709"/>
      </w:pPr>
      <w:rPr>
        <w:rFonts w:hint="default"/>
        <w:b w:val="0"/>
        <w:i w:val="0"/>
        <w:color w:val="auto"/>
        <w:sz w:val="24"/>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FBB7EC9"/>
    <w:multiLevelType w:val="hybridMultilevel"/>
    <w:tmpl w:val="96BAE36E"/>
    <w:lvl w:ilvl="0" w:tplc="08090001">
      <w:start w:val="1"/>
      <w:numFmt w:val="bullet"/>
      <w:lvlText w:val=""/>
      <w:lvlJc w:val="left"/>
      <w:pPr>
        <w:ind w:left="720" w:hanging="360"/>
      </w:pPr>
      <w:rPr>
        <w:rFonts w:ascii="Symbol" w:hAnsi="Symbol" w:hint="default"/>
      </w:rPr>
    </w:lvl>
    <w:lvl w:ilvl="1" w:tplc="A4ACF216">
      <w:start w:val="1"/>
      <w:numFmt w:val="bullet"/>
      <w:pStyle w:val="bulletlevel2"/>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6778F5"/>
    <w:multiLevelType w:val="hybridMultilevel"/>
    <w:tmpl w:val="1E50291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2DEA1D17"/>
    <w:multiLevelType w:val="multilevel"/>
    <w:tmpl w:val="BD0AA00C"/>
    <w:lvl w:ilvl="0">
      <w:start w:val="1"/>
      <w:numFmt w:val="upperLetter"/>
      <w:lvlText w:val="%1.0"/>
      <w:lvlJc w:val="left"/>
      <w:pPr>
        <w:tabs>
          <w:tab w:val="num" w:pos="709"/>
        </w:tabs>
        <w:ind w:left="709" w:hanging="709"/>
      </w:pPr>
      <w:rPr>
        <w:rFonts w:hint="default"/>
      </w:rPr>
    </w:lvl>
    <w:lvl w:ilvl="1">
      <w:start w:val="1"/>
      <w:numFmt w:val="decimal"/>
      <w:lvlText w:val="B.%2"/>
      <w:lvlJc w:val="left"/>
      <w:pPr>
        <w:tabs>
          <w:tab w:val="num" w:pos="709"/>
        </w:tabs>
        <w:ind w:left="709" w:hanging="709"/>
      </w:pPr>
      <w:rPr>
        <w:rFonts w:hint="default"/>
        <w:b w:val="0"/>
        <w:i w:val="0"/>
        <w:color w:val="auto"/>
        <w:sz w:val="22"/>
        <w:szCs w:val="22"/>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EC62C48"/>
    <w:multiLevelType w:val="multilevel"/>
    <w:tmpl w:val="7AD481F8"/>
    <w:lvl w:ilvl="0">
      <w:start w:val="5"/>
      <w:numFmt w:val="decimal"/>
      <w:lvlText w:val="%1"/>
      <w:lvlJc w:val="left"/>
      <w:pPr>
        <w:ind w:left="360" w:hanging="360"/>
      </w:pPr>
      <w:rPr>
        <w:rFonts w:cs="Arial"/>
      </w:rPr>
    </w:lvl>
    <w:lvl w:ilvl="1">
      <w:start w:val="4"/>
      <w:numFmt w:val="decimal"/>
      <w:pStyle w:val="StyleJustified"/>
      <w:lvlText w:val="%1.%2"/>
      <w:lvlJc w:val="left"/>
      <w:pPr>
        <w:ind w:left="360" w:hanging="360"/>
      </w:pPr>
      <w:rPr>
        <w:rFonts w:cs="Arial"/>
      </w:rPr>
    </w:lvl>
    <w:lvl w:ilvl="2">
      <w:start w:val="1"/>
      <w:numFmt w:val="decimal"/>
      <w:lvlText w:val="%1.%2.%3"/>
      <w:lvlJc w:val="left"/>
      <w:pPr>
        <w:ind w:left="720" w:hanging="720"/>
      </w:pPr>
      <w:rPr>
        <w:rFonts w:cs="Arial"/>
      </w:rPr>
    </w:lvl>
    <w:lvl w:ilvl="3">
      <w:start w:val="1"/>
      <w:numFmt w:val="decimal"/>
      <w:lvlText w:val="%1.%2.%3.%4"/>
      <w:lvlJc w:val="left"/>
      <w:pPr>
        <w:ind w:left="1080" w:hanging="1080"/>
      </w:pPr>
      <w:rPr>
        <w:rFonts w:cs="Arial"/>
      </w:rPr>
    </w:lvl>
    <w:lvl w:ilvl="4">
      <w:start w:val="1"/>
      <w:numFmt w:val="decimal"/>
      <w:lvlText w:val="%1.%2.%3.%4.%5"/>
      <w:lvlJc w:val="left"/>
      <w:pPr>
        <w:ind w:left="1080" w:hanging="1080"/>
      </w:pPr>
      <w:rPr>
        <w:rFonts w:cs="Arial"/>
      </w:rPr>
    </w:lvl>
    <w:lvl w:ilvl="5">
      <w:start w:val="1"/>
      <w:numFmt w:val="decimal"/>
      <w:lvlText w:val="%1.%2.%3.%4.%5.%6"/>
      <w:lvlJc w:val="left"/>
      <w:pPr>
        <w:ind w:left="1440" w:hanging="1440"/>
      </w:pPr>
      <w:rPr>
        <w:rFonts w:cs="Arial"/>
      </w:rPr>
    </w:lvl>
    <w:lvl w:ilvl="6">
      <w:start w:val="1"/>
      <w:numFmt w:val="decimal"/>
      <w:lvlText w:val="%1.%2.%3.%4.%5.%6.%7"/>
      <w:lvlJc w:val="left"/>
      <w:pPr>
        <w:ind w:left="1440" w:hanging="1440"/>
      </w:pPr>
      <w:rPr>
        <w:rFonts w:cs="Arial"/>
      </w:rPr>
    </w:lvl>
    <w:lvl w:ilvl="7">
      <w:start w:val="1"/>
      <w:numFmt w:val="decimal"/>
      <w:lvlText w:val="%1.%2.%3.%4.%5.%6.%7.%8"/>
      <w:lvlJc w:val="left"/>
      <w:pPr>
        <w:ind w:left="1800" w:hanging="1800"/>
      </w:pPr>
      <w:rPr>
        <w:rFonts w:cs="Arial"/>
      </w:rPr>
    </w:lvl>
    <w:lvl w:ilvl="8">
      <w:start w:val="1"/>
      <w:numFmt w:val="decimal"/>
      <w:lvlText w:val="%1.%2.%3.%4.%5.%6.%7.%8.%9"/>
      <w:lvlJc w:val="left"/>
      <w:pPr>
        <w:ind w:left="1800" w:hanging="1800"/>
      </w:pPr>
      <w:rPr>
        <w:rFonts w:cs="Arial"/>
      </w:rPr>
    </w:lvl>
  </w:abstractNum>
  <w:abstractNum w:abstractNumId="10" w15:restartNumberingAfterBreak="0">
    <w:nsid w:val="331C0844"/>
    <w:multiLevelType w:val="multilevel"/>
    <w:tmpl w:val="27043366"/>
    <w:lvl w:ilvl="0">
      <w:start w:val="1"/>
      <w:numFmt w:val="decimal"/>
      <w:lvlText w:val="%1."/>
      <w:lvlJc w:val="left"/>
      <w:pPr>
        <w:tabs>
          <w:tab w:val="num" w:pos="709"/>
        </w:tabs>
        <w:ind w:left="709" w:hanging="709"/>
      </w:pPr>
      <w:rPr>
        <w:rFonts w:hint="default"/>
        <w:sz w:val="28"/>
        <w:szCs w:val="28"/>
      </w:rPr>
    </w:lvl>
    <w:lvl w:ilvl="1">
      <w:start w:val="1"/>
      <w:numFmt w:val="bullet"/>
      <w:pStyle w:val="Bullet0"/>
      <w:lvlText w:val=""/>
      <w:lvlJc w:val="left"/>
      <w:pPr>
        <w:tabs>
          <w:tab w:val="num" w:pos="709"/>
        </w:tabs>
        <w:ind w:left="709" w:hanging="709"/>
      </w:pPr>
      <w:rPr>
        <w:rFonts w:ascii="Symbol" w:hAnsi="Symbol" w:hint="default"/>
        <w:b w:val="0"/>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461278C"/>
    <w:multiLevelType w:val="multilevel"/>
    <w:tmpl w:val="BB6216A4"/>
    <w:lvl w:ilvl="0">
      <w:start w:val="1"/>
      <w:numFmt w:val="decimal"/>
      <w:pStyle w:val="Heading31"/>
      <w:lvlText w:val="%1."/>
      <w:lvlJc w:val="left"/>
      <w:pPr>
        <w:ind w:left="1429" w:hanging="360"/>
      </w:pPr>
      <w:rPr>
        <w:rFonts w:cs="Times New Roman"/>
      </w:rPr>
    </w:lvl>
    <w:lvl w:ilvl="1">
      <w:start w:val="1"/>
      <w:numFmt w:val="decimal"/>
      <w:lvlText w:val="%2."/>
      <w:lvlJc w:val="left"/>
      <w:pPr>
        <w:ind w:left="1804" w:hanging="735"/>
      </w:pPr>
      <w:rPr>
        <w:rFonts w:cs="Times New Roman" w:hint="default"/>
      </w:rPr>
    </w:lvl>
    <w:lvl w:ilvl="2">
      <w:start w:val="1"/>
      <w:numFmt w:val="decimal"/>
      <w:isLgl/>
      <w:lvlText w:val="%1.%2.%3"/>
      <w:lvlJc w:val="left"/>
      <w:pPr>
        <w:ind w:left="1804" w:hanging="735"/>
      </w:pPr>
      <w:rPr>
        <w:rFonts w:cs="Times New Roman" w:hint="default"/>
      </w:rPr>
    </w:lvl>
    <w:lvl w:ilvl="3">
      <w:start w:val="1"/>
      <w:numFmt w:val="decimal"/>
      <w:isLgl/>
      <w:lvlText w:val="%1.%2.%3.%4"/>
      <w:lvlJc w:val="left"/>
      <w:pPr>
        <w:ind w:left="1804" w:hanging="735"/>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12" w15:restartNumberingAfterBreak="0">
    <w:nsid w:val="36FC29DE"/>
    <w:multiLevelType w:val="multilevel"/>
    <w:tmpl w:val="A5FE7C28"/>
    <w:lvl w:ilvl="0">
      <w:start w:val="2"/>
      <w:numFmt w:val="upperLetter"/>
      <w:lvlText w:val="%1"/>
      <w:lvlJc w:val="left"/>
      <w:pPr>
        <w:tabs>
          <w:tab w:val="num" w:pos="709"/>
        </w:tabs>
        <w:ind w:left="709" w:hanging="709"/>
      </w:pPr>
      <w:rPr>
        <w:rFonts w:hint="default"/>
      </w:rPr>
    </w:lvl>
    <w:lvl w:ilvl="1">
      <w:start w:val="1"/>
      <w:numFmt w:val="decimal"/>
      <w:lvlText w:val="C.%2"/>
      <w:lvlJc w:val="left"/>
      <w:pPr>
        <w:ind w:left="709" w:hanging="709"/>
      </w:pPr>
      <w:rPr>
        <w:rFonts w:hint="default"/>
        <w:b w:val="0"/>
        <w:i w:val="0"/>
        <w:color w:val="auto"/>
        <w:sz w:val="22"/>
        <w:szCs w:val="24"/>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AB73B02"/>
    <w:multiLevelType w:val="hybridMultilevel"/>
    <w:tmpl w:val="54D85CCA"/>
    <w:lvl w:ilvl="0" w:tplc="32624380">
      <w:numFmt w:val="bullet"/>
      <w:pStyle w:val="BodyTextIndent"/>
      <w:lvlText w:val=""/>
      <w:lvlJc w:val="left"/>
      <w:pPr>
        <w:tabs>
          <w:tab w:val="num" w:pos="1914"/>
        </w:tabs>
        <w:ind w:left="1914" w:hanging="397"/>
      </w:pPr>
      <w:rPr>
        <w:rFonts w:ascii="Symbol" w:hAnsi="Symbol" w:hint="default"/>
        <w:color w:val="008080"/>
      </w:rPr>
    </w:lvl>
    <w:lvl w:ilvl="1" w:tplc="E1B6885A">
      <w:start w:val="1"/>
      <w:numFmt w:val="bullet"/>
      <w:lvlText w:val=""/>
      <w:lvlJc w:val="left"/>
      <w:pPr>
        <w:tabs>
          <w:tab w:val="num" w:pos="2220"/>
        </w:tabs>
        <w:ind w:left="2220" w:hanging="360"/>
      </w:pPr>
      <w:rPr>
        <w:rFonts w:ascii="Symbol" w:hAnsi="Symbol" w:hint="default"/>
        <w:color w:val="auto"/>
      </w:rPr>
    </w:lvl>
    <w:lvl w:ilvl="2" w:tplc="7520EA3A">
      <w:start w:val="1"/>
      <w:numFmt w:val="bullet"/>
      <w:lvlText w:val=""/>
      <w:lvlJc w:val="left"/>
      <w:pPr>
        <w:tabs>
          <w:tab w:val="num" w:pos="2940"/>
        </w:tabs>
        <w:ind w:left="2940" w:hanging="360"/>
      </w:pPr>
      <w:rPr>
        <w:rFonts w:ascii="Wingdings" w:hAnsi="Wingdings" w:hint="default"/>
      </w:rPr>
    </w:lvl>
    <w:lvl w:ilvl="3" w:tplc="754E956E">
      <w:start w:val="1"/>
      <w:numFmt w:val="bullet"/>
      <w:lvlText w:val=""/>
      <w:lvlJc w:val="left"/>
      <w:pPr>
        <w:tabs>
          <w:tab w:val="num" w:pos="3660"/>
        </w:tabs>
        <w:ind w:left="3660" w:hanging="360"/>
      </w:pPr>
      <w:rPr>
        <w:rFonts w:ascii="Symbol" w:hAnsi="Symbol" w:hint="default"/>
      </w:rPr>
    </w:lvl>
    <w:lvl w:ilvl="4" w:tplc="04F8EBA4" w:tentative="1">
      <w:start w:val="1"/>
      <w:numFmt w:val="bullet"/>
      <w:lvlText w:val="o"/>
      <w:lvlJc w:val="left"/>
      <w:pPr>
        <w:tabs>
          <w:tab w:val="num" w:pos="4380"/>
        </w:tabs>
        <w:ind w:left="4380" w:hanging="360"/>
      </w:pPr>
      <w:rPr>
        <w:rFonts w:ascii="Courier New" w:hAnsi="Courier New" w:hint="default"/>
      </w:rPr>
    </w:lvl>
    <w:lvl w:ilvl="5" w:tplc="B2F03A4E" w:tentative="1">
      <w:start w:val="1"/>
      <w:numFmt w:val="bullet"/>
      <w:lvlText w:val=""/>
      <w:lvlJc w:val="left"/>
      <w:pPr>
        <w:tabs>
          <w:tab w:val="num" w:pos="5100"/>
        </w:tabs>
        <w:ind w:left="5100" w:hanging="360"/>
      </w:pPr>
      <w:rPr>
        <w:rFonts w:ascii="Wingdings" w:hAnsi="Wingdings" w:hint="default"/>
      </w:rPr>
    </w:lvl>
    <w:lvl w:ilvl="6" w:tplc="2B2E0334" w:tentative="1">
      <w:start w:val="1"/>
      <w:numFmt w:val="bullet"/>
      <w:lvlText w:val=""/>
      <w:lvlJc w:val="left"/>
      <w:pPr>
        <w:tabs>
          <w:tab w:val="num" w:pos="5820"/>
        </w:tabs>
        <w:ind w:left="5820" w:hanging="360"/>
      </w:pPr>
      <w:rPr>
        <w:rFonts w:ascii="Symbol" w:hAnsi="Symbol" w:hint="default"/>
      </w:rPr>
    </w:lvl>
    <w:lvl w:ilvl="7" w:tplc="647ED6A6" w:tentative="1">
      <w:start w:val="1"/>
      <w:numFmt w:val="bullet"/>
      <w:lvlText w:val="o"/>
      <w:lvlJc w:val="left"/>
      <w:pPr>
        <w:tabs>
          <w:tab w:val="num" w:pos="6540"/>
        </w:tabs>
        <w:ind w:left="6540" w:hanging="360"/>
      </w:pPr>
      <w:rPr>
        <w:rFonts w:ascii="Courier New" w:hAnsi="Courier New" w:hint="default"/>
      </w:rPr>
    </w:lvl>
    <w:lvl w:ilvl="8" w:tplc="3F0618B4" w:tentative="1">
      <w:start w:val="1"/>
      <w:numFmt w:val="bullet"/>
      <w:lvlText w:val=""/>
      <w:lvlJc w:val="left"/>
      <w:pPr>
        <w:tabs>
          <w:tab w:val="num" w:pos="7260"/>
        </w:tabs>
        <w:ind w:left="7260" w:hanging="360"/>
      </w:pPr>
      <w:rPr>
        <w:rFonts w:ascii="Wingdings" w:hAnsi="Wingdings" w:hint="default"/>
      </w:rPr>
    </w:lvl>
  </w:abstractNum>
  <w:abstractNum w:abstractNumId="14" w15:restartNumberingAfterBreak="0">
    <w:nsid w:val="3CE01B29"/>
    <w:multiLevelType w:val="multilevel"/>
    <w:tmpl w:val="A6A81A9E"/>
    <w:lvl w:ilvl="0">
      <w:start w:val="1"/>
      <w:numFmt w:val="decimal"/>
      <w:pStyle w:val="GVABullets"/>
      <w:lvlText w:val="%1."/>
      <w:lvlJc w:val="left"/>
      <w:pPr>
        <w:tabs>
          <w:tab w:val="num" w:pos="709"/>
        </w:tabs>
        <w:ind w:left="709" w:hanging="709"/>
      </w:pPr>
      <w:rPr>
        <w:rFonts w:ascii="Arial" w:eastAsia="Times New Roman" w:hAnsi="Arial" w:cs="Times New Roman"/>
        <w:b/>
        <w:i w:val="0"/>
        <w:sz w:val="32"/>
      </w:rPr>
    </w:lvl>
    <w:lvl w:ilvl="1">
      <w:start w:val="1"/>
      <w:numFmt w:val="decimal"/>
      <w:lvlText w:val="%1.%2"/>
      <w:lvlJc w:val="left"/>
      <w:pPr>
        <w:tabs>
          <w:tab w:val="num" w:pos="709"/>
        </w:tabs>
        <w:ind w:left="709" w:hanging="709"/>
      </w:pPr>
      <w:rPr>
        <w:rFonts w:ascii="Arial" w:hAnsi="Arial" w:cs="Arial" w:hint="default"/>
        <w:b w:val="0"/>
        <w:i w:val="0"/>
        <w:color w:val="auto"/>
        <w:sz w:val="24"/>
        <w:szCs w:val="24"/>
      </w:rPr>
    </w:lvl>
    <w:lvl w:ilvl="2">
      <w:start w:val="1"/>
      <w:numFmt w:val="bullet"/>
      <w:lvlText w:val=""/>
      <w:lvlJc w:val="left"/>
      <w:pPr>
        <w:tabs>
          <w:tab w:val="num" w:pos="1134"/>
        </w:tabs>
        <w:ind w:left="1134" w:hanging="425"/>
      </w:pPr>
      <w:rPr>
        <w:rFonts w:ascii="Symbol" w:hAnsi="Symbol" w:hint="default"/>
        <w:b w:val="0"/>
        <w:i w:val="0"/>
        <w:color w:val="auto"/>
        <w:sz w:val="24"/>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F513A64"/>
    <w:multiLevelType w:val="hybridMultilevel"/>
    <w:tmpl w:val="5FD6E7EC"/>
    <w:lvl w:ilvl="0" w:tplc="190898DE">
      <w:start w:val="1"/>
      <w:numFmt w:val="bullet"/>
      <w:pStyle w:val="Bulletarc4"/>
      <w:lvlText w:val=""/>
      <w:lvlJc w:val="left"/>
      <w:pPr>
        <w:tabs>
          <w:tab w:val="num" w:pos="720"/>
        </w:tabs>
        <w:ind w:left="720" w:hanging="360"/>
      </w:pPr>
      <w:rPr>
        <w:rFonts w:ascii="Symbol" w:hAnsi="Symbol" w:cs="Symbol" w:hint="default"/>
      </w:rPr>
    </w:lvl>
    <w:lvl w:ilvl="1" w:tplc="E7E49476">
      <w:start w:val="1"/>
      <w:numFmt w:val="bullet"/>
      <w:lvlText w:val="o"/>
      <w:lvlJc w:val="left"/>
      <w:pPr>
        <w:tabs>
          <w:tab w:val="num" w:pos="1440"/>
        </w:tabs>
        <w:ind w:left="1440" w:hanging="360"/>
      </w:pPr>
      <w:rPr>
        <w:rFonts w:ascii="Courier New" w:hAnsi="Courier New" w:cs="Courier New" w:hint="default"/>
      </w:rPr>
    </w:lvl>
    <w:lvl w:ilvl="2" w:tplc="ECF044DA">
      <w:start w:val="1"/>
      <w:numFmt w:val="bullet"/>
      <w:lvlText w:val=""/>
      <w:lvlJc w:val="left"/>
      <w:pPr>
        <w:tabs>
          <w:tab w:val="num" w:pos="2160"/>
        </w:tabs>
        <w:ind w:left="2160" w:hanging="360"/>
      </w:pPr>
      <w:rPr>
        <w:rFonts w:ascii="Wingdings" w:hAnsi="Wingdings" w:cs="Wingdings" w:hint="default"/>
      </w:rPr>
    </w:lvl>
    <w:lvl w:ilvl="3" w:tplc="ED0A3636">
      <w:start w:val="1"/>
      <w:numFmt w:val="bullet"/>
      <w:lvlText w:val=""/>
      <w:lvlJc w:val="left"/>
      <w:pPr>
        <w:tabs>
          <w:tab w:val="num" w:pos="2880"/>
        </w:tabs>
        <w:ind w:left="2880" w:hanging="360"/>
      </w:pPr>
      <w:rPr>
        <w:rFonts w:ascii="Symbol" w:hAnsi="Symbol" w:cs="Symbol" w:hint="default"/>
      </w:rPr>
    </w:lvl>
    <w:lvl w:ilvl="4" w:tplc="4288DC7E">
      <w:start w:val="1"/>
      <w:numFmt w:val="bullet"/>
      <w:lvlText w:val="o"/>
      <w:lvlJc w:val="left"/>
      <w:pPr>
        <w:tabs>
          <w:tab w:val="num" w:pos="3600"/>
        </w:tabs>
        <w:ind w:left="3600" w:hanging="360"/>
      </w:pPr>
      <w:rPr>
        <w:rFonts w:ascii="Courier New" w:hAnsi="Courier New" w:cs="Courier New" w:hint="default"/>
      </w:rPr>
    </w:lvl>
    <w:lvl w:ilvl="5" w:tplc="83AE40F4">
      <w:start w:val="1"/>
      <w:numFmt w:val="bullet"/>
      <w:lvlText w:val=""/>
      <w:lvlJc w:val="left"/>
      <w:pPr>
        <w:tabs>
          <w:tab w:val="num" w:pos="4320"/>
        </w:tabs>
        <w:ind w:left="4320" w:hanging="360"/>
      </w:pPr>
      <w:rPr>
        <w:rFonts w:ascii="Wingdings" w:hAnsi="Wingdings" w:cs="Wingdings" w:hint="default"/>
      </w:rPr>
    </w:lvl>
    <w:lvl w:ilvl="6" w:tplc="373458DC">
      <w:start w:val="1"/>
      <w:numFmt w:val="bullet"/>
      <w:lvlText w:val=""/>
      <w:lvlJc w:val="left"/>
      <w:pPr>
        <w:tabs>
          <w:tab w:val="num" w:pos="5040"/>
        </w:tabs>
        <w:ind w:left="5040" w:hanging="360"/>
      </w:pPr>
      <w:rPr>
        <w:rFonts w:ascii="Symbol" w:hAnsi="Symbol" w:cs="Symbol" w:hint="default"/>
      </w:rPr>
    </w:lvl>
    <w:lvl w:ilvl="7" w:tplc="768EA056">
      <w:start w:val="1"/>
      <w:numFmt w:val="bullet"/>
      <w:lvlText w:val="o"/>
      <w:lvlJc w:val="left"/>
      <w:pPr>
        <w:tabs>
          <w:tab w:val="num" w:pos="5760"/>
        </w:tabs>
        <w:ind w:left="5760" w:hanging="360"/>
      </w:pPr>
      <w:rPr>
        <w:rFonts w:ascii="Courier New" w:hAnsi="Courier New" w:cs="Courier New" w:hint="default"/>
      </w:rPr>
    </w:lvl>
    <w:lvl w:ilvl="8" w:tplc="9052232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A6E200B"/>
    <w:multiLevelType w:val="multilevel"/>
    <w:tmpl w:val="C3CE64D2"/>
    <w:styleLink w:val="Reportnumberingstyle"/>
    <w:lvl w:ilvl="0">
      <w:start w:val="1"/>
      <w:numFmt w:val="decimal"/>
      <w:pStyle w:val="Heading1"/>
      <w:lvlText w:val="%1."/>
      <w:lvlJc w:val="left"/>
      <w:pPr>
        <w:ind w:left="709" w:hanging="709"/>
      </w:pPr>
      <w:rPr>
        <w:rFonts w:ascii="Calibri" w:hAnsi="Calibri" w:hint="default"/>
        <w:color w:val="009999"/>
        <w:sz w:val="40"/>
      </w:rPr>
    </w:lvl>
    <w:lvl w:ilvl="1">
      <w:start w:val="1"/>
      <w:numFmt w:val="decimal"/>
      <w:pStyle w:val="Reporttext"/>
      <w:lvlText w:val="%1.%2"/>
      <w:lvlJc w:val="left"/>
      <w:pPr>
        <w:ind w:left="709" w:hanging="709"/>
      </w:pPr>
      <w:rPr>
        <w:rFonts w:ascii="Arial" w:hAnsi="Arial" w:hint="default"/>
        <w:color w:val="auto"/>
        <w:sz w:val="22"/>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17" w15:restartNumberingAfterBreak="0">
    <w:nsid w:val="4AB96564"/>
    <w:multiLevelType w:val="multilevel"/>
    <w:tmpl w:val="EE82B3C4"/>
    <w:lvl w:ilvl="0">
      <w:start w:val="1"/>
      <w:numFmt w:val="decimal"/>
      <w:lvlText w:val="%1.0"/>
      <w:lvlJc w:val="left"/>
      <w:pPr>
        <w:tabs>
          <w:tab w:val="num" w:pos="851"/>
        </w:tabs>
        <w:ind w:left="851" w:hanging="851"/>
      </w:pPr>
      <w:rPr>
        <w:rFonts w:hint="default"/>
      </w:rPr>
    </w:lvl>
    <w:lvl w:ilvl="1">
      <w:start w:val="1"/>
      <w:numFmt w:val="decimal"/>
      <w:pStyle w:val="StyleMaintextGillSansMT"/>
      <w:lvlText w:val="%1.%2"/>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E10754F"/>
    <w:multiLevelType w:val="multilevel"/>
    <w:tmpl w:val="A502B9AE"/>
    <w:styleLink w:val="Reportnumberingstyle5"/>
    <w:lvl w:ilvl="0">
      <w:start w:val="1"/>
      <w:numFmt w:val="decimal"/>
      <w:lvlText w:val="%1.1"/>
      <w:lvlJc w:val="left"/>
      <w:pPr>
        <w:tabs>
          <w:tab w:val="num" w:pos="432"/>
        </w:tabs>
        <w:ind w:left="432" w:hanging="432"/>
      </w:pPr>
      <w:rPr>
        <w:rFonts w:hint="default"/>
      </w:rPr>
    </w:lvl>
    <w:lvl w:ilvl="1">
      <w:start w:val="1"/>
      <w:numFmt w:val="decimal"/>
      <w:pStyle w:val="BodyCopy"/>
      <w:lvlText w:val="%2%1.0"/>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F7E6AD0"/>
    <w:multiLevelType w:val="multilevel"/>
    <w:tmpl w:val="5DBA46C0"/>
    <w:lvl w:ilvl="0">
      <w:start w:val="2"/>
      <w:numFmt w:val="upperLetter"/>
      <w:lvlText w:val="%1"/>
      <w:lvlJc w:val="left"/>
      <w:pPr>
        <w:tabs>
          <w:tab w:val="num" w:pos="709"/>
        </w:tabs>
        <w:ind w:left="709" w:hanging="709"/>
      </w:pPr>
      <w:rPr>
        <w:rFonts w:hint="default"/>
      </w:rPr>
    </w:lvl>
    <w:lvl w:ilvl="1">
      <w:start w:val="1"/>
      <w:numFmt w:val="decimal"/>
      <w:lvlText w:val="C.%2"/>
      <w:lvlJc w:val="left"/>
      <w:pPr>
        <w:ind w:left="709" w:hanging="709"/>
      </w:pPr>
      <w:rPr>
        <w:rFonts w:hint="default"/>
        <w:b w:val="0"/>
        <w:i w:val="0"/>
        <w:color w:val="auto"/>
        <w:sz w:val="24"/>
        <w:szCs w:val="24"/>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373240A"/>
    <w:multiLevelType w:val="multilevel"/>
    <w:tmpl w:val="CC240856"/>
    <w:lvl w:ilvl="0">
      <w:start w:val="1"/>
      <w:numFmt w:val="decimal"/>
      <w:lvlText w:val="%1.0"/>
      <w:lvlJc w:val="left"/>
      <w:pPr>
        <w:tabs>
          <w:tab w:val="num" w:pos="709"/>
        </w:tabs>
        <w:ind w:left="709" w:hanging="709"/>
      </w:pPr>
      <w:rPr>
        <w:rFonts w:hint="default"/>
      </w:rPr>
    </w:lvl>
    <w:lvl w:ilvl="1">
      <w:start w:val="1"/>
      <w:numFmt w:val="decimal"/>
      <w:pStyle w:val="StyleMaintextJustified1"/>
      <w:lvlText w:val="%1.%2"/>
      <w:lvlJc w:val="left"/>
      <w:pPr>
        <w:tabs>
          <w:tab w:val="num" w:pos="709"/>
        </w:tabs>
        <w:ind w:left="709" w:hanging="709"/>
      </w:pPr>
      <w:rPr>
        <w:rFonts w:hint="default"/>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134"/>
        </w:tabs>
        <w:ind w:left="1134" w:hanging="142"/>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A9A2144"/>
    <w:multiLevelType w:val="hybridMultilevel"/>
    <w:tmpl w:val="DCEA7F1A"/>
    <w:lvl w:ilvl="0" w:tplc="D4CAE75A">
      <w:start w:val="1"/>
      <w:numFmt w:val="bullet"/>
      <w:pStyle w:val="bullets"/>
      <w:lvlText w:val=""/>
      <w:lvlJc w:val="left"/>
      <w:pPr>
        <w:tabs>
          <w:tab w:val="num" w:pos="720"/>
        </w:tabs>
        <w:ind w:left="720" w:hanging="360"/>
      </w:pPr>
      <w:rPr>
        <w:rFonts w:ascii="Symbol" w:hAnsi="Symbol" w:hint="default"/>
      </w:rPr>
    </w:lvl>
    <w:lvl w:ilvl="1" w:tplc="06CE577C" w:tentative="1">
      <w:start w:val="1"/>
      <w:numFmt w:val="bullet"/>
      <w:lvlText w:val="o"/>
      <w:lvlJc w:val="left"/>
      <w:pPr>
        <w:tabs>
          <w:tab w:val="num" w:pos="1440"/>
        </w:tabs>
        <w:ind w:left="1440" w:hanging="360"/>
      </w:pPr>
      <w:rPr>
        <w:rFonts w:ascii="Courier New" w:hAnsi="Courier New" w:cs="Courier New" w:hint="default"/>
      </w:rPr>
    </w:lvl>
    <w:lvl w:ilvl="2" w:tplc="C9B4BB2A" w:tentative="1">
      <w:start w:val="1"/>
      <w:numFmt w:val="bullet"/>
      <w:lvlText w:val=""/>
      <w:lvlJc w:val="left"/>
      <w:pPr>
        <w:tabs>
          <w:tab w:val="num" w:pos="2160"/>
        </w:tabs>
        <w:ind w:left="2160" w:hanging="360"/>
      </w:pPr>
      <w:rPr>
        <w:rFonts w:ascii="Wingdings" w:hAnsi="Wingdings" w:hint="default"/>
      </w:rPr>
    </w:lvl>
    <w:lvl w:ilvl="3" w:tplc="EB18ABFA" w:tentative="1">
      <w:start w:val="1"/>
      <w:numFmt w:val="bullet"/>
      <w:lvlText w:val=""/>
      <w:lvlJc w:val="left"/>
      <w:pPr>
        <w:tabs>
          <w:tab w:val="num" w:pos="2880"/>
        </w:tabs>
        <w:ind w:left="2880" w:hanging="360"/>
      </w:pPr>
      <w:rPr>
        <w:rFonts w:ascii="Symbol" w:hAnsi="Symbol" w:hint="default"/>
      </w:rPr>
    </w:lvl>
    <w:lvl w:ilvl="4" w:tplc="40069FB6" w:tentative="1">
      <w:start w:val="1"/>
      <w:numFmt w:val="bullet"/>
      <w:lvlText w:val="o"/>
      <w:lvlJc w:val="left"/>
      <w:pPr>
        <w:tabs>
          <w:tab w:val="num" w:pos="3600"/>
        </w:tabs>
        <w:ind w:left="3600" w:hanging="360"/>
      </w:pPr>
      <w:rPr>
        <w:rFonts w:ascii="Courier New" w:hAnsi="Courier New" w:cs="Courier New" w:hint="default"/>
      </w:rPr>
    </w:lvl>
    <w:lvl w:ilvl="5" w:tplc="7EDA19AA" w:tentative="1">
      <w:start w:val="1"/>
      <w:numFmt w:val="bullet"/>
      <w:lvlText w:val=""/>
      <w:lvlJc w:val="left"/>
      <w:pPr>
        <w:tabs>
          <w:tab w:val="num" w:pos="4320"/>
        </w:tabs>
        <w:ind w:left="4320" w:hanging="360"/>
      </w:pPr>
      <w:rPr>
        <w:rFonts w:ascii="Wingdings" w:hAnsi="Wingdings" w:hint="default"/>
      </w:rPr>
    </w:lvl>
    <w:lvl w:ilvl="6" w:tplc="DC80B8F8" w:tentative="1">
      <w:start w:val="1"/>
      <w:numFmt w:val="bullet"/>
      <w:lvlText w:val=""/>
      <w:lvlJc w:val="left"/>
      <w:pPr>
        <w:tabs>
          <w:tab w:val="num" w:pos="5040"/>
        </w:tabs>
        <w:ind w:left="5040" w:hanging="360"/>
      </w:pPr>
      <w:rPr>
        <w:rFonts w:ascii="Symbol" w:hAnsi="Symbol" w:hint="default"/>
      </w:rPr>
    </w:lvl>
    <w:lvl w:ilvl="7" w:tplc="B7049C24" w:tentative="1">
      <w:start w:val="1"/>
      <w:numFmt w:val="bullet"/>
      <w:lvlText w:val="o"/>
      <w:lvlJc w:val="left"/>
      <w:pPr>
        <w:tabs>
          <w:tab w:val="num" w:pos="5760"/>
        </w:tabs>
        <w:ind w:left="5760" w:hanging="360"/>
      </w:pPr>
      <w:rPr>
        <w:rFonts w:ascii="Courier New" w:hAnsi="Courier New" w:cs="Courier New" w:hint="default"/>
      </w:rPr>
    </w:lvl>
    <w:lvl w:ilvl="8" w:tplc="7C88142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3D54EE"/>
    <w:multiLevelType w:val="hybridMultilevel"/>
    <w:tmpl w:val="769E1628"/>
    <w:lvl w:ilvl="0" w:tplc="42DECA14">
      <w:start w:val="1"/>
      <w:numFmt w:val="bullet"/>
      <w:pStyle w:val="second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8D4594"/>
    <w:multiLevelType w:val="multilevel"/>
    <w:tmpl w:val="8F68091A"/>
    <w:lvl w:ilvl="0">
      <w:start w:val="1"/>
      <w:numFmt w:val="decimal"/>
      <w:lvlText w:val="%1."/>
      <w:lvlJc w:val="left"/>
      <w:pPr>
        <w:tabs>
          <w:tab w:val="num" w:pos="709"/>
        </w:tabs>
        <w:ind w:left="709" w:hanging="709"/>
      </w:pPr>
      <w:rPr>
        <w:rFonts w:ascii="Calibri" w:hAnsi="Calibri" w:cs="Times New Roman" w:hint="default"/>
        <w:b w:val="0"/>
        <w:bCs w:val="0"/>
        <w:i w:val="0"/>
        <w:iCs w:val="0"/>
        <w:caps w:val="0"/>
        <w:smallCaps w:val="0"/>
        <w:strike w:val="0"/>
        <w:dstrike w:val="0"/>
        <w:noProof w:val="0"/>
        <w:vanish w:val="0"/>
        <w:color w:val="009999"/>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19"/>
        </w:tabs>
        <w:ind w:left="709" w:hanging="709"/>
      </w:pPr>
      <w:rPr>
        <w:rFonts w:ascii="Calibri" w:hAnsi="Calibr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EE25171"/>
    <w:multiLevelType w:val="multilevel"/>
    <w:tmpl w:val="E86C2678"/>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pStyle w:val="prec4"/>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68AB2CCA"/>
    <w:multiLevelType w:val="hybridMultilevel"/>
    <w:tmpl w:val="28E2EC10"/>
    <w:lvl w:ilvl="0" w:tplc="B9FA3546">
      <w:start w:val="1"/>
      <w:numFmt w:val="decimal"/>
      <w:pStyle w:val="3bullet"/>
      <w:lvlText w:val="%1."/>
      <w:lvlJc w:val="left"/>
      <w:pPr>
        <w:tabs>
          <w:tab w:val="num" w:pos="928"/>
        </w:tabs>
        <w:ind w:left="928" w:hanging="360"/>
      </w:pPr>
      <w:rPr>
        <w:rFonts w:ascii="Arial" w:hAnsi="Arial"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AC5567B"/>
    <w:multiLevelType w:val="hybridMultilevel"/>
    <w:tmpl w:val="AD0C499A"/>
    <w:lvl w:ilvl="0" w:tplc="B67414FE">
      <w:start w:val="1"/>
      <w:numFmt w:val="lowerLetter"/>
      <w:pStyle w:val="abullet"/>
      <w:lvlText w:val="%1."/>
      <w:lvlJc w:val="left"/>
      <w:pPr>
        <w:tabs>
          <w:tab w:val="num" w:pos="688"/>
        </w:tabs>
        <w:ind w:left="688" w:hanging="405"/>
      </w:pPr>
      <w:rPr>
        <w:rFonts w:hint="default"/>
        <w:sz w:val="28"/>
        <w:szCs w:val="28"/>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7" w15:restartNumberingAfterBreak="0">
    <w:nsid w:val="6E4C1CEF"/>
    <w:multiLevelType w:val="multilevel"/>
    <w:tmpl w:val="0B7E2098"/>
    <w:lvl w:ilvl="0">
      <w:start w:val="1"/>
      <w:numFmt w:val="decimal"/>
      <w:pStyle w:val="scheda"/>
      <w:lvlText w:val="%1"/>
      <w:lvlJc w:val="left"/>
      <w:pPr>
        <w:tabs>
          <w:tab w:val="num" w:pos="720"/>
        </w:tabs>
        <w:ind w:left="720" w:hanging="720"/>
      </w:pPr>
      <w:rPr>
        <w:rFonts w:hint="default"/>
      </w:rPr>
    </w:lvl>
    <w:lvl w:ilvl="1">
      <w:start w:val="1"/>
      <w:numFmt w:val="decimal"/>
      <w:pStyle w:val="schedb"/>
      <w:isLgl/>
      <w:lvlText w:val="%1.%2"/>
      <w:lvlJc w:val="left"/>
      <w:pPr>
        <w:tabs>
          <w:tab w:val="num" w:pos="1440"/>
        </w:tabs>
        <w:ind w:left="1440" w:hanging="720"/>
      </w:pPr>
      <w:rPr>
        <w:rFonts w:hint="default"/>
      </w:rPr>
    </w:lvl>
    <w:lvl w:ilvl="2">
      <w:start w:val="1"/>
      <w:numFmt w:val="decimal"/>
      <w:pStyle w:val="schedc"/>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600"/>
        </w:tabs>
        <w:ind w:left="3600" w:hanging="72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400"/>
        </w:tabs>
        <w:ind w:left="5400" w:hanging="108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200"/>
        </w:tabs>
        <w:ind w:left="7200" w:hanging="1440"/>
      </w:pPr>
      <w:rPr>
        <w:rFonts w:hint="default"/>
      </w:rPr>
    </w:lvl>
  </w:abstractNum>
  <w:abstractNum w:abstractNumId="28" w15:restartNumberingAfterBreak="0">
    <w:nsid w:val="708455A7"/>
    <w:multiLevelType w:val="multilevel"/>
    <w:tmpl w:val="A308EC7C"/>
    <w:lvl w:ilvl="0">
      <w:start w:val="1"/>
      <w:numFmt w:val="decimal"/>
      <w:lvlText w:val="%1."/>
      <w:lvlJc w:val="left"/>
      <w:pPr>
        <w:ind w:left="360" w:hanging="360"/>
      </w:pPr>
      <w:rPr>
        <w:rFonts w:ascii="Arial" w:hAnsi="Arial" w:hint="default"/>
        <w:b w:val="0"/>
        <w:i w:val="0"/>
        <w:color w:val="0070C0"/>
        <w:sz w:val="36"/>
      </w:rPr>
    </w:lvl>
    <w:lvl w:ilvl="1">
      <w:start w:val="1"/>
      <w:numFmt w:val="decimal"/>
      <w:pStyle w:val="Maintext"/>
      <w:lvlText w:val="%1.%2"/>
      <w:lvlJc w:val="left"/>
      <w:pPr>
        <w:tabs>
          <w:tab w:val="num" w:pos="993"/>
        </w:tabs>
        <w:ind w:left="993" w:hanging="709"/>
      </w:pPr>
      <w:rPr>
        <w:rFonts w:ascii="Arial" w:hAnsi="Arial" w:cs="Arial" w:hint="default"/>
        <w:b w:val="0"/>
        <w:i w:val="0"/>
        <w:color w:val="auto"/>
        <w:sz w:val="24"/>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7D61255"/>
    <w:multiLevelType w:val="multilevel"/>
    <w:tmpl w:val="75386D2A"/>
    <w:lvl w:ilvl="0">
      <w:start w:val="1"/>
      <w:numFmt w:val="decimal"/>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BLevel2"/>
      <w:lvlText w:val="%1.%2"/>
      <w:lvlJc w:val="left"/>
      <w:pPr>
        <w:tabs>
          <w:tab w:val="num" w:pos="720"/>
        </w:tabs>
        <w:ind w:left="720" w:hanging="720"/>
      </w:pPr>
      <w:rPr>
        <w:rFonts w:ascii="Arial" w:hAnsi="Arial" w:cs="Arial" w:hint="default"/>
        <w:b w:val="0"/>
        <w:i w:val="0"/>
        <w:caps w:val="0"/>
        <w:sz w:val="20"/>
        <w:szCs w:val="20"/>
      </w:rPr>
    </w:lvl>
    <w:lvl w:ilvl="2">
      <w:start w:val="1"/>
      <w:numFmt w:val="decimal"/>
      <w:pStyle w:val="BLevel3"/>
      <w:lvlText w:val="%1.%2.%3"/>
      <w:lvlJc w:val="left"/>
      <w:pPr>
        <w:tabs>
          <w:tab w:val="num" w:pos="1497"/>
        </w:tabs>
        <w:ind w:left="1497" w:hanging="777"/>
      </w:pPr>
      <w:rPr>
        <w:rFonts w:ascii="Arial" w:hAnsi="Arial" w:cs="Arial" w:hint="default"/>
        <w:b w:val="0"/>
        <w:i w:val="0"/>
        <w:sz w:val="20"/>
        <w:szCs w:val="20"/>
      </w:rPr>
    </w:lvl>
    <w:lvl w:ilvl="3">
      <w:start w:val="1"/>
      <w:numFmt w:val="decimal"/>
      <w:pStyle w:val="BLevel4"/>
      <w:lvlText w:val="%1.%2.%3.%4"/>
      <w:lvlJc w:val="left"/>
      <w:pPr>
        <w:tabs>
          <w:tab w:val="num" w:pos="2631"/>
        </w:tabs>
        <w:ind w:left="2631"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pStyle w:val="BLevel5"/>
      <w:lvlText w:val="(%5)"/>
      <w:lvlJc w:val="left"/>
      <w:pPr>
        <w:tabs>
          <w:tab w:val="num" w:pos="3878"/>
        </w:tabs>
        <w:ind w:left="3878" w:hanging="1247"/>
      </w:pPr>
      <w:rPr>
        <w:rFonts w:hint="default"/>
        <w:b w:val="0"/>
        <w:i w:val="0"/>
        <w:sz w:val="20"/>
        <w:szCs w:val="20"/>
      </w:rPr>
    </w:lvl>
    <w:lvl w:ilvl="5">
      <w:start w:val="1"/>
      <w:numFmt w:val="none"/>
      <w:lvlText w:val=""/>
      <w:lvlJc w:val="left"/>
      <w:pPr>
        <w:tabs>
          <w:tab w:val="num" w:pos="720"/>
        </w:tabs>
        <w:ind w:left="720" w:hanging="720"/>
      </w:pPr>
      <w:rPr>
        <w:rFonts w:ascii="Times New Roman" w:hAnsi="Times New Roman" w:hint="default"/>
        <w:b w:val="0"/>
        <w:i w:val="0"/>
        <w:sz w:val="24"/>
      </w:rPr>
    </w:lvl>
    <w:lvl w:ilvl="6">
      <w:start w:val="1"/>
      <w:numFmt w:val="none"/>
      <w:lvlText w:val=""/>
      <w:lvlJc w:val="left"/>
      <w:pPr>
        <w:tabs>
          <w:tab w:val="num" w:pos="1440"/>
        </w:tabs>
        <w:ind w:left="1440" w:hanging="720"/>
      </w:pPr>
      <w:rPr>
        <w:rFonts w:ascii="Times New Roman" w:hAnsi="Times New Roman" w:hint="default"/>
        <w:sz w:val="24"/>
      </w:rPr>
    </w:lvl>
    <w:lvl w:ilvl="7">
      <w:start w:val="1"/>
      <w:numFmt w:val="none"/>
      <w:lvlText w:val=""/>
      <w:lvlJc w:val="left"/>
      <w:pPr>
        <w:tabs>
          <w:tab w:val="num" w:pos="5040"/>
        </w:tabs>
        <w:ind w:left="5040" w:hanging="720"/>
      </w:pPr>
      <w:rPr>
        <w:rFonts w:ascii="Times New Roman" w:hAnsi="Times New Roman" w:hint="default"/>
        <w:b w:val="0"/>
        <w:i w:val="0"/>
        <w:sz w:val="22"/>
      </w:rPr>
    </w:lvl>
    <w:lvl w:ilvl="8">
      <w:start w:val="1"/>
      <w:numFmt w:val="none"/>
      <w:lvlText w:val=""/>
      <w:lvlJc w:val="left"/>
      <w:pPr>
        <w:tabs>
          <w:tab w:val="num" w:pos="5760"/>
        </w:tabs>
        <w:ind w:left="5760" w:hanging="720"/>
      </w:pPr>
      <w:rPr>
        <w:rFonts w:ascii="Times New Roman" w:hAnsi="Times New Roman" w:hint="default"/>
        <w:b w:val="0"/>
        <w:i w:val="0"/>
        <w:sz w:val="22"/>
      </w:rPr>
    </w:lvl>
  </w:abstractNum>
  <w:abstractNum w:abstractNumId="30" w15:restartNumberingAfterBreak="0">
    <w:nsid w:val="77DA34AE"/>
    <w:multiLevelType w:val="multilevel"/>
    <w:tmpl w:val="3B8A8E88"/>
    <w:lvl w:ilvl="0">
      <w:start w:val="1"/>
      <w:numFmt w:val="decimal"/>
      <w:lvlText w:val="%1."/>
      <w:lvlJc w:val="left"/>
      <w:pPr>
        <w:ind w:left="360" w:hanging="360"/>
      </w:pPr>
      <w:rPr>
        <w:rFonts w:cs="Times New Roman"/>
      </w:rPr>
    </w:lvl>
    <w:lvl w:ilvl="1">
      <w:start w:val="1"/>
      <w:numFmt w:val="decimal"/>
      <w:pStyle w:val="Para"/>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7B0C58AD"/>
    <w:multiLevelType w:val="hybridMultilevel"/>
    <w:tmpl w:val="A9F0088C"/>
    <w:lvl w:ilvl="0" w:tplc="4098902E">
      <w:start w:val="1"/>
      <w:numFmt w:val="decimal"/>
      <w:pStyle w:val="GTTAquestionno"/>
      <w:lvlText w:val="Q%1"/>
      <w:lvlJc w:val="left"/>
      <w:pPr>
        <w:ind w:left="567" w:hanging="567"/>
      </w:pPr>
      <w:rPr>
        <w:rFonts w:hint="default"/>
        <w:b w:val="0"/>
        <w:i/>
        <w:color w:val="009999"/>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C41C69"/>
    <w:multiLevelType w:val="hybridMultilevel"/>
    <w:tmpl w:val="C75EDF7A"/>
    <w:lvl w:ilvl="0" w:tplc="F9B68564">
      <w:start w:val="1"/>
      <w:numFmt w:val="decimal"/>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lowerRoman"/>
      <w:pStyle w:val="bullet20"/>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8"/>
  </w:num>
  <w:num w:numId="2">
    <w:abstractNumId w:val="14"/>
  </w:num>
  <w:num w:numId="3">
    <w:abstractNumId w:val="0"/>
  </w:num>
  <w:num w:numId="4">
    <w:abstractNumId w:val="17"/>
  </w:num>
  <w:num w:numId="5">
    <w:abstractNumId w:val="20"/>
  </w:num>
  <w:num w:numId="6">
    <w:abstractNumId w:val="13"/>
  </w:num>
  <w:num w:numId="7">
    <w:abstractNumId w:val="21"/>
  </w:num>
  <w:num w:numId="8">
    <w:abstractNumId w:val="26"/>
  </w:num>
  <w:num w:numId="9">
    <w:abstractNumId w:val="3"/>
  </w:num>
  <w:num w:numId="10">
    <w:abstractNumId w:val="28"/>
  </w:num>
  <w:num w:numId="11">
    <w:abstractNumId w:val="25"/>
  </w:num>
  <w:num w:numId="12">
    <w:abstractNumId w:val="32"/>
  </w:num>
  <w:num w:numId="13">
    <w:abstractNumId w:val="24"/>
  </w:num>
  <w:num w:numId="14">
    <w:abstractNumId w:val="2"/>
  </w:num>
  <w:num w:numId="15">
    <w:abstractNumId w:val="10"/>
  </w:num>
  <w:num w:numId="16">
    <w:abstractNumId w:val="6"/>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 w:ilvl="0">
        <w:start w:val="1"/>
        <w:numFmt w:val="decimal"/>
        <w:pStyle w:val="Heading1"/>
        <w:lvlText w:val="%1."/>
        <w:lvlJc w:val="left"/>
        <w:pPr>
          <w:ind w:left="709" w:hanging="709"/>
        </w:pPr>
        <w:rPr>
          <w:rFonts w:ascii="Arial" w:hAnsi="Arial" w:hint="default"/>
          <w:color w:val="0070C0"/>
          <w:sz w:val="40"/>
        </w:rPr>
      </w:lvl>
    </w:lvlOverride>
    <w:lvlOverride w:ilvl="1">
      <w:lvl w:ilvl="1">
        <w:start w:val="1"/>
        <w:numFmt w:val="decimal"/>
        <w:pStyle w:val="Reporttext"/>
        <w:lvlText w:val="%1.%2"/>
        <w:lvlJc w:val="left"/>
        <w:pPr>
          <w:ind w:left="709" w:hanging="709"/>
        </w:pPr>
        <w:rPr>
          <w:rFonts w:ascii="Calibri" w:hAnsi="Calibri" w:cs="Calibri" w:hint="default"/>
          <w:color w:val="auto"/>
          <w:sz w:val="22"/>
          <w:szCs w:val="24"/>
        </w:rPr>
      </w:lvl>
    </w:lvlOverride>
    <w:lvlOverride w:ilvl="2">
      <w:lvl w:ilvl="2">
        <w:start w:val="1"/>
        <w:numFmt w:val="lowerRoman"/>
        <w:lvlText w:val="%3."/>
        <w:lvlJc w:val="right"/>
        <w:pPr>
          <w:ind w:left="709" w:hanging="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709" w:hanging="709"/>
        </w:pPr>
        <w:rPr>
          <w:rFonts w:hint="default"/>
        </w:rPr>
      </w:lvl>
    </w:lvlOverride>
    <w:lvlOverride w:ilvl="5">
      <w:lvl w:ilvl="5">
        <w:start w:val="1"/>
        <w:numFmt w:val="lowerRoman"/>
        <w:lvlText w:val="%6."/>
        <w:lvlJc w:val="right"/>
        <w:pPr>
          <w:ind w:left="709" w:hanging="709"/>
        </w:pPr>
        <w:rPr>
          <w:rFonts w:hint="default"/>
        </w:rPr>
      </w:lvl>
    </w:lvlOverride>
    <w:lvlOverride w:ilvl="6">
      <w:lvl w:ilvl="6">
        <w:start w:val="1"/>
        <w:numFmt w:val="decimal"/>
        <w:lvlText w:val="%7."/>
        <w:lvlJc w:val="left"/>
        <w:pPr>
          <w:ind w:left="709" w:hanging="709"/>
        </w:pPr>
        <w:rPr>
          <w:rFonts w:hint="default"/>
        </w:rPr>
      </w:lvl>
    </w:lvlOverride>
    <w:lvlOverride w:ilvl="7">
      <w:lvl w:ilvl="7">
        <w:start w:val="1"/>
        <w:numFmt w:val="lowerLetter"/>
        <w:lvlText w:val="%8."/>
        <w:lvlJc w:val="left"/>
        <w:pPr>
          <w:ind w:left="709" w:hanging="709"/>
        </w:pPr>
        <w:rPr>
          <w:rFonts w:hint="default"/>
        </w:rPr>
      </w:lvl>
    </w:lvlOverride>
    <w:lvlOverride w:ilvl="8">
      <w:lvl w:ilvl="8">
        <w:start w:val="1"/>
        <w:numFmt w:val="lowerRoman"/>
        <w:lvlText w:val="%9."/>
        <w:lvlJc w:val="right"/>
        <w:pPr>
          <w:ind w:left="709" w:hanging="709"/>
        </w:pPr>
        <w:rPr>
          <w:rFonts w:hint="default"/>
        </w:rPr>
      </w:lvl>
    </w:lvlOverride>
  </w:num>
  <w:num w:numId="19">
    <w:abstractNumId w:val="16"/>
    <w:lvlOverride w:ilvl="0">
      <w:startOverride w:val="3"/>
      <w:lvl w:ilvl="0">
        <w:start w:val="3"/>
        <w:numFmt w:val="decimal"/>
        <w:pStyle w:val="Heading1"/>
        <w:lvlText w:val="%1."/>
        <w:lvlJc w:val="left"/>
        <w:pPr>
          <w:ind w:left="709" w:hanging="709"/>
        </w:pPr>
        <w:rPr>
          <w:rFonts w:ascii="Arial" w:hAnsi="Arial" w:hint="default"/>
          <w:color w:val="0070C0"/>
          <w:sz w:val="40"/>
        </w:rPr>
      </w:lvl>
    </w:lvlOverride>
    <w:lvlOverride w:ilvl="1">
      <w:startOverride w:val="1"/>
      <w:lvl w:ilvl="1">
        <w:start w:val="1"/>
        <w:numFmt w:val="decimal"/>
        <w:pStyle w:val="Reporttext"/>
        <w:lvlText w:val="%1.%2"/>
        <w:lvlJc w:val="left"/>
        <w:pPr>
          <w:ind w:left="709" w:hanging="709"/>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rPr>
      </w:lvl>
    </w:lvlOverride>
  </w:num>
  <w:num w:numId="20">
    <w:abstractNumId w:val="16"/>
    <w:lvlOverride w:ilvl="0">
      <w:lvl w:ilvl="0">
        <w:start w:val="1"/>
        <w:numFmt w:val="decimal"/>
        <w:pStyle w:val="Heading1"/>
        <w:lvlText w:val="%1."/>
        <w:lvlJc w:val="left"/>
        <w:pPr>
          <w:ind w:left="709" w:hanging="709"/>
        </w:pPr>
        <w:rPr>
          <w:rFonts w:ascii="Calibri" w:hAnsi="Calibri" w:cs="Calibri" w:hint="default"/>
          <w:color w:val="009999"/>
          <w:sz w:val="40"/>
        </w:rPr>
      </w:lvl>
    </w:lvlOverride>
    <w:lvlOverride w:ilvl="1">
      <w:lvl w:ilvl="1">
        <w:start w:val="1"/>
        <w:numFmt w:val="decimal"/>
        <w:pStyle w:val="Reporttext"/>
        <w:lvlText w:val="%1.%2"/>
        <w:lvlJc w:val="left"/>
        <w:pPr>
          <w:ind w:left="709" w:hanging="709"/>
        </w:pPr>
        <w:rPr>
          <w:rFonts w:ascii="Calibri" w:hAnsi="Calibri" w:cs="Calibri" w:hint="default"/>
          <w:color w:val="auto"/>
          <w:sz w:val="22"/>
        </w:rPr>
      </w:lvl>
    </w:lvlOverride>
    <w:lvlOverride w:ilvl="2">
      <w:lvl w:ilvl="2">
        <w:start w:val="1"/>
        <w:numFmt w:val="lowerRoman"/>
        <w:lvlText w:val="%3."/>
        <w:lvlJc w:val="right"/>
        <w:pPr>
          <w:ind w:left="709" w:hanging="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709" w:hanging="709"/>
        </w:pPr>
        <w:rPr>
          <w:rFonts w:hint="default"/>
        </w:rPr>
      </w:lvl>
    </w:lvlOverride>
    <w:lvlOverride w:ilvl="5">
      <w:lvl w:ilvl="5">
        <w:start w:val="1"/>
        <w:numFmt w:val="lowerRoman"/>
        <w:lvlText w:val="%6."/>
        <w:lvlJc w:val="right"/>
        <w:pPr>
          <w:ind w:left="709" w:hanging="709"/>
        </w:pPr>
        <w:rPr>
          <w:rFonts w:hint="default"/>
        </w:rPr>
      </w:lvl>
    </w:lvlOverride>
    <w:lvlOverride w:ilvl="6">
      <w:lvl w:ilvl="6">
        <w:start w:val="1"/>
        <w:numFmt w:val="decimal"/>
        <w:lvlText w:val="%7."/>
        <w:lvlJc w:val="left"/>
        <w:pPr>
          <w:ind w:left="709" w:hanging="709"/>
        </w:pPr>
        <w:rPr>
          <w:rFonts w:hint="default"/>
        </w:rPr>
      </w:lvl>
    </w:lvlOverride>
    <w:lvlOverride w:ilvl="7">
      <w:lvl w:ilvl="7">
        <w:start w:val="1"/>
        <w:numFmt w:val="lowerLetter"/>
        <w:lvlText w:val="%8."/>
        <w:lvlJc w:val="left"/>
        <w:pPr>
          <w:ind w:left="709" w:hanging="709"/>
        </w:pPr>
        <w:rPr>
          <w:rFonts w:hint="default"/>
        </w:rPr>
      </w:lvl>
    </w:lvlOverride>
    <w:lvlOverride w:ilvl="8">
      <w:lvl w:ilvl="8">
        <w:start w:val="1"/>
        <w:numFmt w:val="lowerRoman"/>
        <w:lvlText w:val="%9."/>
        <w:lvlJc w:val="right"/>
        <w:pPr>
          <w:ind w:left="709" w:hanging="709"/>
        </w:pPr>
        <w:rPr>
          <w:rFonts w:hint="default"/>
        </w:rPr>
      </w:lvl>
    </w:lvlOverride>
  </w:num>
  <w:num w:numId="21">
    <w:abstractNumId w:val="16"/>
    <w:lvlOverride w:ilvl="0">
      <w:lvl w:ilvl="0">
        <w:start w:val="1"/>
        <w:numFmt w:val="decimal"/>
        <w:pStyle w:val="Heading1"/>
        <w:lvlText w:val="%1."/>
        <w:lvlJc w:val="left"/>
        <w:pPr>
          <w:ind w:left="709" w:hanging="709"/>
        </w:pPr>
        <w:rPr>
          <w:rFonts w:ascii="Arial" w:hAnsi="Arial" w:cs="Arial" w:hint="default"/>
          <w:color w:val="0070C0"/>
          <w:sz w:val="40"/>
          <w:szCs w:val="40"/>
        </w:rPr>
      </w:lvl>
    </w:lvlOverride>
    <w:lvlOverride w:ilvl="1">
      <w:lvl w:ilvl="1">
        <w:start w:val="1"/>
        <w:numFmt w:val="decimal"/>
        <w:pStyle w:val="Reporttext"/>
        <w:lvlText w:val="%1.%2"/>
        <w:lvlJc w:val="left"/>
        <w:pPr>
          <w:ind w:left="709" w:hanging="709"/>
        </w:pPr>
        <w:rPr>
          <w:rFonts w:ascii="Calibri" w:hAnsi="Calibri" w:cs="Calibri" w:hint="default"/>
          <w:i w:val="0"/>
          <w:iCs w:val="0"/>
          <w:color w:val="auto"/>
          <w:sz w:val="22"/>
          <w:szCs w:val="22"/>
        </w:rPr>
      </w:lvl>
    </w:lvlOverride>
    <w:lvlOverride w:ilvl="2">
      <w:lvl w:ilvl="2">
        <w:start w:val="1"/>
        <w:numFmt w:val="lowerRoman"/>
        <w:lvlText w:val="%3."/>
        <w:lvlJc w:val="right"/>
        <w:pPr>
          <w:ind w:left="709" w:hanging="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709" w:hanging="709"/>
        </w:pPr>
        <w:rPr>
          <w:rFonts w:hint="default"/>
        </w:rPr>
      </w:lvl>
    </w:lvlOverride>
    <w:lvlOverride w:ilvl="5">
      <w:lvl w:ilvl="5">
        <w:start w:val="1"/>
        <w:numFmt w:val="lowerRoman"/>
        <w:lvlText w:val="%6."/>
        <w:lvlJc w:val="right"/>
        <w:pPr>
          <w:ind w:left="709" w:hanging="709"/>
        </w:pPr>
        <w:rPr>
          <w:rFonts w:hint="default"/>
        </w:rPr>
      </w:lvl>
    </w:lvlOverride>
    <w:lvlOverride w:ilvl="6">
      <w:lvl w:ilvl="6">
        <w:start w:val="1"/>
        <w:numFmt w:val="decimal"/>
        <w:lvlText w:val="%7."/>
        <w:lvlJc w:val="left"/>
        <w:pPr>
          <w:ind w:left="709" w:hanging="709"/>
        </w:pPr>
        <w:rPr>
          <w:rFonts w:hint="default"/>
        </w:rPr>
      </w:lvl>
    </w:lvlOverride>
    <w:lvlOverride w:ilvl="7">
      <w:lvl w:ilvl="7">
        <w:start w:val="1"/>
        <w:numFmt w:val="lowerLetter"/>
        <w:lvlText w:val="%8."/>
        <w:lvlJc w:val="left"/>
        <w:pPr>
          <w:ind w:left="709" w:hanging="709"/>
        </w:pPr>
        <w:rPr>
          <w:rFonts w:hint="default"/>
        </w:rPr>
      </w:lvl>
    </w:lvlOverride>
    <w:lvlOverride w:ilvl="8">
      <w:lvl w:ilvl="8">
        <w:start w:val="1"/>
        <w:numFmt w:val="lowerRoman"/>
        <w:lvlText w:val="%9."/>
        <w:lvlJc w:val="right"/>
        <w:pPr>
          <w:ind w:left="709" w:hanging="709"/>
        </w:pPr>
        <w:rPr>
          <w:rFonts w:hint="default"/>
        </w:rPr>
      </w:lvl>
    </w:lvlOverride>
  </w:num>
  <w:num w:numId="22">
    <w:abstractNumId w:val="16"/>
  </w:num>
  <w:num w:numId="23">
    <w:abstractNumId w:val="16"/>
    <w:lvlOverride w:ilvl="1">
      <w:lvl w:ilvl="1">
        <w:start w:val="1"/>
        <w:numFmt w:val="decimal"/>
        <w:pStyle w:val="Reporttext"/>
        <w:lvlText w:val="%1.%2"/>
        <w:lvlJc w:val="left"/>
        <w:pPr>
          <w:ind w:left="709" w:hanging="709"/>
        </w:pPr>
        <w:rPr>
          <w:rFonts w:asciiTheme="minorHAnsi" w:hAnsiTheme="minorHAnsi" w:cstheme="minorHAnsi" w:hint="default"/>
          <w:color w:val="auto"/>
          <w:sz w:val="22"/>
        </w:rPr>
      </w:lvl>
    </w:lvlOverride>
  </w:num>
  <w:num w:numId="24">
    <w:abstractNumId w:val="9"/>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31"/>
  </w:num>
  <w:num w:numId="27">
    <w:abstractNumId w:val="11"/>
  </w:num>
  <w:num w:numId="28">
    <w:abstractNumId w:val="30"/>
  </w:num>
  <w:num w:numId="29">
    <w:abstractNumId w:val="1"/>
  </w:num>
  <w:num w:numId="30">
    <w:abstractNumId w:val="15"/>
  </w:num>
  <w:num w:numId="31">
    <w:abstractNumId w:val="27"/>
  </w:num>
  <w:num w:numId="32">
    <w:abstractNumId w:val="29"/>
  </w:num>
  <w:num w:numId="33">
    <w:abstractNumId w:val="16"/>
    <w:lvlOverride w:ilvl="0">
      <w:lvl w:ilvl="0">
        <w:start w:val="1"/>
        <w:numFmt w:val="decimal"/>
        <w:pStyle w:val="Heading1"/>
        <w:lvlText w:val="%1."/>
        <w:lvlJc w:val="left"/>
        <w:pPr>
          <w:ind w:left="709" w:hanging="709"/>
        </w:pPr>
        <w:rPr>
          <w:rFonts w:ascii="Arial" w:hAnsi="Arial" w:hint="default"/>
          <w:color w:val="008080"/>
          <w:sz w:val="40"/>
        </w:rPr>
      </w:lvl>
    </w:lvlOverride>
    <w:lvlOverride w:ilvl="1">
      <w:lvl w:ilvl="1">
        <w:start w:val="1"/>
        <w:numFmt w:val="decimal"/>
        <w:pStyle w:val="Reporttext"/>
        <w:lvlText w:val="%1.%2"/>
        <w:lvlJc w:val="left"/>
        <w:pPr>
          <w:ind w:left="709" w:hanging="709"/>
        </w:pPr>
        <w:rPr>
          <w:rFonts w:ascii="Calibri" w:hAnsi="Calibri" w:cs="Calibri" w:hint="default"/>
          <w:color w:val="auto"/>
          <w:sz w:val="22"/>
        </w:rPr>
      </w:lvl>
    </w:lvlOverride>
    <w:lvlOverride w:ilvl="2">
      <w:lvl w:ilvl="2">
        <w:start w:val="1"/>
        <w:numFmt w:val="lowerRoman"/>
        <w:lvlText w:val="%3."/>
        <w:lvlJc w:val="right"/>
        <w:pPr>
          <w:ind w:left="709" w:hanging="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709" w:hanging="709"/>
        </w:pPr>
        <w:rPr>
          <w:rFonts w:hint="default"/>
        </w:rPr>
      </w:lvl>
    </w:lvlOverride>
    <w:lvlOverride w:ilvl="5">
      <w:lvl w:ilvl="5">
        <w:start w:val="1"/>
        <w:numFmt w:val="lowerRoman"/>
        <w:lvlText w:val="%6."/>
        <w:lvlJc w:val="right"/>
        <w:pPr>
          <w:ind w:left="709" w:hanging="709"/>
        </w:pPr>
        <w:rPr>
          <w:rFonts w:hint="default"/>
        </w:rPr>
      </w:lvl>
    </w:lvlOverride>
    <w:lvlOverride w:ilvl="6">
      <w:lvl w:ilvl="6">
        <w:start w:val="1"/>
        <w:numFmt w:val="decimal"/>
        <w:lvlText w:val="%7."/>
        <w:lvlJc w:val="left"/>
        <w:pPr>
          <w:ind w:left="709" w:hanging="709"/>
        </w:pPr>
        <w:rPr>
          <w:rFonts w:hint="default"/>
        </w:rPr>
      </w:lvl>
    </w:lvlOverride>
    <w:lvlOverride w:ilvl="7">
      <w:lvl w:ilvl="7">
        <w:start w:val="1"/>
        <w:numFmt w:val="lowerLetter"/>
        <w:lvlText w:val="%8."/>
        <w:lvlJc w:val="left"/>
        <w:pPr>
          <w:ind w:left="709" w:hanging="709"/>
        </w:pPr>
        <w:rPr>
          <w:rFonts w:hint="default"/>
        </w:rPr>
      </w:lvl>
    </w:lvlOverride>
    <w:lvlOverride w:ilvl="8">
      <w:lvl w:ilvl="8">
        <w:start w:val="1"/>
        <w:numFmt w:val="lowerRoman"/>
        <w:lvlText w:val="%9."/>
        <w:lvlJc w:val="right"/>
        <w:pPr>
          <w:ind w:left="709" w:hanging="709"/>
        </w:pPr>
        <w:rPr>
          <w:rFonts w:hint="default"/>
        </w:rPr>
      </w:lvl>
    </w:lvlOverride>
  </w:num>
  <w:num w:numId="34">
    <w:abstractNumId w:val="23"/>
  </w:num>
  <w:num w:numId="35">
    <w:abstractNumId w:val="22"/>
  </w:num>
  <w:num w:numId="36">
    <w:abstractNumId w:val="8"/>
    <w:lvlOverride w:ilvl="0">
      <w:lvl w:ilvl="0">
        <w:start w:val="1"/>
        <w:numFmt w:val="upperLetter"/>
        <w:lvlText w:val="%1.0"/>
        <w:lvlJc w:val="left"/>
        <w:pPr>
          <w:tabs>
            <w:tab w:val="num" w:pos="709"/>
          </w:tabs>
          <w:ind w:left="709" w:hanging="709"/>
        </w:pPr>
        <w:rPr>
          <w:rFonts w:hint="default"/>
        </w:rPr>
      </w:lvl>
    </w:lvlOverride>
    <w:lvlOverride w:ilvl="1">
      <w:lvl w:ilvl="1">
        <w:start w:val="1"/>
        <w:numFmt w:val="decimal"/>
        <w:lvlText w:val="A.%2"/>
        <w:lvlJc w:val="left"/>
        <w:pPr>
          <w:tabs>
            <w:tab w:val="num" w:pos="709"/>
          </w:tabs>
          <w:ind w:left="709" w:hanging="709"/>
        </w:pPr>
        <w:rPr>
          <w:rFonts w:hint="default"/>
          <w:b w:val="0"/>
          <w:i w:val="0"/>
          <w:color w:val="auto"/>
          <w:sz w:val="22"/>
          <w:szCs w:val="22"/>
        </w:rPr>
      </w:lvl>
    </w:lvlOverride>
    <w:lvlOverride w:ilvl="2">
      <w:lvl w:ilvl="2">
        <w:start w:val="1"/>
        <w:numFmt w:val="bullet"/>
        <w:lvlText w:val=""/>
        <w:lvlJc w:val="left"/>
        <w:pPr>
          <w:tabs>
            <w:tab w:val="num" w:pos="992"/>
          </w:tabs>
          <w:ind w:left="992" w:hanging="283"/>
        </w:pPr>
        <w:rPr>
          <w:rFonts w:ascii="Symbol" w:hAnsi="Symbol" w:hint="default"/>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7">
    <w:abstractNumId w:val="19"/>
    <w:lvlOverride w:ilvl="0">
      <w:lvl w:ilvl="0">
        <w:start w:val="2"/>
        <w:numFmt w:val="upperLetter"/>
        <w:lvlText w:val="%1"/>
        <w:lvlJc w:val="left"/>
        <w:pPr>
          <w:tabs>
            <w:tab w:val="num" w:pos="709"/>
          </w:tabs>
          <w:ind w:left="709" w:hanging="709"/>
        </w:pPr>
        <w:rPr>
          <w:rFonts w:hint="default"/>
        </w:rPr>
      </w:lvl>
    </w:lvlOverride>
    <w:lvlOverride w:ilvl="1">
      <w:lvl w:ilvl="1">
        <w:start w:val="1"/>
        <w:numFmt w:val="decimal"/>
        <w:lvlText w:val="B.%2"/>
        <w:lvlJc w:val="left"/>
        <w:pPr>
          <w:ind w:left="709" w:hanging="709"/>
        </w:pPr>
        <w:rPr>
          <w:rFonts w:hint="default"/>
          <w:b w:val="0"/>
          <w:i w:val="0"/>
          <w:color w:val="auto"/>
          <w:sz w:val="22"/>
          <w:szCs w:val="24"/>
        </w:rPr>
      </w:lvl>
    </w:lvlOverride>
    <w:lvlOverride w:ilvl="2">
      <w:lvl w:ilvl="2">
        <w:start w:val="1"/>
        <w:numFmt w:val="bullet"/>
        <w:lvlText w:val=""/>
        <w:lvlJc w:val="left"/>
        <w:pPr>
          <w:tabs>
            <w:tab w:val="num" w:pos="992"/>
          </w:tabs>
          <w:ind w:left="992" w:hanging="283"/>
        </w:pPr>
        <w:rPr>
          <w:rFonts w:ascii="Symbol" w:hAnsi="Symbol" w:hint="default"/>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8">
    <w:abstractNumId w:val="12"/>
  </w:num>
  <w:num w:numId="39">
    <w:abstractNumId w:val="16"/>
    <w:lvlOverride w:ilvl="0">
      <w:lvl w:ilvl="0">
        <w:start w:val="1"/>
        <w:numFmt w:val="decimal"/>
        <w:pStyle w:val="Heading1"/>
        <w:lvlText w:val="%1."/>
        <w:lvlJc w:val="left"/>
        <w:pPr>
          <w:ind w:left="709" w:hanging="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Reporttext"/>
        <w:lvlText w:val="%1.%2"/>
        <w:lvlJc w:val="left"/>
        <w:pPr>
          <w:ind w:left="709" w:hanging="709"/>
        </w:pPr>
        <w:rPr>
          <w:rFonts w:ascii="Calibri" w:hAnsi="Calibri" w:cs="Calibri" w:hint="default"/>
          <w:b w:val="0"/>
          <w:color w:val="auto"/>
          <w:sz w:val="22"/>
          <w:szCs w:val="24"/>
        </w:rPr>
      </w:lvl>
    </w:lvlOverride>
    <w:lvlOverride w:ilvl="2">
      <w:lvl w:ilvl="2">
        <w:start w:val="1"/>
        <w:numFmt w:val="lowerRoman"/>
        <w:lvlText w:val="%3."/>
        <w:lvlJc w:val="right"/>
        <w:pPr>
          <w:ind w:left="709" w:hanging="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709" w:hanging="709"/>
        </w:pPr>
        <w:rPr>
          <w:rFonts w:hint="default"/>
        </w:rPr>
      </w:lvl>
    </w:lvlOverride>
    <w:lvlOverride w:ilvl="5">
      <w:lvl w:ilvl="5">
        <w:start w:val="1"/>
        <w:numFmt w:val="lowerRoman"/>
        <w:lvlText w:val="%6."/>
        <w:lvlJc w:val="right"/>
        <w:pPr>
          <w:ind w:left="709" w:hanging="709"/>
        </w:pPr>
        <w:rPr>
          <w:rFonts w:hint="default"/>
        </w:rPr>
      </w:lvl>
    </w:lvlOverride>
    <w:lvlOverride w:ilvl="6">
      <w:lvl w:ilvl="6">
        <w:start w:val="1"/>
        <w:numFmt w:val="decimal"/>
        <w:lvlText w:val="%7."/>
        <w:lvlJc w:val="left"/>
        <w:pPr>
          <w:ind w:left="709" w:hanging="709"/>
        </w:pPr>
        <w:rPr>
          <w:rFonts w:hint="default"/>
        </w:rPr>
      </w:lvl>
    </w:lvlOverride>
    <w:lvlOverride w:ilvl="7">
      <w:lvl w:ilvl="7">
        <w:start w:val="1"/>
        <w:numFmt w:val="lowerLetter"/>
        <w:lvlText w:val="%8."/>
        <w:lvlJc w:val="left"/>
        <w:pPr>
          <w:ind w:left="709" w:hanging="709"/>
        </w:pPr>
        <w:rPr>
          <w:rFonts w:hint="default"/>
        </w:rPr>
      </w:lvl>
    </w:lvlOverride>
    <w:lvlOverride w:ilvl="8">
      <w:lvl w:ilvl="8">
        <w:start w:val="1"/>
        <w:numFmt w:val="lowerRoman"/>
        <w:lvlText w:val="%9."/>
        <w:lvlJc w:val="right"/>
        <w:pPr>
          <w:ind w:left="709" w:hanging="709"/>
        </w:pPr>
        <w:rPr>
          <w:rFonts w:hint="default"/>
        </w:rPr>
      </w:lvl>
    </w:lvlOverride>
  </w:num>
  <w:num w:numId="40">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fr-FR" w:vendorID="64" w:dllVersion="0" w:nlCheck="1" w:checkStyle="0"/>
  <w:activeWritingStyle w:appName="MSWord" w:lang="it-IT"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ttachedTemplate r:id="rId1"/>
  <w:defaultTabStop w:val="720"/>
  <w:drawingGridHorizontalSpacing w:val="120"/>
  <w:displayHorizontalDrawingGridEvery w:val="2"/>
  <w:displayVerticalDrawingGridEvery w:val="2"/>
  <w:doNotShadeFormData/>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FD7"/>
    <w:rsid w:val="0000042F"/>
    <w:rsid w:val="00000C14"/>
    <w:rsid w:val="00000D5D"/>
    <w:rsid w:val="00000F24"/>
    <w:rsid w:val="00001450"/>
    <w:rsid w:val="000016E7"/>
    <w:rsid w:val="00001926"/>
    <w:rsid w:val="00001F45"/>
    <w:rsid w:val="00002233"/>
    <w:rsid w:val="00002FD5"/>
    <w:rsid w:val="0000332A"/>
    <w:rsid w:val="000043BF"/>
    <w:rsid w:val="00004B23"/>
    <w:rsid w:val="00004F1C"/>
    <w:rsid w:val="0000567A"/>
    <w:rsid w:val="00005726"/>
    <w:rsid w:val="00005D6C"/>
    <w:rsid w:val="00006184"/>
    <w:rsid w:val="000065E9"/>
    <w:rsid w:val="00006B07"/>
    <w:rsid w:val="00007105"/>
    <w:rsid w:val="0000714B"/>
    <w:rsid w:val="0000753F"/>
    <w:rsid w:val="00007B2D"/>
    <w:rsid w:val="000100DE"/>
    <w:rsid w:val="00010653"/>
    <w:rsid w:val="0001087B"/>
    <w:rsid w:val="0001098E"/>
    <w:rsid w:val="000110E5"/>
    <w:rsid w:val="00011890"/>
    <w:rsid w:val="00012014"/>
    <w:rsid w:val="00012053"/>
    <w:rsid w:val="0001215F"/>
    <w:rsid w:val="000121FE"/>
    <w:rsid w:val="00012840"/>
    <w:rsid w:val="000130E5"/>
    <w:rsid w:val="0001335D"/>
    <w:rsid w:val="00014080"/>
    <w:rsid w:val="0001471A"/>
    <w:rsid w:val="00014D7D"/>
    <w:rsid w:val="00016145"/>
    <w:rsid w:val="0001619C"/>
    <w:rsid w:val="000169A6"/>
    <w:rsid w:val="00016F0E"/>
    <w:rsid w:val="0001705B"/>
    <w:rsid w:val="000173C6"/>
    <w:rsid w:val="00017D63"/>
    <w:rsid w:val="00017DFF"/>
    <w:rsid w:val="0002003E"/>
    <w:rsid w:val="00020BD5"/>
    <w:rsid w:val="00021B8C"/>
    <w:rsid w:val="00021C45"/>
    <w:rsid w:val="0002200A"/>
    <w:rsid w:val="0002214D"/>
    <w:rsid w:val="0002258B"/>
    <w:rsid w:val="00022A3C"/>
    <w:rsid w:val="00022A4C"/>
    <w:rsid w:val="00022E7A"/>
    <w:rsid w:val="00022F16"/>
    <w:rsid w:val="000234E2"/>
    <w:rsid w:val="00023C75"/>
    <w:rsid w:val="00023D29"/>
    <w:rsid w:val="00023F7B"/>
    <w:rsid w:val="0002439B"/>
    <w:rsid w:val="00024DDC"/>
    <w:rsid w:val="000250A2"/>
    <w:rsid w:val="0002512B"/>
    <w:rsid w:val="000256AC"/>
    <w:rsid w:val="000256EF"/>
    <w:rsid w:val="00025B0C"/>
    <w:rsid w:val="0002603E"/>
    <w:rsid w:val="000263B7"/>
    <w:rsid w:val="000267BA"/>
    <w:rsid w:val="00027991"/>
    <w:rsid w:val="00027B23"/>
    <w:rsid w:val="00027C4E"/>
    <w:rsid w:val="00027CD1"/>
    <w:rsid w:val="00027D0A"/>
    <w:rsid w:val="00030090"/>
    <w:rsid w:val="000304F7"/>
    <w:rsid w:val="0003067A"/>
    <w:rsid w:val="000306A4"/>
    <w:rsid w:val="0003078B"/>
    <w:rsid w:val="00030943"/>
    <w:rsid w:val="00030D18"/>
    <w:rsid w:val="00031592"/>
    <w:rsid w:val="0003192E"/>
    <w:rsid w:val="00031B12"/>
    <w:rsid w:val="00031FBA"/>
    <w:rsid w:val="00032310"/>
    <w:rsid w:val="00032776"/>
    <w:rsid w:val="00033747"/>
    <w:rsid w:val="00033C50"/>
    <w:rsid w:val="00033E97"/>
    <w:rsid w:val="00034387"/>
    <w:rsid w:val="000347D4"/>
    <w:rsid w:val="00034A01"/>
    <w:rsid w:val="00034C06"/>
    <w:rsid w:val="00034EA9"/>
    <w:rsid w:val="00035643"/>
    <w:rsid w:val="000356E7"/>
    <w:rsid w:val="00035C7F"/>
    <w:rsid w:val="00036378"/>
    <w:rsid w:val="000366C4"/>
    <w:rsid w:val="00036FB2"/>
    <w:rsid w:val="0003711A"/>
    <w:rsid w:val="000379C8"/>
    <w:rsid w:val="00037FE5"/>
    <w:rsid w:val="0004072A"/>
    <w:rsid w:val="0004074C"/>
    <w:rsid w:val="00040910"/>
    <w:rsid w:val="000410F5"/>
    <w:rsid w:val="0004128B"/>
    <w:rsid w:val="000413CA"/>
    <w:rsid w:val="00041416"/>
    <w:rsid w:val="0004154C"/>
    <w:rsid w:val="000417F8"/>
    <w:rsid w:val="000421ED"/>
    <w:rsid w:val="00042A94"/>
    <w:rsid w:val="00042E0E"/>
    <w:rsid w:val="00042F53"/>
    <w:rsid w:val="0004316B"/>
    <w:rsid w:val="00043F9E"/>
    <w:rsid w:val="0004482F"/>
    <w:rsid w:val="0004493C"/>
    <w:rsid w:val="00045212"/>
    <w:rsid w:val="00045564"/>
    <w:rsid w:val="00045B0E"/>
    <w:rsid w:val="000461E9"/>
    <w:rsid w:val="0004646E"/>
    <w:rsid w:val="00046E74"/>
    <w:rsid w:val="00047AB8"/>
    <w:rsid w:val="0005054E"/>
    <w:rsid w:val="0005106E"/>
    <w:rsid w:val="000515E7"/>
    <w:rsid w:val="00051C16"/>
    <w:rsid w:val="00051D4B"/>
    <w:rsid w:val="00052027"/>
    <w:rsid w:val="00052D13"/>
    <w:rsid w:val="00052FAD"/>
    <w:rsid w:val="00053453"/>
    <w:rsid w:val="00053A00"/>
    <w:rsid w:val="00053B09"/>
    <w:rsid w:val="00053B31"/>
    <w:rsid w:val="0005403A"/>
    <w:rsid w:val="0005449A"/>
    <w:rsid w:val="00054FCF"/>
    <w:rsid w:val="00055A49"/>
    <w:rsid w:val="0005618C"/>
    <w:rsid w:val="00056990"/>
    <w:rsid w:val="00056F2C"/>
    <w:rsid w:val="00057006"/>
    <w:rsid w:val="0005712F"/>
    <w:rsid w:val="0005726D"/>
    <w:rsid w:val="00057709"/>
    <w:rsid w:val="00057750"/>
    <w:rsid w:val="00057794"/>
    <w:rsid w:val="000577EF"/>
    <w:rsid w:val="0005789A"/>
    <w:rsid w:val="00057E49"/>
    <w:rsid w:val="00057E5E"/>
    <w:rsid w:val="00060807"/>
    <w:rsid w:val="00060C38"/>
    <w:rsid w:val="0006147A"/>
    <w:rsid w:val="000615C1"/>
    <w:rsid w:val="0006176C"/>
    <w:rsid w:val="00061CF9"/>
    <w:rsid w:val="00061EBC"/>
    <w:rsid w:val="00062121"/>
    <w:rsid w:val="00062166"/>
    <w:rsid w:val="00062661"/>
    <w:rsid w:val="000628EB"/>
    <w:rsid w:val="00062CC9"/>
    <w:rsid w:val="00063329"/>
    <w:rsid w:val="000636D8"/>
    <w:rsid w:val="000639BC"/>
    <w:rsid w:val="00063DAC"/>
    <w:rsid w:val="000646F4"/>
    <w:rsid w:val="00064CE8"/>
    <w:rsid w:val="0006511A"/>
    <w:rsid w:val="00065267"/>
    <w:rsid w:val="000652B5"/>
    <w:rsid w:val="00065585"/>
    <w:rsid w:val="00065EFD"/>
    <w:rsid w:val="00066B92"/>
    <w:rsid w:val="00066EC2"/>
    <w:rsid w:val="00066EF9"/>
    <w:rsid w:val="000676DE"/>
    <w:rsid w:val="000679A0"/>
    <w:rsid w:val="00067BC7"/>
    <w:rsid w:val="00067DA3"/>
    <w:rsid w:val="00067EF2"/>
    <w:rsid w:val="00070115"/>
    <w:rsid w:val="00070382"/>
    <w:rsid w:val="00070598"/>
    <w:rsid w:val="00070868"/>
    <w:rsid w:val="00070C83"/>
    <w:rsid w:val="00070E86"/>
    <w:rsid w:val="00071036"/>
    <w:rsid w:val="0007103E"/>
    <w:rsid w:val="000712D3"/>
    <w:rsid w:val="00071661"/>
    <w:rsid w:val="000716DF"/>
    <w:rsid w:val="00071784"/>
    <w:rsid w:val="00071A68"/>
    <w:rsid w:val="00071AD6"/>
    <w:rsid w:val="00071CBF"/>
    <w:rsid w:val="00072288"/>
    <w:rsid w:val="000726A1"/>
    <w:rsid w:val="00072BD3"/>
    <w:rsid w:val="00072D14"/>
    <w:rsid w:val="00072FE8"/>
    <w:rsid w:val="000730C8"/>
    <w:rsid w:val="00073138"/>
    <w:rsid w:val="00073366"/>
    <w:rsid w:val="00073500"/>
    <w:rsid w:val="00073E24"/>
    <w:rsid w:val="000748B0"/>
    <w:rsid w:val="00074A68"/>
    <w:rsid w:val="00074F73"/>
    <w:rsid w:val="0007546B"/>
    <w:rsid w:val="00075662"/>
    <w:rsid w:val="000757E2"/>
    <w:rsid w:val="00075E75"/>
    <w:rsid w:val="00075EB1"/>
    <w:rsid w:val="00076019"/>
    <w:rsid w:val="000765EB"/>
    <w:rsid w:val="00076C09"/>
    <w:rsid w:val="000772C1"/>
    <w:rsid w:val="000775EB"/>
    <w:rsid w:val="00077788"/>
    <w:rsid w:val="00077794"/>
    <w:rsid w:val="00077E67"/>
    <w:rsid w:val="00080402"/>
    <w:rsid w:val="0008046D"/>
    <w:rsid w:val="00080D44"/>
    <w:rsid w:val="000810C9"/>
    <w:rsid w:val="000813FA"/>
    <w:rsid w:val="0008185C"/>
    <w:rsid w:val="00081A2B"/>
    <w:rsid w:val="00081D4E"/>
    <w:rsid w:val="00081DC7"/>
    <w:rsid w:val="00081FF2"/>
    <w:rsid w:val="00082048"/>
    <w:rsid w:val="00082681"/>
    <w:rsid w:val="000829B8"/>
    <w:rsid w:val="000829CD"/>
    <w:rsid w:val="00082A11"/>
    <w:rsid w:val="00083A44"/>
    <w:rsid w:val="00083D65"/>
    <w:rsid w:val="00084402"/>
    <w:rsid w:val="000844A4"/>
    <w:rsid w:val="000847E1"/>
    <w:rsid w:val="00084A36"/>
    <w:rsid w:val="00084FD1"/>
    <w:rsid w:val="00087421"/>
    <w:rsid w:val="00087918"/>
    <w:rsid w:val="00090B40"/>
    <w:rsid w:val="00090ED7"/>
    <w:rsid w:val="00092297"/>
    <w:rsid w:val="000929D2"/>
    <w:rsid w:val="00093245"/>
    <w:rsid w:val="00093D6E"/>
    <w:rsid w:val="00093DA8"/>
    <w:rsid w:val="00094441"/>
    <w:rsid w:val="00094681"/>
    <w:rsid w:val="00094EAD"/>
    <w:rsid w:val="00095599"/>
    <w:rsid w:val="000960CF"/>
    <w:rsid w:val="000960DF"/>
    <w:rsid w:val="000963D7"/>
    <w:rsid w:val="000965B7"/>
    <w:rsid w:val="0009685D"/>
    <w:rsid w:val="00096C9A"/>
    <w:rsid w:val="000974F6"/>
    <w:rsid w:val="000A08FE"/>
    <w:rsid w:val="000A0B62"/>
    <w:rsid w:val="000A0F93"/>
    <w:rsid w:val="000A10B6"/>
    <w:rsid w:val="000A1474"/>
    <w:rsid w:val="000A2149"/>
    <w:rsid w:val="000A26D6"/>
    <w:rsid w:val="000A27CE"/>
    <w:rsid w:val="000A2C52"/>
    <w:rsid w:val="000A2C65"/>
    <w:rsid w:val="000A2FE8"/>
    <w:rsid w:val="000A3255"/>
    <w:rsid w:val="000A33B3"/>
    <w:rsid w:val="000A3705"/>
    <w:rsid w:val="000A3FF2"/>
    <w:rsid w:val="000A4CA2"/>
    <w:rsid w:val="000A4FB1"/>
    <w:rsid w:val="000A5283"/>
    <w:rsid w:val="000A52D4"/>
    <w:rsid w:val="000A566F"/>
    <w:rsid w:val="000A5685"/>
    <w:rsid w:val="000A5B87"/>
    <w:rsid w:val="000A5C0C"/>
    <w:rsid w:val="000A5DB7"/>
    <w:rsid w:val="000A608F"/>
    <w:rsid w:val="000A6D49"/>
    <w:rsid w:val="000A6D92"/>
    <w:rsid w:val="000A6F49"/>
    <w:rsid w:val="000A70F7"/>
    <w:rsid w:val="000A74A4"/>
    <w:rsid w:val="000A750F"/>
    <w:rsid w:val="000A7BE5"/>
    <w:rsid w:val="000A7E86"/>
    <w:rsid w:val="000B02A3"/>
    <w:rsid w:val="000B0B6A"/>
    <w:rsid w:val="000B0E29"/>
    <w:rsid w:val="000B0F53"/>
    <w:rsid w:val="000B0F7C"/>
    <w:rsid w:val="000B1861"/>
    <w:rsid w:val="000B186B"/>
    <w:rsid w:val="000B1B35"/>
    <w:rsid w:val="000B1B43"/>
    <w:rsid w:val="000B1B90"/>
    <w:rsid w:val="000B1CFA"/>
    <w:rsid w:val="000B1EEB"/>
    <w:rsid w:val="000B1F54"/>
    <w:rsid w:val="000B25B0"/>
    <w:rsid w:val="000B2674"/>
    <w:rsid w:val="000B2A1A"/>
    <w:rsid w:val="000B32DE"/>
    <w:rsid w:val="000B3E58"/>
    <w:rsid w:val="000B4068"/>
    <w:rsid w:val="000B40C0"/>
    <w:rsid w:val="000B4ECD"/>
    <w:rsid w:val="000B5179"/>
    <w:rsid w:val="000B5196"/>
    <w:rsid w:val="000B59D6"/>
    <w:rsid w:val="000B6518"/>
    <w:rsid w:val="000B6769"/>
    <w:rsid w:val="000B6841"/>
    <w:rsid w:val="000B6975"/>
    <w:rsid w:val="000B6A23"/>
    <w:rsid w:val="000B6A81"/>
    <w:rsid w:val="000B6D17"/>
    <w:rsid w:val="000C02FC"/>
    <w:rsid w:val="000C08C9"/>
    <w:rsid w:val="000C092C"/>
    <w:rsid w:val="000C0A49"/>
    <w:rsid w:val="000C0A9D"/>
    <w:rsid w:val="000C0EC5"/>
    <w:rsid w:val="000C1131"/>
    <w:rsid w:val="000C1216"/>
    <w:rsid w:val="000C127B"/>
    <w:rsid w:val="000C15E2"/>
    <w:rsid w:val="000C1687"/>
    <w:rsid w:val="000C2B99"/>
    <w:rsid w:val="000C3598"/>
    <w:rsid w:val="000C3A56"/>
    <w:rsid w:val="000C3C6B"/>
    <w:rsid w:val="000C3FDE"/>
    <w:rsid w:val="000C40B8"/>
    <w:rsid w:val="000C5CAD"/>
    <w:rsid w:val="000C621A"/>
    <w:rsid w:val="000C62CA"/>
    <w:rsid w:val="000C6F0A"/>
    <w:rsid w:val="000C76F1"/>
    <w:rsid w:val="000D029A"/>
    <w:rsid w:val="000D0427"/>
    <w:rsid w:val="000D0504"/>
    <w:rsid w:val="000D0E07"/>
    <w:rsid w:val="000D0F35"/>
    <w:rsid w:val="000D1599"/>
    <w:rsid w:val="000D161B"/>
    <w:rsid w:val="000D1FCC"/>
    <w:rsid w:val="000D21DC"/>
    <w:rsid w:val="000D247E"/>
    <w:rsid w:val="000D2A58"/>
    <w:rsid w:val="000D2D89"/>
    <w:rsid w:val="000D2F18"/>
    <w:rsid w:val="000D3629"/>
    <w:rsid w:val="000D367D"/>
    <w:rsid w:val="000D3AD0"/>
    <w:rsid w:val="000D3C5F"/>
    <w:rsid w:val="000D4116"/>
    <w:rsid w:val="000D4374"/>
    <w:rsid w:val="000D44F1"/>
    <w:rsid w:val="000D470D"/>
    <w:rsid w:val="000D48BF"/>
    <w:rsid w:val="000D49A1"/>
    <w:rsid w:val="000D4AE9"/>
    <w:rsid w:val="000D4E83"/>
    <w:rsid w:val="000D4EBD"/>
    <w:rsid w:val="000D5168"/>
    <w:rsid w:val="000D52F5"/>
    <w:rsid w:val="000D5688"/>
    <w:rsid w:val="000D5969"/>
    <w:rsid w:val="000D5EC0"/>
    <w:rsid w:val="000D64A4"/>
    <w:rsid w:val="000D6904"/>
    <w:rsid w:val="000D6D61"/>
    <w:rsid w:val="000D740D"/>
    <w:rsid w:val="000D761E"/>
    <w:rsid w:val="000D7723"/>
    <w:rsid w:val="000D7A87"/>
    <w:rsid w:val="000D7BFA"/>
    <w:rsid w:val="000E0672"/>
    <w:rsid w:val="000E0BF7"/>
    <w:rsid w:val="000E1122"/>
    <w:rsid w:val="000E1257"/>
    <w:rsid w:val="000E12BE"/>
    <w:rsid w:val="000E13DF"/>
    <w:rsid w:val="000E1676"/>
    <w:rsid w:val="000E1A5A"/>
    <w:rsid w:val="000E1DC5"/>
    <w:rsid w:val="000E200B"/>
    <w:rsid w:val="000E231E"/>
    <w:rsid w:val="000E2DB4"/>
    <w:rsid w:val="000E2EE5"/>
    <w:rsid w:val="000E3227"/>
    <w:rsid w:val="000E3484"/>
    <w:rsid w:val="000E350D"/>
    <w:rsid w:val="000E3782"/>
    <w:rsid w:val="000E392A"/>
    <w:rsid w:val="000E3BFD"/>
    <w:rsid w:val="000E3C46"/>
    <w:rsid w:val="000E3CAE"/>
    <w:rsid w:val="000E3CD9"/>
    <w:rsid w:val="000E402F"/>
    <w:rsid w:val="000E4045"/>
    <w:rsid w:val="000E46DF"/>
    <w:rsid w:val="000E4B5C"/>
    <w:rsid w:val="000E4BD5"/>
    <w:rsid w:val="000E4BDE"/>
    <w:rsid w:val="000E4DC4"/>
    <w:rsid w:val="000E5113"/>
    <w:rsid w:val="000E52CE"/>
    <w:rsid w:val="000E5455"/>
    <w:rsid w:val="000E5A1E"/>
    <w:rsid w:val="000E5A27"/>
    <w:rsid w:val="000E5C07"/>
    <w:rsid w:val="000E61A4"/>
    <w:rsid w:val="000E62A2"/>
    <w:rsid w:val="000E70FB"/>
    <w:rsid w:val="000E74FE"/>
    <w:rsid w:val="000E753E"/>
    <w:rsid w:val="000E7670"/>
    <w:rsid w:val="000E7992"/>
    <w:rsid w:val="000E7D72"/>
    <w:rsid w:val="000E7DA0"/>
    <w:rsid w:val="000E7FAE"/>
    <w:rsid w:val="000F0AF8"/>
    <w:rsid w:val="000F0E2F"/>
    <w:rsid w:val="000F15C5"/>
    <w:rsid w:val="000F16B2"/>
    <w:rsid w:val="000F1D06"/>
    <w:rsid w:val="000F229E"/>
    <w:rsid w:val="000F22FC"/>
    <w:rsid w:val="000F23CA"/>
    <w:rsid w:val="000F23D5"/>
    <w:rsid w:val="000F2AC0"/>
    <w:rsid w:val="000F310E"/>
    <w:rsid w:val="000F36D8"/>
    <w:rsid w:val="000F3A41"/>
    <w:rsid w:val="000F3FCD"/>
    <w:rsid w:val="000F42B1"/>
    <w:rsid w:val="000F42E8"/>
    <w:rsid w:val="000F446B"/>
    <w:rsid w:val="000F514B"/>
    <w:rsid w:val="000F546E"/>
    <w:rsid w:val="000F61A3"/>
    <w:rsid w:val="000F6241"/>
    <w:rsid w:val="000F6676"/>
    <w:rsid w:val="000F74A0"/>
    <w:rsid w:val="000F7CC5"/>
    <w:rsid w:val="00100398"/>
    <w:rsid w:val="001005AF"/>
    <w:rsid w:val="00100D9A"/>
    <w:rsid w:val="00100EF9"/>
    <w:rsid w:val="00101063"/>
    <w:rsid w:val="001010ED"/>
    <w:rsid w:val="00101667"/>
    <w:rsid w:val="00101B40"/>
    <w:rsid w:val="00102197"/>
    <w:rsid w:val="001023EC"/>
    <w:rsid w:val="00102736"/>
    <w:rsid w:val="001028D7"/>
    <w:rsid w:val="0010301C"/>
    <w:rsid w:val="00103CC6"/>
    <w:rsid w:val="00103D0D"/>
    <w:rsid w:val="00103E93"/>
    <w:rsid w:val="001040F4"/>
    <w:rsid w:val="0010438E"/>
    <w:rsid w:val="00105235"/>
    <w:rsid w:val="0010572C"/>
    <w:rsid w:val="001066DA"/>
    <w:rsid w:val="00106749"/>
    <w:rsid w:val="00106AF2"/>
    <w:rsid w:val="00106B14"/>
    <w:rsid w:val="00107923"/>
    <w:rsid w:val="00107CEA"/>
    <w:rsid w:val="00110640"/>
    <w:rsid w:val="00110822"/>
    <w:rsid w:val="00110B43"/>
    <w:rsid w:val="0011112A"/>
    <w:rsid w:val="001117A5"/>
    <w:rsid w:val="0011191E"/>
    <w:rsid w:val="00112278"/>
    <w:rsid w:val="00112544"/>
    <w:rsid w:val="00112807"/>
    <w:rsid w:val="00112B8C"/>
    <w:rsid w:val="00112CAF"/>
    <w:rsid w:val="00112F07"/>
    <w:rsid w:val="001134F7"/>
    <w:rsid w:val="00113D56"/>
    <w:rsid w:val="00114D52"/>
    <w:rsid w:val="00114E24"/>
    <w:rsid w:val="001151F6"/>
    <w:rsid w:val="0011521D"/>
    <w:rsid w:val="00115349"/>
    <w:rsid w:val="00115462"/>
    <w:rsid w:val="001155A2"/>
    <w:rsid w:val="001156BF"/>
    <w:rsid w:val="001158A3"/>
    <w:rsid w:val="00115A66"/>
    <w:rsid w:val="00115EE4"/>
    <w:rsid w:val="00116269"/>
    <w:rsid w:val="00116319"/>
    <w:rsid w:val="0011659E"/>
    <w:rsid w:val="00116B94"/>
    <w:rsid w:val="00116FBF"/>
    <w:rsid w:val="001173E1"/>
    <w:rsid w:val="00117451"/>
    <w:rsid w:val="00117D8F"/>
    <w:rsid w:val="001202DF"/>
    <w:rsid w:val="001205D7"/>
    <w:rsid w:val="001211A7"/>
    <w:rsid w:val="001214BB"/>
    <w:rsid w:val="0012226B"/>
    <w:rsid w:val="0012260A"/>
    <w:rsid w:val="00123080"/>
    <w:rsid w:val="001232EB"/>
    <w:rsid w:val="0012389C"/>
    <w:rsid w:val="00123920"/>
    <w:rsid w:val="001245C7"/>
    <w:rsid w:val="001245EC"/>
    <w:rsid w:val="0012499B"/>
    <w:rsid w:val="001251F0"/>
    <w:rsid w:val="001252A3"/>
    <w:rsid w:val="0012548B"/>
    <w:rsid w:val="001254A4"/>
    <w:rsid w:val="001255D7"/>
    <w:rsid w:val="00125735"/>
    <w:rsid w:val="00125768"/>
    <w:rsid w:val="00125902"/>
    <w:rsid w:val="001259C4"/>
    <w:rsid w:val="00125B45"/>
    <w:rsid w:val="00126233"/>
    <w:rsid w:val="00126D75"/>
    <w:rsid w:val="0012779A"/>
    <w:rsid w:val="00127CE5"/>
    <w:rsid w:val="00127E52"/>
    <w:rsid w:val="00130B74"/>
    <w:rsid w:val="00130BC1"/>
    <w:rsid w:val="001323CF"/>
    <w:rsid w:val="0013293D"/>
    <w:rsid w:val="00132B54"/>
    <w:rsid w:val="00132C39"/>
    <w:rsid w:val="001333A9"/>
    <w:rsid w:val="00134099"/>
    <w:rsid w:val="001345E3"/>
    <w:rsid w:val="001345EB"/>
    <w:rsid w:val="001349A6"/>
    <w:rsid w:val="00134ED6"/>
    <w:rsid w:val="00136126"/>
    <w:rsid w:val="00136C40"/>
    <w:rsid w:val="00136C6F"/>
    <w:rsid w:val="00136DFB"/>
    <w:rsid w:val="0013701D"/>
    <w:rsid w:val="001371D2"/>
    <w:rsid w:val="0013798A"/>
    <w:rsid w:val="00137F03"/>
    <w:rsid w:val="001414E2"/>
    <w:rsid w:val="001419D8"/>
    <w:rsid w:val="00141AEF"/>
    <w:rsid w:val="00142858"/>
    <w:rsid w:val="00142A21"/>
    <w:rsid w:val="001437B0"/>
    <w:rsid w:val="00143803"/>
    <w:rsid w:val="00143811"/>
    <w:rsid w:val="0014392A"/>
    <w:rsid w:val="00143FFC"/>
    <w:rsid w:val="001447EB"/>
    <w:rsid w:val="00144DD5"/>
    <w:rsid w:val="00144F15"/>
    <w:rsid w:val="0014500C"/>
    <w:rsid w:val="00145032"/>
    <w:rsid w:val="00145144"/>
    <w:rsid w:val="001458DC"/>
    <w:rsid w:val="001459A0"/>
    <w:rsid w:val="00145A6E"/>
    <w:rsid w:val="0014662D"/>
    <w:rsid w:val="00146AC3"/>
    <w:rsid w:val="001475C0"/>
    <w:rsid w:val="00147646"/>
    <w:rsid w:val="00147E62"/>
    <w:rsid w:val="00147ECB"/>
    <w:rsid w:val="00147F3A"/>
    <w:rsid w:val="0015014D"/>
    <w:rsid w:val="001501CA"/>
    <w:rsid w:val="0015037E"/>
    <w:rsid w:val="00150694"/>
    <w:rsid w:val="001507FE"/>
    <w:rsid w:val="001509C6"/>
    <w:rsid w:val="00150AF6"/>
    <w:rsid w:val="00150B3F"/>
    <w:rsid w:val="00150E7E"/>
    <w:rsid w:val="001511A9"/>
    <w:rsid w:val="001514C3"/>
    <w:rsid w:val="0015166D"/>
    <w:rsid w:val="001516EF"/>
    <w:rsid w:val="00151F0C"/>
    <w:rsid w:val="00152023"/>
    <w:rsid w:val="001526D9"/>
    <w:rsid w:val="0015285E"/>
    <w:rsid w:val="00152B26"/>
    <w:rsid w:val="00152C6F"/>
    <w:rsid w:val="00152D6C"/>
    <w:rsid w:val="00152D7B"/>
    <w:rsid w:val="0015368C"/>
    <w:rsid w:val="00153A01"/>
    <w:rsid w:val="00153AB9"/>
    <w:rsid w:val="001545E1"/>
    <w:rsid w:val="00154695"/>
    <w:rsid w:val="0015480B"/>
    <w:rsid w:val="001548D3"/>
    <w:rsid w:val="00154D4A"/>
    <w:rsid w:val="00155035"/>
    <w:rsid w:val="0015514D"/>
    <w:rsid w:val="0015553B"/>
    <w:rsid w:val="0015565B"/>
    <w:rsid w:val="00155718"/>
    <w:rsid w:val="00155827"/>
    <w:rsid w:val="00155FAD"/>
    <w:rsid w:val="0015666B"/>
    <w:rsid w:val="00156981"/>
    <w:rsid w:val="00156E23"/>
    <w:rsid w:val="001572F0"/>
    <w:rsid w:val="0015753C"/>
    <w:rsid w:val="001579F1"/>
    <w:rsid w:val="00157A72"/>
    <w:rsid w:val="00157B73"/>
    <w:rsid w:val="00157BD0"/>
    <w:rsid w:val="00157D37"/>
    <w:rsid w:val="00160320"/>
    <w:rsid w:val="00160CC6"/>
    <w:rsid w:val="0016105E"/>
    <w:rsid w:val="0016199F"/>
    <w:rsid w:val="00161A0F"/>
    <w:rsid w:val="00161E54"/>
    <w:rsid w:val="00162339"/>
    <w:rsid w:val="00162552"/>
    <w:rsid w:val="00163212"/>
    <w:rsid w:val="00163499"/>
    <w:rsid w:val="0016364B"/>
    <w:rsid w:val="00164019"/>
    <w:rsid w:val="001645E2"/>
    <w:rsid w:val="00164707"/>
    <w:rsid w:val="00164789"/>
    <w:rsid w:val="001647C5"/>
    <w:rsid w:val="00164939"/>
    <w:rsid w:val="00165002"/>
    <w:rsid w:val="00165495"/>
    <w:rsid w:val="00165753"/>
    <w:rsid w:val="0016579F"/>
    <w:rsid w:val="00165D2B"/>
    <w:rsid w:val="00165E01"/>
    <w:rsid w:val="00166413"/>
    <w:rsid w:val="0016683D"/>
    <w:rsid w:val="00166ABC"/>
    <w:rsid w:val="00166D6E"/>
    <w:rsid w:val="00166FCC"/>
    <w:rsid w:val="0016718A"/>
    <w:rsid w:val="00167557"/>
    <w:rsid w:val="00167676"/>
    <w:rsid w:val="001676BE"/>
    <w:rsid w:val="0017010D"/>
    <w:rsid w:val="001701E3"/>
    <w:rsid w:val="0017028F"/>
    <w:rsid w:val="0017065B"/>
    <w:rsid w:val="0017076C"/>
    <w:rsid w:val="00170E50"/>
    <w:rsid w:val="0017107B"/>
    <w:rsid w:val="001710A0"/>
    <w:rsid w:val="001711A7"/>
    <w:rsid w:val="0017169B"/>
    <w:rsid w:val="0017173A"/>
    <w:rsid w:val="0017173F"/>
    <w:rsid w:val="00171BCB"/>
    <w:rsid w:val="00171DAB"/>
    <w:rsid w:val="00172604"/>
    <w:rsid w:val="0017290C"/>
    <w:rsid w:val="00172ABC"/>
    <w:rsid w:val="00172CE9"/>
    <w:rsid w:val="00173567"/>
    <w:rsid w:val="001736CD"/>
    <w:rsid w:val="00173863"/>
    <w:rsid w:val="00173A65"/>
    <w:rsid w:val="001748C1"/>
    <w:rsid w:val="00174FD2"/>
    <w:rsid w:val="00175042"/>
    <w:rsid w:val="00175224"/>
    <w:rsid w:val="00175AFF"/>
    <w:rsid w:val="00175E89"/>
    <w:rsid w:val="0017600F"/>
    <w:rsid w:val="001766C3"/>
    <w:rsid w:val="00176938"/>
    <w:rsid w:val="00176EA0"/>
    <w:rsid w:val="001773D5"/>
    <w:rsid w:val="0017799E"/>
    <w:rsid w:val="001779DA"/>
    <w:rsid w:val="00177EE2"/>
    <w:rsid w:val="00180506"/>
    <w:rsid w:val="00180E4E"/>
    <w:rsid w:val="00180E82"/>
    <w:rsid w:val="0018104B"/>
    <w:rsid w:val="00181573"/>
    <w:rsid w:val="00181B1C"/>
    <w:rsid w:val="00181ECE"/>
    <w:rsid w:val="00181F41"/>
    <w:rsid w:val="0018222E"/>
    <w:rsid w:val="00182431"/>
    <w:rsid w:val="00182545"/>
    <w:rsid w:val="00182A66"/>
    <w:rsid w:val="00182B16"/>
    <w:rsid w:val="00182F9A"/>
    <w:rsid w:val="0018300D"/>
    <w:rsid w:val="0018401A"/>
    <w:rsid w:val="001848AF"/>
    <w:rsid w:val="0018517E"/>
    <w:rsid w:val="0018519C"/>
    <w:rsid w:val="0018540F"/>
    <w:rsid w:val="00185C4E"/>
    <w:rsid w:val="00185DCE"/>
    <w:rsid w:val="0018645E"/>
    <w:rsid w:val="001867F8"/>
    <w:rsid w:val="00186AE0"/>
    <w:rsid w:val="0018708C"/>
    <w:rsid w:val="001875A8"/>
    <w:rsid w:val="001876A2"/>
    <w:rsid w:val="00190CC4"/>
    <w:rsid w:val="00190D2B"/>
    <w:rsid w:val="00191208"/>
    <w:rsid w:val="001914E1"/>
    <w:rsid w:val="00191719"/>
    <w:rsid w:val="001919C7"/>
    <w:rsid w:val="00191C9E"/>
    <w:rsid w:val="00191FDB"/>
    <w:rsid w:val="001920D7"/>
    <w:rsid w:val="00192812"/>
    <w:rsid w:val="00192B0A"/>
    <w:rsid w:val="00192D22"/>
    <w:rsid w:val="00192DCB"/>
    <w:rsid w:val="00193781"/>
    <w:rsid w:val="0019387E"/>
    <w:rsid w:val="0019390E"/>
    <w:rsid w:val="00193C9F"/>
    <w:rsid w:val="00194542"/>
    <w:rsid w:val="00194CDB"/>
    <w:rsid w:val="00194D01"/>
    <w:rsid w:val="001963E9"/>
    <w:rsid w:val="00196A9E"/>
    <w:rsid w:val="00197102"/>
    <w:rsid w:val="001973FB"/>
    <w:rsid w:val="00197490"/>
    <w:rsid w:val="001977E2"/>
    <w:rsid w:val="00197DFE"/>
    <w:rsid w:val="001A0372"/>
    <w:rsid w:val="001A03A3"/>
    <w:rsid w:val="001A064F"/>
    <w:rsid w:val="001A0A36"/>
    <w:rsid w:val="001A1291"/>
    <w:rsid w:val="001A14C3"/>
    <w:rsid w:val="001A2135"/>
    <w:rsid w:val="001A2663"/>
    <w:rsid w:val="001A274A"/>
    <w:rsid w:val="001A3207"/>
    <w:rsid w:val="001A3816"/>
    <w:rsid w:val="001A3B5A"/>
    <w:rsid w:val="001A3C4E"/>
    <w:rsid w:val="001A4232"/>
    <w:rsid w:val="001A4242"/>
    <w:rsid w:val="001A4A44"/>
    <w:rsid w:val="001A4B2D"/>
    <w:rsid w:val="001A4C0B"/>
    <w:rsid w:val="001A5390"/>
    <w:rsid w:val="001A5710"/>
    <w:rsid w:val="001A5A2E"/>
    <w:rsid w:val="001A5AAF"/>
    <w:rsid w:val="001A5B81"/>
    <w:rsid w:val="001A5FD2"/>
    <w:rsid w:val="001A6177"/>
    <w:rsid w:val="001A6264"/>
    <w:rsid w:val="001A635D"/>
    <w:rsid w:val="001A6646"/>
    <w:rsid w:val="001A6650"/>
    <w:rsid w:val="001A6B2E"/>
    <w:rsid w:val="001A707F"/>
    <w:rsid w:val="001A773D"/>
    <w:rsid w:val="001A798D"/>
    <w:rsid w:val="001A7D70"/>
    <w:rsid w:val="001A7F10"/>
    <w:rsid w:val="001B02F9"/>
    <w:rsid w:val="001B0F00"/>
    <w:rsid w:val="001B11DC"/>
    <w:rsid w:val="001B1F0E"/>
    <w:rsid w:val="001B249B"/>
    <w:rsid w:val="001B2533"/>
    <w:rsid w:val="001B2534"/>
    <w:rsid w:val="001B3700"/>
    <w:rsid w:val="001B3833"/>
    <w:rsid w:val="001B3A2B"/>
    <w:rsid w:val="001B3E3A"/>
    <w:rsid w:val="001B402E"/>
    <w:rsid w:val="001B4DE4"/>
    <w:rsid w:val="001B4EA4"/>
    <w:rsid w:val="001B50FB"/>
    <w:rsid w:val="001B5150"/>
    <w:rsid w:val="001B5438"/>
    <w:rsid w:val="001B547E"/>
    <w:rsid w:val="001B5557"/>
    <w:rsid w:val="001B55E1"/>
    <w:rsid w:val="001B5693"/>
    <w:rsid w:val="001B5916"/>
    <w:rsid w:val="001B5AB9"/>
    <w:rsid w:val="001B5C4B"/>
    <w:rsid w:val="001B5E88"/>
    <w:rsid w:val="001B71ED"/>
    <w:rsid w:val="001B727F"/>
    <w:rsid w:val="001B783D"/>
    <w:rsid w:val="001B7F55"/>
    <w:rsid w:val="001B7F72"/>
    <w:rsid w:val="001C048D"/>
    <w:rsid w:val="001C0983"/>
    <w:rsid w:val="001C0BAA"/>
    <w:rsid w:val="001C0BB7"/>
    <w:rsid w:val="001C1168"/>
    <w:rsid w:val="001C1178"/>
    <w:rsid w:val="001C140F"/>
    <w:rsid w:val="001C164F"/>
    <w:rsid w:val="001C1D9D"/>
    <w:rsid w:val="001C1E55"/>
    <w:rsid w:val="001C24CB"/>
    <w:rsid w:val="001C27F0"/>
    <w:rsid w:val="001C2C07"/>
    <w:rsid w:val="001C302B"/>
    <w:rsid w:val="001C346F"/>
    <w:rsid w:val="001C427D"/>
    <w:rsid w:val="001C4E77"/>
    <w:rsid w:val="001C4FEB"/>
    <w:rsid w:val="001C5526"/>
    <w:rsid w:val="001C5C75"/>
    <w:rsid w:val="001C5D25"/>
    <w:rsid w:val="001C5E0C"/>
    <w:rsid w:val="001C6ACF"/>
    <w:rsid w:val="001C749A"/>
    <w:rsid w:val="001C771A"/>
    <w:rsid w:val="001C7FBF"/>
    <w:rsid w:val="001D023A"/>
    <w:rsid w:val="001D0299"/>
    <w:rsid w:val="001D0627"/>
    <w:rsid w:val="001D089F"/>
    <w:rsid w:val="001D08D3"/>
    <w:rsid w:val="001D0A28"/>
    <w:rsid w:val="001D1198"/>
    <w:rsid w:val="001D1B0B"/>
    <w:rsid w:val="001D1DEF"/>
    <w:rsid w:val="001D1E6A"/>
    <w:rsid w:val="001D24B2"/>
    <w:rsid w:val="001D2764"/>
    <w:rsid w:val="001D2A84"/>
    <w:rsid w:val="001D2AD4"/>
    <w:rsid w:val="001D2E55"/>
    <w:rsid w:val="001D2EA0"/>
    <w:rsid w:val="001D2EDF"/>
    <w:rsid w:val="001D2EFF"/>
    <w:rsid w:val="001D3358"/>
    <w:rsid w:val="001D3544"/>
    <w:rsid w:val="001D37D4"/>
    <w:rsid w:val="001D3B6D"/>
    <w:rsid w:val="001D3CC2"/>
    <w:rsid w:val="001D3E30"/>
    <w:rsid w:val="001D41FF"/>
    <w:rsid w:val="001D4782"/>
    <w:rsid w:val="001D4B49"/>
    <w:rsid w:val="001D4D96"/>
    <w:rsid w:val="001D504A"/>
    <w:rsid w:val="001D527B"/>
    <w:rsid w:val="001D5551"/>
    <w:rsid w:val="001D5931"/>
    <w:rsid w:val="001D5F77"/>
    <w:rsid w:val="001D60A2"/>
    <w:rsid w:val="001D610D"/>
    <w:rsid w:val="001D615F"/>
    <w:rsid w:val="001D6454"/>
    <w:rsid w:val="001D675B"/>
    <w:rsid w:val="001D6AA8"/>
    <w:rsid w:val="001D6AB1"/>
    <w:rsid w:val="001D6E92"/>
    <w:rsid w:val="001D6F15"/>
    <w:rsid w:val="001D734B"/>
    <w:rsid w:val="001D7B80"/>
    <w:rsid w:val="001D7BCF"/>
    <w:rsid w:val="001E014D"/>
    <w:rsid w:val="001E125D"/>
    <w:rsid w:val="001E1513"/>
    <w:rsid w:val="001E17B0"/>
    <w:rsid w:val="001E1A9E"/>
    <w:rsid w:val="001E376F"/>
    <w:rsid w:val="001E3DEE"/>
    <w:rsid w:val="001E3F5F"/>
    <w:rsid w:val="001E46D6"/>
    <w:rsid w:val="001E4840"/>
    <w:rsid w:val="001E4A15"/>
    <w:rsid w:val="001E5724"/>
    <w:rsid w:val="001E5B81"/>
    <w:rsid w:val="001E7253"/>
    <w:rsid w:val="001F00C3"/>
    <w:rsid w:val="001F037E"/>
    <w:rsid w:val="001F0A8E"/>
    <w:rsid w:val="001F0F47"/>
    <w:rsid w:val="001F1519"/>
    <w:rsid w:val="001F1B42"/>
    <w:rsid w:val="001F1CCF"/>
    <w:rsid w:val="001F1EF9"/>
    <w:rsid w:val="001F20E9"/>
    <w:rsid w:val="001F23B9"/>
    <w:rsid w:val="001F249A"/>
    <w:rsid w:val="001F2CC7"/>
    <w:rsid w:val="001F2D60"/>
    <w:rsid w:val="001F2FB6"/>
    <w:rsid w:val="001F304E"/>
    <w:rsid w:val="001F33D1"/>
    <w:rsid w:val="001F3893"/>
    <w:rsid w:val="001F42F8"/>
    <w:rsid w:val="001F4B96"/>
    <w:rsid w:val="001F4F21"/>
    <w:rsid w:val="001F55BB"/>
    <w:rsid w:val="001F5A5A"/>
    <w:rsid w:val="001F68ED"/>
    <w:rsid w:val="001F69DA"/>
    <w:rsid w:val="001F6B19"/>
    <w:rsid w:val="001F6FAA"/>
    <w:rsid w:val="001F78A4"/>
    <w:rsid w:val="001F7F65"/>
    <w:rsid w:val="002000A7"/>
    <w:rsid w:val="00200103"/>
    <w:rsid w:val="00200170"/>
    <w:rsid w:val="00200509"/>
    <w:rsid w:val="0020060E"/>
    <w:rsid w:val="00200B06"/>
    <w:rsid w:val="00200DA1"/>
    <w:rsid w:val="00200FA6"/>
    <w:rsid w:val="0020119D"/>
    <w:rsid w:val="0020219B"/>
    <w:rsid w:val="002021CD"/>
    <w:rsid w:val="00202609"/>
    <w:rsid w:val="00202D8C"/>
    <w:rsid w:val="00202F82"/>
    <w:rsid w:val="00203049"/>
    <w:rsid w:val="0020369A"/>
    <w:rsid w:val="00203E57"/>
    <w:rsid w:val="00204303"/>
    <w:rsid w:val="002046B6"/>
    <w:rsid w:val="00204742"/>
    <w:rsid w:val="00204D21"/>
    <w:rsid w:val="00204DEC"/>
    <w:rsid w:val="0020542E"/>
    <w:rsid w:val="00205947"/>
    <w:rsid w:val="002059E3"/>
    <w:rsid w:val="00205B12"/>
    <w:rsid w:val="00205F8A"/>
    <w:rsid w:val="0020651C"/>
    <w:rsid w:val="0020696F"/>
    <w:rsid w:val="00206982"/>
    <w:rsid w:val="00206C48"/>
    <w:rsid w:val="002071FA"/>
    <w:rsid w:val="0020720B"/>
    <w:rsid w:val="002074DE"/>
    <w:rsid w:val="002075CA"/>
    <w:rsid w:val="002078EE"/>
    <w:rsid w:val="00210DEB"/>
    <w:rsid w:val="00211474"/>
    <w:rsid w:val="002114CA"/>
    <w:rsid w:val="00211956"/>
    <w:rsid w:val="00211E34"/>
    <w:rsid w:val="00211E35"/>
    <w:rsid w:val="002125FF"/>
    <w:rsid w:val="002129BB"/>
    <w:rsid w:val="00213061"/>
    <w:rsid w:val="002132D8"/>
    <w:rsid w:val="00213502"/>
    <w:rsid w:val="00213D17"/>
    <w:rsid w:val="002145B0"/>
    <w:rsid w:val="002147BC"/>
    <w:rsid w:val="00214847"/>
    <w:rsid w:val="00214927"/>
    <w:rsid w:val="00214B26"/>
    <w:rsid w:val="00214BA8"/>
    <w:rsid w:val="00215196"/>
    <w:rsid w:val="00215391"/>
    <w:rsid w:val="00215720"/>
    <w:rsid w:val="00215CFF"/>
    <w:rsid w:val="00216162"/>
    <w:rsid w:val="002166DC"/>
    <w:rsid w:val="00216C4A"/>
    <w:rsid w:val="0021725B"/>
    <w:rsid w:val="0021745F"/>
    <w:rsid w:val="0021747B"/>
    <w:rsid w:val="00217738"/>
    <w:rsid w:val="00217D44"/>
    <w:rsid w:val="00217DBA"/>
    <w:rsid w:val="00220557"/>
    <w:rsid w:val="002213E4"/>
    <w:rsid w:val="00221491"/>
    <w:rsid w:val="002216A5"/>
    <w:rsid w:val="00221B21"/>
    <w:rsid w:val="0022236E"/>
    <w:rsid w:val="002226A6"/>
    <w:rsid w:val="002226B0"/>
    <w:rsid w:val="00222F0E"/>
    <w:rsid w:val="00223358"/>
    <w:rsid w:val="002237EF"/>
    <w:rsid w:val="00223C12"/>
    <w:rsid w:val="00223FE9"/>
    <w:rsid w:val="002240B5"/>
    <w:rsid w:val="00224432"/>
    <w:rsid w:val="0022491B"/>
    <w:rsid w:val="002250BA"/>
    <w:rsid w:val="00225110"/>
    <w:rsid w:val="00225113"/>
    <w:rsid w:val="0022586F"/>
    <w:rsid w:val="002259AF"/>
    <w:rsid w:val="002263DE"/>
    <w:rsid w:val="00226615"/>
    <w:rsid w:val="00226B8C"/>
    <w:rsid w:val="00227291"/>
    <w:rsid w:val="00227682"/>
    <w:rsid w:val="002279C2"/>
    <w:rsid w:val="00227C6A"/>
    <w:rsid w:val="00230858"/>
    <w:rsid w:val="00230EB9"/>
    <w:rsid w:val="00230F02"/>
    <w:rsid w:val="00230F14"/>
    <w:rsid w:val="0023161C"/>
    <w:rsid w:val="00231C02"/>
    <w:rsid w:val="00231D57"/>
    <w:rsid w:val="00231EF2"/>
    <w:rsid w:val="002329A0"/>
    <w:rsid w:val="00232BF4"/>
    <w:rsid w:val="00232D72"/>
    <w:rsid w:val="00232E8F"/>
    <w:rsid w:val="00232EDD"/>
    <w:rsid w:val="00233339"/>
    <w:rsid w:val="00233530"/>
    <w:rsid w:val="00233694"/>
    <w:rsid w:val="002337CF"/>
    <w:rsid w:val="00233CAE"/>
    <w:rsid w:val="00233D06"/>
    <w:rsid w:val="00233D31"/>
    <w:rsid w:val="0023425B"/>
    <w:rsid w:val="0023432C"/>
    <w:rsid w:val="0023470E"/>
    <w:rsid w:val="00234925"/>
    <w:rsid w:val="00234B99"/>
    <w:rsid w:val="00234D2C"/>
    <w:rsid w:val="00235AFE"/>
    <w:rsid w:val="00235CC5"/>
    <w:rsid w:val="00235E3E"/>
    <w:rsid w:val="00235E6E"/>
    <w:rsid w:val="00236543"/>
    <w:rsid w:val="00236B8A"/>
    <w:rsid w:val="00236BDD"/>
    <w:rsid w:val="002370AE"/>
    <w:rsid w:val="00237155"/>
    <w:rsid w:val="00237354"/>
    <w:rsid w:val="002375E7"/>
    <w:rsid w:val="002376D1"/>
    <w:rsid w:val="0023778C"/>
    <w:rsid w:val="00240018"/>
    <w:rsid w:val="002403BD"/>
    <w:rsid w:val="00240570"/>
    <w:rsid w:val="0024069B"/>
    <w:rsid w:val="00240A9A"/>
    <w:rsid w:val="0024110E"/>
    <w:rsid w:val="002412AE"/>
    <w:rsid w:val="002418A8"/>
    <w:rsid w:val="00241B96"/>
    <w:rsid w:val="00241F51"/>
    <w:rsid w:val="00241F7B"/>
    <w:rsid w:val="00242EA4"/>
    <w:rsid w:val="0024339C"/>
    <w:rsid w:val="00243463"/>
    <w:rsid w:val="0024439F"/>
    <w:rsid w:val="00244446"/>
    <w:rsid w:val="002448AB"/>
    <w:rsid w:val="00244DB1"/>
    <w:rsid w:val="002457F4"/>
    <w:rsid w:val="0024639C"/>
    <w:rsid w:val="002469E6"/>
    <w:rsid w:val="00246B61"/>
    <w:rsid w:val="00246CFE"/>
    <w:rsid w:val="002478E1"/>
    <w:rsid w:val="002479A9"/>
    <w:rsid w:val="00247C34"/>
    <w:rsid w:val="00247D50"/>
    <w:rsid w:val="00247E55"/>
    <w:rsid w:val="0025072D"/>
    <w:rsid w:val="002507C2"/>
    <w:rsid w:val="00250D18"/>
    <w:rsid w:val="00250F03"/>
    <w:rsid w:val="0025117C"/>
    <w:rsid w:val="0025177D"/>
    <w:rsid w:val="00251DCA"/>
    <w:rsid w:val="00251EB5"/>
    <w:rsid w:val="00252436"/>
    <w:rsid w:val="002526F6"/>
    <w:rsid w:val="00252761"/>
    <w:rsid w:val="00252BF4"/>
    <w:rsid w:val="00252E3C"/>
    <w:rsid w:val="00252E5B"/>
    <w:rsid w:val="00252E84"/>
    <w:rsid w:val="00252E96"/>
    <w:rsid w:val="00253560"/>
    <w:rsid w:val="002535CF"/>
    <w:rsid w:val="002537E9"/>
    <w:rsid w:val="00253930"/>
    <w:rsid w:val="00253B5C"/>
    <w:rsid w:val="00253B60"/>
    <w:rsid w:val="00253DBA"/>
    <w:rsid w:val="00253DC9"/>
    <w:rsid w:val="00253F02"/>
    <w:rsid w:val="00253F1C"/>
    <w:rsid w:val="0025422A"/>
    <w:rsid w:val="00254464"/>
    <w:rsid w:val="00254806"/>
    <w:rsid w:val="00255720"/>
    <w:rsid w:val="00255737"/>
    <w:rsid w:val="002558A6"/>
    <w:rsid w:val="00255B16"/>
    <w:rsid w:val="00255BD0"/>
    <w:rsid w:val="0025620D"/>
    <w:rsid w:val="00256596"/>
    <w:rsid w:val="002565C4"/>
    <w:rsid w:val="002570CC"/>
    <w:rsid w:val="002575F2"/>
    <w:rsid w:val="0025778A"/>
    <w:rsid w:val="002606F1"/>
    <w:rsid w:val="00260836"/>
    <w:rsid w:val="002615D7"/>
    <w:rsid w:val="00261F1D"/>
    <w:rsid w:val="002624F9"/>
    <w:rsid w:val="002633EA"/>
    <w:rsid w:val="00263410"/>
    <w:rsid w:val="00263DE2"/>
    <w:rsid w:val="00264794"/>
    <w:rsid w:val="0026486F"/>
    <w:rsid w:val="0026489B"/>
    <w:rsid w:val="002648CA"/>
    <w:rsid w:val="002652FD"/>
    <w:rsid w:val="002654C0"/>
    <w:rsid w:val="00265682"/>
    <w:rsid w:val="002656CA"/>
    <w:rsid w:val="0026575B"/>
    <w:rsid w:val="00265ACB"/>
    <w:rsid w:val="0026626E"/>
    <w:rsid w:val="00266A60"/>
    <w:rsid w:val="002672AC"/>
    <w:rsid w:val="00267941"/>
    <w:rsid w:val="002700FE"/>
    <w:rsid w:val="002706F9"/>
    <w:rsid w:val="002708A2"/>
    <w:rsid w:val="00270DA0"/>
    <w:rsid w:val="00270F77"/>
    <w:rsid w:val="002711B1"/>
    <w:rsid w:val="00271473"/>
    <w:rsid w:val="002718CB"/>
    <w:rsid w:val="00271E21"/>
    <w:rsid w:val="0027264C"/>
    <w:rsid w:val="002726D5"/>
    <w:rsid w:val="00272814"/>
    <w:rsid w:val="00272E4A"/>
    <w:rsid w:val="002733AD"/>
    <w:rsid w:val="00273798"/>
    <w:rsid w:val="00273A2D"/>
    <w:rsid w:val="002742AC"/>
    <w:rsid w:val="0027585B"/>
    <w:rsid w:val="00275A48"/>
    <w:rsid w:val="00275E53"/>
    <w:rsid w:val="002767BA"/>
    <w:rsid w:val="002767CF"/>
    <w:rsid w:val="002767E2"/>
    <w:rsid w:val="00276C32"/>
    <w:rsid w:val="0027748A"/>
    <w:rsid w:val="00277B5A"/>
    <w:rsid w:val="00280762"/>
    <w:rsid w:val="00280B35"/>
    <w:rsid w:val="00281BEC"/>
    <w:rsid w:val="00282148"/>
    <w:rsid w:val="00282432"/>
    <w:rsid w:val="002843FB"/>
    <w:rsid w:val="0028440C"/>
    <w:rsid w:val="0028462B"/>
    <w:rsid w:val="002849D7"/>
    <w:rsid w:val="002849EE"/>
    <w:rsid w:val="00284DE1"/>
    <w:rsid w:val="00284F7B"/>
    <w:rsid w:val="00284FF2"/>
    <w:rsid w:val="0028508D"/>
    <w:rsid w:val="002850C1"/>
    <w:rsid w:val="00285B23"/>
    <w:rsid w:val="00286160"/>
    <w:rsid w:val="00286331"/>
    <w:rsid w:val="0028694E"/>
    <w:rsid w:val="002869E4"/>
    <w:rsid w:val="00286DAB"/>
    <w:rsid w:val="002873A6"/>
    <w:rsid w:val="00287905"/>
    <w:rsid w:val="00287CDA"/>
    <w:rsid w:val="00290451"/>
    <w:rsid w:val="00290498"/>
    <w:rsid w:val="00290751"/>
    <w:rsid w:val="00291052"/>
    <w:rsid w:val="0029136E"/>
    <w:rsid w:val="002913FA"/>
    <w:rsid w:val="0029165C"/>
    <w:rsid w:val="00291EF4"/>
    <w:rsid w:val="00291F23"/>
    <w:rsid w:val="002920A6"/>
    <w:rsid w:val="00292631"/>
    <w:rsid w:val="00292B5B"/>
    <w:rsid w:val="00292E46"/>
    <w:rsid w:val="002935FA"/>
    <w:rsid w:val="0029382C"/>
    <w:rsid w:val="00293A77"/>
    <w:rsid w:val="00293AA7"/>
    <w:rsid w:val="00293D20"/>
    <w:rsid w:val="0029416F"/>
    <w:rsid w:val="00294672"/>
    <w:rsid w:val="00294D73"/>
    <w:rsid w:val="00294F72"/>
    <w:rsid w:val="0029525F"/>
    <w:rsid w:val="002953A7"/>
    <w:rsid w:val="00295714"/>
    <w:rsid w:val="0029575F"/>
    <w:rsid w:val="00295AC4"/>
    <w:rsid w:val="00295B1D"/>
    <w:rsid w:val="00295E47"/>
    <w:rsid w:val="00295FE9"/>
    <w:rsid w:val="0029648F"/>
    <w:rsid w:val="002969A2"/>
    <w:rsid w:val="00296D2D"/>
    <w:rsid w:val="00296D42"/>
    <w:rsid w:val="00296E4C"/>
    <w:rsid w:val="002970AE"/>
    <w:rsid w:val="002973C4"/>
    <w:rsid w:val="00297533"/>
    <w:rsid w:val="00297DCA"/>
    <w:rsid w:val="002A03B0"/>
    <w:rsid w:val="002A0977"/>
    <w:rsid w:val="002A0B1E"/>
    <w:rsid w:val="002A0F70"/>
    <w:rsid w:val="002A12B4"/>
    <w:rsid w:val="002A19DA"/>
    <w:rsid w:val="002A26AE"/>
    <w:rsid w:val="002A34DF"/>
    <w:rsid w:val="002A37FE"/>
    <w:rsid w:val="002A3EA4"/>
    <w:rsid w:val="002A45D5"/>
    <w:rsid w:val="002A4C01"/>
    <w:rsid w:val="002A4C96"/>
    <w:rsid w:val="002A52B8"/>
    <w:rsid w:val="002A556A"/>
    <w:rsid w:val="002A5A51"/>
    <w:rsid w:val="002A5BCB"/>
    <w:rsid w:val="002A606F"/>
    <w:rsid w:val="002A6649"/>
    <w:rsid w:val="002A66A0"/>
    <w:rsid w:val="002A66EC"/>
    <w:rsid w:val="002A6ADE"/>
    <w:rsid w:val="002A6BC9"/>
    <w:rsid w:val="002A6D3D"/>
    <w:rsid w:val="002A6ED3"/>
    <w:rsid w:val="002A7094"/>
    <w:rsid w:val="002A70E5"/>
    <w:rsid w:val="002A7153"/>
    <w:rsid w:val="002A7483"/>
    <w:rsid w:val="002A7609"/>
    <w:rsid w:val="002A7B71"/>
    <w:rsid w:val="002B000C"/>
    <w:rsid w:val="002B039C"/>
    <w:rsid w:val="002B0CB9"/>
    <w:rsid w:val="002B0E3C"/>
    <w:rsid w:val="002B11ED"/>
    <w:rsid w:val="002B12BF"/>
    <w:rsid w:val="002B1432"/>
    <w:rsid w:val="002B168E"/>
    <w:rsid w:val="002B1CA3"/>
    <w:rsid w:val="002B2CB4"/>
    <w:rsid w:val="002B3165"/>
    <w:rsid w:val="002B317D"/>
    <w:rsid w:val="002B367B"/>
    <w:rsid w:val="002B3EB8"/>
    <w:rsid w:val="002B4653"/>
    <w:rsid w:val="002B4FAC"/>
    <w:rsid w:val="002B5285"/>
    <w:rsid w:val="002B594F"/>
    <w:rsid w:val="002B59E3"/>
    <w:rsid w:val="002B5A24"/>
    <w:rsid w:val="002B5A79"/>
    <w:rsid w:val="002B61AB"/>
    <w:rsid w:val="002B6388"/>
    <w:rsid w:val="002B678D"/>
    <w:rsid w:val="002B6F3E"/>
    <w:rsid w:val="002B7063"/>
    <w:rsid w:val="002B726A"/>
    <w:rsid w:val="002B73FE"/>
    <w:rsid w:val="002B7552"/>
    <w:rsid w:val="002B75B8"/>
    <w:rsid w:val="002B7CFB"/>
    <w:rsid w:val="002C000B"/>
    <w:rsid w:val="002C00D6"/>
    <w:rsid w:val="002C0243"/>
    <w:rsid w:val="002C03B8"/>
    <w:rsid w:val="002C0543"/>
    <w:rsid w:val="002C07B2"/>
    <w:rsid w:val="002C07E3"/>
    <w:rsid w:val="002C0A62"/>
    <w:rsid w:val="002C11C3"/>
    <w:rsid w:val="002C249F"/>
    <w:rsid w:val="002C255A"/>
    <w:rsid w:val="002C2796"/>
    <w:rsid w:val="002C2AA9"/>
    <w:rsid w:val="002C3825"/>
    <w:rsid w:val="002C3DD5"/>
    <w:rsid w:val="002C3E0E"/>
    <w:rsid w:val="002C3E71"/>
    <w:rsid w:val="002C3FCE"/>
    <w:rsid w:val="002C4087"/>
    <w:rsid w:val="002C48A5"/>
    <w:rsid w:val="002C4EDE"/>
    <w:rsid w:val="002C500C"/>
    <w:rsid w:val="002C50DD"/>
    <w:rsid w:val="002C5172"/>
    <w:rsid w:val="002C53D7"/>
    <w:rsid w:val="002C586C"/>
    <w:rsid w:val="002C5ED2"/>
    <w:rsid w:val="002C617D"/>
    <w:rsid w:val="002C69E0"/>
    <w:rsid w:val="002C70BC"/>
    <w:rsid w:val="002C7650"/>
    <w:rsid w:val="002C7E24"/>
    <w:rsid w:val="002D00F0"/>
    <w:rsid w:val="002D03A2"/>
    <w:rsid w:val="002D0BBC"/>
    <w:rsid w:val="002D0E3B"/>
    <w:rsid w:val="002D128E"/>
    <w:rsid w:val="002D16A7"/>
    <w:rsid w:val="002D1A0F"/>
    <w:rsid w:val="002D2169"/>
    <w:rsid w:val="002D2AF2"/>
    <w:rsid w:val="002D301E"/>
    <w:rsid w:val="002D32DA"/>
    <w:rsid w:val="002D36AC"/>
    <w:rsid w:val="002D3C99"/>
    <w:rsid w:val="002D3D54"/>
    <w:rsid w:val="002D411D"/>
    <w:rsid w:val="002D45C4"/>
    <w:rsid w:val="002D470C"/>
    <w:rsid w:val="002D477C"/>
    <w:rsid w:val="002D478A"/>
    <w:rsid w:val="002D4C3F"/>
    <w:rsid w:val="002D4C53"/>
    <w:rsid w:val="002D4E47"/>
    <w:rsid w:val="002D5652"/>
    <w:rsid w:val="002D5673"/>
    <w:rsid w:val="002D598F"/>
    <w:rsid w:val="002D6123"/>
    <w:rsid w:val="002D6654"/>
    <w:rsid w:val="002D67C7"/>
    <w:rsid w:val="002D6F28"/>
    <w:rsid w:val="002D6FB9"/>
    <w:rsid w:val="002E02CE"/>
    <w:rsid w:val="002E036D"/>
    <w:rsid w:val="002E0537"/>
    <w:rsid w:val="002E16D9"/>
    <w:rsid w:val="002E191B"/>
    <w:rsid w:val="002E1937"/>
    <w:rsid w:val="002E1A2C"/>
    <w:rsid w:val="002E1A64"/>
    <w:rsid w:val="002E1CF8"/>
    <w:rsid w:val="002E2518"/>
    <w:rsid w:val="002E26D3"/>
    <w:rsid w:val="002E273B"/>
    <w:rsid w:val="002E2A63"/>
    <w:rsid w:val="002E2AA9"/>
    <w:rsid w:val="002E2E4A"/>
    <w:rsid w:val="002E33D2"/>
    <w:rsid w:val="002E3660"/>
    <w:rsid w:val="002E3815"/>
    <w:rsid w:val="002E3F9E"/>
    <w:rsid w:val="002E3FC3"/>
    <w:rsid w:val="002E4535"/>
    <w:rsid w:val="002E4A54"/>
    <w:rsid w:val="002E4BB3"/>
    <w:rsid w:val="002E5612"/>
    <w:rsid w:val="002E5865"/>
    <w:rsid w:val="002E5971"/>
    <w:rsid w:val="002E5A32"/>
    <w:rsid w:val="002E5BA0"/>
    <w:rsid w:val="002E5D8C"/>
    <w:rsid w:val="002E617D"/>
    <w:rsid w:val="002E662B"/>
    <w:rsid w:val="002E68E3"/>
    <w:rsid w:val="002E7A0B"/>
    <w:rsid w:val="002E7E2A"/>
    <w:rsid w:val="002F0120"/>
    <w:rsid w:val="002F0F00"/>
    <w:rsid w:val="002F10A6"/>
    <w:rsid w:val="002F1584"/>
    <w:rsid w:val="002F1BC0"/>
    <w:rsid w:val="002F1CB0"/>
    <w:rsid w:val="002F1FBC"/>
    <w:rsid w:val="002F205C"/>
    <w:rsid w:val="002F20BA"/>
    <w:rsid w:val="002F2525"/>
    <w:rsid w:val="002F2AE9"/>
    <w:rsid w:val="002F348B"/>
    <w:rsid w:val="002F43E9"/>
    <w:rsid w:val="002F4D59"/>
    <w:rsid w:val="002F5066"/>
    <w:rsid w:val="002F5970"/>
    <w:rsid w:val="002F604A"/>
    <w:rsid w:val="002F71C1"/>
    <w:rsid w:val="002F73C1"/>
    <w:rsid w:val="002F77E1"/>
    <w:rsid w:val="00300003"/>
    <w:rsid w:val="00300C72"/>
    <w:rsid w:val="00300FF2"/>
    <w:rsid w:val="003010C9"/>
    <w:rsid w:val="0030125F"/>
    <w:rsid w:val="00301A2D"/>
    <w:rsid w:val="00301AA6"/>
    <w:rsid w:val="00301D6B"/>
    <w:rsid w:val="00301DA2"/>
    <w:rsid w:val="00301FE5"/>
    <w:rsid w:val="00302928"/>
    <w:rsid w:val="0030292C"/>
    <w:rsid w:val="00302F91"/>
    <w:rsid w:val="003030C4"/>
    <w:rsid w:val="00303C15"/>
    <w:rsid w:val="00304771"/>
    <w:rsid w:val="0030496A"/>
    <w:rsid w:val="00304C33"/>
    <w:rsid w:val="00304F44"/>
    <w:rsid w:val="0030535F"/>
    <w:rsid w:val="00305697"/>
    <w:rsid w:val="00305AF9"/>
    <w:rsid w:val="00306079"/>
    <w:rsid w:val="00306ACD"/>
    <w:rsid w:val="0030750E"/>
    <w:rsid w:val="003103D8"/>
    <w:rsid w:val="00310BB3"/>
    <w:rsid w:val="003110BF"/>
    <w:rsid w:val="00311396"/>
    <w:rsid w:val="003113B4"/>
    <w:rsid w:val="003114DA"/>
    <w:rsid w:val="00311585"/>
    <w:rsid w:val="003118DF"/>
    <w:rsid w:val="0031276C"/>
    <w:rsid w:val="00312B87"/>
    <w:rsid w:val="00312E4E"/>
    <w:rsid w:val="00313022"/>
    <w:rsid w:val="00313062"/>
    <w:rsid w:val="003130A7"/>
    <w:rsid w:val="00313BCF"/>
    <w:rsid w:val="00314110"/>
    <w:rsid w:val="0031424A"/>
    <w:rsid w:val="00315086"/>
    <w:rsid w:val="003155D5"/>
    <w:rsid w:val="0031571B"/>
    <w:rsid w:val="003157CE"/>
    <w:rsid w:val="0031596D"/>
    <w:rsid w:val="00315A21"/>
    <w:rsid w:val="003161F1"/>
    <w:rsid w:val="00316343"/>
    <w:rsid w:val="00316351"/>
    <w:rsid w:val="0031678E"/>
    <w:rsid w:val="00316962"/>
    <w:rsid w:val="003175C9"/>
    <w:rsid w:val="003177A0"/>
    <w:rsid w:val="00317817"/>
    <w:rsid w:val="00317B25"/>
    <w:rsid w:val="00317D07"/>
    <w:rsid w:val="00320147"/>
    <w:rsid w:val="00320374"/>
    <w:rsid w:val="003206BE"/>
    <w:rsid w:val="003206C0"/>
    <w:rsid w:val="00320865"/>
    <w:rsid w:val="00320A7D"/>
    <w:rsid w:val="00320B26"/>
    <w:rsid w:val="00320F75"/>
    <w:rsid w:val="0032127D"/>
    <w:rsid w:val="00321E94"/>
    <w:rsid w:val="00322558"/>
    <w:rsid w:val="003228DA"/>
    <w:rsid w:val="003228F6"/>
    <w:rsid w:val="00323322"/>
    <w:rsid w:val="003234CF"/>
    <w:rsid w:val="00323AB8"/>
    <w:rsid w:val="00323B0F"/>
    <w:rsid w:val="00323B36"/>
    <w:rsid w:val="00323C69"/>
    <w:rsid w:val="00323FE4"/>
    <w:rsid w:val="0032430E"/>
    <w:rsid w:val="003243ED"/>
    <w:rsid w:val="0032455C"/>
    <w:rsid w:val="003249FB"/>
    <w:rsid w:val="00324BBF"/>
    <w:rsid w:val="00325032"/>
    <w:rsid w:val="00325144"/>
    <w:rsid w:val="003259AE"/>
    <w:rsid w:val="003260C5"/>
    <w:rsid w:val="00326767"/>
    <w:rsid w:val="003267C8"/>
    <w:rsid w:val="00326C06"/>
    <w:rsid w:val="00326DBC"/>
    <w:rsid w:val="00326FA8"/>
    <w:rsid w:val="00326FC1"/>
    <w:rsid w:val="00327093"/>
    <w:rsid w:val="0032741A"/>
    <w:rsid w:val="0032741E"/>
    <w:rsid w:val="0032761F"/>
    <w:rsid w:val="0032772E"/>
    <w:rsid w:val="00327740"/>
    <w:rsid w:val="00327816"/>
    <w:rsid w:val="00327D79"/>
    <w:rsid w:val="00327F91"/>
    <w:rsid w:val="003305D0"/>
    <w:rsid w:val="00330A91"/>
    <w:rsid w:val="00330AB7"/>
    <w:rsid w:val="00330ACA"/>
    <w:rsid w:val="00330E30"/>
    <w:rsid w:val="00330E5B"/>
    <w:rsid w:val="00330F56"/>
    <w:rsid w:val="003310A8"/>
    <w:rsid w:val="00331653"/>
    <w:rsid w:val="00332569"/>
    <w:rsid w:val="0033262C"/>
    <w:rsid w:val="00332AFA"/>
    <w:rsid w:val="00332D03"/>
    <w:rsid w:val="00333173"/>
    <w:rsid w:val="003331F9"/>
    <w:rsid w:val="00333335"/>
    <w:rsid w:val="00334035"/>
    <w:rsid w:val="00334F96"/>
    <w:rsid w:val="0033531E"/>
    <w:rsid w:val="00335A5F"/>
    <w:rsid w:val="00335B36"/>
    <w:rsid w:val="00335C21"/>
    <w:rsid w:val="0033666D"/>
    <w:rsid w:val="00336C42"/>
    <w:rsid w:val="00337260"/>
    <w:rsid w:val="003376C5"/>
    <w:rsid w:val="00340191"/>
    <w:rsid w:val="003412A3"/>
    <w:rsid w:val="00341D7D"/>
    <w:rsid w:val="00342253"/>
    <w:rsid w:val="00342354"/>
    <w:rsid w:val="003423A2"/>
    <w:rsid w:val="003447FD"/>
    <w:rsid w:val="00346086"/>
    <w:rsid w:val="00346DF1"/>
    <w:rsid w:val="00347295"/>
    <w:rsid w:val="00347A9F"/>
    <w:rsid w:val="00347DBA"/>
    <w:rsid w:val="0035040C"/>
    <w:rsid w:val="003507DC"/>
    <w:rsid w:val="00350C7F"/>
    <w:rsid w:val="00350CF4"/>
    <w:rsid w:val="00350D3A"/>
    <w:rsid w:val="00350E1C"/>
    <w:rsid w:val="0035186E"/>
    <w:rsid w:val="00351A93"/>
    <w:rsid w:val="00351C03"/>
    <w:rsid w:val="00351EC1"/>
    <w:rsid w:val="003522F2"/>
    <w:rsid w:val="003522F5"/>
    <w:rsid w:val="0035244F"/>
    <w:rsid w:val="00352684"/>
    <w:rsid w:val="00352803"/>
    <w:rsid w:val="00352957"/>
    <w:rsid w:val="00352B15"/>
    <w:rsid w:val="00353055"/>
    <w:rsid w:val="003532A9"/>
    <w:rsid w:val="00353456"/>
    <w:rsid w:val="00353F3C"/>
    <w:rsid w:val="0035433C"/>
    <w:rsid w:val="003547A0"/>
    <w:rsid w:val="00354989"/>
    <w:rsid w:val="00355112"/>
    <w:rsid w:val="0035549F"/>
    <w:rsid w:val="00355984"/>
    <w:rsid w:val="003565D3"/>
    <w:rsid w:val="00356B05"/>
    <w:rsid w:val="0035771F"/>
    <w:rsid w:val="0035777B"/>
    <w:rsid w:val="00357B48"/>
    <w:rsid w:val="00357D1A"/>
    <w:rsid w:val="00357ED2"/>
    <w:rsid w:val="00360089"/>
    <w:rsid w:val="00360C1D"/>
    <w:rsid w:val="00361132"/>
    <w:rsid w:val="00361ECB"/>
    <w:rsid w:val="0036221F"/>
    <w:rsid w:val="003629D8"/>
    <w:rsid w:val="00362A76"/>
    <w:rsid w:val="00363030"/>
    <w:rsid w:val="003631F9"/>
    <w:rsid w:val="003638C3"/>
    <w:rsid w:val="00363949"/>
    <w:rsid w:val="00363A1C"/>
    <w:rsid w:val="00363C4C"/>
    <w:rsid w:val="00363FA3"/>
    <w:rsid w:val="0036444E"/>
    <w:rsid w:val="00364B9E"/>
    <w:rsid w:val="00364BE1"/>
    <w:rsid w:val="00364D87"/>
    <w:rsid w:val="00364E2B"/>
    <w:rsid w:val="00364F1F"/>
    <w:rsid w:val="00365333"/>
    <w:rsid w:val="003653B2"/>
    <w:rsid w:val="00365869"/>
    <w:rsid w:val="00365BFF"/>
    <w:rsid w:val="00366A5D"/>
    <w:rsid w:val="00366E1A"/>
    <w:rsid w:val="00366F4B"/>
    <w:rsid w:val="003671CA"/>
    <w:rsid w:val="00367231"/>
    <w:rsid w:val="003672AC"/>
    <w:rsid w:val="003673C7"/>
    <w:rsid w:val="00367646"/>
    <w:rsid w:val="00367706"/>
    <w:rsid w:val="00367791"/>
    <w:rsid w:val="003677C7"/>
    <w:rsid w:val="00367AE8"/>
    <w:rsid w:val="00367BE4"/>
    <w:rsid w:val="00370065"/>
    <w:rsid w:val="0037011C"/>
    <w:rsid w:val="0037041D"/>
    <w:rsid w:val="0037064C"/>
    <w:rsid w:val="00370754"/>
    <w:rsid w:val="00370B71"/>
    <w:rsid w:val="00371222"/>
    <w:rsid w:val="003718A3"/>
    <w:rsid w:val="00372019"/>
    <w:rsid w:val="00372936"/>
    <w:rsid w:val="0037304F"/>
    <w:rsid w:val="0037391D"/>
    <w:rsid w:val="003740E9"/>
    <w:rsid w:val="00374494"/>
    <w:rsid w:val="003744E8"/>
    <w:rsid w:val="00374844"/>
    <w:rsid w:val="00374EDA"/>
    <w:rsid w:val="00375659"/>
    <w:rsid w:val="00375806"/>
    <w:rsid w:val="00375816"/>
    <w:rsid w:val="0037596D"/>
    <w:rsid w:val="0037610D"/>
    <w:rsid w:val="0037622F"/>
    <w:rsid w:val="0037654E"/>
    <w:rsid w:val="00376D01"/>
    <w:rsid w:val="00376D7F"/>
    <w:rsid w:val="00377E12"/>
    <w:rsid w:val="00377FCD"/>
    <w:rsid w:val="0038038C"/>
    <w:rsid w:val="003811F9"/>
    <w:rsid w:val="00381824"/>
    <w:rsid w:val="003822F1"/>
    <w:rsid w:val="00382388"/>
    <w:rsid w:val="00382C15"/>
    <w:rsid w:val="00382DAD"/>
    <w:rsid w:val="0038331E"/>
    <w:rsid w:val="00383503"/>
    <w:rsid w:val="003835CC"/>
    <w:rsid w:val="00383691"/>
    <w:rsid w:val="00383C54"/>
    <w:rsid w:val="00383E7E"/>
    <w:rsid w:val="00383F58"/>
    <w:rsid w:val="00384009"/>
    <w:rsid w:val="0038454F"/>
    <w:rsid w:val="003849B1"/>
    <w:rsid w:val="00385123"/>
    <w:rsid w:val="003854F0"/>
    <w:rsid w:val="003856DA"/>
    <w:rsid w:val="00385919"/>
    <w:rsid w:val="00385FFD"/>
    <w:rsid w:val="003866F6"/>
    <w:rsid w:val="0038674D"/>
    <w:rsid w:val="00386876"/>
    <w:rsid w:val="00386B67"/>
    <w:rsid w:val="00386DCC"/>
    <w:rsid w:val="00386FB7"/>
    <w:rsid w:val="00387691"/>
    <w:rsid w:val="003878C3"/>
    <w:rsid w:val="00390B81"/>
    <w:rsid w:val="00390CEA"/>
    <w:rsid w:val="00391528"/>
    <w:rsid w:val="00391566"/>
    <w:rsid w:val="003915F8"/>
    <w:rsid w:val="00391877"/>
    <w:rsid w:val="00391CFB"/>
    <w:rsid w:val="00391E48"/>
    <w:rsid w:val="00392014"/>
    <w:rsid w:val="00392117"/>
    <w:rsid w:val="00392D76"/>
    <w:rsid w:val="00393413"/>
    <w:rsid w:val="00393428"/>
    <w:rsid w:val="003936A0"/>
    <w:rsid w:val="003939C3"/>
    <w:rsid w:val="00393EF6"/>
    <w:rsid w:val="00394030"/>
    <w:rsid w:val="003941F6"/>
    <w:rsid w:val="003941FE"/>
    <w:rsid w:val="00394330"/>
    <w:rsid w:val="003947AB"/>
    <w:rsid w:val="00394805"/>
    <w:rsid w:val="00394940"/>
    <w:rsid w:val="00395148"/>
    <w:rsid w:val="0039539D"/>
    <w:rsid w:val="00395BBF"/>
    <w:rsid w:val="00395BC3"/>
    <w:rsid w:val="0039625F"/>
    <w:rsid w:val="00396430"/>
    <w:rsid w:val="003968F9"/>
    <w:rsid w:val="003971CE"/>
    <w:rsid w:val="003A145F"/>
    <w:rsid w:val="003A17B6"/>
    <w:rsid w:val="003A1CEE"/>
    <w:rsid w:val="003A1DDE"/>
    <w:rsid w:val="003A1F5E"/>
    <w:rsid w:val="003A220E"/>
    <w:rsid w:val="003A2549"/>
    <w:rsid w:val="003A2DD4"/>
    <w:rsid w:val="003A3D66"/>
    <w:rsid w:val="003A40B3"/>
    <w:rsid w:val="003A4153"/>
    <w:rsid w:val="003A52D8"/>
    <w:rsid w:val="003A57D7"/>
    <w:rsid w:val="003A582D"/>
    <w:rsid w:val="003A5843"/>
    <w:rsid w:val="003A5C25"/>
    <w:rsid w:val="003A618E"/>
    <w:rsid w:val="003A6422"/>
    <w:rsid w:val="003A6639"/>
    <w:rsid w:val="003A6F13"/>
    <w:rsid w:val="003A7415"/>
    <w:rsid w:val="003A7C73"/>
    <w:rsid w:val="003A7EE8"/>
    <w:rsid w:val="003A7F5E"/>
    <w:rsid w:val="003B01A8"/>
    <w:rsid w:val="003B05BC"/>
    <w:rsid w:val="003B06E4"/>
    <w:rsid w:val="003B075A"/>
    <w:rsid w:val="003B142B"/>
    <w:rsid w:val="003B15C5"/>
    <w:rsid w:val="003B1AA7"/>
    <w:rsid w:val="003B1D39"/>
    <w:rsid w:val="003B1E9B"/>
    <w:rsid w:val="003B29CF"/>
    <w:rsid w:val="003B2B22"/>
    <w:rsid w:val="003B2B5F"/>
    <w:rsid w:val="003B2DF3"/>
    <w:rsid w:val="003B2E68"/>
    <w:rsid w:val="003B3272"/>
    <w:rsid w:val="003B365A"/>
    <w:rsid w:val="003B3895"/>
    <w:rsid w:val="003B3AEA"/>
    <w:rsid w:val="003B3DDA"/>
    <w:rsid w:val="003B4129"/>
    <w:rsid w:val="003B4232"/>
    <w:rsid w:val="003B459B"/>
    <w:rsid w:val="003B4642"/>
    <w:rsid w:val="003B4746"/>
    <w:rsid w:val="003B4919"/>
    <w:rsid w:val="003B4B75"/>
    <w:rsid w:val="003B4BB1"/>
    <w:rsid w:val="003B4F5E"/>
    <w:rsid w:val="003B521B"/>
    <w:rsid w:val="003B58EE"/>
    <w:rsid w:val="003B5BC2"/>
    <w:rsid w:val="003B5BFF"/>
    <w:rsid w:val="003B5C03"/>
    <w:rsid w:val="003B5F82"/>
    <w:rsid w:val="003B651A"/>
    <w:rsid w:val="003B72C4"/>
    <w:rsid w:val="003B759D"/>
    <w:rsid w:val="003B7801"/>
    <w:rsid w:val="003B792D"/>
    <w:rsid w:val="003B7A10"/>
    <w:rsid w:val="003B7CE2"/>
    <w:rsid w:val="003B7EC5"/>
    <w:rsid w:val="003B7FBF"/>
    <w:rsid w:val="003C06A2"/>
    <w:rsid w:val="003C095B"/>
    <w:rsid w:val="003C0B73"/>
    <w:rsid w:val="003C104A"/>
    <w:rsid w:val="003C124A"/>
    <w:rsid w:val="003C16EF"/>
    <w:rsid w:val="003C1942"/>
    <w:rsid w:val="003C1C49"/>
    <w:rsid w:val="003C223A"/>
    <w:rsid w:val="003C2CF9"/>
    <w:rsid w:val="003C3170"/>
    <w:rsid w:val="003C378F"/>
    <w:rsid w:val="003C38B4"/>
    <w:rsid w:val="003C3C71"/>
    <w:rsid w:val="003C4138"/>
    <w:rsid w:val="003C432C"/>
    <w:rsid w:val="003C469F"/>
    <w:rsid w:val="003C4D9B"/>
    <w:rsid w:val="003C54D7"/>
    <w:rsid w:val="003C55E4"/>
    <w:rsid w:val="003C563C"/>
    <w:rsid w:val="003C571F"/>
    <w:rsid w:val="003C5BB7"/>
    <w:rsid w:val="003C607C"/>
    <w:rsid w:val="003C6293"/>
    <w:rsid w:val="003C67FA"/>
    <w:rsid w:val="003C6BEC"/>
    <w:rsid w:val="003C7E62"/>
    <w:rsid w:val="003D04D8"/>
    <w:rsid w:val="003D090A"/>
    <w:rsid w:val="003D0954"/>
    <w:rsid w:val="003D0CF8"/>
    <w:rsid w:val="003D142B"/>
    <w:rsid w:val="003D198D"/>
    <w:rsid w:val="003D1BE4"/>
    <w:rsid w:val="003D1F17"/>
    <w:rsid w:val="003D2129"/>
    <w:rsid w:val="003D2BA8"/>
    <w:rsid w:val="003D2C2A"/>
    <w:rsid w:val="003D33D4"/>
    <w:rsid w:val="003D33F4"/>
    <w:rsid w:val="003D3E68"/>
    <w:rsid w:val="003D3EB5"/>
    <w:rsid w:val="003D492D"/>
    <w:rsid w:val="003D4BDD"/>
    <w:rsid w:val="003D4DC4"/>
    <w:rsid w:val="003D4E51"/>
    <w:rsid w:val="003D4FCE"/>
    <w:rsid w:val="003D51D1"/>
    <w:rsid w:val="003D565F"/>
    <w:rsid w:val="003D566B"/>
    <w:rsid w:val="003D6BB3"/>
    <w:rsid w:val="003D7433"/>
    <w:rsid w:val="003D74F6"/>
    <w:rsid w:val="003E034F"/>
    <w:rsid w:val="003E0395"/>
    <w:rsid w:val="003E052B"/>
    <w:rsid w:val="003E0932"/>
    <w:rsid w:val="003E0B0A"/>
    <w:rsid w:val="003E0BB3"/>
    <w:rsid w:val="003E1184"/>
    <w:rsid w:val="003E197A"/>
    <w:rsid w:val="003E1C2D"/>
    <w:rsid w:val="003E1E73"/>
    <w:rsid w:val="003E2306"/>
    <w:rsid w:val="003E28EE"/>
    <w:rsid w:val="003E2921"/>
    <w:rsid w:val="003E2E50"/>
    <w:rsid w:val="003E31C2"/>
    <w:rsid w:val="003E320C"/>
    <w:rsid w:val="003E3276"/>
    <w:rsid w:val="003E343A"/>
    <w:rsid w:val="003E3996"/>
    <w:rsid w:val="003E3A01"/>
    <w:rsid w:val="003E3BAF"/>
    <w:rsid w:val="003E3D85"/>
    <w:rsid w:val="003E3F90"/>
    <w:rsid w:val="003E41B1"/>
    <w:rsid w:val="003E438E"/>
    <w:rsid w:val="003E43CB"/>
    <w:rsid w:val="003E50D9"/>
    <w:rsid w:val="003E57BF"/>
    <w:rsid w:val="003E5BAC"/>
    <w:rsid w:val="003E630A"/>
    <w:rsid w:val="003E6790"/>
    <w:rsid w:val="003E6A1C"/>
    <w:rsid w:val="003E6B70"/>
    <w:rsid w:val="003E6F09"/>
    <w:rsid w:val="003E76DB"/>
    <w:rsid w:val="003E7DD2"/>
    <w:rsid w:val="003E7EF3"/>
    <w:rsid w:val="003F0FA2"/>
    <w:rsid w:val="003F1043"/>
    <w:rsid w:val="003F1822"/>
    <w:rsid w:val="003F1B50"/>
    <w:rsid w:val="003F1D30"/>
    <w:rsid w:val="003F1DD3"/>
    <w:rsid w:val="003F1E90"/>
    <w:rsid w:val="003F2191"/>
    <w:rsid w:val="003F2340"/>
    <w:rsid w:val="003F2593"/>
    <w:rsid w:val="003F2701"/>
    <w:rsid w:val="003F2801"/>
    <w:rsid w:val="003F2A21"/>
    <w:rsid w:val="003F2BA7"/>
    <w:rsid w:val="003F2E87"/>
    <w:rsid w:val="003F3508"/>
    <w:rsid w:val="003F358F"/>
    <w:rsid w:val="003F3869"/>
    <w:rsid w:val="003F4875"/>
    <w:rsid w:val="003F4C2A"/>
    <w:rsid w:val="003F4DE7"/>
    <w:rsid w:val="003F4FF7"/>
    <w:rsid w:val="003F5586"/>
    <w:rsid w:val="003F5599"/>
    <w:rsid w:val="003F5B0E"/>
    <w:rsid w:val="003F5D85"/>
    <w:rsid w:val="003F6454"/>
    <w:rsid w:val="003F6A3A"/>
    <w:rsid w:val="003F6F9D"/>
    <w:rsid w:val="003F794A"/>
    <w:rsid w:val="003F7F86"/>
    <w:rsid w:val="0040042A"/>
    <w:rsid w:val="00400480"/>
    <w:rsid w:val="00400708"/>
    <w:rsid w:val="00400BEF"/>
    <w:rsid w:val="00400C07"/>
    <w:rsid w:val="00401261"/>
    <w:rsid w:val="00401B70"/>
    <w:rsid w:val="004022CB"/>
    <w:rsid w:val="00402AB6"/>
    <w:rsid w:val="00403109"/>
    <w:rsid w:val="00403601"/>
    <w:rsid w:val="00403F47"/>
    <w:rsid w:val="00403F5E"/>
    <w:rsid w:val="00404667"/>
    <w:rsid w:val="004051A8"/>
    <w:rsid w:val="004051F9"/>
    <w:rsid w:val="00405870"/>
    <w:rsid w:val="0040649E"/>
    <w:rsid w:val="004069D6"/>
    <w:rsid w:val="00406C1B"/>
    <w:rsid w:val="004078D0"/>
    <w:rsid w:val="004078FE"/>
    <w:rsid w:val="0041011E"/>
    <w:rsid w:val="00410E7D"/>
    <w:rsid w:val="00410F46"/>
    <w:rsid w:val="00410FBF"/>
    <w:rsid w:val="00411224"/>
    <w:rsid w:val="0041154E"/>
    <w:rsid w:val="00411818"/>
    <w:rsid w:val="00411F23"/>
    <w:rsid w:val="00412037"/>
    <w:rsid w:val="0041210F"/>
    <w:rsid w:val="00412525"/>
    <w:rsid w:val="00412DE3"/>
    <w:rsid w:val="004133AA"/>
    <w:rsid w:val="00413594"/>
    <w:rsid w:val="00413616"/>
    <w:rsid w:val="00413E72"/>
    <w:rsid w:val="00414296"/>
    <w:rsid w:val="004148F3"/>
    <w:rsid w:val="00414D1E"/>
    <w:rsid w:val="004154B6"/>
    <w:rsid w:val="0041586E"/>
    <w:rsid w:val="00415D44"/>
    <w:rsid w:val="00415DD6"/>
    <w:rsid w:val="00415F54"/>
    <w:rsid w:val="00416996"/>
    <w:rsid w:val="00416BFC"/>
    <w:rsid w:val="00416E06"/>
    <w:rsid w:val="004170C9"/>
    <w:rsid w:val="00417362"/>
    <w:rsid w:val="00417C6A"/>
    <w:rsid w:val="00420427"/>
    <w:rsid w:val="00420D29"/>
    <w:rsid w:val="00420DD0"/>
    <w:rsid w:val="00421186"/>
    <w:rsid w:val="00421605"/>
    <w:rsid w:val="0042167C"/>
    <w:rsid w:val="00421756"/>
    <w:rsid w:val="004218A1"/>
    <w:rsid w:val="00421A6B"/>
    <w:rsid w:val="00421EC1"/>
    <w:rsid w:val="004223B0"/>
    <w:rsid w:val="004231A0"/>
    <w:rsid w:val="00423828"/>
    <w:rsid w:val="00423F01"/>
    <w:rsid w:val="00424436"/>
    <w:rsid w:val="00424692"/>
    <w:rsid w:val="0042489E"/>
    <w:rsid w:val="00425057"/>
    <w:rsid w:val="00425A04"/>
    <w:rsid w:val="00425E6F"/>
    <w:rsid w:val="0042614E"/>
    <w:rsid w:val="004267EF"/>
    <w:rsid w:val="004268A9"/>
    <w:rsid w:val="00426BD8"/>
    <w:rsid w:val="004272D0"/>
    <w:rsid w:val="004275C1"/>
    <w:rsid w:val="00427AC3"/>
    <w:rsid w:val="00427DD7"/>
    <w:rsid w:val="00427DE0"/>
    <w:rsid w:val="004300AC"/>
    <w:rsid w:val="004312E1"/>
    <w:rsid w:val="004317CE"/>
    <w:rsid w:val="004320F0"/>
    <w:rsid w:val="004320F3"/>
    <w:rsid w:val="00432745"/>
    <w:rsid w:val="004329DA"/>
    <w:rsid w:val="00432BC3"/>
    <w:rsid w:val="00432E16"/>
    <w:rsid w:val="0043323F"/>
    <w:rsid w:val="00433E85"/>
    <w:rsid w:val="00433FC5"/>
    <w:rsid w:val="00434B65"/>
    <w:rsid w:val="004351CD"/>
    <w:rsid w:val="00435883"/>
    <w:rsid w:val="0043604A"/>
    <w:rsid w:val="004361B5"/>
    <w:rsid w:val="0043626B"/>
    <w:rsid w:val="00436A25"/>
    <w:rsid w:val="00436DF0"/>
    <w:rsid w:val="00436EA3"/>
    <w:rsid w:val="00436F01"/>
    <w:rsid w:val="0043774F"/>
    <w:rsid w:val="00437E17"/>
    <w:rsid w:val="00437EDA"/>
    <w:rsid w:val="004402FF"/>
    <w:rsid w:val="004404AE"/>
    <w:rsid w:val="00440624"/>
    <w:rsid w:val="0044069D"/>
    <w:rsid w:val="004407DC"/>
    <w:rsid w:val="00441082"/>
    <w:rsid w:val="00441696"/>
    <w:rsid w:val="00441A92"/>
    <w:rsid w:val="00441E74"/>
    <w:rsid w:val="00442297"/>
    <w:rsid w:val="0044258D"/>
    <w:rsid w:val="004425DC"/>
    <w:rsid w:val="00442644"/>
    <w:rsid w:val="004426BA"/>
    <w:rsid w:val="0044378C"/>
    <w:rsid w:val="004438B5"/>
    <w:rsid w:val="00443D4B"/>
    <w:rsid w:val="0044422D"/>
    <w:rsid w:val="00444357"/>
    <w:rsid w:val="004444F2"/>
    <w:rsid w:val="00444B9B"/>
    <w:rsid w:val="004454E6"/>
    <w:rsid w:val="00445624"/>
    <w:rsid w:val="00445A97"/>
    <w:rsid w:val="00445C40"/>
    <w:rsid w:val="00445D70"/>
    <w:rsid w:val="00446014"/>
    <w:rsid w:val="00446690"/>
    <w:rsid w:val="00446B22"/>
    <w:rsid w:val="00446B98"/>
    <w:rsid w:val="00446D30"/>
    <w:rsid w:val="00446EF2"/>
    <w:rsid w:val="00447A52"/>
    <w:rsid w:val="00447B0B"/>
    <w:rsid w:val="00447C75"/>
    <w:rsid w:val="0045002A"/>
    <w:rsid w:val="00450349"/>
    <w:rsid w:val="00450566"/>
    <w:rsid w:val="004505E6"/>
    <w:rsid w:val="00450A92"/>
    <w:rsid w:val="00450B32"/>
    <w:rsid w:val="00451991"/>
    <w:rsid w:val="00451A80"/>
    <w:rsid w:val="00452397"/>
    <w:rsid w:val="0045252B"/>
    <w:rsid w:val="0045271E"/>
    <w:rsid w:val="004527F8"/>
    <w:rsid w:val="00452ABE"/>
    <w:rsid w:val="004533A7"/>
    <w:rsid w:val="00453C15"/>
    <w:rsid w:val="00454772"/>
    <w:rsid w:val="004547BC"/>
    <w:rsid w:val="004547DD"/>
    <w:rsid w:val="0045498D"/>
    <w:rsid w:val="00455231"/>
    <w:rsid w:val="0045540F"/>
    <w:rsid w:val="00455909"/>
    <w:rsid w:val="0045666C"/>
    <w:rsid w:val="004566FF"/>
    <w:rsid w:val="0045677C"/>
    <w:rsid w:val="00456F0B"/>
    <w:rsid w:val="004570F2"/>
    <w:rsid w:val="00457BAA"/>
    <w:rsid w:val="00457ED0"/>
    <w:rsid w:val="0046023B"/>
    <w:rsid w:val="0046038D"/>
    <w:rsid w:val="00460681"/>
    <w:rsid w:val="004609A1"/>
    <w:rsid w:val="00460A64"/>
    <w:rsid w:val="00460F3F"/>
    <w:rsid w:val="0046185B"/>
    <w:rsid w:val="00461977"/>
    <w:rsid w:val="00461A8A"/>
    <w:rsid w:val="00461AEA"/>
    <w:rsid w:val="00461B5A"/>
    <w:rsid w:val="004620E6"/>
    <w:rsid w:val="00462255"/>
    <w:rsid w:val="00462294"/>
    <w:rsid w:val="0046289D"/>
    <w:rsid w:val="00462C5E"/>
    <w:rsid w:val="00462CD5"/>
    <w:rsid w:val="00462E2A"/>
    <w:rsid w:val="004633F6"/>
    <w:rsid w:val="0046353D"/>
    <w:rsid w:val="004639C8"/>
    <w:rsid w:val="00463DEA"/>
    <w:rsid w:val="00463F4C"/>
    <w:rsid w:val="00463F5C"/>
    <w:rsid w:val="004641DB"/>
    <w:rsid w:val="0046464E"/>
    <w:rsid w:val="00464DB7"/>
    <w:rsid w:val="00465457"/>
    <w:rsid w:val="00465908"/>
    <w:rsid w:val="00465BD8"/>
    <w:rsid w:val="00465CC5"/>
    <w:rsid w:val="00466215"/>
    <w:rsid w:val="00466407"/>
    <w:rsid w:val="00466409"/>
    <w:rsid w:val="00466A4D"/>
    <w:rsid w:val="00466CD0"/>
    <w:rsid w:val="0046726D"/>
    <w:rsid w:val="00470215"/>
    <w:rsid w:val="00470B74"/>
    <w:rsid w:val="00470E74"/>
    <w:rsid w:val="004711F0"/>
    <w:rsid w:val="0047124E"/>
    <w:rsid w:val="00471284"/>
    <w:rsid w:val="00471AA1"/>
    <w:rsid w:val="00471B05"/>
    <w:rsid w:val="00472256"/>
    <w:rsid w:val="00472DE5"/>
    <w:rsid w:val="004731EB"/>
    <w:rsid w:val="0047358B"/>
    <w:rsid w:val="004735A4"/>
    <w:rsid w:val="00473620"/>
    <w:rsid w:val="00473C26"/>
    <w:rsid w:val="0047404E"/>
    <w:rsid w:val="00474374"/>
    <w:rsid w:val="004743E5"/>
    <w:rsid w:val="00474706"/>
    <w:rsid w:val="00474A2D"/>
    <w:rsid w:val="00474E80"/>
    <w:rsid w:val="004750FE"/>
    <w:rsid w:val="004754AB"/>
    <w:rsid w:val="00475864"/>
    <w:rsid w:val="004758A9"/>
    <w:rsid w:val="00475A9D"/>
    <w:rsid w:val="00475DF9"/>
    <w:rsid w:val="00475E2B"/>
    <w:rsid w:val="004760D4"/>
    <w:rsid w:val="0047656F"/>
    <w:rsid w:val="004769E5"/>
    <w:rsid w:val="00476E60"/>
    <w:rsid w:val="004775BF"/>
    <w:rsid w:val="004776AC"/>
    <w:rsid w:val="00477A44"/>
    <w:rsid w:val="00477F4A"/>
    <w:rsid w:val="00480345"/>
    <w:rsid w:val="0048062B"/>
    <w:rsid w:val="00480960"/>
    <w:rsid w:val="00480BEB"/>
    <w:rsid w:val="004812AD"/>
    <w:rsid w:val="00481564"/>
    <w:rsid w:val="00481652"/>
    <w:rsid w:val="004816F4"/>
    <w:rsid w:val="00481826"/>
    <w:rsid w:val="00481F35"/>
    <w:rsid w:val="00482964"/>
    <w:rsid w:val="0048356D"/>
    <w:rsid w:val="0048359E"/>
    <w:rsid w:val="00483846"/>
    <w:rsid w:val="0048384E"/>
    <w:rsid w:val="00484177"/>
    <w:rsid w:val="0048479E"/>
    <w:rsid w:val="00484AB5"/>
    <w:rsid w:val="004854B4"/>
    <w:rsid w:val="00485D3C"/>
    <w:rsid w:val="00485E9E"/>
    <w:rsid w:val="00485F97"/>
    <w:rsid w:val="00487240"/>
    <w:rsid w:val="00487679"/>
    <w:rsid w:val="004879D4"/>
    <w:rsid w:val="00490478"/>
    <w:rsid w:val="004906BC"/>
    <w:rsid w:val="00490BBC"/>
    <w:rsid w:val="00490CBB"/>
    <w:rsid w:val="00490DFA"/>
    <w:rsid w:val="00491398"/>
    <w:rsid w:val="00491524"/>
    <w:rsid w:val="00491C47"/>
    <w:rsid w:val="004926B8"/>
    <w:rsid w:val="00492B28"/>
    <w:rsid w:val="00492BBE"/>
    <w:rsid w:val="00492C6F"/>
    <w:rsid w:val="004932B9"/>
    <w:rsid w:val="004932C6"/>
    <w:rsid w:val="00493AA6"/>
    <w:rsid w:val="00493BD4"/>
    <w:rsid w:val="00493CE0"/>
    <w:rsid w:val="00493E00"/>
    <w:rsid w:val="00494080"/>
    <w:rsid w:val="00494469"/>
    <w:rsid w:val="004948AE"/>
    <w:rsid w:val="004948DB"/>
    <w:rsid w:val="00494A3C"/>
    <w:rsid w:val="00494CB4"/>
    <w:rsid w:val="00495104"/>
    <w:rsid w:val="004951B5"/>
    <w:rsid w:val="004951D2"/>
    <w:rsid w:val="004951D3"/>
    <w:rsid w:val="00495652"/>
    <w:rsid w:val="00496076"/>
    <w:rsid w:val="004965A2"/>
    <w:rsid w:val="0049682B"/>
    <w:rsid w:val="00496918"/>
    <w:rsid w:val="004973D4"/>
    <w:rsid w:val="0049779C"/>
    <w:rsid w:val="00497AC2"/>
    <w:rsid w:val="00497EB8"/>
    <w:rsid w:val="004A0289"/>
    <w:rsid w:val="004A065B"/>
    <w:rsid w:val="004A06BC"/>
    <w:rsid w:val="004A08D8"/>
    <w:rsid w:val="004A0C00"/>
    <w:rsid w:val="004A11AC"/>
    <w:rsid w:val="004A1313"/>
    <w:rsid w:val="004A1373"/>
    <w:rsid w:val="004A1530"/>
    <w:rsid w:val="004A173B"/>
    <w:rsid w:val="004A1ABA"/>
    <w:rsid w:val="004A1B37"/>
    <w:rsid w:val="004A2A53"/>
    <w:rsid w:val="004A2A73"/>
    <w:rsid w:val="004A2C0E"/>
    <w:rsid w:val="004A2C67"/>
    <w:rsid w:val="004A383F"/>
    <w:rsid w:val="004A4271"/>
    <w:rsid w:val="004A44A0"/>
    <w:rsid w:val="004A47B1"/>
    <w:rsid w:val="004A48F0"/>
    <w:rsid w:val="004A4AD3"/>
    <w:rsid w:val="004A4B64"/>
    <w:rsid w:val="004A516E"/>
    <w:rsid w:val="004A5177"/>
    <w:rsid w:val="004A5579"/>
    <w:rsid w:val="004A65A7"/>
    <w:rsid w:val="004A65DB"/>
    <w:rsid w:val="004A67D1"/>
    <w:rsid w:val="004A6AE7"/>
    <w:rsid w:val="004A6AED"/>
    <w:rsid w:val="004A6EEE"/>
    <w:rsid w:val="004A729F"/>
    <w:rsid w:val="004A7946"/>
    <w:rsid w:val="004A7A02"/>
    <w:rsid w:val="004A7BDB"/>
    <w:rsid w:val="004A7DAF"/>
    <w:rsid w:val="004B0606"/>
    <w:rsid w:val="004B076C"/>
    <w:rsid w:val="004B0F28"/>
    <w:rsid w:val="004B0FFD"/>
    <w:rsid w:val="004B15E5"/>
    <w:rsid w:val="004B1CF8"/>
    <w:rsid w:val="004B1EB9"/>
    <w:rsid w:val="004B2012"/>
    <w:rsid w:val="004B21CE"/>
    <w:rsid w:val="004B2581"/>
    <w:rsid w:val="004B2903"/>
    <w:rsid w:val="004B2C30"/>
    <w:rsid w:val="004B2D00"/>
    <w:rsid w:val="004B2D08"/>
    <w:rsid w:val="004B316C"/>
    <w:rsid w:val="004B3F1D"/>
    <w:rsid w:val="004B4339"/>
    <w:rsid w:val="004B48BB"/>
    <w:rsid w:val="004B4A09"/>
    <w:rsid w:val="004B4AEF"/>
    <w:rsid w:val="004B4C5E"/>
    <w:rsid w:val="004B5013"/>
    <w:rsid w:val="004B5ACA"/>
    <w:rsid w:val="004B5B4C"/>
    <w:rsid w:val="004B63C5"/>
    <w:rsid w:val="004B67E3"/>
    <w:rsid w:val="004B6CF7"/>
    <w:rsid w:val="004B73FF"/>
    <w:rsid w:val="004B7506"/>
    <w:rsid w:val="004B778A"/>
    <w:rsid w:val="004B7836"/>
    <w:rsid w:val="004C027A"/>
    <w:rsid w:val="004C02C4"/>
    <w:rsid w:val="004C062D"/>
    <w:rsid w:val="004C12D2"/>
    <w:rsid w:val="004C1D27"/>
    <w:rsid w:val="004C1D54"/>
    <w:rsid w:val="004C1FFD"/>
    <w:rsid w:val="004C224A"/>
    <w:rsid w:val="004C228A"/>
    <w:rsid w:val="004C228C"/>
    <w:rsid w:val="004C240A"/>
    <w:rsid w:val="004C2852"/>
    <w:rsid w:val="004C2AE3"/>
    <w:rsid w:val="004C2BCA"/>
    <w:rsid w:val="004C2D1B"/>
    <w:rsid w:val="004C355C"/>
    <w:rsid w:val="004C44B9"/>
    <w:rsid w:val="004C4841"/>
    <w:rsid w:val="004C4899"/>
    <w:rsid w:val="004C4C90"/>
    <w:rsid w:val="004C4D45"/>
    <w:rsid w:val="004C52A3"/>
    <w:rsid w:val="004C5939"/>
    <w:rsid w:val="004C66C5"/>
    <w:rsid w:val="004C68DC"/>
    <w:rsid w:val="004C6F12"/>
    <w:rsid w:val="004C7BB2"/>
    <w:rsid w:val="004C7D68"/>
    <w:rsid w:val="004D0479"/>
    <w:rsid w:val="004D0607"/>
    <w:rsid w:val="004D1EE3"/>
    <w:rsid w:val="004D1EFA"/>
    <w:rsid w:val="004D1F14"/>
    <w:rsid w:val="004D2066"/>
    <w:rsid w:val="004D2121"/>
    <w:rsid w:val="004D23A3"/>
    <w:rsid w:val="004D24DA"/>
    <w:rsid w:val="004D26B3"/>
    <w:rsid w:val="004D3741"/>
    <w:rsid w:val="004D3FA3"/>
    <w:rsid w:val="004D412C"/>
    <w:rsid w:val="004D494F"/>
    <w:rsid w:val="004D4AE6"/>
    <w:rsid w:val="004D4B86"/>
    <w:rsid w:val="004D53F2"/>
    <w:rsid w:val="004D54C8"/>
    <w:rsid w:val="004D59DC"/>
    <w:rsid w:val="004D5CE3"/>
    <w:rsid w:val="004D5E1D"/>
    <w:rsid w:val="004D6053"/>
    <w:rsid w:val="004D7451"/>
    <w:rsid w:val="004D78D8"/>
    <w:rsid w:val="004D7EA4"/>
    <w:rsid w:val="004E00EE"/>
    <w:rsid w:val="004E0248"/>
    <w:rsid w:val="004E0B3E"/>
    <w:rsid w:val="004E10D9"/>
    <w:rsid w:val="004E1BCF"/>
    <w:rsid w:val="004E28C0"/>
    <w:rsid w:val="004E28E2"/>
    <w:rsid w:val="004E2936"/>
    <w:rsid w:val="004E2999"/>
    <w:rsid w:val="004E31E5"/>
    <w:rsid w:val="004E38AE"/>
    <w:rsid w:val="004E42BB"/>
    <w:rsid w:val="004E47FA"/>
    <w:rsid w:val="004E494E"/>
    <w:rsid w:val="004E524C"/>
    <w:rsid w:val="004E567E"/>
    <w:rsid w:val="004E59C4"/>
    <w:rsid w:val="004E5DB8"/>
    <w:rsid w:val="004E66C4"/>
    <w:rsid w:val="004E704E"/>
    <w:rsid w:val="004E7269"/>
    <w:rsid w:val="004E72FD"/>
    <w:rsid w:val="004E74CB"/>
    <w:rsid w:val="004E7606"/>
    <w:rsid w:val="004E7BC5"/>
    <w:rsid w:val="004F0046"/>
    <w:rsid w:val="004F0103"/>
    <w:rsid w:val="004F0AA7"/>
    <w:rsid w:val="004F11C3"/>
    <w:rsid w:val="004F1464"/>
    <w:rsid w:val="004F161B"/>
    <w:rsid w:val="004F1695"/>
    <w:rsid w:val="004F1A13"/>
    <w:rsid w:val="004F1C43"/>
    <w:rsid w:val="004F1FC0"/>
    <w:rsid w:val="004F2130"/>
    <w:rsid w:val="004F2473"/>
    <w:rsid w:val="004F2C64"/>
    <w:rsid w:val="004F2FA4"/>
    <w:rsid w:val="004F33A5"/>
    <w:rsid w:val="004F38C1"/>
    <w:rsid w:val="004F3ACE"/>
    <w:rsid w:val="004F3B6A"/>
    <w:rsid w:val="004F423F"/>
    <w:rsid w:val="004F47E5"/>
    <w:rsid w:val="004F5423"/>
    <w:rsid w:val="004F5680"/>
    <w:rsid w:val="004F6884"/>
    <w:rsid w:val="004F6F99"/>
    <w:rsid w:val="004F765F"/>
    <w:rsid w:val="004F7D0C"/>
    <w:rsid w:val="004F7E31"/>
    <w:rsid w:val="005002BB"/>
    <w:rsid w:val="005009A9"/>
    <w:rsid w:val="00500F9D"/>
    <w:rsid w:val="005012D6"/>
    <w:rsid w:val="0050131F"/>
    <w:rsid w:val="00501AA1"/>
    <w:rsid w:val="00501C44"/>
    <w:rsid w:val="00501CFA"/>
    <w:rsid w:val="00501E5F"/>
    <w:rsid w:val="00502395"/>
    <w:rsid w:val="0050242C"/>
    <w:rsid w:val="005024ED"/>
    <w:rsid w:val="00502B48"/>
    <w:rsid w:val="00502B52"/>
    <w:rsid w:val="00502D15"/>
    <w:rsid w:val="0050310B"/>
    <w:rsid w:val="005033AA"/>
    <w:rsid w:val="00503403"/>
    <w:rsid w:val="00503571"/>
    <w:rsid w:val="00503BF1"/>
    <w:rsid w:val="00503FA7"/>
    <w:rsid w:val="00504444"/>
    <w:rsid w:val="0050470E"/>
    <w:rsid w:val="00504763"/>
    <w:rsid w:val="00504B98"/>
    <w:rsid w:val="00504E29"/>
    <w:rsid w:val="00504F97"/>
    <w:rsid w:val="0050532F"/>
    <w:rsid w:val="005054C0"/>
    <w:rsid w:val="00505929"/>
    <w:rsid w:val="00505AD0"/>
    <w:rsid w:val="00505E68"/>
    <w:rsid w:val="0050622D"/>
    <w:rsid w:val="00506256"/>
    <w:rsid w:val="0050631A"/>
    <w:rsid w:val="00506460"/>
    <w:rsid w:val="005066A9"/>
    <w:rsid w:val="005072E7"/>
    <w:rsid w:val="005073AE"/>
    <w:rsid w:val="00507C0E"/>
    <w:rsid w:val="0051038C"/>
    <w:rsid w:val="005103D8"/>
    <w:rsid w:val="00510685"/>
    <w:rsid w:val="0051149D"/>
    <w:rsid w:val="00511C08"/>
    <w:rsid w:val="00511C34"/>
    <w:rsid w:val="00511D15"/>
    <w:rsid w:val="005121A5"/>
    <w:rsid w:val="005122D8"/>
    <w:rsid w:val="00512372"/>
    <w:rsid w:val="00512F82"/>
    <w:rsid w:val="005136D1"/>
    <w:rsid w:val="00513F17"/>
    <w:rsid w:val="00513F6C"/>
    <w:rsid w:val="00513FBF"/>
    <w:rsid w:val="005142A4"/>
    <w:rsid w:val="005143E3"/>
    <w:rsid w:val="00514421"/>
    <w:rsid w:val="0051466F"/>
    <w:rsid w:val="005147C6"/>
    <w:rsid w:val="005149B9"/>
    <w:rsid w:val="00514D2A"/>
    <w:rsid w:val="005152AC"/>
    <w:rsid w:val="005153AD"/>
    <w:rsid w:val="00515A3A"/>
    <w:rsid w:val="00515F11"/>
    <w:rsid w:val="00515FCC"/>
    <w:rsid w:val="00515FF8"/>
    <w:rsid w:val="0051612A"/>
    <w:rsid w:val="0051668F"/>
    <w:rsid w:val="0051674D"/>
    <w:rsid w:val="005168DD"/>
    <w:rsid w:val="00516B53"/>
    <w:rsid w:val="00516ED9"/>
    <w:rsid w:val="0051705A"/>
    <w:rsid w:val="00517134"/>
    <w:rsid w:val="005177B8"/>
    <w:rsid w:val="005201FA"/>
    <w:rsid w:val="00520303"/>
    <w:rsid w:val="00520342"/>
    <w:rsid w:val="005203D1"/>
    <w:rsid w:val="0052051D"/>
    <w:rsid w:val="00520C48"/>
    <w:rsid w:val="00520D40"/>
    <w:rsid w:val="00522716"/>
    <w:rsid w:val="00522899"/>
    <w:rsid w:val="00522BD1"/>
    <w:rsid w:val="00522F6E"/>
    <w:rsid w:val="005231DD"/>
    <w:rsid w:val="00523A0B"/>
    <w:rsid w:val="00523D4E"/>
    <w:rsid w:val="00523F53"/>
    <w:rsid w:val="00524508"/>
    <w:rsid w:val="005249A8"/>
    <w:rsid w:val="00525257"/>
    <w:rsid w:val="00525F3E"/>
    <w:rsid w:val="0052610F"/>
    <w:rsid w:val="00526424"/>
    <w:rsid w:val="00526585"/>
    <w:rsid w:val="00526633"/>
    <w:rsid w:val="00526726"/>
    <w:rsid w:val="005267C9"/>
    <w:rsid w:val="00526B1C"/>
    <w:rsid w:val="00526B1E"/>
    <w:rsid w:val="00526D61"/>
    <w:rsid w:val="005270BD"/>
    <w:rsid w:val="0052756F"/>
    <w:rsid w:val="00527851"/>
    <w:rsid w:val="005304BC"/>
    <w:rsid w:val="005304C6"/>
    <w:rsid w:val="00530609"/>
    <w:rsid w:val="0053119E"/>
    <w:rsid w:val="00531401"/>
    <w:rsid w:val="005319D7"/>
    <w:rsid w:val="00531AE6"/>
    <w:rsid w:val="00531B66"/>
    <w:rsid w:val="00531BD6"/>
    <w:rsid w:val="00532CC7"/>
    <w:rsid w:val="00532F8B"/>
    <w:rsid w:val="00532FE4"/>
    <w:rsid w:val="00533358"/>
    <w:rsid w:val="0053354D"/>
    <w:rsid w:val="00533843"/>
    <w:rsid w:val="00533C05"/>
    <w:rsid w:val="00534203"/>
    <w:rsid w:val="005343E8"/>
    <w:rsid w:val="0053474B"/>
    <w:rsid w:val="00534981"/>
    <w:rsid w:val="00534B46"/>
    <w:rsid w:val="00534D83"/>
    <w:rsid w:val="0053550E"/>
    <w:rsid w:val="0053586E"/>
    <w:rsid w:val="005358D3"/>
    <w:rsid w:val="00535980"/>
    <w:rsid w:val="00535BB9"/>
    <w:rsid w:val="00535DFD"/>
    <w:rsid w:val="00535E33"/>
    <w:rsid w:val="00535ED4"/>
    <w:rsid w:val="005360CE"/>
    <w:rsid w:val="005362A3"/>
    <w:rsid w:val="00536384"/>
    <w:rsid w:val="00537073"/>
    <w:rsid w:val="005370C2"/>
    <w:rsid w:val="005372A5"/>
    <w:rsid w:val="005372ED"/>
    <w:rsid w:val="00540349"/>
    <w:rsid w:val="0054049A"/>
    <w:rsid w:val="005405F2"/>
    <w:rsid w:val="005406BC"/>
    <w:rsid w:val="00540D4D"/>
    <w:rsid w:val="0054100A"/>
    <w:rsid w:val="00541AA2"/>
    <w:rsid w:val="005422E8"/>
    <w:rsid w:val="00542613"/>
    <w:rsid w:val="00542687"/>
    <w:rsid w:val="005430F7"/>
    <w:rsid w:val="005435EB"/>
    <w:rsid w:val="00543A76"/>
    <w:rsid w:val="005445DF"/>
    <w:rsid w:val="00544705"/>
    <w:rsid w:val="0054480E"/>
    <w:rsid w:val="00544F56"/>
    <w:rsid w:val="00544F83"/>
    <w:rsid w:val="0054503A"/>
    <w:rsid w:val="0054546E"/>
    <w:rsid w:val="0054588D"/>
    <w:rsid w:val="005465FA"/>
    <w:rsid w:val="005468F4"/>
    <w:rsid w:val="00546AC4"/>
    <w:rsid w:val="00547358"/>
    <w:rsid w:val="00547383"/>
    <w:rsid w:val="00547817"/>
    <w:rsid w:val="00547868"/>
    <w:rsid w:val="00550035"/>
    <w:rsid w:val="00550230"/>
    <w:rsid w:val="00550421"/>
    <w:rsid w:val="00550DAF"/>
    <w:rsid w:val="00550FDD"/>
    <w:rsid w:val="005515C7"/>
    <w:rsid w:val="005517C5"/>
    <w:rsid w:val="00551D12"/>
    <w:rsid w:val="0055213B"/>
    <w:rsid w:val="00552513"/>
    <w:rsid w:val="005528B1"/>
    <w:rsid w:val="005529D5"/>
    <w:rsid w:val="00552C86"/>
    <w:rsid w:val="00552DC8"/>
    <w:rsid w:val="00552EA2"/>
    <w:rsid w:val="00552EE9"/>
    <w:rsid w:val="005531D3"/>
    <w:rsid w:val="0055386A"/>
    <w:rsid w:val="005539FE"/>
    <w:rsid w:val="00553D4C"/>
    <w:rsid w:val="00553DB5"/>
    <w:rsid w:val="00554485"/>
    <w:rsid w:val="00554A91"/>
    <w:rsid w:val="00555270"/>
    <w:rsid w:val="005554B2"/>
    <w:rsid w:val="005554BD"/>
    <w:rsid w:val="005556A5"/>
    <w:rsid w:val="00555933"/>
    <w:rsid w:val="00555B70"/>
    <w:rsid w:val="0055678A"/>
    <w:rsid w:val="00557422"/>
    <w:rsid w:val="005574F2"/>
    <w:rsid w:val="0055789B"/>
    <w:rsid w:val="00557DF5"/>
    <w:rsid w:val="00560097"/>
    <w:rsid w:val="0056011B"/>
    <w:rsid w:val="0056018E"/>
    <w:rsid w:val="0056028D"/>
    <w:rsid w:val="00560767"/>
    <w:rsid w:val="00560CE1"/>
    <w:rsid w:val="00561444"/>
    <w:rsid w:val="0056150C"/>
    <w:rsid w:val="00561551"/>
    <w:rsid w:val="00561702"/>
    <w:rsid w:val="005617F6"/>
    <w:rsid w:val="00561A77"/>
    <w:rsid w:val="00561F17"/>
    <w:rsid w:val="00561F49"/>
    <w:rsid w:val="005620AF"/>
    <w:rsid w:val="0056288C"/>
    <w:rsid w:val="00562F21"/>
    <w:rsid w:val="00563533"/>
    <w:rsid w:val="0056391D"/>
    <w:rsid w:val="005646F9"/>
    <w:rsid w:val="005647AC"/>
    <w:rsid w:val="0056541A"/>
    <w:rsid w:val="00565737"/>
    <w:rsid w:val="005658EA"/>
    <w:rsid w:val="00565C7E"/>
    <w:rsid w:val="0056603D"/>
    <w:rsid w:val="005662A0"/>
    <w:rsid w:val="005663B3"/>
    <w:rsid w:val="0056689B"/>
    <w:rsid w:val="00566A63"/>
    <w:rsid w:val="00566AF5"/>
    <w:rsid w:val="00566B1C"/>
    <w:rsid w:val="00566E9A"/>
    <w:rsid w:val="005670FF"/>
    <w:rsid w:val="005676E5"/>
    <w:rsid w:val="00567ADE"/>
    <w:rsid w:val="00570C7E"/>
    <w:rsid w:val="00571205"/>
    <w:rsid w:val="00571C37"/>
    <w:rsid w:val="0057205B"/>
    <w:rsid w:val="005720D9"/>
    <w:rsid w:val="005721E8"/>
    <w:rsid w:val="0057287D"/>
    <w:rsid w:val="005732C3"/>
    <w:rsid w:val="005737E2"/>
    <w:rsid w:val="00573EC3"/>
    <w:rsid w:val="00574333"/>
    <w:rsid w:val="005743A9"/>
    <w:rsid w:val="005747BC"/>
    <w:rsid w:val="00574E02"/>
    <w:rsid w:val="005750A6"/>
    <w:rsid w:val="00575205"/>
    <w:rsid w:val="005752CC"/>
    <w:rsid w:val="0057547F"/>
    <w:rsid w:val="00575B7F"/>
    <w:rsid w:val="00575E91"/>
    <w:rsid w:val="00576822"/>
    <w:rsid w:val="00576D7F"/>
    <w:rsid w:val="00576FF6"/>
    <w:rsid w:val="005773A3"/>
    <w:rsid w:val="005773ED"/>
    <w:rsid w:val="00577C7C"/>
    <w:rsid w:val="00577DDD"/>
    <w:rsid w:val="005802BB"/>
    <w:rsid w:val="005803AA"/>
    <w:rsid w:val="0058062A"/>
    <w:rsid w:val="00580770"/>
    <w:rsid w:val="00581423"/>
    <w:rsid w:val="00581FF9"/>
    <w:rsid w:val="00582120"/>
    <w:rsid w:val="00582767"/>
    <w:rsid w:val="0058284B"/>
    <w:rsid w:val="00583151"/>
    <w:rsid w:val="0058316E"/>
    <w:rsid w:val="005833DE"/>
    <w:rsid w:val="00583A0D"/>
    <w:rsid w:val="00583A74"/>
    <w:rsid w:val="0058411E"/>
    <w:rsid w:val="005842BA"/>
    <w:rsid w:val="00584DD5"/>
    <w:rsid w:val="00585470"/>
    <w:rsid w:val="00585B0A"/>
    <w:rsid w:val="00585B41"/>
    <w:rsid w:val="00585BC6"/>
    <w:rsid w:val="00586CE3"/>
    <w:rsid w:val="00586FA9"/>
    <w:rsid w:val="0058770A"/>
    <w:rsid w:val="00590295"/>
    <w:rsid w:val="005902D0"/>
    <w:rsid w:val="005905D1"/>
    <w:rsid w:val="005909FC"/>
    <w:rsid w:val="00590C1F"/>
    <w:rsid w:val="00590F3D"/>
    <w:rsid w:val="005912E4"/>
    <w:rsid w:val="005922DD"/>
    <w:rsid w:val="00592CB2"/>
    <w:rsid w:val="00592E89"/>
    <w:rsid w:val="00592EB6"/>
    <w:rsid w:val="00592F16"/>
    <w:rsid w:val="005934F2"/>
    <w:rsid w:val="00593671"/>
    <w:rsid w:val="005936E4"/>
    <w:rsid w:val="0059389E"/>
    <w:rsid w:val="00593CA9"/>
    <w:rsid w:val="00593D23"/>
    <w:rsid w:val="00594D95"/>
    <w:rsid w:val="00595886"/>
    <w:rsid w:val="00595A1E"/>
    <w:rsid w:val="00595DD5"/>
    <w:rsid w:val="00595EBD"/>
    <w:rsid w:val="00595EF9"/>
    <w:rsid w:val="00595F9E"/>
    <w:rsid w:val="005961DC"/>
    <w:rsid w:val="0059641B"/>
    <w:rsid w:val="005965E1"/>
    <w:rsid w:val="00596799"/>
    <w:rsid w:val="00596BFC"/>
    <w:rsid w:val="00596CF7"/>
    <w:rsid w:val="00596E19"/>
    <w:rsid w:val="005970B0"/>
    <w:rsid w:val="00597795"/>
    <w:rsid w:val="00597983"/>
    <w:rsid w:val="00597B58"/>
    <w:rsid w:val="00597E14"/>
    <w:rsid w:val="00597EBE"/>
    <w:rsid w:val="005A07EC"/>
    <w:rsid w:val="005A0BEF"/>
    <w:rsid w:val="005A12C0"/>
    <w:rsid w:val="005A15F4"/>
    <w:rsid w:val="005A1824"/>
    <w:rsid w:val="005A1FC4"/>
    <w:rsid w:val="005A206A"/>
    <w:rsid w:val="005A212A"/>
    <w:rsid w:val="005A216A"/>
    <w:rsid w:val="005A2D7A"/>
    <w:rsid w:val="005A3147"/>
    <w:rsid w:val="005A356F"/>
    <w:rsid w:val="005A3B27"/>
    <w:rsid w:val="005A3D41"/>
    <w:rsid w:val="005A4408"/>
    <w:rsid w:val="005A49E0"/>
    <w:rsid w:val="005A4A94"/>
    <w:rsid w:val="005A5082"/>
    <w:rsid w:val="005A50A7"/>
    <w:rsid w:val="005A520C"/>
    <w:rsid w:val="005A523E"/>
    <w:rsid w:val="005A5C89"/>
    <w:rsid w:val="005A5CE9"/>
    <w:rsid w:val="005A5D98"/>
    <w:rsid w:val="005A66A0"/>
    <w:rsid w:val="005A6DAD"/>
    <w:rsid w:val="005A6FAE"/>
    <w:rsid w:val="005A70B6"/>
    <w:rsid w:val="005B0227"/>
    <w:rsid w:val="005B0306"/>
    <w:rsid w:val="005B0D8B"/>
    <w:rsid w:val="005B0DF5"/>
    <w:rsid w:val="005B0F27"/>
    <w:rsid w:val="005B129A"/>
    <w:rsid w:val="005B1CC3"/>
    <w:rsid w:val="005B1CFE"/>
    <w:rsid w:val="005B1EE9"/>
    <w:rsid w:val="005B212B"/>
    <w:rsid w:val="005B2517"/>
    <w:rsid w:val="005B27C3"/>
    <w:rsid w:val="005B28C8"/>
    <w:rsid w:val="005B299A"/>
    <w:rsid w:val="005B2EDD"/>
    <w:rsid w:val="005B31DE"/>
    <w:rsid w:val="005B3912"/>
    <w:rsid w:val="005B44DC"/>
    <w:rsid w:val="005B475A"/>
    <w:rsid w:val="005B4C9C"/>
    <w:rsid w:val="005B50D6"/>
    <w:rsid w:val="005B640B"/>
    <w:rsid w:val="005B6B14"/>
    <w:rsid w:val="005B6C80"/>
    <w:rsid w:val="005B6D91"/>
    <w:rsid w:val="005B723F"/>
    <w:rsid w:val="005B7767"/>
    <w:rsid w:val="005B79A7"/>
    <w:rsid w:val="005C0CD1"/>
    <w:rsid w:val="005C0EBC"/>
    <w:rsid w:val="005C13C7"/>
    <w:rsid w:val="005C1F34"/>
    <w:rsid w:val="005C1FE4"/>
    <w:rsid w:val="005C22AE"/>
    <w:rsid w:val="005C25EF"/>
    <w:rsid w:val="005C2FDA"/>
    <w:rsid w:val="005C3442"/>
    <w:rsid w:val="005C3619"/>
    <w:rsid w:val="005C37A1"/>
    <w:rsid w:val="005C3D62"/>
    <w:rsid w:val="005C406A"/>
    <w:rsid w:val="005C4793"/>
    <w:rsid w:val="005C4BB0"/>
    <w:rsid w:val="005C5038"/>
    <w:rsid w:val="005C57C1"/>
    <w:rsid w:val="005C5B5B"/>
    <w:rsid w:val="005C6648"/>
    <w:rsid w:val="005C675A"/>
    <w:rsid w:val="005C6B21"/>
    <w:rsid w:val="005C6DBE"/>
    <w:rsid w:val="005C6F42"/>
    <w:rsid w:val="005C731A"/>
    <w:rsid w:val="005C7914"/>
    <w:rsid w:val="005D009E"/>
    <w:rsid w:val="005D01D8"/>
    <w:rsid w:val="005D06B1"/>
    <w:rsid w:val="005D0885"/>
    <w:rsid w:val="005D093A"/>
    <w:rsid w:val="005D0D21"/>
    <w:rsid w:val="005D0EDB"/>
    <w:rsid w:val="005D11A5"/>
    <w:rsid w:val="005D1F11"/>
    <w:rsid w:val="005D27FB"/>
    <w:rsid w:val="005D2D0B"/>
    <w:rsid w:val="005D2DB2"/>
    <w:rsid w:val="005D2F2E"/>
    <w:rsid w:val="005D3108"/>
    <w:rsid w:val="005D32E7"/>
    <w:rsid w:val="005D361F"/>
    <w:rsid w:val="005D36F6"/>
    <w:rsid w:val="005D36FA"/>
    <w:rsid w:val="005D3F94"/>
    <w:rsid w:val="005D3FC1"/>
    <w:rsid w:val="005D4B6B"/>
    <w:rsid w:val="005D4E3E"/>
    <w:rsid w:val="005D5270"/>
    <w:rsid w:val="005D5B21"/>
    <w:rsid w:val="005D65AE"/>
    <w:rsid w:val="005D677B"/>
    <w:rsid w:val="005D6BCF"/>
    <w:rsid w:val="005D6C9F"/>
    <w:rsid w:val="005D6EA9"/>
    <w:rsid w:val="005D7174"/>
    <w:rsid w:val="005D78BC"/>
    <w:rsid w:val="005D794C"/>
    <w:rsid w:val="005D7A3F"/>
    <w:rsid w:val="005E01B7"/>
    <w:rsid w:val="005E045D"/>
    <w:rsid w:val="005E07E0"/>
    <w:rsid w:val="005E0902"/>
    <w:rsid w:val="005E0918"/>
    <w:rsid w:val="005E0FE3"/>
    <w:rsid w:val="005E195B"/>
    <w:rsid w:val="005E1AD5"/>
    <w:rsid w:val="005E1ED0"/>
    <w:rsid w:val="005E2005"/>
    <w:rsid w:val="005E25D8"/>
    <w:rsid w:val="005E2CA2"/>
    <w:rsid w:val="005E2F40"/>
    <w:rsid w:val="005E42FA"/>
    <w:rsid w:val="005E4478"/>
    <w:rsid w:val="005E47D7"/>
    <w:rsid w:val="005E48B7"/>
    <w:rsid w:val="005E52FC"/>
    <w:rsid w:val="005E57CD"/>
    <w:rsid w:val="005E639E"/>
    <w:rsid w:val="005E6520"/>
    <w:rsid w:val="005E662E"/>
    <w:rsid w:val="005E66B7"/>
    <w:rsid w:val="005E6767"/>
    <w:rsid w:val="005E6C18"/>
    <w:rsid w:val="005E6D22"/>
    <w:rsid w:val="005E6D43"/>
    <w:rsid w:val="005E6F04"/>
    <w:rsid w:val="005E76EB"/>
    <w:rsid w:val="005E7817"/>
    <w:rsid w:val="005E7B0D"/>
    <w:rsid w:val="005E7EA7"/>
    <w:rsid w:val="005F0072"/>
    <w:rsid w:val="005F0996"/>
    <w:rsid w:val="005F0BAB"/>
    <w:rsid w:val="005F11BF"/>
    <w:rsid w:val="005F126C"/>
    <w:rsid w:val="005F1486"/>
    <w:rsid w:val="005F1918"/>
    <w:rsid w:val="005F1928"/>
    <w:rsid w:val="005F1AEA"/>
    <w:rsid w:val="005F1F79"/>
    <w:rsid w:val="005F2487"/>
    <w:rsid w:val="005F305B"/>
    <w:rsid w:val="005F3303"/>
    <w:rsid w:val="005F365E"/>
    <w:rsid w:val="005F39AB"/>
    <w:rsid w:val="005F3F32"/>
    <w:rsid w:val="005F4070"/>
    <w:rsid w:val="005F4997"/>
    <w:rsid w:val="005F4ADF"/>
    <w:rsid w:val="005F4E54"/>
    <w:rsid w:val="005F4E87"/>
    <w:rsid w:val="005F4EAC"/>
    <w:rsid w:val="005F55FB"/>
    <w:rsid w:val="005F5800"/>
    <w:rsid w:val="005F5A38"/>
    <w:rsid w:val="005F5CD8"/>
    <w:rsid w:val="005F5E15"/>
    <w:rsid w:val="005F612A"/>
    <w:rsid w:val="005F67A6"/>
    <w:rsid w:val="005F6A83"/>
    <w:rsid w:val="005F6AB0"/>
    <w:rsid w:val="005F6CCF"/>
    <w:rsid w:val="005F6F60"/>
    <w:rsid w:val="005F7B0F"/>
    <w:rsid w:val="005F7B7B"/>
    <w:rsid w:val="0060043C"/>
    <w:rsid w:val="006005C2"/>
    <w:rsid w:val="00600B1B"/>
    <w:rsid w:val="00600CD9"/>
    <w:rsid w:val="00600E27"/>
    <w:rsid w:val="00601011"/>
    <w:rsid w:val="00601148"/>
    <w:rsid w:val="00601622"/>
    <w:rsid w:val="00601B09"/>
    <w:rsid w:val="006021F9"/>
    <w:rsid w:val="00602412"/>
    <w:rsid w:val="006024C3"/>
    <w:rsid w:val="00603449"/>
    <w:rsid w:val="00603A43"/>
    <w:rsid w:val="00604F3D"/>
    <w:rsid w:val="006055EF"/>
    <w:rsid w:val="00605831"/>
    <w:rsid w:val="00605BDD"/>
    <w:rsid w:val="00605C86"/>
    <w:rsid w:val="0060682B"/>
    <w:rsid w:val="006069AB"/>
    <w:rsid w:val="00607B1D"/>
    <w:rsid w:val="00607C54"/>
    <w:rsid w:val="0061002C"/>
    <w:rsid w:val="00610056"/>
    <w:rsid w:val="00610081"/>
    <w:rsid w:val="006100FD"/>
    <w:rsid w:val="00610697"/>
    <w:rsid w:val="0061072E"/>
    <w:rsid w:val="006107DB"/>
    <w:rsid w:val="00610ABA"/>
    <w:rsid w:val="00610F72"/>
    <w:rsid w:val="00611DB7"/>
    <w:rsid w:val="0061321D"/>
    <w:rsid w:val="0061374A"/>
    <w:rsid w:val="006142D5"/>
    <w:rsid w:val="0061447F"/>
    <w:rsid w:val="0061458E"/>
    <w:rsid w:val="00614714"/>
    <w:rsid w:val="00614771"/>
    <w:rsid w:val="00614926"/>
    <w:rsid w:val="00614B33"/>
    <w:rsid w:val="00614F8C"/>
    <w:rsid w:val="00615313"/>
    <w:rsid w:val="00615A63"/>
    <w:rsid w:val="00615D81"/>
    <w:rsid w:val="00615ECB"/>
    <w:rsid w:val="00616EFF"/>
    <w:rsid w:val="00616FFD"/>
    <w:rsid w:val="00617842"/>
    <w:rsid w:val="00617D5C"/>
    <w:rsid w:val="00620C90"/>
    <w:rsid w:val="00620F33"/>
    <w:rsid w:val="00620F51"/>
    <w:rsid w:val="00621083"/>
    <w:rsid w:val="006212B0"/>
    <w:rsid w:val="006216FE"/>
    <w:rsid w:val="00621814"/>
    <w:rsid w:val="00621847"/>
    <w:rsid w:val="00621989"/>
    <w:rsid w:val="00621CAE"/>
    <w:rsid w:val="00621E45"/>
    <w:rsid w:val="0062223B"/>
    <w:rsid w:val="00622968"/>
    <w:rsid w:val="00622BD9"/>
    <w:rsid w:val="00622D8E"/>
    <w:rsid w:val="0062306A"/>
    <w:rsid w:val="00623299"/>
    <w:rsid w:val="006233B7"/>
    <w:rsid w:val="00623CEF"/>
    <w:rsid w:val="00623E80"/>
    <w:rsid w:val="006242CC"/>
    <w:rsid w:val="006245B7"/>
    <w:rsid w:val="00624A52"/>
    <w:rsid w:val="00624C74"/>
    <w:rsid w:val="006254AE"/>
    <w:rsid w:val="0062596E"/>
    <w:rsid w:val="00625BD9"/>
    <w:rsid w:val="00625FDA"/>
    <w:rsid w:val="00626300"/>
    <w:rsid w:val="006264E2"/>
    <w:rsid w:val="0062656B"/>
    <w:rsid w:val="00626603"/>
    <w:rsid w:val="0062686C"/>
    <w:rsid w:val="006268E8"/>
    <w:rsid w:val="006277C1"/>
    <w:rsid w:val="00627907"/>
    <w:rsid w:val="0062790A"/>
    <w:rsid w:val="00627A75"/>
    <w:rsid w:val="00627B39"/>
    <w:rsid w:val="0063011A"/>
    <w:rsid w:val="00630B91"/>
    <w:rsid w:val="00630BB7"/>
    <w:rsid w:val="00630EAC"/>
    <w:rsid w:val="006310FC"/>
    <w:rsid w:val="00631140"/>
    <w:rsid w:val="006313A1"/>
    <w:rsid w:val="006319FA"/>
    <w:rsid w:val="00631CB3"/>
    <w:rsid w:val="00631D9E"/>
    <w:rsid w:val="00632C00"/>
    <w:rsid w:val="0063421F"/>
    <w:rsid w:val="0063425F"/>
    <w:rsid w:val="00634298"/>
    <w:rsid w:val="006343DC"/>
    <w:rsid w:val="00634AB2"/>
    <w:rsid w:val="00634B07"/>
    <w:rsid w:val="00635208"/>
    <w:rsid w:val="0063593F"/>
    <w:rsid w:val="00635A30"/>
    <w:rsid w:val="00635C78"/>
    <w:rsid w:val="00635D30"/>
    <w:rsid w:val="006362A6"/>
    <w:rsid w:val="006366D8"/>
    <w:rsid w:val="0063671C"/>
    <w:rsid w:val="006367D0"/>
    <w:rsid w:val="0063681C"/>
    <w:rsid w:val="006375E4"/>
    <w:rsid w:val="00637617"/>
    <w:rsid w:val="00637789"/>
    <w:rsid w:val="006379F5"/>
    <w:rsid w:val="00640329"/>
    <w:rsid w:val="006409FF"/>
    <w:rsid w:val="00640B5D"/>
    <w:rsid w:val="00640C4D"/>
    <w:rsid w:val="00640CBC"/>
    <w:rsid w:val="00640DF4"/>
    <w:rsid w:val="00640FBB"/>
    <w:rsid w:val="006410DE"/>
    <w:rsid w:val="006413B5"/>
    <w:rsid w:val="00642571"/>
    <w:rsid w:val="00642582"/>
    <w:rsid w:val="006426C3"/>
    <w:rsid w:val="00642A93"/>
    <w:rsid w:val="00642D82"/>
    <w:rsid w:val="006430C2"/>
    <w:rsid w:val="0064359C"/>
    <w:rsid w:val="006455D0"/>
    <w:rsid w:val="006458D3"/>
    <w:rsid w:val="00645B67"/>
    <w:rsid w:val="00645DA0"/>
    <w:rsid w:val="00646962"/>
    <w:rsid w:val="00646CC6"/>
    <w:rsid w:val="006472F9"/>
    <w:rsid w:val="0064731E"/>
    <w:rsid w:val="00647565"/>
    <w:rsid w:val="0064762F"/>
    <w:rsid w:val="00647F74"/>
    <w:rsid w:val="00647FB5"/>
    <w:rsid w:val="00650B27"/>
    <w:rsid w:val="00650D50"/>
    <w:rsid w:val="006513D9"/>
    <w:rsid w:val="00651484"/>
    <w:rsid w:val="006515BB"/>
    <w:rsid w:val="00651ADD"/>
    <w:rsid w:val="00651B56"/>
    <w:rsid w:val="00651C97"/>
    <w:rsid w:val="00651CC5"/>
    <w:rsid w:val="006520D9"/>
    <w:rsid w:val="006522E6"/>
    <w:rsid w:val="00652D9A"/>
    <w:rsid w:val="00652E9A"/>
    <w:rsid w:val="00652F38"/>
    <w:rsid w:val="00653181"/>
    <w:rsid w:val="00653D03"/>
    <w:rsid w:val="006549D0"/>
    <w:rsid w:val="00654A60"/>
    <w:rsid w:val="00654E0E"/>
    <w:rsid w:val="00654E65"/>
    <w:rsid w:val="00654F68"/>
    <w:rsid w:val="00655932"/>
    <w:rsid w:val="00655CD7"/>
    <w:rsid w:val="00655DD8"/>
    <w:rsid w:val="00656650"/>
    <w:rsid w:val="006568E0"/>
    <w:rsid w:val="00656D46"/>
    <w:rsid w:val="00656D5F"/>
    <w:rsid w:val="00656D73"/>
    <w:rsid w:val="00656DD3"/>
    <w:rsid w:val="00657519"/>
    <w:rsid w:val="00657999"/>
    <w:rsid w:val="00657B93"/>
    <w:rsid w:val="00657CC8"/>
    <w:rsid w:val="00657F94"/>
    <w:rsid w:val="00660311"/>
    <w:rsid w:val="00660480"/>
    <w:rsid w:val="00660AC0"/>
    <w:rsid w:val="0066112A"/>
    <w:rsid w:val="0066120C"/>
    <w:rsid w:val="00661324"/>
    <w:rsid w:val="006613F8"/>
    <w:rsid w:val="0066178F"/>
    <w:rsid w:val="0066197B"/>
    <w:rsid w:val="0066217D"/>
    <w:rsid w:val="00662CAE"/>
    <w:rsid w:val="00662EDB"/>
    <w:rsid w:val="00662F54"/>
    <w:rsid w:val="00663150"/>
    <w:rsid w:val="006631BB"/>
    <w:rsid w:val="00663370"/>
    <w:rsid w:val="006637D2"/>
    <w:rsid w:val="00663A18"/>
    <w:rsid w:val="00663A28"/>
    <w:rsid w:val="00663F75"/>
    <w:rsid w:val="00664140"/>
    <w:rsid w:val="0066428B"/>
    <w:rsid w:val="00664427"/>
    <w:rsid w:val="00664786"/>
    <w:rsid w:val="00664F76"/>
    <w:rsid w:val="006654CD"/>
    <w:rsid w:val="00665DA5"/>
    <w:rsid w:val="00665EC8"/>
    <w:rsid w:val="00665F00"/>
    <w:rsid w:val="00666364"/>
    <w:rsid w:val="00666809"/>
    <w:rsid w:val="00666CD9"/>
    <w:rsid w:val="00666E85"/>
    <w:rsid w:val="00666FA4"/>
    <w:rsid w:val="006677E2"/>
    <w:rsid w:val="00667ED3"/>
    <w:rsid w:val="006701F3"/>
    <w:rsid w:val="00670383"/>
    <w:rsid w:val="006704F0"/>
    <w:rsid w:val="00670B91"/>
    <w:rsid w:val="00670B99"/>
    <w:rsid w:val="00670C83"/>
    <w:rsid w:val="00671368"/>
    <w:rsid w:val="0067140E"/>
    <w:rsid w:val="00671534"/>
    <w:rsid w:val="00671744"/>
    <w:rsid w:val="0067185D"/>
    <w:rsid w:val="00671A01"/>
    <w:rsid w:val="00671BA7"/>
    <w:rsid w:val="00672133"/>
    <w:rsid w:val="00672527"/>
    <w:rsid w:val="0067297E"/>
    <w:rsid w:val="0067298D"/>
    <w:rsid w:val="00672FA2"/>
    <w:rsid w:val="00673035"/>
    <w:rsid w:val="0067305C"/>
    <w:rsid w:val="006735E9"/>
    <w:rsid w:val="00673943"/>
    <w:rsid w:val="00673B40"/>
    <w:rsid w:val="00674040"/>
    <w:rsid w:val="006740E7"/>
    <w:rsid w:val="006741A2"/>
    <w:rsid w:val="0067420E"/>
    <w:rsid w:val="00674522"/>
    <w:rsid w:val="006749A2"/>
    <w:rsid w:val="00674A96"/>
    <w:rsid w:val="00675008"/>
    <w:rsid w:val="006751A3"/>
    <w:rsid w:val="006752A7"/>
    <w:rsid w:val="0067575C"/>
    <w:rsid w:val="006758ED"/>
    <w:rsid w:val="00675A7E"/>
    <w:rsid w:val="0067687A"/>
    <w:rsid w:val="00676988"/>
    <w:rsid w:val="00676C46"/>
    <w:rsid w:val="006771EF"/>
    <w:rsid w:val="00677662"/>
    <w:rsid w:val="0067775C"/>
    <w:rsid w:val="00677C6B"/>
    <w:rsid w:val="00680561"/>
    <w:rsid w:val="00680AC1"/>
    <w:rsid w:val="00680E28"/>
    <w:rsid w:val="0068153C"/>
    <w:rsid w:val="00681FB6"/>
    <w:rsid w:val="006825F1"/>
    <w:rsid w:val="00682F5E"/>
    <w:rsid w:val="00683277"/>
    <w:rsid w:val="00683397"/>
    <w:rsid w:val="006847D3"/>
    <w:rsid w:val="006848C8"/>
    <w:rsid w:val="006848E4"/>
    <w:rsid w:val="0068512D"/>
    <w:rsid w:val="006852BE"/>
    <w:rsid w:val="0068590D"/>
    <w:rsid w:val="006859AE"/>
    <w:rsid w:val="006862AB"/>
    <w:rsid w:val="00686BF1"/>
    <w:rsid w:val="00687019"/>
    <w:rsid w:val="006870EE"/>
    <w:rsid w:val="006903E8"/>
    <w:rsid w:val="0069045D"/>
    <w:rsid w:val="00690475"/>
    <w:rsid w:val="00690CB5"/>
    <w:rsid w:val="00690E7A"/>
    <w:rsid w:val="00690F82"/>
    <w:rsid w:val="0069104B"/>
    <w:rsid w:val="0069139E"/>
    <w:rsid w:val="0069155C"/>
    <w:rsid w:val="0069168B"/>
    <w:rsid w:val="006918B1"/>
    <w:rsid w:val="00691F9E"/>
    <w:rsid w:val="00691FBF"/>
    <w:rsid w:val="0069208F"/>
    <w:rsid w:val="0069228D"/>
    <w:rsid w:val="00692377"/>
    <w:rsid w:val="006928FF"/>
    <w:rsid w:val="00692C86"/>
    <w:rsid w:val="00693008"/>
    <w:rsid w:val="00693990"/>
    <w:rsid w:val="00693E12"/>
    <w:rsid w:val="00693EEF"/>
    <w:rsid w:val="00694935"/>
    <w:rsid w:val="006949AB"/>
    <w:rsid w:val="00694A2D"/>
    <w:rsid w:val="00694D74"/>
    <w:rsid w:val="00694DEF"/>
    <w:rsid w:val="006958BD"/>
    <w:rsid w:val="006959D4"/>
    <w:rsid w:val="006959F2"/>
    <w:rsid w:val="00695EA2"/>
    <w:rsid w:val="0069622E"/>
    <w:rsid w:val="006966FE"/>
    <w:rsid w:val="00696A83"/>
    <w:rsid w:val="00696B3A"/>
    <w:rsid w:val="006977DB"/>
    <w:rsid w:val="0069791E"/>
    <w:rsid w:val="006A016F"/>
    <w:rsid w:val="006A07DD"/>
    <w:rsid w:val="006A0CDE"/>
    <w:rsid w:val="006A1852"/>
    <w:rsid w:val="006A196C"/>
    <w:rsid w:val="006A197E"/>
    <w:rsid w:val="006A1D85"/>
    <w:rsid w:val="006A1F66"/>
    <w:rsid w:val="006A23E1"/>
    <w:rsid w:val="006A2417"/>
    <w:rsid w:val="006A24C7"/>
    <w:rsid w:val="006A27B3"/>
    <w:rsid w:val="006A3773"/>
    <w:rsid w:val="006A3871"/>
    <w:rsid w:val="006A38B2"/>
    <w:rsid w:val="006A395D"/>
    <w:rsid w:val="006A39FD"/>
    <w:rsid w:val="006A3AD8"/>
    <w:rsid w:val="006A3AFE"/>
    <w:rsid w:val="006A4635"/>
    <w:rsid w:val="006A4BA9"/>
    <w:rsid w:val="006A5A56"/>
    <w:rsid w:val="006A5E82"/>
    <w:rsid w:val="006A6311"/>
    <w:rsid w:val="006A6769"/>
    <w:rsid w:val="006A6A49"/>
    <w:rsid w:val="006A6BD2"/>
    <w:rsid w:val="006A6C6A"/>
    <w:rsid w:val="006A725E"/>
    <w:rsid w:val="006A73BF"/>
    <w:rsid w:val="006A7560"/>
    <w:rsid w:val="006A77B3"/>
    <w:rsid w:val="006B01AD"/>
    <w:rsid w:val="006B01C1"/>
    <w:rsid w:val="006B0ED8"/>
    <w:rsid w:val="006B2258"/>
    <w:rsid w:val="006B23A9"/>
    <w:rsid w:val="006B2429"/>
    <w:rsid w:val="006B27AD"/>
    <w:rsid w:val="006B290F"/>
    <w:rsid w:val="006B3169"/>
    <w:rsid w:val="006B3797"/>
    <w:rsid w:val="006B38D9"/>
    <w:rsid w:val="006B4061"/>
    <w:rsid w:val="006B4869"/>
    <w:rsid w:val="006B4D31"/>
    <w:rsid w:val="006B50E3"/>
    <w:rsid w:val="006B5324"/>
    <w:rsid w:val="006B5378"/>
    <w:rsid w:val="006B5393"/>
    <w:rsid w:val="006B575E"/>
    <w:rsid w:val="006B58C3"/>
    <w:rsid w:val="006B5942"/>
    <w:rsid w:val="006B5D10"/>
    <w:rsid w:val="006B6473"/>
    <w:rsid w:val="006B6858"/>
    <w:rsid w:val="006B6A16"/>
    <w:rsid w:val="006B6A46"/>
    <w:rsid w:val="006B6A90"/>
    <w:rsid w:val="006B6C44"/>
    <w:rsid w:val="006B6EB1"/>
    <w:rsid w:val="006B706C"/>
    <w:rsid w:val="006B7456"/>
    <w:rsid w:val="006B745A"/>
    <w:rsid w:val="006B7497"/>
    <w:rsid w:val="006B78A2"/>
    <w:rsid w:val="006B7920"/>
    <w:rsid w:val="006B7B64"/>
    <w:rsid w:val="006B7BF6"/>
    <w:rsid w:val="006C01F0"/>
    <w:rsid w:val="006C1856"/>
    <w:rsid w:val="006C1A58"/>
    <w:rsid w:val="006C2431"/>
    <w:rsid w:val="006C2B79"/>
    <w:rsid w:val="006C30BF"/>
    <w:rsid w:val="006C37F9"/>
    <w:rsid w:val="006C3F4F"/>
    <w:rsid w:val="006C427C"/>
    <w:rsid w:val="006C49CF"/>
    <w:rsid w:val="006C4A4C"/>
    <w:rsid w:val="006C4C94"/>
    <w:rsid w:val="006C4DDE"/>
    <w:rsid w:val="006C4E4B"/>
    <w:rsid w:val="006C4F82"/>
    <w:rsid w:val="006C5414"/>
    <w:rsid w:val="006C57DD"/>
    <w:rsid w:val="006C606E"/>
    <w:rsid w:val="006C6A39"/>
    <w:rsid w:val="006C6D45"/>
    <w:rsid w:val="006C7064"/>
    <w:rsid w:val="006C722F"/>
    <w:rsid w:val="006C7598"/>
    <w:rsid w:val="006C7752"/>
    <w:rsid w:val="006C7770"/>
    <w:rsid w:val="006D0437"/>
    <w:rsid w:val="006D1091"/>
    <w:rsid w:val="006D17B2"/>
    <w:rsid w:val="006D2FD2"/>
    <w:rsid w:val="006D3CE0"/>
    <w:rsid w:val="006D4313"/>
    <w:rsid w:val="006D434C"/>
    <w:rsid w:val="006D4463"/>
    <w:rsid w:val="006D4AA5"/>
    <w:rsid w:val="006D4AC8"/>
    <w:rsid w:val="006D4F73"/>
    <w:rsid w:val="006D527A"/>
    <w:rsid w:val="006D578B"/>
    <w:rsid w:val="006D5C3F"/>
    <w:rsid w:val="006D65F7"/>
    <w:rsid w:val="006D66B8"/>
    <w:rsid w:val="006D7588"/>
    <w:rsid w:val="006D7C96"/>
    <w:rsid w:val="006D7F5F"/>
    <w:rsid w:val="006D7F85"/>
    <w:rsid w:val="006E035B"/>
    <w:rsid w:val="006E0398"/>
    <w:rsid w:val="006E04A2"/>
    <w:rsid w:val="006E0516"/>
    <w:rsid w:val="006E0A0F"/>
    <w:rsid w:val="006E0A6F"/>
    <w:rsid w:val="006E11C8"/>
    <w:rsid w:val="006E165C"/>
    <w:rsid w:val="006E18D3"/>
    <w:rsid w:val="006E1D12"/>
    <w:rsid w:val="006E1EF4"/>
    <w:rsid w:val="006E20B7"/>
    <w:rsid w:val="006E2125"/>
    <w:rsid w:val="006E2A9D"/>
    <w:rsid w:val="006E34BF"/>
    <w:rsid w:val="006E3601"/>
    <w:rsid w:val="006E3F5B"/>
    <w:rsid w:val="006E430A"/>
    <w:rsid w:val="006E471A"/>
    <w:rsid w:val="006E4BCF"/>
    <w:rsid w:val="006E4C17"/>
    <w:rsid w:val="006E4F41"/>
    <w:rsid w:val="006E5783"/>
    <w:rsid w:val="006E5846"/>
    <w:rsid w:val="006E5A2F"/>
    <w:rsid w:val="006E60DA"/>
    <w:rsid w:val="006E60EF"/>
    <w:rsid w:val="006E61EC"/>
    <w:rsid w:val="006E63BF"/>
    <w:rsid w:val="006E6454"/>
    <w:rsid w:val="006E6679"/>
    <w:rsid w:val="006E6768"/>
    <w:rsid w:val="006E68C3"/>
    <w:rsid w:val="006E6DB3"/>
    <w:rsid w:val="006E7047"/>
    <w:rsid w:val="006E77BE"/>
    <w:rsid w:val="006E7AE7"/>
    <w:rsid w:val="006F0211"/>
    <w:rsid w:val="006F038F"/>
    <w:rsid w:val="006F0555"/>
    <w:rsid w:val="006F0BB8"/>
    <w:rsid w:val="006F112C"/>
    <w:rsid w:val="006F1C81"/>
    <w:rsid w:val="006F1CC6"/>
    <w:rsid w:val="006F1D57"/>
    <w:rsid w:val="006F1D6B"/>
    <w:rsid w:val="006F1FB5"/>
    <w:rsid w:val="006F2024"/>
    <w:rsid w:val="006F246B"/>
    <w:rsid w:val="006F2574"/>
    <w:rsid w:val="006F2824"/>
    <w:rsid w:val="006F2A3A"/>
    <w:rsid w:val="006F353C"/>
    <w:rsid w:val="006F36A5"/>
    <w:rsid w:val="006F376E"/>
    <w:rsid w:val="006F3D9D"/>
    <w:rsid w:val="006F3DC1"/>
    <w:rsid w:val="006F3EDE"/>
    <w:rsid w:val="006F40EA"/>
    <w:rsid w:val="006F4487"/>
    <w:rsid w:val="006F44C0"/>
    <w:rsid w:val="006F526F"/>
    <w:rsid w:val="006F533A"/>
    <w:rsid w:val="006F534C"/>
    <w:rsid w:val="006F53D2"/>
    <w:rsid w:val="006F561A"/>
    <w:rsid w:val="006F64E7"/>
    <w:rsid w:val="006F7391"/>
    <w:rsid w:val="006F7ABA"/>
    <w:rsid w:val="00700B0C"/>
    <w:rsid w:val="00700D4C"/>
    <w:rsid w:val="00700F51"/>
    <w:rsid w:val="0070101F"/>
    <w:rsid w:val="007015AB"/>
    <w:rsid w:val="0070161D"/>
    <w:rsid w:val="007019B0"/>
    <w:rsid w:val="007023F6"/>
    <w:rsid w:val="00702CA5"/>
    <w:rsid w:val="00703043"/>
    <w:rsid w:val="0070326E"/>
    <w:rsid w:val="00703450"/>
    <w:rsid w:val="007036E2"/>
    <w:rsid w:val="00703E18"/>
    <w:rsid w:val="00703E8F"/>
    <w:rsid w:val="00703F76"/>
    <w:rsid w:val="00704096"/>
    <w:rsid w:val="007040AD"/>
    <w:rsid w:val="00704A62"/>
    <w:rsid w:val="00704F34"/>
    <w:rsid w:val="00704FE0"/>
    <w:rsid w:val="007051C2"/>
    <w:rsid w:val="007053B2"/>
    <w:rsid w:val="00705958"/>
    <w:rsid w:val="007059DA"/>
    <w:rsid w:val="00705C9F"/>
    <w:rsid w:val="00705F34"/>
    <w:rsid w:val="00706008"/>
    <w:rsid w:val="00706295"/>
    <w:rsid w:val="00706808"/>
    <w:rsid w:val="00706A57"/>
    <w:rsid w:val="00706AF9"/>
    <w:rsid w:val="00706C9B"/>
    <w:rsid w:val="00706E6C"/>
    <w:rsid w:val="00707296"/>
    <w:rsid w:val="00707387"/>
    <w:rsid w:val="0070793E"/>
    <w:rsid w:val="00707978"/>
    <w:rsid w:val="007079BB"/>
    <w:rsid w:val="00710112"/>
    <w:rsid w:val="007109B1"/>
    <w:rsid w:val="00710D6D"/>
    <w:rsid w:val="007113F3"/>
    <w:rsid w:val="0071159B"/>
    <w:rsid w:val="00711702"/>
    <w:rsid w:val="0071211E"/>
    <w:rsid w:val="0071224C"/>
    <w:rsid w:val="0071242E"/>
    <w:rsid w:val="00712620"/>
    <w:rsid w:val="007128EE"/>
    <w:rsid w:val="00712D23"/>
    <w:rsid w:val="00714043"/>
    <w:rsid w:val="00714473"/>
    <w:rsid w:val="00714D26"/>
    <w:rsid w:val="007156DE"/>
    <w:rsid w:val="00715758"/>
    <w:rsid w:val="00715936"/>
    <w:rsid w:val="00715E14"/>
    <w:rsid w:val="00715FE1"/>
    <w:rsid w:val="00716427"/>
    <w:rsid w:val="00716A3D"/>
    <w:rsid w:val="0071712F"/>
    <w:rsid w:val="00717AF0"/>
    <w:rsid w:val="00717F79"/>
    <w:rsid w:val="00717F85"/>
    <w:rsid w:val="0072005A"/>
    <w:rsid w:val="0072057B"/>
    <w:rsid w:val="00720932"/>
    <w:rsid w:val="00720B7E"/>
    <w:rsid w:val="00720FA6"/>
    <w:rsid w:val="0072119F"/>
    <w:rsid w:val="007215B1"/>
    <w:rsid w:val="00721ABE"/>
    <w:rsid w:val="007224D3"/>
    <w:rsid w:val="00722705"/>
    <w:rsid w:val="00722C58"/>
    <w:rsid w:val="00722DD8"/>
    <w:rsid w:val="00722F0B"/>
    <w:rsid w:val="00722F86"/>
    <w:rsid w:val="0072346A"/>
    <w:rsid w:val="00723FAE"/>
    <w:rsid w:val="00724AD4"/>
    <w:rsid w:val="00725CA5"/>
    <w:rsid w:val="0072652B"/>
    <w:rsid w:val="00726A8B"/>
    <w:rsid w:val="00726B47"/>
    <w:rsid w:val="00726FBB"/>
    <w:rsid w:val="007271D0"/>
    <w:rsid w:val="007272A4"/>
    <w:rsid w:val="007279F2"/>
    <w:rsid w:val="00727C9E"/>
    <w:rsid w:val="007302A8"/>
    <w:rsid w:val="0073058E"/>
    <w:rsid w:val="007307DB"/>
    <w:rsid w:val="00730BA7"/>
    <w:rsid w:val="007310B5"/>
    <w:rsid w:val="00731314"/>
    <w:rsid w:val="00731986"/>
    <w:rsid w:val="00731DB5"/>
    <w:rsid w:val="00731F33"/>
    <w:rsid w:val="00731FC0"/>
    <w:rsid w:val="0073241D"/>
    <w:rsid w:val="00732925"/>
    <w:rsid w:val="00732A1B"/>
    <w:rsid w:val="0073315D"/>
    <w:rsid w:val="00733863"/>
    <w:rsid w:val="00733B16"/>
    <w:rsid w:val="007348C0"/>
    <w:rsid w:val="007349A9"/>
    <w:rsid w:val="00734BB3"/>
    <w:rsid w:val="00734E34"/>
    <w:rsid w:val="00734E6B"/>
    <w:rsid w:val="00735632"/>
    <w:rsid w:val="00735723"/>
    <w:rsid w:val="007358BB"/>
    <w:rsid w:val="00735D8D"/>
    <w:rsid w:val="00737879"/>
    <w:rsid w:val="007378A2"/>
    <w:rsid w:val="007378DB"/>
    <w:rsid w:val="00737BC4"/>
    <w:rsid w:val="007404D9"/>
    <w:rsid w:val="007406D2"/>
    <w:rsid w:val="00740F0E"/>
    <w:rsid w:val="007410AD"/>
    <w:rsid w:val="00741A80"/>
    <w:rsid w:val="0074204A"/>
    <w:rsid w:val="007423AE"/>
    <w:rsid w:val="00742E92"/>
    <w:rsid w:val="0074391D"/>
    <w:rsid w:val="00744345"/>
    <w:rsid w:val="007449FA"/>
    <w:rsid w:val="00745D67"/>
    <w:rsid w:val="00746643"/>
    <w:rsid w:val="00746DA6"/>
    <w:rsid w:val="00746FED"/>
    <w:rsid w:val="0074715C"/>
    <w:rsid w:val="007474D2"/>
    <w:rsid w:val="00750DEF"/>
    <w:rsid w:val="0075135E"/>
    <w:rsid w:val="00751914"/>
    <w:rsid w:val="00751B4C"/>
    <w:rsid w:val="00751D51"/>
    <w:rsid w:val="00751E46"/>
    <w:rsid w:val="00752297"/>
    <w:rsid w:val="007523BD"/>
    <w:rsid w:val="007527F8"/>
    <w:rsid w:val="00752D1D"/>
    <w:rsid w:val="007531FB"/>
    <w:rsid w:val="00753E1B"/>
    <w:rsid w:val="007543B9"/>
    <w:rsid w:val="00754B6E"/>
    <w:rsid w:val="00755591"/>
    <w:rsid w:val="00755CA9"/>
    <w:rsid w:val="00756D86"/>
    <w:rsid w:val="00757019"/>
    <w:rsid w:val="00757CE4"/>
    <w:rsid w:val="007600AC"/>
    <w:rsid w:val="00760E0E"/>
    <w:rsid w:val="007614DD"/>
    <w:rsid w:val="0076184E"/>
    <w:rsid w:val="00761AFF"/>
    <w:rsid w:val="00762348"/>
    <w:rsid w:val="00762B16"/>
    <w:rsid w:val="007635A2"/>
    <w:rsid w:val="00763795"/>
    <w:rsid w:val="00763E28"/>
    <w:rsid w:val="00764100"/>
    <w:rsid w:val="00764B93"/>
    <w:rsid w:val="00764DB7"/>
    <w:rsid w:val="007656C2"/>
    <w:rsid w:val="00765860"/>
    <w:rsid w:val="00765AFC"/>
    <w:rsid w:val="007661A0"/>
    <w:rsid w:val="00766390"/>
    <w:rsid w:val="007669A7"/>
    <w:rsid w:val="00766A8F"/>
    <w:rsid w:val="00766C93"/>
    <w:rsid w:val="007676AC"/>
    <w:rsid w:val="00767998"/>
    <w:rsid w:val="007702BB"/>
    <w:rsid w:val="00770503"/>
    <w:rsid w:val="00770C60"/>
    <w:rsid w:val="007712D4"/>
    <w:rsid w:val="00771609"/>
    <w:rsid w:val="007718AE"/>
    <w:rsid w:val="00771A9D"/>
    <w:rsid w:val="00771EA1"/>
    <w:rsid w:val="007721D2"/>
    <w:rsid w:val="007722F2"/>
    <w:rsid w:val="007723B0"/>
    <w:rsid w:val="007726DE"/>
    <w:rsid w:val="00772764"/>
    <w:rsid w:val="007727E8"/>
    <w:rsid w:val="00772B25"/>
    <w:rsid w:val="00772CF2"/>
    <w:rsid w:val="00773274"/>
    <w:rsid w:val="00773276"/>
    <w:rsid w:val="007734D6"/>
    <w:rsid w:val="00773EA2"/>
    <w:rsid w:val="00774174"/>
    <w:rsid w:val="00774F45"/>
    <w:rsid w:val="00775D20"/>
    <w:rsid w:val="00775EB0"/>
    <w:rsid w:val="0077606D"/>
    <w:rsid w:val="007763A0"/>
    <w:rsid w:val="007765AC"/>
    <w:rsid w:val="00776B05"/>
    <w:rsid w:val="007779B6"/>
    <w:rsid w:val="007808CC"/>
    <w:rsid w:val="007809D9"/>
    <w:rsid w:val="00780A00"/>
    <w:rsid w:val="00780A7B"/>
    <w:rsid w:val="00780AFF"/>
    <w:rsid w:val="00780B82"/>
    <w:rsid w:val="00780D68"/>
    <w:rsid w:val="00781BC0"/>
    <w:rsid w:val="00781E49"/>
    <w:rsid w:val="00781F14"/>
    <w:rsid w:val="0078254D"/>
    <w:rsid w:val="007849C5"/>
    <w:rsid w:val="00785D71"/>
    <w:rsid w:val="00785F4A"/>
    <w:rsid w:val="007863E4"/>
    <w:rsid w:val="007864BD"/>
    <w:rsid w:val="00786B76"/>
    <w:rsid w:val="00786D9B"/>
    <w:rsid w:val="00787567"/>
    <w:rsid w:val="00787BE6"/>
    <w:rsid w:val="00787FB9"/>
    <w:rsid w:val="00790CB2"/>
    <w:rsid w:val="007910BD"/>
    <w:rsid w:val="007911A9"/>
    <w:rsid w:val="0079135C"/>
    <w:rsid w:val="0079142A"/>
    <w:rsid w:val="00791B3A"/>
    <w:rsid w:val="00791C6E"/>
    <w:rsid w:val="00792675"/>
    <w:rsid w:val="00792CF5"/>
    <w:rsid w:val="00792DBB"/>
    <w:rsid w:val="00793203"/>
    <w:rsid w:val="00793205"/>
    <w:rsid w:val="007936A8"/>
    <w:rsid w:val="007937D2"/>
    <w:rsid w:val="00793C04"/>
    <w:rsid w:val="00793C8E"/>
    <w:rsid w:val="00793E15"/>
    <w:rsid w:val="00793E74"/>
    <w:rsid w:val="00793EF1"/>
    <w:rsid w:val="00794144"/>
    <w:rsid w:val="007942AD"/>
    <w:rsid w:val="00794323"/>
    <w:rsid w:val="0079434B"/>
    <w:rsid w:val="0079511A"/>
    <w:rsid w:val="0079594E"/>
    <w:rsid w:val="00795F49"/>
    <w:rsid w:val="007962AA"/>
    <w:rsid w:val="00796385"/>
    <w:rsid w:val="007967CC"/>
    <w:rsid w:val="00796A2D"/>
    <w:rsid w:val="00796AC0"/>
    <w:rsid w:val="00796BB5"/>
    <w:rsid w:val="00797174"/>
    <w:rsid w:val="007A037C"/>
    <w:rsid w:val="007A0AF0"/>
    <w:rsid w:val="007A11F6"/>
    <w:rsid w:val="007A122A"/>
    <w:rsid w:val="007A13A9"/>
    <w:rsid w:val="007A1870"/>
    <w:rsid w:val="007A1AD5"/>
    <w:rsid w:val="007A1C0B"/>
    <w:rsid w:val="007A1D8D"/>
    <w:rsid w:val="007A1E9A"/>
    <w:rsid w:val="007A1F10"/>
    <w:rsid w:val="007A267E"/>
    <w:rsid w:val="007A2782"/>
    <w:rsid w:val="007A2B4E"/>
    <w:rsid w:val="007A2C3B"/>
    <w:rsid w:val="007A3038"/>
    <w:rsid w:val="007A343B"/>
    <w:rsid w:val="007A3FA4"/>
    <w:rsid w:val="007A4396"/>
    <w:rsid w:val="007A4BC5"/>
    <w:rsid w:val="007A4C21"/>
    <w:rsid w:val="007A4C77"/>
    <w:rsid w:val="007A4E4C"/>
    <w:rsid w:val="007A501C"/>
    <w:rsid w:val="007A51F7"/>
    <w:rsid w:val="007A564E"/>
    <w:rsid w:val="007A5652"/>
    <w:rsid w:val="007A59AE"/>
    <w:rsid w:val="007A5B18"/>
    <w:rsid w:val="007A633C"/>
    <w:rsid w:val="007A7B07"/>
    <w:rsid w:val="007B0451"/>
    <w:rsid w:val="007B0464"/>
    <w:rsid w:val="007B0485"/>
    <w:rsid w:val="007B0B2D"/>
    <w:rsid w:val="007B1499"/>
    <w:rsid w:val="007B14CD"/>
    <w:rsid w:val="007B1C7F"/>
    <w:rsid w:val="007B1F7F"/>
    <w:rsid w:val="007B28BA"/>
    <w:rsid w:val="007B2CCC"/>
    <w:rsid w:val="007B322E"/>
    <w:rsid w:val="007B3264"/>
    <w:rsid w:val="007B3C77"/>
    <w:rsid w:val="007B3E14"/>
    <w:rsid w:val="007B4884"/>
    <w:rsid w:val="007B518B"/>
    <w:rsid w:val="007B53B4"/>
    <w:rsid w:val="007B5BE2"/>
    <w:rsid w:val="007B5E0A"/>
    <w:rsid w:val="007B6424"/>
    <w:rsid w:val="007B6435"/>
    <w:rsid w:val="007B6766"/>
    <w:rsid w:val="007B6ABB"/>
    <w:rsid w:val="007B751D"/>
    <w:rsid w:val="007B7EF0"/>
    <w:rsid w:val="007C023F"/>
    <w:rsid w:val="007C0AEA"/>
    <w:rsid w:val="007C0BEF"/>
    <w:rsid w:val="007C116E"/>
    <w:rsid w:val="007C11A8"/>
    <w:rsid w:val="007C13FE"/>
    <w:rsid w:val="007C1817"/>
    <w:rsid w:val="007C1E9F"/>
    <w:rsid w:val="007C1F63"/>
    <w:rsid w:val="007C2082"/>
    <w:rsid w:val="007C21A3"/>
    <w:rsid w:val="007C21D1"/>
    <w:rsid w:val="007C2621"/>
    <w:rsid w:val="007C333A"/>
    <w:rsid w:val="007C3407"/>
    <w:rsid w:val="007C3BA3"/>
    <w:rsid w:val="007C3D7E"/>
    <w:rsid w:val="007C4404"/>
    <w:rsid w:val="007C46D6"/>
    <w:rsid w:val="007C4BBD"/>
    <w:rsid w:val="007C4F58"/>
    <w:rsid w:val="007C53C8"/>
    <w:rsid w:val="007C559A"/>
    <w:rsid w:val="007C6813"/>
    <w:rsid w:val="007C7CAB"/>
    <w:rsid w:val="007C7E34"/>
    <w:rsid w:val="007C7F51"/>
    <w:rsid w:val="007D048F"/>
    <w:rsid w:val="007D0703"/>
    <w:rsid w:val="007D095F"/>
    <w:rsid w:val="007D0C26"/>
    <w:rsid w:val="007D1068"/>
    <w:rsid w:val="007D13B9"/>
    <w:rsid w:val="007D1AC8"/>
    <w:rsid w:val="007D2674"/>
    <w:rsid w:val="007D2B68"/>
    <w:rsid w:val="007D2D43"/>
    <w:rsid w:val="007D2F99"/>
    <w:rsid w:val="007D30CD"/>
    <w:rsid w:val="007D31D3"/>
    <w:rsid w:val="007D38EB"/>
    <w:rsid w:val="007D39DF"/>
    <w:rsid w:val="007D39E7"/>
    <w:rsid w:val="007D3D8E"/>
    <w:rsid w:val="007D404E"/>
    <w:rsid w:val="007D408C"/>
    <w:rsid w:val="007D4194"/>
    <w:rsid w:val="007D4452"/>
    <w:rsid w:val="007D4483"/>
    <w:rsid w:val="007D452C"/>
    <w:rsid w:val="007D4C8B"/>
    <w:rsid w:val="007D541B"/>
    <w:rsid w:val="007D547F"/>
    <w:rsid w:val="007D56F8"/>
    <w:rsid w:val="007D573C"/>
    <w:rsid w:val="007D60B0"/>
    <w:rsid w:val="007D6647"/>
    <w:rsid w:val="007D66E1"/>
    <w:rsid w:val="007D67D3"/>
    <w:rsid w:val="007D6D57"/>
    <w:rsid w:val="007D6DB4"/>
    <w:rsid w:val="007D70F8"/>
    <w:rsid w:val="007D7267"/>
    <w:rsid w:val="007D7C71"/>
    <w:rsid w:val="007E00C0"/>
    <w:rsid w:val="007E02B2"/>
    <w:rsid w:val="007E0536"/>
    <w:rsid w:val="007E0638"/>
    <w:rsid w:val="007E0738"/>
    <w:rsid w:val="007E0B4A"/>
    <w:rsid w:val="007E0ECB"/>
    <w:rsid w:val="007E1094"/>
    <w:rsid w:val="007E118A"/>
    <w:rsid w:val="007E144E"/>
    <w:rsid w:val="007E18D2"/>
    <w:rsid w:val="007E1A22"/>
    <w:rsid w:val="007E1AC8"/>
    <w:rsid w:val="007E1D76"/>
    <w:rsid w:val="007E2103"/>
    <w:rsid w:val="007E2168"/>
    <w:rsid w:val="007E24FC"/>
    <w:rsid w:val="007E27EF"/>
    <w:rsid w:val="007E2AFD"/>
    <w:rsid w:val="007E2C96"/>
    <w:rsid w:val="007E3195"/>
    <w:rsid w:val="007E347D"/>
    <w:rsid w:val="007E3860"/>
    <w:rsid w:val="007E3866"/>
    <w:rsid w:val="007E3ADC"/>
    <w:rsid w:val="007E3CA9"/>
    <w:rsid w:val="007E3FEF"/>
    <w:rsid w:val="007E4469"/>
    <w:rsid w:val="007E45CB"/>
    <w:rsid w:val="007E45F3"/>
    <w:rsid w:val="007E4744"/>
    <w:rsid w:val="007E51C4"/>
    <w:rsid w:val="007E5898"/>
    <w:rsid w:val="007E58F2"/>
    <w:rsid w:val="007E5C1D"/>
    <w:rsid w:val="007E5DF8"/>
    <w:rsid w:val="007E6480"/>
    <w:rsid w:val="007E6768"/>
    <w:rsid w:val="007E6ADC"/>
    <w:rsid w:val="007E7678"/>
    <w:rsid w:val="007E7DA8"/>
    <w:rsid w:val="007E7E6A"/>
    <w:rsid w:val="007F00E7"/>
    <w:rsid w:val="007F021B"/>
    <w:rsid w:val="007F0A6D"/>
    <w:rsid w:val="007F0D65"/>
    <w:rsid w:val="007F0F37"/>
    <w:rsid w:val="007F1507"/>
    <w:rsid w:val="007F15EB"/>
    <w:rsid w:val="007F235A"/>
    <w:rsid w:val="007F2400"/>
    <w:rsid w:val="007F255F"/>
    <w:rsid w:val="007F265F"/>
    <w:rsid w:val="007F273B"/>
    <w:rsid w:val="007F27CA"/>
    <w:rsid w:val="007F2E50"/>
    <w:rsid w:val="007F4197"/>
    <w:rsid w:val="007F43C3"/>
    <w:rsid w:val="007F4B24"/>
    <w:rsid w:val="007F4BCF"/>
    <w:rsid w:val="007F4DA6"/>
    <w:rsid w:val="007F501C"/>
    <w:rsid w:val="007F5FCA"/>
    <w:rsid w:val="007F6084"/>
    <w:rsid w:val="007F6339"/>
    <w:rsid w:val="007F675F"/>
    <w:rsid w:val="007F6E31"/>
    <w:rsid w:val="007F6FBE"/>
    <w:rsid w:val="007F6FF9"/>
    <w:rsid w:val="007F721A"/>
    <w:rsid w:val="007F769B"/>
    <w:rsid w:val="007F7816"/>
    <w:rsid w:val="0080071E"/>
    <w:rsid w:val="008008D7"/>
    <w:rsid w:val="00801371"/>
    <w:rsid w:val="00801964"/>
    <w:rsid w:val="00801EEB"/>
    <w:rsid w:val="00801F89"/>
    <w:rsid w:val="0080202C"/>
    <w:rsid w:val="00802056"/>
    <w:rsid w:val="00802188"/>
    <w:rsid w:val="0080239C"/>
    <w:rsid w:val="00802500"/>
    <w:rsid w:val="008033AE"/>
    <w:rsid w:val="008035F6"/>
    <w:rsid w:val="0080386D"/>
    <w:rsid w:val="008040DF"/>
    <w:rsid w:val="008043C3"/>
    <w:rsid w:val="00804620"/>
    <w:rsid w:val="00804921"/>
    <w:rsid w:val="00804CC9"/>
    <w:rsid w:val="00804ED5"/>
    <w:rsid w:val="0080549E"/>
    <w:rsid w:val="0080589C"/>
    <w:rsid w:val="00805A3F"/>
    <w:rsid w:val="00805B32"/>
    <w:rsid w:val="008068DB"/>
    <w:rsid w:val="008070D7"/>
    <w:rsid w:val="0080740F"/>
    <w:rsid w:val="0080762B"/>
    <w:rsid w:val="00807C7B"/>
    <w:rsid w:val="008101AA"/>
    <w:rsid w:val="0081031D"/>
    <w:rsid w:val="00810ADC"/>
    <w:rsid w:val="00810EF3"/>
    <w:rsid w:val="0081145E"/>
    <w:rsid w:val="00811A23"/>
    <w:rsid w:val="00811E57"/>
    <w:rsid w:val="00811EF6"/>
    <w:rsid w:val="00812789"/>
    <w:rsid w:val="00812810"/>
    <w:rsid w:val="00812A87"/>
    <w:rsid w:val="0081375B"/>
    <w:rsid w:val="00813C25"/>
    <w:rsid w:val="00813D12"/>
    <w:rsid w:val="00814120"/>
    <w:rsid w:val="0081444C"/>
    <w:rsid w:val="00814947"/>
    <w:rsid w:val="00814E19"/>
    <w:rsid w:val="00814FC7"/>
    <w:rsid w:val="00815281"/>
    <w:rsid w:val="00815771"/>
    <w:rsid w:val="00815877"/>
    <w:rsid w:val="00815901"/>
    <w:rsid w:val="00815AD5"/>
    <w:rsid w:val="008165AF"/>
    <w:rsid w:val="00816666"/>
    <w:rsid w:val="00816862"/>
    <w:rsid w:val="00816E0B"/>
    <w:rsid w:val="00816EE6"/>
    <w:rsid w:val="00817258"/>
    <w:rsid w:val="008172F7"/>
    <w:rsid w:val="0081740B"/>
    <w:rsid w:val="00817457"/>
    <w:rsid w:val="008175B3"/>
    <w:rsid w:val="00817998"/>
    <w:rsid w:val="00817D87"/>
    <w:rsid w:val="00820348"/>
    <w:rsid w:val="008206E6"/>
    <w:rsid w:val="00820998"/>
    <w:rsid w:val="00820B46"/>
    <w:rsid w:val="008217AF"/>
    <w:rsid w:val="0082196B"/>
    <w:rsid w:val="00822135"/>
    <w:rsid w:val="008223BE"/>
    <w:rsid w:val="00822583"/>
    <w:rsid w:val="008234DF"/>
    <w:rsid w:val="0082362D"/>
    <w:rsid w:val="0082371C"/>
    <w:rsid w:val="00823A7C"/>
    <w:rsid w:val="008249F7"/>
    <w:rsid w:val="00824DC2"/>
    <w:rsid w:val="0082541C"/>
    <w:rsid w:val="008254AE"/>
    <w:rsid w:val="0082569C"/>
    <w:rsid w:val="008256BC"/>
    <w:rsid w:val="00825F61"/>
    <w:rsid w:val="008262A0"/>
    <w:rsid w:val="00826BA0"/>
    <w:rsid w:val="00826CDA"/>
    <w:rsid w:val="00826EFD"/>
    <w:rsid w:val="008270D2"/>
    <w:rsid w:val="008271BB"/>
    <w:rsid w:val="0082749D"/>
    <w:rsid w:val="00827838"/>
    <w:rsid w:val="00827BE3"/>
    <w:rsid w:val="0083014A"/>
    <w:rsid w:val="0083035F"/>
    <w:rsid w:val="0083050D"/>
    <w:rsid w:val="008308DB"/>
    <w:rsid w:val="00830BD5"/>
    <w:rsid w:val="00830BE1"/>
    <w:rsid w:val="008314A0"/>
    <w:rsid w:val="008315FB"/>
    <w:rsid w:val="00831E2F"/>
    <w:rsid w:val="008322B1"/>
    <w:rsid w:val="0083251E"/>
    <w:rsid w:val="0083319E"/>
    <w:rsid w:val="00833290"/>
    <w:rsid w:val="008332AC"/>
    <w:rsid w:val="00833681"/>
    <w:rsid w:val="00834AE7"/>
    <w:rsid w:val="00834BA7"/>
    <w:rsid w:val="0083544B"/>
    <w:rsid w:val="0083639B"/>
    <w:rsid w:val="008364B3"/>
    <w:rsid w:val="008369C0"/>
    <w:rsid w:val="008369F9"/>
    <w:rsid w:val="00836D9B"/>
    <w:rsid w:val="00836F35"/>
    <w:rsid w:val="00836F4E"/>
    <w:rsid w:val="0083789B"/>
    <w:rsid w:val="0084015D"/>
    <w:rsid w:val="0084031D"/>
    <w:rsid w:val="00840AB4"/>
    <w:rsid w:val="0084147A"/>
    <w:rsid w:val="00841978"/>
    <w:rsid w:val="00842154"/>
    <w:rsid w:val="008423C3"/>
    <w:rsid w:val="00842D1D"/>
    <w:rsid w:val="00842F20"/>
    <w:rsid w:val="00843067"/>
    <w:rsid w:val="00843115"/>
    <w:rsid w:val="00843254"/>
    <w:rsid w:val="008434A5"/>
    <w:rsid w:val="00843B38"/>
    <w:rsid w:val="00843D61"/>
    <w:rsid w:val="00843DAA"/>
    <w:rsid w:val="008445FD"/>
    <w:rsid w:val="00844607"/>
    <w:rsid w:val="00844CFA"/>
    <w:rsid w:val="00844F11"/>
    <w:rsid w:val="00845179"/>
    <w:rsid w:val="0084521C"/>
    <w:rsid w:val="00845691"/>
    <w:rsid w:val="00845848"/>
    <w:rsid w:val="00845887"/>
    <w:rsid w:val="00845E82"/>
    <w:rsid w:val="008461F1"/>
    <w:rsid w:val="008463EC"/>
    <w:rsid w:val="008464F7"/>
    <w:rsid w:val="00846873"/>
    <w:rsid w:val="008468EA"/>
    <w:rsid w:val="00846946"/>
    <w:rsid w:val="00846A19"/>
    <w:rsid w:val="00846A2F"/>
    <w:rsid w:val="008477C4"/>
    <w:rsid w:val="00847AF6"/>
    <w:rsid w:val="00847DCB"/>
    <w:rsid w:val="00850562"/>
    <w:rsid w:val="0085072F"/>
    <w:rsid w:val="00850888"/>
    <w:rsid w:val="00851203"/>
    <w:rsid w:val="00851CD8"/>
    <w:rsid w:val="00851E05"/>
    <w:rsid w:val="00851EE2"/>
    <w:rsid w:val="00852053"/>
    <w:rsid w:val="008520B9"/>
    <w:rsid w:val="00852158"/>
    <w:rsid w:val="00852461"/>
    <w:rsid w:val="0085254E"/>
    <w:rsid w:val="00852FE1"/>
    <w:rsid w:val="00853073"/>
    <w:rsid w:val="008537E6"/>
    <w:rsid w:val="0085395E"/>
    <w:rsid w:val="00854305"/>
    <w:rsid w:val="00854578"/>
    <w:rsid w:val="00854A79"/>
    <w:rsid w:val="00854F9D"/>
    <w:rsid w:val="00855691"/>
    <w:rsid w:val="0085589B"/>
    <w:rsid w:val="008559C3"/>
    <w:rsid w:val="00855FCF"/>
    <w:rsid w:val="00855FF7"/>
    <w:rsid w:val="00856DA4"/>
    <w:rsid w:val="00856DA5"/>
    <w:rsid w:val="00856EDB"/>
    <w:rsid w:val="00857115"/>
    <w:rsid w:val="0085756D"/>
    <w:rsid w:val="00857EC7"/>
    <w:rsid w:val="00857FF1"/>
    <w:rsid w:val="0086047E"/>
    <w:rsid w:val="00860491"/>
    <w:rsid w:val="00860972"/>
    <w:rsid w:val="00860B42"/>
    <w:rsid w:val="00860B80"/>
    <w:rsid w:val="00860D12"/>
    <w:rsid w:val="008614A9"/>
    <w:rsid w:val="00861B05"/>
    <w:rsid w:val="00861EDD"/>
    <w:rsid w:val="00861EF6"/>
    <w:rsid w:val="008627E6"/>
    <w:rsid w:val="00862986"/>
    <w:rsid w:val="008631F3"/>
    <w:rsid w:val="00863236"/>
    <w:rsid w:val="0086361C"/>
    <w:rsid w:val="00863654"/>
    <w:rsid w:val="008639EC"/>
    <w:rsid w:val="00864464"/>
    <w:rsid w:val="008648B1"/>
    <w:rsid w:val="00864DA6"/>
    <w:rsid w:val="0086514A"/>
    <w:rsid w:val="00865697"/>
    <w:rsid w:val="00865E72"/>
    <w:rsid w:val="00866463"/>
    <w:rsid w:val="00866521"/>
    <w:rsid w:val="00866794"/>
    <w:rsid w:val="00866F59"/>
    <w:rsid w:val="00867688"/>
    <w:rsid w:val="008703C7"/>
    <w:rsid w:val="008704CC"/>
    <w:rsid w:val="00870AD0"/>
    <w:rsid w:val="00871633"/>
    <w:rsid w:val="008718CA"/>
    <w:rsid w:val="00871B16"/>
    <w:rsid w:val="00872343"/>
    <w:rsid w:val="008724DA"/>
    <w:rsid w:val="008724F3"/>
    <w:rsid w:val="0087288A"/>
    <w:rsid w:val="008728BA"/>
    <w:rsid w:val="00872B07"/>
    <w:rsid w:val="00872CE3"/>
    <w:rsid w:val="00872D95"/>
    <w:rsid w:val="00872DCD"/>
    <w:rsid w:val="00873677"/>
    <w:rsid w:val="00873857"/>
    <w:rsid w:val="00873F1A"/>
    <w:rsid w:val="00873F3B"/>
    <w:rsid w:val="008743DD"/>
    <w:rsid w:val="00874CB4"/>
    <w:rsid w:val="00874FF8"/>
    <w:rsid w:val="00875571"/>
    <w:rsid w:val="00875D7E"/>
    <w:rsid w:val="00875E05"/>
    <w:rsid w:val="00875E14"/>
    <w:rsid w:val="008760A5"/>
    <w:rsid w:val="008764C2"/>
    <w:rsid w:val="008772A3"/>
    <w:rsid w:val="0087741F"/>
    <w:rsid w:val="00877814"/>
    <w:rsid w:val="00877986"/>
    <w:rsid w:val="00877BB3"/>
    <w:rsid w:val="00880660"/>
    <w:rsid w:val="00880D44"/>
    <w:rsid w:val="00880E6B"/>
    <w:rsid w:val="00880F75"/>
    <w:rsid w:val="008810BD"/>
    <w:rsid w:val="0088114C"/>
    <w:rsid w:val="00881547"/>
    <w:rsid w:val="0088165F"/>
    <w:rsid w:val="008820CB"/>
    <w:rsid w:val="00882720"/>
    <w:rsid w:val="00883446"/>
    <w:rsid w:val="0088435E"/>
    <w:rsid w:val="008845C2"/>
    <w:rsid w:val="00884681"/>
    <w:rsid w:val="008846E1"/>
    <w:rsid w:val="00885248"/>
    <w:rsid w:val="008853ED"/>
    <w:rsid w:val="008857D9"/>
    <w:rsid w:val="00885DEF"/>
    <w:rsid w:val="008861D1"/>
    <w:rsid w:val="008869BC"/>
    <w:rsid w:val="008869D9"/>
    <w:rsid w:val="008870F2"/>
    <w:rsid w:val="0088753B"/>
    <w:rsid w:val="008875CC"/>
    <w:rsid w:val="0088772B"/>
    <w:rsid w:val="008878DB"/>
    <w:rsid w:val="00887A83"/>
    <w:rsid w:val="00887AF5"/>
    <w:rsid w:val="00887C11"/>
    <w:rsid w:val="0089038A"/>
    <w:rsid w:val="008906EB"/>
    <w:rsid w:val="00890E00"/>
    <w:rsid w:val="00890EEF"/>
    <w:rsid w:val="00890F07"/>
    <w:rsid w:val="008911D5"/>
    <w:rsid w:val="008912F3"/>
    <w:rsid w:val="00891752"/>
    <w:rsid w:val="00891C1C"/>
    <w:rsid w:val="00891ED6"/>
    <w:rsid w:val="00891F4F"/>
    <w:rsid w:val="008926B0"/>
    <w:rsid w:val="00892768"/>
    <w:rsid w:val="00892913"/>
    <w:rsid w:val="00893166"/>
    <w:rsid w:val="00893341"/>
    <w:rsid w:val="0089382E"/>
    <w:rsid w:val="00893A3F"/>
    <w:rsid w:val="00893DD5"/>
    <w:rsid w:val="00893E7B"/>
    <w:rsid w:val="00893EFB"/>
    <w:rsid w:val="00894104"/>
    <w:rsid w:val="00894B02"/>
    <w:rsid w:val="00894C63"/>
    <w:rsid w:val="00894F57"/>
    <w:rsid w:val="00895A8F"/>
    <w:rsid w:val="00895B1F"/>
    <w:rsid w:val="00895BDB"/>
    <w:rsid w:val="00895FA9"/>
    <w:rsid w:val="00896677"/>
    <w:rsid w:val="00896EAF"/>
    <w:rsid w:val="00897253"/>
    <w:rsid w:val="008974A7"/>
    <w:rsid w:val="00897AF2"/>
    <w:rsid w:val="00897D5A"/>
    <w:rsid w:val="008A00F3"/>
    <w:rsid w:val="008A089B"/>
    <w:rsid w:val="008A0A4E"/>
    <w:rsid w:val="008A0A60"/>
    <w:rsid w:val="008A11B4"/>
    <w:rsid w:val="008A11FA"/>
    <w:rsid w:val="008A1AC4"/>
    <w:rsid w:val="008A2165"/>
    <w:rsid w:val="008A22B4"/>
    <w:rsid w:val="008A28F9"/>
    <w:rsid w:val="008A2A86"/>
    <w:rsid w:val="008A2AB2"/>
    <w:rsid w:val="008A31C1"/>
    <w:rsid w:val="008A37D2"/>
    <w:rsid w:val="008A3EA6"/>
    <w:rsid w:val="008A542B"/>
    <w:rsid w:val="008A58F2"/>
    <w:rsid w:val="008A5D05"/>
    <w:rsid w:val="008A62C5"/>
    <w:rsid w:val="008A6508"/>
    <w:rsid w:val="008A666B"/>
    <w:rsid w:val="008A7366"/>
    <w:rsid w:val="008A7F04"/>
    <w:rsid w:val="008B000B"/>
    <w:rsid w:val="008B00D8"/>
    <w:rsid w:val="008B0527"/>
    <w:rsid w:val="008B0662"/>
    <w:rsid w:val="008B0835"/>
    <w:rsid w:val="008B09DF"/>
    <w:rsid w:val="008B1005"/>
    <w:rsid w:val="008B183F"/>
    <w:rsid w:val="008B185F"/>
    <w:rsid w:val="008B18A0"/>
    <w:rsid w:val="008B1A7E"/>
    <w:rsid w:val="008B1E3F"/>
    <w:rsid w:val="008B21E7"/>
    <w:rsid w:val="008B2251"/>
    <w:rsid w:val="008B24AA"/>
    <w:rsid w:val="008B260F"/>
    <w:rsid w:val="008B28D2"/>
    <w:rsid w:val="008B2B2B"/>
    <w:rsid w:val="008B2BBC"/>
    <w:rsid w:val="008B2CAD"/>
    <w:rsid w:val="008B2D82"/>
    <w:rsid w:val="008B2DFC"/>
    <w:rsid w:val="008B2ECC"/>
    <w:rsid w:val="008B2F11"/>
    <w:rsid w:val="008B30D7"/>
    <w:rsid w:val="008B3992"/>
    <w:rsid w:val="008B3F7B"/>
    <w:rsid w:val="008B4019"/>
    <w:rsid w:val="008B486C"/>
    <w:rsid w:val="008B4B7D"/>
    <w:rsid w:val="008B51C6"/>
    <w:rsid w:val="008B5270"/>
    <w:rsid w:val="008B5D12"/>
    <w:rsid w:val="008B70FD"/>
    <w:rsid w:val="008B799E"/>
    <w:rsid w:val="008B7ACE"/>
    <w:rsid w:val="008C01E6"/>
    <w:rsid w:val="008C0430"/>
    <w:rsid w:val="008C09E3"/>
    <w:rsid w:val="008C0BE1"/>
    <w:rsid w:val="008C0CB3"/>
    <w:rsid w:val="008C0E88"/>
    <w:rsid w:val="008C10A9"/>
    <w:rsid w:val="008C13B4"/>
    <w:rsid w:val="008C13FE"/>
    <w:rsid w:val="008C199C"/>
    <w:rsid w:val="008C1EDF"/>
    <w:rsid w:val="008C246F"/>
    <w:rsid w:val="008C2AC3"/>
    <w:rsid w:val="008C2AE5"/>
    <w:rsid w:val="008C2BCB"/>
    <w:rsid w:val="008C308C"/>
    <w:rsid w:val="008C34FA"/>
    <w:rsid w:val="008C3585"/>
    <w:rsid w:val="008C3647"/>
    <w:rsid w:val="008C3788"/>
    <w:rsid w:val="008C3828"/>
    <w:rsid w:val="008C3BC0"/>
    <w:rsid w:val="008C4006"/>
    <w:rsid w:val="008C529D"/>
    <w:rsid w:val="008C54B9"/>
    <w:rsid w:val="008C5607"/>
    <w:rsid w:val="008C5990"/>
    <w:rsid w:val="008C5AAC"/>
    <w:rsid w:val="008C6AE2"/>
    <w:rsid w:val="008C6C4B"/>
    <w:rsid w:val="008C718C"/>
    <w:rsid w:val="008C7319"/>
    <w:rsid w:val="008C7607"/>
    <w:rsid w:val="008C789C"/>
    <w:rsid w:val="008C7C80"/>
    <w:rsid w:val="008C7F1E"/>
    <w:rsid w:val="008D004B"/>
    <w:rsid w:val="008D042B"/>
    <w:rsid w:val="008D0450"/>
    <w:rsid w:val="008D04A5"/>
    <w:rsid w:val="008D06F9"/>
    <w:rsid w:val="008D07CA"/>
    <w:rsid w:val="008D0CAA"/>
    <w:rsid w:val="008D1176"/>
    <w:rsid w:val="008D181E"/>
    <w:rsid w:val="008D2A29"/>
    <w:rsid w:val="008D2C44"/>
    <w:rsid w:val="008D2D0E"/>
    <w:rsid w:val="008D3742"/>
    <w:rsid w:val="008D3829"/>
    <w:rsid w:val="008D39E8"/>
    <w:rsid w:val="008D3DF1"/>
    <w:rsid w:val="008D3F23"/>
    <w:rsid w:val="008D4628"/>
    <w:rsid w:val="008D50AA"/>
    <w:rsid w:val="008D59BD"/>
    <w:rsid w:val="008D5B0A"/>
    <w:rsid w:val="008D5FB0"/>
    <w:rsid w:val="008D60B2"/>
    <w:rsid w:val="008D6124"/>
    <w:rsid w:val="008D6974"/>
    <w:rsid w:val="008D71EA"/>
    <w:rsid w:val="008D7426"/>
    <w:rsid w:val="008D761E"/>
    <w:rsid w:val="008D79ED"/>
    <w:rsid w:val="008D7DA6"/>
    <w:rsid w:val="008E01E2"/>
    <w:rsid w:val="008E08D4"/>
    <w:rsid w:val="008E147B"/>
    <w:rsid w:val="008E179A"/>
    <w:rsid w:val="008E1817"/>
    <w:rsid w:val="008E19C2"/>
    <w:rsid w:val="008E1B79"/>
    <w:rsid w:val="008E2035"/>
    <w:rsid w:val="008E23A6"/>
    <w:rsid w:val="008E362A"/>
    <w:rsid w:val="008E364F"/>
    <w:rsid w:val="008E3B1C"/>
    <w:rsid w:val="008E3E63"/>
    <w:rsid w:val="008E4501"/>
    <w:rsid w:val="008E48EF"/>
    <w:rsid w:val="008E4A8A"/>
    <w:rsid w:val="008E4D34"/>
    <w:rsid w:val="008E4D90"/>
    <w:rsid w:val="008E4E5E"/>
    <w:rsid w:val="008E4FB6"/>
    <w:rsid w:val="008E5286"/>
    <w:rsid w:val="008E5796"/>
    <w:rsid w:val="008E64E2"/>
    <w:rsid w:val="008E66DB"/>
    <w:rsid w:val="008E6A72"/>
    <w:rsid w:val="008E6E91"/>
    <w:rsid w:val="008F0587"/>
    <w:rsid w:val="008F0600"/>
    <w:rsid w:val="008F0BAE"/>
    <w:rsid w:val="008F12E5"/>
    <w:rsid w:val="008F1335"/>
    <w:rsid w:val="008F144F"/>
    <w:rsid w:val="008F192E"/>
    <w:rsid w:val="008F1EF4"/>
    <w:rsid w:val="008F20A1"/>
    <w:rsid w:val="008F2419"/>
    <w:rsid w:val="008F24C5"/>
    <w:rsid w:val="008F34B8"/>
    <w:rsid w:val="008F3C72"/>
    <w:rsid w:val="008F4531"/>
    <w:rsid w:val="008F4594"/>
    <w:rsid w:val="008F474E"/>
    <w:rsid w:val="008F48E3"/>
    <w:rsid w:val="008F4DEE"/>
    <w:rsid w:val="008F5456"/>
    <w:rsid w:val="008F5486"/>
    <w:rsid w:val="008F5A64"/>
    <w:rsid w:val="008F5C86"/>
    <w:rsid w:val="008F5E21"/>
    <w:rsid w:val="008F5EDD"/>
    <w:rsid w:val="008F6032"/>
    <w:rsid w:val="008F60D6"/>
    <w:rsid w:val="008F633A"/>
    <w:rsid w:val="008F693C"/>
    <w:rsid w:val="008F7186"/>
    <w:rsid w:val="008F72B7"/>
    <w:rsid w:val="008F7327"/>
    <w:rsid w:val="008F76AB"/>
    <w:rsid w:val="008F7AB6"/>
    <w:rsid w:val="008F7AE4"/>
    <w:rsid w:val="008F7D71"/>
    <w:rsid w:val="0090072B"/>
    <w:rsid w:val="00900781"/>
    <w:rsid w:val="00900DBC"/>
    <w:rsid w:val="00900F38"/>
    <w:rsid w:val="00902197"/>
    <w:rsid w:val="009024E0"/>
    <w:rsid w:val="0090276C"/>
    <w:rsid w:val="00902BCF"/>
    <w:rsid w:val="00902C03"/>
    <w:rsid w:val="00902E5C"/>
    <w:rsid w:val="00903195"/>
    <w:rsid w:val="0090366A"/>
    <w:rsid w:val="00903CB5"/>
    <w:rsid w:val="009042F7"/>
    <w:rsid w:val="00904603"/>
    <w:rsid w:val="00904724"/>
    <w:rsid w:val="009047CB"/>
    <w:rsid w:val="00904C65"/>
    <w:rsid w:val="00905198"/>
    <w:rsid w:val="0090519B"/>
    <w:rsid w:val="009053E8"/>
    <w:rsid w:val="0090541E"/>
    <w:rsid w:val="00905791"/>
    <w:rsid w:val="0090691F"/>
    <w:rsid w:val="00906A83"/>
    <w:rsid w:val="0090716D"/>
    <w:rsid w:val="009071B9"/>
    <w:rsid w:val="00907B78"/>
    <w:rsid w:val="00907D91"/>
    <w:rsid w:val="00907DD8"/>
    <w:rsid w:val="00910176"/>
    <w:rsid w:val="009108EF"/>
    <w:rsid w:val="00910A2A"/>
    <w:rsid w:val="00911687"/>
    <w:rsid w:val="00911787"/>
    <w:rsid w:val="00911AE1"/>
    <w:rsid w:val="00911CD7"/>
    <w:rsid w:val="009120C3"/>
    <w:rsid w:val="00912493"/>
    <w:rsid w:val="009124D3"/>
    <w:rsid w:val="00912D3E"/>
    <w:rsid w:val="0091437D"/>
    <w:rsid w:val="00914644"/>
    <w:rsid w:val="00914A66"/>
    <w:rsid w:val="00914D01"/>
    <w:rsid w:val="00914D9B"/>
    <w:rsid w:val="00914EEB"/>
    <w:rsid w:val="00914F16"/>
    <w:rsid w:val="00915751"/>
    <w:rsid w:val="00915889"/>
    <w:rsid w:val="00915C6B"/>
    <w:rsid w:val="00915FF5"/>
    <w:rsid w:val="00916C26"/>
    <w:rsid w:val="009174ED"/>
    <w:rsid w:val="00917D16"/>
    <w:rsid w:val="00917D61"/>
    <w:rsid w:val="009207D1"/>
    <w:rsid w:val="00920BEC"/>
    <w:rsid w:val="0092185D"/>
    <w:rsid w:val="00921937"/>
    <w:rsid w:val="00921A75"/>
    <w:rsid w:val="00922FAB"/>
    <w:rsid w:val="00922FE4"/>
    <w:rsid w:val="00923263"/>
    <w:rsid w:val="0092354E"/>
    <w:rsid w:val="0092394B"/>
    <w:rsid w:val="00924147"/>
    <w:rsid w:val="00924276"/>
    <w:rsid w:val="0092428E"/>
    <w:rsid w:val="00924881"/>
    <w:rsid w:val="00925452"/>
    <w:rsid w:val="00925796"/>
    <w:rsid w:val="0092616B"/>
    <w:rsid w:val="00926DBB"/>
    <w:rsid w:val="00926EE9"/>
    <w:rsid w:val="0092703B"/>
    <w:rsid w:val="009270C3"/>
    <w:rsid w:val="0092720D"/>
    <w:rsid w:val="009274DD"/>
    <w:rsid w:val="00927A25"/>
    <w:rsid w:val="00927B72"/>
    <w:rsid w:val="00930CCD"/>
    <w:rsid w:val="00930FEB"/>
    <w:rsid w:val="00931146"/>
    <w:rsid w:val="00931405"/>
    <w:rsid w:val="009316C1"/>
    <w:rsid w:val="00931852"/>
    <w:rsid w:val="00931B59"/>
    <w:rsid w:val="00931BFB"/>
    <w:rsid w:val="00931E9E"/>
    <w:rsid w:val="009339BF"/>
    <w:rsid w:val="00933E42"/>
    <w:rsid w:val="00934B4E"/>
    <w:rsid w:val="0093558F"/>
    <w:rsid w:val="00935821"/>
    <w:rsid w:val="009359AB"/>
    <w:rsid w:val="00935DE3"/>
    <w:rsid w:val="00936399"/>
    <w:rsid w:val="00936719"/>
    <w:rsid w:val="00936ABF"/>
    <w:rsid w:val="00936D26"/>
    <w:rsid w:val="00937272"/>
    <w:rsid w:val="00937564"/>
    <w:rsid w:val="00937566"/>
    <w:rsid w:val="009377F5"/>
    <w:rsid w:val="0094068E"/>
    <w:rsid w:val="009406A0"/>
    <w:rsid w:val="0094082D"/>
    <w:rsid w:val="009409C0"/>
    <w:rsid w:val="00940A27"/>
    <w:rsid w:val="00940DAA"/>
    <w:rsid w:val="00940EAF"/>
    <w:rsid w:val="0094138D"/>
    <w:rsid w:val="00941660"/>
    <w:rsid w:val="009417F4"/>
    <w:rsid w:val="009418AE"/>
    <w:rsid w:val="00941D2B"/>
    <w:rsid w:val="00941D9A"/>
    <w:rsid w:val="0094222A"/>
    <w:rsid w:val="00942291"/>
    <w:rsid w:val="00942320"/>
    <w:rsid w:val="00942471"/>
    <w:rsid w:val="00942DE0"/>
    <w:rsid w:val="00942EE7"/>
    <w:rsid w:val="00943204"/>
    <w:rsid w:val="0094345D"/>
    <w:rsid w:val="00943CA3"/>
    <w:rsid w:val="00944242"/>
    <w:rsid w:val="009445F7"/>
    <w:rsid w:val="00944752"/>
    <w:rsid w:val="0094522E"/>
    <w:rsid w:val="009453C3"/>
    <w:rsid w:val="009455B9"/>
    <w:rsid w:val="009456E4"/>
    <w:rsid w:val="00945D5A"/>
    <w:rsid w:val="009462D6"/>
    <w:rsid w:val="0094676C"/>
    <w:rsid w:val="00946B5F"/>
    <w:rsid w:val="00946DC9"/>
    <w:rsid w:val="00946EBF"/>
    <w:rsid w:val="009470AF"/>
    <w:rsid w:val="00947439"/>
    <w:rsid w:val="00947CC1"/>
    <w:rsid w:val="00947D8E"/>
    <w:rsid w:val="00947DAF"/>
    <w:rsid w:val="00950656"/>
    <w:rsid w:val="009509B0"/>
    <w:rsid w:val="00950A3C"/>
    <w:rsid w:val="00950C72"/>
    <w:rsid w:val="0095107B"/>
    <w:rsid w:val="00952157"/>
    <w:rsid w:val="00952846"/>
    <w:rsid w:val="00953142"/>
    <w:rsid w:val="00953B1F"/>
    <w:rsid w:val="00953B93"/>
    <w:rsid w:val="009545B9"/>
    <w:rsid w:val="0095597F"/>
    <w:rsid w:val="00955C3E"/>
    <w:rsid w:val="00955F3D"/>
    <w:rsid w:val="00956860"/>
    <w:rsid w:val="00956A9B"/>
    <w:rsid w:val="00956D2B"/>
    <w:rsid w:val="0095708D"/>
    <w:rsid w:val="0095715B"/>
    <w:rsid w:val="009572B0"/>
    <w:rsid w:val="00957301"/>
    <w:rsid w:val="00957A27"/>
    <w:rsid w:val="00957A51"/>
    <w:rsid w:val="00957E7C"/>
    <w:rsid w:val="0096028D"/>
    <w:rsid w:val="0096064F"/>
    <w:rsid w:val="009609BF"/>
    <w:rsid w:val="00961B01"/>
    <w:rsid w:val="00961B65"/>
    <w:rsid w:val="009623AD"/>
    <w:rsid w:val="00962556"/>
    <w:rsid w:val="009629D2"/>
    <w:rsid w:val="00962A2C"/>
    <w:rsid w:val="00962B0B"/>
    <w:rsid w:val="00962CAD"/>
    <w:rsid w:val="00962F08"/>
    <w:rsid w:val="00963CCB"/>
    <w:rsid w:val="00963ED2"/>
    <w:rsid w:val="00963FEB"/>
    <w:rsid w:val="009643A4"/>
    <w:rsid w:val="009643F5"/>
    <w:rsid w:val="00964941"/>
    <w:rsid w:val="009649B9"/>
    <w:rsid w:val="00964BB3"/>
    <w:rsid w:val="00964F6C"/>
    <w:rsid w:val="0096543E"/>
    <w:rsid w:val="0096565E"/>
    <w:rsid w:val="00965AF5"/>
    <w:rsid w:val="00966320"/>
    <w:rsid w:val="0096716A"/>
    <w:rsid w:val="009674C4"/>
    <w:rsid w:val="0096767F"/>
    <w:rsid w:val="0096773D"/>
    <w:rsid w:val="0096777B"/>
    <w:rsid w:val="00967D6C"/>
    <w:rsid w:val="00970949"/>
    <w:rsid w:val="009709DD"/>
    <w:rsid w:val="00970BAD"/>
    <w:rsid w:val="0097161E"/>
    <w:rsid w:val="00971722"/>
    <w:rsid w:val="00972132"/>
    <w:rsid w:val="009722FD"/>
    <w:rsid w:val="009724A8"/>
    <w:rsid w:val="009727C7"/>
    <w:rsid w:val="00972D02"/>
    <w:rsid w:val="00972E84"/>
    <w:rsid w:val="00972F18"/>
    <w:rsid w:val="00972FCE"/>
    <w:rsid w:val="00973222"/>
    <w:rsid w:val="00973A9C"/>
    <w:rsid w:val="00973CB9"/>
    <w:rsid w:val="00973D99"/>
    <w:rsid w:val="0097432E"/>
    <w:rsid w:val="00974826"/>
    <w:rsid w:val="00974C51"/>
    <w:rsid w:val="00975151"/>
    <w:rsid w:val="0097569A"/>
    <w:rsid w:val="00975928"/>
    <w:rsid w:val="00975BBF"/>
    <w:rsid w:val="0097619B"/>
    <w:rsid w:val="009761E8"/>
    <w:rsid w:val="009764BC"/>
    <w:rsid w:val="00976925"/>
    <w:rsid w:val="00976B38"/>
    <w:rsid w:val="00976DAE"/>
    <w:rsid w:val="00976DF0"/>
    <w:rsid w:val="009770B5"/>
    <w:rsid w:val="009771F9"/>
    <w:rsid w:val="00977A94"/>
    <w:rsid w:val="00977F88"/>
    <w:rsid w:val="009808EF"/>
    <w:rsid w:val="00980E1C"/>
    <w:rsid w:val="0098103D"/>
    <w:rsid w:val="00981204"/>
    <w:rsid w:val="0098145D"/>
    <w:rsid w:val="009817A5"/>
    <w:rsid w:val="00981F7F"/>
    <w:rsid w:val="009826F2"/>
    <w:rsid w:val="00982C3B"/>
    <w:rsid w:val="00982F13"/>
    <w:rsid w:val="00983D3E"/>
    <w:rsid w:val="00983EAF"/>
    <w:rsid w:val="00984028"/>
    <w:rsid w:val="0098402C"/>
    <w:rsid w:val="009841B8"/>
    <w:rsid w:val="00984870"/>
    <w:rsid w:val="00984959"/>
    <w:rsid w:val="00984B19"/>
    <w:rsid w:val="00984C14"/>
    <w:rsid w:val="009851AC"/>
    <w:rsid w:val="00985F8A"/>
    <w:rsid w:val="009864CD"/>
    <w:rsid w:val="0098664D"/>
    <w:rsid w:val="00986AB1"/>
    <w:rsid w:val="00986C4B"/>
    <w:rsid w:val="00986F4E"/>
    <w:rsid w:val="00987325"/>
    <w:rsid w:val="009873CE"/>
    <w:rsid w:val="00987F47"/>
    <w:rsid w:val="0099071F"/>
    <w:rsid w:val="00991733"/>
    <w:rsid w:val="009919EC"/>
    <w:rsid w:val="00992638"/>
    <w:rsid w:val="0099285F"/>
    <w:rsid w:val="00992947"/>
    <w:rsid w:val="00992D89"/>
    <w:rsid w:val="00992E25"/>
    <w:rsid w:val="00992ED6"/>
    <w:rsid w:val="00992F21"/>
    <w:rsid w:val="00993208"/>
    <w:rsid w:val="009932DF"/>
    <w:rsid w:val="00993427"/>
    <w:rsid w:val="009935CB"/>
    <w:rsid w:val="00993F9A"/>
    <w:rsid w:val="009943CC"/>
    <w:rsid w:val="00994AD5"/>
    <w:rsid w:val="00994D8F"/>
    <w:rsid w:val="00995182"/>
    <w:rsid w:val="00995532"/>
    <w:rsid w:val="00995EF5"/>
    <w:rsid w:val="0099609B"/>
    <w:rsid w:val="00996286"/>
    <w:rsid w:val="009962DB"/>
    <w:rsid w:val="00996E9C"/>
    <w:rsid w:val="009973F2"/>
    <w:rsid w:val="009A0409"/>
    <w:rsid w:val="009A0B1C"/>
    <w:rsid w:val="009A128E"/>
    <w:rsid w:val="009A13E9"/>
    <w:rsid w:val="009A1428"/>
    <w:rsid w:val="009A15F9"/>
    <w:rsid w:val="009A1F05"/>
    <w:rsid w:val="009A2000"/>
    <w:rsid w:val="009A2647"/>
    <w:rsid w:val="009A265D"/>
    <w:rsid w:val="009A31FF"/>
    <w:rsid w:val="009A34D6"/>
    <w:rsid w:val="009A36D1"/>
    <w:rsid w:val="009A3E82"/>
    <w:rsid w:val="009A4252"/>
    <w:rsid w:val="009A4809"/>
    <w:rsid w:val="009A504E"/>
    <w:rsid w:val="009A5744"/>
    <w:rsid w:val="009A5ABE"/>
    <w:rsid w:val="009A5B56"/>
    <w:rsid w:val="009A5C56"/>
    <w:rsid w:val="009A5C74"/>
    <w:rsid w:val="009A61D5"/>
    <w:rsid w:val="009A6389"/>
    <w:rsid w:val="009A6410"/>
    <w:rsid w:val="009A6B01"/>
    <w:rsid w:val="009A6B36"/>
    <w:rsid w:val="009A6CCE"/>
    <w:rsid w:val="009A6DD8"/>
    <w:rsid w:val="009A6F6E"/>
    <w:rsid w:val="009A7410"/>
    <w:rsid w:val="009A76DC"/>
    <w:rsid w:val="009A7907"/>
    <w:rsid w:val="009A7F4B"/>
    <w:rsid w:val="009B02E2"/>
    <w:rsid w:val="009B0716"/>
    <w:rsid w:val="009B08E0"/>
    <w:rsid w:val="009B09DD"/>
    <w:rsid w:val="009B0C36"/>
    <w:rsid w:val="009B0D11"/>
    <w:rsid w:val="009B108C"/>
    <w:rsid w:val="009B173D"/>
    <w:rsid w:val="009B18F3"/>
    <w:rsid w:val="009B1A6F"/>
    <w:rsid w:val="009B1B4F"/>
    <w:rsid w:val="009B1CB4"/>
    <w:rsid w:val="009B1DA2"/>
    <w:rsid w:val="009B1EE3"/>
    <w:rsid w:val="009B1FBE"/>
    <w:rsid w:val="009B202F"/>
    <w:rsid w:val="009B27F8"/>
    <w:rsid w:val="009B2BB2"/>
    <w:rsid w:val="009B2D6D"/>
    <w:rsid w:val="009B2ED3"/>
    <w:rsid w:val="009B3BC7"/>
    <w:rsid w:val="009B3F76"/>
    <w:rsid w:val="009B42C5"/>
    <w:rsid w:val="009B47A4"/>
    <w:rsid w:val="009B4A60"/>
    <w:rsid w:val="009B4C28"/>
    <w:rsid w:val="009B5100"/>
    <w:rsid w:val="009B58FD"/>
    <w:rsid w:val="009B5950"/>
    <w:rsid w:val="009B5C49"/>
    <w:rsid w:val="009B5D47"/>
    <w:rsid w:val="009B602A"/>
    <w:rsid w:val="009B6031"/>
    <w:rsid w:val="009B61A9"/>
    <w:rsid w:val="009B633F"/>
    <w:rsid w:val="009B7283"/>
    <w:rsid w:val="009B7325"/>
    <w:rsid w:val="009B772F"/>
    <w:rsid w:val="009B7E9E"/>
    <w:rsid w:val="009C04FB"/>
    <w:rsid w:val="009C068E"/>
    <w:rsid w:val="009C0999"/>
    <w:rsid w:val="009C0A00"/>
    <w:rsid w:val="009C178D"/>
    <w:rsid w:val="009C1D1E"/>
    <w:rsid w:val="009C1E7D"/>
    <w:rsid w:val="009C266D"/>
    <w:rsid w:val="009C2710"/>
    <w:rsid w:val="009C2DBA"/>
    <w:rsid w:val="009C3189"/>
    <w:rsid w:val="009C3489"/>
    <w:rsid w:val="009C34BF"/>
    <w:rsid w:val="009C381D"/>
    <w:rsid w:val="009C384D"/>
    <w:rsid w:val="009C3B31"/>
    <w:rsid w:val="009C4404"/>
    <w:rsid w:val="009C469B"/>
    <w:rsid w:val="009C46CB"/>
    <w:rsid w:val="009C48C9"/>
    <w:rsid w:val="009C5179"/>
    <w:rsid w:val="009C5204"/>
    <w:rsid w:val="009C5883"/>
    <w:rsid w:val="009C7264"/>
    <w:rsid w:val="009C72F4"/>
    <w:rsid w:val="009C7373"/>
    <w:rsid w:val="009C7804"/>
    <w:rsid w:val="009D0288"/>
    <w:rsid w:val="009D0FC4"/>
    <w:rsid w:val="009D10BE"/>
    <w:rsid w:val="009D15AB"/>
    <w:rsid w:val="009D19EE"/>
    <w:rsid w:val="009D1B4F"/>
    <w:rsid w:val="009D1BB5"/>
    <w:rsid w:val="009D24C3"/>
    <w:rsid w:val="009D2A30"/>
    <w:rsid w:val="009D2B28"/>
    <w:rsid w:val="009D2C94"/>
    <w:rsid w:val="009D2DC6"/>
    <w:rsid w:val="009D3008"/>
    <w:rsid w:val="009D30C3"/>
    <w:rsid w:val="009D369A"/>
    <w:rsid w:val="009D3BB9"/>
    <w:rsid w:val="009D42A3"/>
    <w:rsid w:val="009D4502"/>
    <w:rsid w:val="009D467A"/>
    <w:rsid w:val="009D4768"/>
    <w:rsid w:val="009D4B5E"/>
    <w:rsid w:val="009D57F9"/>
    <w:rsid w:val="009D5D70"/>
    <w:rsid w:val="009D61A0"/>
    <w:rsid w:val="009D6506"/>
    <w:rsid w:val="009D6EC8"/>
    <w:rsid w:val="009D746F"/>
    <w:rsid w:val="009D7515"/>
    <w:rsid w:val="009D7B1D"/>
    <w:rsid w:val="009E05DF"/>
    <w:rsid w:val="009E0669"/>
    <w:rsid w:val="009E12E2"/>
    <w:rsid w:val="009E130A"/>
    <w:rsid w:val="009E1434"/>
    <w:rsid w:val="009E18FA"/>
    <w:rsid w:val="009E1D34"/>
    <w:rsid w:val="009E1EC9"/>
    <w:rsid w:val="009E1F2A"/>
    <w:rsid w:val="009E21B9"/>
    <w:rsid w:val="009E2AE0"/>
    <w:rsid w:val="009E2D24"/>
    <w:rsid w:val="009E33C7"/>
    <w:rsid w:val="009E36D5"/>
    <w:rsid w:val="009E379F"/>
    <w:rsid w:val="009E3F78"/>
    <w:rsid w:val="009E4178"/>
    <w:rsid w:val="009E43CD"/>
    <w:rsid w:val="009E446A"/>
    <w:rsid w:val="009E5698"/>
    <w:rsid w:val="009E5842"/>
    <w:rsid w:val="009E5A89"/>
    <w:rsid w:val="009E5DEB"/>
    <w:rsid w:val="009E624E"/>
    <w:rsid w:val="009E6301"/>
    <w:rsid w:val="009E632B"/>
    <w:rsid w:val="009E6F2E"/>
    <w:rsid w:val="009E755B"/>
    <w:rsid w:val="009E76DC"/>
    <w:rsid w:val="009F0623"/>
    <w:rsid w:val="009F0943"/>
    <w:rsid w:val="009F0A6B"/>
    <w:rsid w:val="009F0F7B"/>
    <w:rsid w:val="009F12AE"/>
    <w:rsid w:val="009F1E0D"/>
    <w:rsid w:val="009F2020"/>
    <w:rsid w:val="009F240E"/>
    <w:rsid w:val="009F28F8"/>
    <w:rsid w:val="009F2BF7"/>
    <w:rsid w:val="009F2CB7"/>
    <w:rsid w:val="009F2CC9"/>
    <w:rsid w:val="009F2D47"/>
    <w:rsid w:val="009F327C"/>
    <w:rsid w:val="009F32BC"/>
    <w:rsid w:val="009F36B8"/>
    <w:rsid w:val="009F3AA3"/>
    <w:rsid w:val="009F3AFC"/>
    <w:rsid w:val="009F3B5B"/>
    <w:rsid w:val="009F3F79"/>
    <w:rsid w:val="009F4168"/>
    <w:rsid w:val="009F46A5"/>
    <w:rsid w:val="009F48C1"/>
    <w:rsid w:val="009F4A9A"/>
    <w:rsid w:val="009F4BF8"/>
    <w:rsid w:val="009F4DDF"/>
    <w:rsid w:val="009F5410"/>
    <w:rsid w:val="009F5450"/>
    <w:rsid w:val="009F54E9"/>
    <w:rsid w:val="009F57D1"/>
    <w:rsid w:val="009F57F8"/>
    <w:rsid w:val="009F5AD4"/>
    <w:rsid w:val="009F6AA0"/>
    <w:rsid w:val="009F6C58"/>
    <w:rsid w:val="009F6E92"/>
    <w:rsid w:val="009F75D9"/>
    <w:rsid w:val="009F77E2"/>
    <w:rsid w:val="009F7AA3"/>
    <w:rsid w:val="009F7B41"/>
    <w:rsid w:val="00A0039A"/>
    <w:rsid w:val="00A0076F"/>
    <w:rsid w:val="00A00814"/>
    <w:rsid w:val="00A0085C"/>
    <w:rsid w:val="00A015ED"/>
    <w:rsid w:val="00A016BB"/>
    <w:rsid w:val="00A01738"/>
    <w:rsid w:val="00A0196E"/>
    <w:rsid w:val="00A01C91"/>
    <w:rsid w:val="00A01D95"/>
    <w:rsid w:val="00A026A5"/>
    <w:rsid w:val="00A02D09"/>
    <w:rsid w:val="00A03B58"/>
    <w:rsid w:val="00A0448A"/>
    <w:rsid w:val="00A04C56"/>
    <w:rsid w:val="00A04CC5"/>
    <w:rsid w:val="00A05295"/>
    <w:rsid w:val="00A0586B"/>
    <w:rsid w:val="00A058C3"/>
    <w:rsid w:val="00A063E3"/>
    <w:rsid w:val="00A0675F"/>
    <w:rsid w:val="00A06970"/>
    <w:rsid w:val="00A06C59"/>
    <w:rsid w:val="00A06D89"/>
    <w:rsid w:val="00A06E4D"/>
    <w:rsid w:val="00A07404"/>
    <w:rsid w:val="00A07573"/>
    <w:rsid w:val="00A076B5"/>
    <w:rsid w:val="00A078DC"/>
    <w:rsid w:val="00A07938"/>
    <w:rsid w:val="00A07D7A"/>
    <w:rsid w:val="00A10D4C"/>
    <w:rsid w:val="00A11067"/>
    <w:rsid w:val="00A1127A"/>
    <w:rsid w:val="00A113B9"/>
    <w:rsid w:val="00A113EC"/>
    <w:rsid w:val="00A11560"/>
    <w:rsid w:val="00A11ADF"/>
    <w:rsid w:val="00A1216D"/>
    <w:rsid w:val="00A12180"/>
    <w:rsid w:val="00A12222"/>
    <w:rsid w:val="00A1235E"/>
    <w:rsid w:val="00A12B2B"/>
    <w:rsid w:val="00A12BD3"/>
    <w:rsid w:val="00A12CDA"/>
    <w:rsid w:val="00A13339"/>
    <w:rsid w:val="00A134EA"/>
    <w:rsid w:val="00A1480A"/>
    <w:rsid w:val="00A1509C"/>
    <w:rsid w:val="00A15124"/>
    <w:rsid w:val="00A1574A"/>
    <w:rsid w:val="00A15B0D"/>
    <w:rsid w:val="00A15BAA"/>
    <w:rsid w:val="00A15D1C"/>
    <w:rsid w:val="00A16AF7"/>
    <w:rsid w:val="00A16F07"/>
    <w:rsid w:val="00A17564"/>
    <w:rsid w:val="00A17779"/>
    <w:rsid w:val="00A17989"/>
    <w:rsid w:val="00A17DAE"/>
    <w:rsid w:val="00A2048F"/>
    <w:rsid w:val="00A20687"/>
    <w:rsid w:val="00A20894"/>
    <w:rsid w:val="00A21104"/>
    <w:rsid w:val="00A212C0"/>
    <w:rsid w:val="00A21427"/>
    <w:rsid w:val="00A2142B"/>
    <w:rsid w:val="00A21572"/>
    <w:rsid w:val="00A21CEC"/>
    <w:rsid w:val="00A21ED7"/>
    <w:rsid w:val="00A2204F"/>
    <w:rsid w:val="00A224FF"/>
    <w:rsid w:val="00A22537"/>
    <w:rsid w:val="00A2295A"/>
    <w:rsid w:val="00A23680"/>
    <w:rsid w:val="00A2376A"/>
    <w:rsid w:val="00A23A00"/>
    <w:rsid w:val="00A23B64"/>
    <w:rsid w:val="00A24131"/>
    <w:rsid w:val="00A24CAE"/>
    <w:rsid w:val="00A25BC3"/>
    <w:rsid w:val="00A25C53"/>
    <w:rsid w:val="00A25EA0"/>
    <w:rsid w:val="00A25EE5"/>
    <w:rsid w:val="00A2604C"/>
    <w:rsid w:val="00A26F6F"/>
    <w:rsid w:val="00A26F72"/>
    <w:rsid w:val="00A27315"/>
    <w:rsid w:val="00A276B4"/>
    <w:rsid w:val="00A276C7"/>
    <w:rsid w:val="00A27826"/>
    <w:rsid w:val="00A30957"/>
    <w:rsid w:val="00A30B34"/>
    <w:rsid w:val="00A30BC4"/>
    <w:rsid w:val="00A31134"/>
    <w:rsid w:val="00A31953"/>
    <w:rsid w:val="00A31CA8"/>
    <w:rsid w:val="00A31CC9"/>
    <w:rsid w:val="00A31DDD"/>
    <w:rsid w:val="00A32347"/>
    <w:rsid w:val="00A32B15"/>
    <w:rsid w:val="00A32B60"/>
    <w:rsid w:val="00A32D90"/>
    <w:rsid w:val="00A32EE5"/>
    <w:rsid w:val="00A3384E"/>
    <w:rsid w:val="00A3385B"/>
    <w:rsid w:val="00A342F5"/>
    <w:rsid w:val="00A3508C"/>
    <w:rsid w:val="00A35AF9"/>
    <w:rsid w:val="00A35F4C"/>
    <w:rsid w:val="00A36340"/>
    <w:rsid w:val="00A372C3"/>
    <w:rsid w:val="00A376AB"/>
    <w:rsid w:val="00A378A2"/>
    <w:rsid w:val="00A37EF6"/>
    <w:rsid w:val="00A40048"/>
    <w:rsid w:val="00A4028F"/>
    <w:rsid w:val="00A406E8"/>
    <w:rsid w:val="00A40A93"/>
    <w:rsid w:val="00A40AE1"/>
    <w:rsid w:val="00A40C13"/>
    <w:rsid w:val="00A40C84"/>
    <w:rsid w:val="00A410C4"/>
    <w:rsid w:val="00A41350"/>
    <w:rsid w:val="00A41448"/>
    <w:rsid w:val="00A41563"/>
    <w:rsid w:val="00A41793"/>
    <w:rsid w:val="00A419AB"/>
    <w:rsid w:val="00A41D08"/>
    <w:rsid w:val="00A41F42"/>
    <w:rsid w:val="00A41F7D"/>
    <w:rsid w:val="00A4242F"/>
    <w:rsid w:val="00A42C88"/>
    <w:rsid w:val="00A42CB1"/>
    <w:rsid w:val="00A435C0"/>
    <w:rsid w:val="00A43E3A"/>
    <w:rsid w:val="00A43FD8"/>
    <w:rsid w:val="00A443D1"/>
    <w:rsid w:val="00A4480A"/>
    <w:rsid w:val="00A44B8A"/>
    <w:rsid w:val="00A44CBE"/>
    <w:rsid w:val="00A44EB6"/>
    <w:rsid w:val="00A4501A"/>
    <w:rsid w:val="00A45170"/>
    <w:rsid w:val="00A45A35"/>
    <w:rsid w:val="00A45C46"/>
    <w:rsid w:val="00A4628E"/>
    <w:rsid w:val="00A47285"/>
    <w:rsid w:val="00A47298"/>
    <w:rsid w:val="00A47418"/>
    <w:rsid w:val="00A4766C"/>
    <w:rsid w:val="00A47705"/>
    <w:rsid w:val="00A50217"/>
    <w:rsid w:val="00A50287"/>
    <w:rsid w:val="00A503DC"/>
    <w:rsid w:val="00A506C6"/>
    <w:rsid w:val="00A5101D"/>
    <w:rsid w:val="00A5168A"/>
    <w:rsid w:val="00A518DC"/>
    <w:rsid w:val="00A51E00"/>
    <w:rsid w:val="00A522D9"/>
    <w:rsid w:val="00A523CF"/>
    <w:rsid w:val="00A52B6C"/>
    <w:rsid w:val="00A52C55"/>
    <w:rsid w:val="00A5316C"/>
    <w:rsid w:val="00A5320D"/>
    <w:rsid w:val="00A539D3"/>
    <w:rsid w:val="00A53DBA"/>
    <w:rsid w:val="00A53E2D"/>
    <w:rsid w:val="00A54BE7"/>
    <w:rsid w:val="00A55470"/>
    <w:rsid w:val="00A55BCB"/>
    <w:rsid w:val="00A57421"/>
    <w:rsid w:val="00A60072"/>
    <w:rsid w:val="00A605BC"/>
    <w:rsid w:val="00A60FDA"/>
    <w:rsid w:val="00A60FE6"/>
    <w:rsid w:val="00A61B2B"/>
    <w:rsid w:val="00A620EC"/>
    <w:rsid w:val="00A621C2"/>
    <w:rsid w:val="00A6242B"/>
    <w:rsid w:val="00A62A6B"/>
    <w:rsid w:val="00A62CB8"/>
    <w:rsid w:val="00A633B5"/>
    <w:rsid w:val="00A63F8C"/>
    <w:rsid w:val="00A64186"/>
    <w:rsid w:val="00A64377"/>
    <w:rsid w:val="00A64509"/>
    <w:rsid w:val="00A647F8"/>
    <w:rsid w:val="00A65260"/>
    <w:rsid w:val="00A653B2"/>
    <w:rsid w:val="00A655C5"/>
    <w:rsid w:val="00A65B56"/>
    <w:rsid w:val="00A65E1E"/>
    <w:rsid w:val="00A66440"/>
    <w:rsid w:val="00A66CCF"/>
    <w:rsid w:val="00A67A6A"/>
    <w:rsid w:val="00A70373"/>
    <w:rsid w:val="00A70416"/>
    <w:rsid w:val="00A70969"/>
    <w:rsid w:val="00A70DA0"/>
    <w:rsid w:val="00A70EFC"/>
    <w:rsid w:val="00A7117D"/>
    <w:rsid w:val="00A714F4"/>
    <w:rsid w:val="00A71743"/>
    <w:rsid w:val="00A71E43"/>
    <w:rsid w:val="00A71E7C"/>
    <w:rsid w:val="00A71E8E"/>
    <w:rsid w:val="00A72063"/>
    <w:rsid w:val="00A72322"/>
    <w:rsid w:val="00A72445"/>
    <w:rsid w:val="00A727A4"/>
    <w:rsid w:val="00A728D6"/>
    <w:rsid w:val="00A72E36"/>
    <w:rsid w:val="00A7313E"/>
    <w:rsid w:val="00A7318E"/>
    <w:rsid w:val="00A733CC"/>
    <w:rsid w:val="00A73BAB"/>
    <w:rsid w:val="00A73C2C"/>
    <w:rsid w:val="00A73EAF"/>
    <w:rsid w:val="00A73FE3"/>
    <w:rsid w:val="00A7452E"/>
    <w:rsid w:val="00A7496E"/>
    <w:rsid w:val="00A74EFC"/>
    <w:rsid w:val="00A74F3A"/>
    <w:rsid w:val="00A7531F"/>
    <w:rsid w:val="00A7552F"/>
    <w:rsid w:val="00A75532"/>
    <w:rsid w:val="00A758D8"/>
    <w:rsid w:val="00A7592D"/>
    <w:rsid w:val="00A75AF1"/>
    <w:rsid w:val="00A76486"/>
    <w:rsid w:val="00A76730"/>
    <w:rsid w:val="00A7696B"/>
    <w:rsid w:val="00A76BEF"/>
    <w:rsid w:val="00A76E8B"/>
    <w:rsid w:val="00A7741E"/>
    <w:rsid w:val="00A777E5"/>
    <w:rsid w:val="00A77829"/>
    <w:rsid w:val="00A77B95"/>
    <w:rsid w:val="00A80CB3"/>
    <w:rsid w:val="00A80E37"/>
    <w:rsid w:val="00A8104B"/>
    <w:rsid w:val="00A810C2"/>
    <w:rsid w:val="00A814F7"/>
    <w:rsid w:val="00A819AA"/>
    <w:rsid w:val="00A81E2C"/>
    <w:rsid w:val="00A82031"/>
    <w:rsid w:val="00A82595"/>
    <w:rsid w:val="00A82712"/>
    <w:rsid w:val="00A83026"/>
    <w:rsid w:val="00A83205"/>
    <w:rsid w:val="00A8320A"/>
    <w:rsid w:val="00A83A88"/>
    <w:rsid w:val="00A83CBA"/>
    <w:rsid w:val="00A84142"/>
    <w:rsid w:val="00A84316"/>
    <w:rsid w:val="00A847D0"/>
    <w:rsid w:val="00A8482D"/>
    <w:rsid w:val="00A8505F"/>
    <w:rsid w:val="00A85233"/>
    <w:rsid w:val="00A856F4"/>
    <w:rsid w:val="00A85FB0"/>
    <w:rsid w:val="00A864BE"/>
    <w:rsid w:val="00A869ED"/>
    <w:rsid w:val="00A86B01"/>
    <w:rsid w:val="00A87272"/>
    <w:rsid w:val="00A8731C"/>
    <w:rsid w:val="00A87392"/>
    <w:rsid w:val="00A8759D"/>
    <w:rsid w:val="00A87C9F"/>
    <w:rsid w:val="00A87DBE"/>
    <w:rsid w:val="00A87FDC"/>
    <w:rsid w:val="00A90254"/>
    <w:rsid w:val="00A90670"/>
    <w:rsid w:val="00A90B4B"/>
    <w:rsid w:val="00A910DB"/>
    <w:rsid w:val="00A912A7"/>
    <w:rsid w:val="00A916E6"/>
    <w:rsid w:val="00A91BE1"/>
    <w:rsid w:val="00A91D0E"/>
    <w:rsid w:val="00A91EAA"/>
    <w:rsid w:val="00A92147"/>
    <w:rsid w:val="00A921BD"/>
    <w:rsid w:val="00A92241"/>
    <w:rsid w:val="00A92554"/>
    <w:rsid w:val="00A9270F"/>
    <w:rsid w:val="00A9272E"/>
    <w:rsid w:val="00A92767"/>
    <w:rsid w:val="00A9288C"/>
    <w:rsid w:val="00A93284"/>
    <w:rsid w:val="00A93302"/>
    <w:rsid w:val="00A935D1"/>
    <w:rsid w:val="00A940BD"/>
    <w:rsid w:val="00A94115"/>
    <w:rsid w:val="00A94141"/>
    <w:rsid w:val="00A945F5"/>
    <w:rsid w:val="00A94FE9"/>
    <w:rsid w:val="00A95614"/>
    <w:rsid w:val="00A95A06"/>
    <w:rsid w:val="00A95E79"/>
    <w:rsid w:val="00A96296"/>
    <w:rsid w:val="00A96554"/>
    <w:rsid w:val="00A96A07"/>
    <w:rsid w:val="00A96F8D"/>
    <w:rsid w:val="00A96FEA"/>
    <w:rsid w:val="00A978B1"/>
    <w:rsid w:val="00A9795E"/>
    <w:rsid w:val="00A97BBC"/>
    <w:rsid w:val="00AA0932"/>
    <w:rsid w:val="00AA0F2B"/>
    <w:rsid w:val="00AA1703"/>
    <w:rsid w:val="00AA19F3"/>
    <w:rsid w:val="00AA2983"/>
    <w:rsid w:val="00AA2BBF"/>
    <w:rsid w:val="00AA2F90"/>
    <w:rsid w:val="00AA3924"/>
    <w:rsid w:val="00AA3AC4"/>
    <w:rsid w:val="00AA3E30"/>
    <w:rsid w:val="00AA400A"/>
    <w:rsid w:val="00AA40B8"/>
    <w:rsid w:val="00AA41B9"/>
    <w:rsid w:val="00AA49FA"/>
    <w:rsid w:val="00AA4C1B"/>
    <w:rsid w:val="00AA5161"/>
    <w:rsid w:val="00AA5241"/>
    <w:rsid w:val="00AA55F1"/>
    <w:rsid w:val="00AA59D2"/>
    <w:rsid w:val="00AA5D19"/>
    <w:rsid w:val="00AA6568"/>
    <w:rsid w:val="00AA7183"/>
    <w:rsid w:val="00AA73DB"/>
    <w:rsid w:val="00AB0B8D"/>
    <w:rsid w:val="00AB1170"/>
    <w:rsid w:val="00AB12DB"/>
    <w:rsid w:val="00AB15A4"/>
    <w:rsid w:val="00AB1ED5"/>
    <w:rsid w:val="00AB1FC3"/>
    <w:rsid w:val="00AB2199"/>
    <w:rsid w:val="00AB2334"/>
    <w:rsid w:val="00AB236A"/>
    <w:rsid w:val="00AB25DE"/>
    <w:rsid w:val="00AB2716"/>
    <w:rsid w:val="00AB2868"/>
    <w:rsid w:val="00AB2C93"/>
    <w:rsid w:val="00AB3DF8"/>
    <w:rsid w:val="00AB400D"/>
    <w:rsid w:val="00AB47B2"/>
    <w:rsid w:val="00AB485B"/>
    <w:rsid w:val="00AB49E0"/>
    <w:rsid w:val="00AB4BD9"/>
    <w:rsid w:val="00AB5036"/>
    <w:rsid w:val="00AB55EF"/>
    <w:rsid w:val="00AB5803"/>
    <w:rsid w:val="00AB59E2"/>
    <w:rsid w:val="00AB5AEC"/>
    <w:rsid w:val="00AB6423"/>
    <w:rsid w:val="00AB65D3"/>
    <w:rsid w:val="00AB6B62"/>
    <w:rsid w:val="00AB7408"/>
    <w:rsid w:val="00AB7546"/>
    <w:rsid w:val="00AB7CE7"/>
    <w:rsid w:val="00AB7D63"/>
    <w:rsid w:val="00AB7DB5"/>
    <w:rsid w:val="00AC039F"/>
    <w:rsid w:val="00AC06D2"/>
    <w:rsid w:val="00AC07CB"/>
    <w:rsid w:val="00AC0BD5"/>
    <w:rsid w:val="00AC0D9E"/>
    <w:rsid w:val="00AC1BA5"/>
    <w:rsid w:val="00AC21F4"/>
    <w:rsid w:val="00AC29B1"/>
    <w:rsid w:val="00AC2F31"/>
    <w:rsid w:val="00AC32E5"/>
    <w:rsid w:val="00AC349E"/>
    <w:rsid w:val="00AC39DE"/>
    <w:rsid w:val="00AC3A2D"/>
    <w:rsid w:val="00AC3D92"/>
    <w:rsid w:val="00AC3F61"/>
    <w:rsid w:val="00AC489E"/>
    <w:rsid w:val="00AC4B34"/>
    <w:rsid w:val="00AC4BC0"/>
    <w:rsid w:val="00AC4C4E"/>
    <w:rsid w:val="00AC4D12"/>
    <w:rsid w:val="00AC5056"/>
    <w:rsid w:val="00AC59B9"/>
    <w:rsid w:val="00AC59BE"/>
    <w:rsid w:val="00AC5BA3"/>
    <w:rsid w:val="00AC60E1"/>
    <w:rsid w:val="00AC64F7"/>
    <w:rsid w:val="00AC6B27"/>
    <w:rsid w:val="00AC6FA6"/>
    <w:rsid w:val="00AC71E1"/>
    <w:rsid w:val="00AC7B3F"/>
    <w:rsid w:val="00AC7BA2"/>
    <w:rsid w:val="00AD0163"/>
    <w:rsid w:val="00AD0217"/>
    <w:rsid w:val="00AD0A9C"/>
    <w:rsid w:val="00AD0BDB"/>
    <w:rsid w:val="00AD0CDD"/>
    <w:rsid w:val="00AD1378"/>
    <w:rsid w:val="00AD182C"/>
    <w:rsid w:val="00AD2671"/>
    <w:rsid w:val="00AD2B1E"/>
    <w:rsid w:val="00AD31DE"/>
    <w:rsid w:val="00AD3869"/>
    <w:rsid w:val="00AD3918"/>
    <w:rsid w:val="00AD3DBE"/>
    <w:rsid w:val="00AD3EBD"/>
    <w:rsid w:val="00AD4B22"/>
    <w:rsid w:val="00AD501E"/>
    <w:rsid w:val="00AD5497"/>
    <w:rsid w:val="00AD57C4"/>
    <w:rsid w:val="00AD6B3F"/>
    <w:rsid w:val="00AD7868"/>
    <w:rsid w:val="00AD7B14"/>
    <w:rsid w:val="00AD7B94"/>
    <w:rsid w:val="00AD7D6D"/>
    <w:rsid w:val="00AE06C4"/>
    <w:rsid w:val="00AE0854"/>
    <w:rsid w:val="00AE0D98"/>
    <w:rsid w:val="00AE0FA8"/>
    <w:rsid w:val="00AE1A17"/>
    <w:rsid w:val="00AE1A36"/>
    <w:rsid w:val="00AE200C"/>
    <w:rsid w:val="00AE20FB"/>
    <w:rsid w:val="00AE25F0"/>
    <w:rsid w:val="00AE2B97"/>
    <w:rsid w:val="00AE2D6E"/>
    <w:rsid w:val="00AE2F30"/>
    <w:rsid w:val="00AE3193"/>
    <w:rsid w:val="00AE31EE"/>
    <w:rsid w:val="00AE32FA"/>
    <w:rsid w:val="00AE38B1"/>
    <w:rsid w:val="00AE3F58"/>
    <w:rsid w:val="00AE41A5"/>
    <w:rsid w:val="00AE47DA"/>
    <w:rsid w:val="00AE52A9"/>
    <w:rsid w:val="00AE5773"/>
    <w:rsid w:val="00AE582C"/>
    <w:rsid w:val="00AE5AB1"/>
    <w:rsid w:val="00AE5E65"/>
    <w:rsid w:val="00AE5FE5"/>
    <w:rsid w:val="00AE6E93"/>
    <w:rsid w:val="00AE7BB4"/>
    <w:rsid w:val="00AE7DD9"/>
    <w:rsid w:val="00AE7E69"/>
    <w:rsid w:val="00AE7FE4"/>
    <w:rsid w:val="00AF0263"/>
    <w:rsid w:val="00AF0292"/>
    <w:rsid w:val="00AF03C9"/>
    <w:rsid w:val="00AF0A64"/>
    <w:rsid w:val="00AF14A7"/>
    <w:rsid w:val="00AF15B5"/>
    <w:rsid w:val="00AF16D2"/>
    <w:rsid w:val="00AF17D0"/>
    <w:rsid w:val="00AF1D8D"/>
    <w:rsid w:val="00AF20DA"/>
    <w:rsid w:val="00AF21E9"/>
    <w:rsid w:val="00AF22A9"/>
    <w:rsid w:val="00AF22BB"/>
    <w:rsid w:val="00AF23AF"/>
    <w:rsid w:val="00AF28DF"/>
    <w:rsid w:val="00AF2A63"/>
    <w:rsid w:val="00AF3462"/>
    <w:rsid w:val="00AF40E5"/>
    <w:rsid w:val="00AF42D6"/>
    <w:rsid w:val="00AF4571"/>
    <w:rsid w:val="00AF45C8"/>
    <w:rsid w:val="00AF4825"/>
    <w:rsid w:val="00AF4BB0"/>
    <w:rsid w:val="00AF4EE0"/>
    <w:rsid w:val="00AF5651"/>
    <w:rsid w:val="00AF5A22"/>
    <w:rsid w:val="00AF5AC8"/>
    <w:rsid w:val="00AF5C44"/>
    <w:rsid w:val="00AF5C5C"/>
    <w:rsid w:val="00AF71B6"/>
    <w:rsid w:val="00AF7384"/>
    <w:rsid w:val="00AF7B33"/>
    <w:rsid w:val="00AF7B80"/>
    <w:rsid w:val="00B007CB"/>
    <w:rsid w:val="00B009F9"/>
    <w:rsid w:val="00B00F74"/>
    <w:rsid w:val="00B01120"/>
    <w:rsid w:val="00B01523"/>
    <w:rsid w:val="00B0159C"/>
    <w:rsid w:val="00B01670"/>
    <w:rsid w:val="00B01927"/>
    <w:rsid w:val="00B01A8A"/>
    <w:rsid w:val="00B01F6F"/>
    <w:rsid w:val="00B02222"/>
    <w:rsid w:val="00B0229D"/>
    <w:rsid w:val="00B0284A"/>
    <w:rsid w:val="00B02E0A"/>
    <w:rsid w:val="00B034A8"/>
    <w:rsid w:val="00B03555"/>
    <w:rsid w:val="00B03754"/>
    <w:rsid w:val="00B044AD"/>
    <w:rsid w:val="00B0466C"/>
    <w:rsid w:val="00B048F5"/>
    <w:rsid w:val="00B049B4"/>
    <w:rsid w:val="00B04FB6"/>
    <w:rsid w:val="00B05615"/>
    <w:rsid w:val="00B05743"/>
    <w:rsid w:val="00B05C46"/>
    <w:rsid w:val="00B05DBF"/>
    <w:rsid w:val="00B05EF0"/>
    <w:rsid w:val="00B060A4"/>
    <w:rsid w:val="00B06A97"/>
    <w:rsid w:val="00B06BE9"/>
    <w:rsid w:val="00B06E47"/>
    <w:rsid w:val="00B0712D"/>
    <w:rsid w:val="00B07BB4"/>
    <w:rsid w:val="00B10156"/>
    <w:rsid w:val="00B102AD"/>
    <w:rsid w:val="00B10719"/>
    <w:rsid w:val="00B107D4"/>
    <w:rsid w:val="00B10DEC"/>
    <w:rsid w:val="00B1154D"/>
    <w:rsid w:val="00B11DEA"/>
    <w:rsid w:val="00B1239F"/>
    <w:rsid w:val="00B12AD0"/>
    <w:rsid w:val="00B12E11"/>
    <w:rsid w:val="00B12F0C"/>
    <w:rsid w:val="00B13027"/>
    <w:rsid w:val="00B139FE"/>
    <w:rsid w:val="00B13B5B"/>
    <w:rsid w:val="00B141D9"/>
    <w:rsid w:val="00B1421D"/>
    <w:rsid w:val="00B14453"/>
    <w:rsid w:val="00B145C0"/>
    <w:rsid w:val="00B14989"/>
    <w:rsid w:val="00B150F5"/>
    <w:rsid w:val="00B151C9"/>
    <w:rsid w:val="00B1543B"/>
    <w:rsid w:val="00B15D24"/>
    <w:rsid w:val="00B167A9"/>
    <w:rsid w:val="00B16CA0"/>
    <w:rsid w:val="00B16FA2"/>
    <w:rsid w:val="00B1712C"/>
    <w:rsid w:val="00B1782A"/>
    <w:rsid w:val="00B17C77"/>
    <w:rsid w:val="00B17DB8"/>
    <w:rsid w:val="00B17F59"/>
    <w:rsid w:val="00B201A8"/>
    <w:rsid w:val="00B2023B"/>
    <w:rsid w:val="00B20FE9"/>
    <w:rsid w:val="00B21336"/>
    <w:rsid w:val="00B214EA"/>
    <w:rsid w:val="00B218A5"/>
    <w:rsid w:val="00B21BE8"/>
    <w:rsid w:val="00B22CB7"/>
    <w:rsid w:val="00B23CD0"/>
    <w:rsid w:val="00B23D47"/>
    <w:rsid w:val="00B23F4A"/>
    <w:rsid w:val="00B24778"/>
    <w:rsid w:val="00B24F62"/>
    <w:rsid w:val="00B25264"/>
    <w:rsid w:val="00B25DC5"/>
    <w:rsid w:val="00B25E4A"/>
    <w:rsid w:val="00B25FAE"/>
    <w:rsid w:val="00B2622F"/>
    <w:rsid w:val="00B263C9"/>
    <w:rsid w:val="00B26D94"/>
    <w:rsid w:val="00B27128"/>
    <w:rsid w:val="00B272EC"/>
    <w:rsid w:val="00B277AD"/>
    <w:rsid w:val="00B27930"/>
    <w:rsid w:val="00B30321"/>
    <w:rsid w:val="00B30776"/>
    <w:rsid w:val="00B30851"/>
    <w:rsid w:val="00B3104A"/>
    <w:rsid w:val="00B31226"/>
    <w:rsid w:val="00B312AA"/>
    <w:rsid w:val="00B31408"/>
    <w:rsid w:val="00B3155E"/>
    <w:rsid w:val="00B317DB"/>
    <w:rsid w:val="00B3181A"/>
    <w:rsid w:val="00B320F8"/>
    <w:rsid w:val="00B32173"/>
    <w:rsid w:val="00B32572"/>
    <w:rsid w:val="00B32713"/>
    <w:rsid w:val="00B32BA6"/>
    <w:rsid w:val="00B32C12"/>
    <w:rsid w:val="00B32C76"/>
    <w:rsid w:val="00B32E87"/>
    <w:rsid w:val="00B33B75"/>
    <w:rsid w:val="00B33C80"/>
    <w:rsid w:val="00B34240"/>
    <w:rsid w:val="00B34310"/>
    <w:rsid w:val="00B3448D"/>
    <w:rsid w:val="00B34709"/>
    <w:rsid w:val="00B34C62"/>
    <w:rsid w:val="00B34D7F"/>
    <w:rsid w:val="00B34E7B"/>
    <w:rsid w:val="00B352D9"/>
    <w:rsid w:val="00B355CD"/>
    <w:rsid w:val="00B35B33"/>
    <w:rsid w:val="00B36257"/>
    <w:rsid w:val="00B365C9"/>
    <w:rsid w:val="00B36701"/>
    <w:rsid w:val="00B367DF"/>
    <w:rsid w:val="00B36D5F"/>
    <w:rsid w:val="00B36DEE"/>
    <w:rsid w:val="00B3716B"/>
    <w:rsid w:val="00B3729D"/>
    <w:rsid w:val="00B37659"/>
    <w:rsid w:val="00B37CC2"/>
    <w:rsid w:val="00B37F11"/>
    <w:rsid w:val="00B4012E"/>
    <w:rsid w:val="00B4033A"/>
    <w:rsid w:val="00B40942"/>
    <w:rsid w:val="00B40BF7"/>
    <w:rsid w:val="00B40CBA"/>
    <w:rsid w:val="00B410DF"/>
    <w:rsid w:val="00B4193F"/>
    <w:rsid w:val="00B4197E"/>
    <w:rsid w:val="00B41D78"/>
    <w:rsid w:val="00B41FD1"/>
    <w:rsid w:val="00B42246"/>
    <w:rsid w:val="00B42376"/>
    <w:rsid w:val="00B42B27"/>
    <w:rsid w:val="00B43E77"/>
    <w:rsid w:val="00B444B3"/>
    <w:rsid w:val="00B445FA"/>
    <w:rsid w:val="00B44A08"/>
    <w:rsid w:val="00B44C6D"/>
    <w:rsid w:val="00B44F84"/>
    <w:rsid w:val="00B450E2"/>
    <w:rsid w:val="00B45342"/>
    <w:rsid w:val="00B4543D"/>
    <w:rsid w:val="00B45906"/>
    <w:rsid w:val="00B45FB3"/>
    <w:rsid w:val="00B46038"/>
    <w:rsid w:val="00B46735"/>
    <w:rsid w:val="00B469BC"/>
    <w:rsid w:val="00B46BCA"/>
    <w:rsid w:val="00B46C31"/>
    <w:rsid w:val="00B46EA5"/>
    <w:rsid w:val="00B47921"/>
    <w:rsid w:val="00B47A5A"/>
    <w:rsid w:val="00B507D5"/>
    <w:rsid w:val="00B508CE"/>
    <w:rsid w:val="00B51112"/>
    <w:rsid w:val="00B5115F"/>
    <w:rsid w:val="00B51197"/>
    <w:rsid w:val="00B513A8"/>
    <w:rsid w:val="00B515DA"/>
    <w:rsid w:val="00B5178F"/>
    <w:rsid w:val="00B518B9"/>
    <w:rsid w:val="00B51BDB"/>
    <w:rsid w:val="00B52071"/>
    <w:rsid w:val="00B522C1"/>
    <w:rsid w:val="00B5234C"/>
    <w:rsid w:val="00B5239E"/>
    <w:rsid w:val="00B52467"/>
    <w:rsid w:val="00B5248E"/>
    <w:rsid w:val="00B52DBB"/>
    <w:rsid w:val="00B52F28"/>
    <w:rsid w:val="00B5337C"/>
    <w:rsid w:val="00B535B6"/>
    <w:rsid w:val="00B5360B"/>
    <w:rsid w:val="00B53B3A"/>
    <w:rsid w:val="00B53D3B"/>
    <w:rsid w:val="00B5401A"/>
    <w:rsid w:val="00B54590"/>
    <w:rsid w:val="00B5488D"/>
    <w:rsid w:val="00B549B2"/>
    <w:rsid w:val="00B5548C"/>
    <w:rsid w:val="00B555B9"/>
    <w:rsid w:val="00B55C3E"/>
    <w:rsid w:val="00B565F0"/>
    <w:rsid w:val="00B56BA1"/>
    <w:rsid w:val="00B56D96"/>
    <w:rsid w:val="00B57536"/>
    <w:rsid w:val="00B57712"/>
    <w:rsid w:val="00B57913"/>
    <w:rsid w:val="00B5798D"/>
    <w:rsid w:val="00B57B3D"/>
    <w:rsid w:val="00B6005F"/>
    <w:rsid w:val="00B60351"/>
    <w:rsid w:val="00B60810"/>
    <w:rsid w:val="00B608DD"/>
    <w:rsid w:val="00B60AD5"/>
    <w:rsid w:val="00B60B30"/>
    <w:rsid w:val="00B60BDE"/>
    <w:rsid w:val="00B60DC6"/>
    <w:rsid w:val="00B618C7"/>
    <w:rsid w:val="00B61903"/>
    <w:rsid w:val="00B61F66"/>
    <w:rsid w:val="00B6209C"/>
    <w:rsid w:val="00B624D9"/>
    <w:rsid w:val="00B62C6F"/>
    <w:rsid w:val="00B6351E"/>
    <w:rsid w:val="00B64AF3"/>
    <w:rsid w:val="00B657E4"/>
    <w:rsid w:val="00B657F5"/>
    <w:rsid w:val="00B659A6"/>
    <w:rsid w:val="00B665A0"/>
    <w:rsid w:val="00B66680"/>
    <w:rsid w:val="00B666D6"/>
    <w:rsid w:val="00B66775"/>
    <w:rsid w:val="00B6694A"/>
    <w:rsid w:val="00B6723A"/>
    <w:rsid w:val="00B70077"/>
    <w:rsid w:val="00B70290"/>
    <w:rsid w:val="00B706E1"/>
    <w:rsid w:val="00B707E9"/>
    <w:rsid w:val="00B70EE7"/>
    <w:rsid w:val="00B71157"/>
    <w:rsid w:val="00B715CB"/>
    <w:rsid w:val="00B71639"/>
    <w:rsid w:val="00B71B33"/>
    <w:rsid w:val="00B71E40"/>
    <w:rsid w:val="00B720F8"/>
    <w:rsid w:val="00B72F08"/>
    <w:rsid w:val="00B732CE"/>
    <w:rsid w:val="00B7354E"/>
    <w:rsid w:val="00B73D41"/>
    <w:rsid w:val="00B73DC1"/>
    <w:rsid w:val="00B74335"/>
    <w:rsid w:val="00B7485A"/>
    <w:rsid w:val="00B74BAD"/>
    <w:rsid w:val="00B74C5A"/>
    <w:rsid w:val="00B74DD0"/>
    <w:rsid w:val="00B750CF"/>
    <w:rsid w:val="00B75143"/>
    <w:rsid w:val="00B75792"/>
    <w:rsid w:val="00B75C04"/>
    <w:rsid w:val="00B76036"/>
    <w:rsid w:val="00B760D1"/>
    <w:rsid w:val="00B762FB"/>
    <w:rsid w:val="00B765EE"/>
    <w:rsid w:val="00B76709"/>
    <w:rsid w:val="00B76A65"/>
    <w:rsid w:val="00B76B3A"/>
    <w:rsid w:val="00B76D3F"/>
    <w:rsid w:val="00B77165"/>
    <w:rsid w:val="00B772C5"/>
    <w:rsid w:val="00B77385"/>
    <w:rsid w:val="00B773E9"/>
    <w:rsid w:val="00B774D2"/>
    <w:rsid w:val="00B7788D"/>
    <w:rsid w:val="00B779E9"/>
    <w:rsid w:val="00B77F78"/>
    <w:rsid w:val="00B77F9C"/>
    <w:rsid w:val="00B806B0"/>
    <w:rsid w:val="00B806EC"/>
    <w:rsid w:val="00B80806"/>
    <w:rsid w:val="00B809E5"/>
    <w:rsid w:val="00B80A09"/>
    <w:rsid w:val="00B80A76"/>
    <w:rsid w:val="00B80B2D"/>
    <w:rsid w:val="00B8115E"/>
    <w:rsid w:val="00B81372"/>
    <w:rsid w:val="00B814AD"/>
    <w:rsid w:val="00B81FA8"/>
    <w:rsid w:val="00B82981"/>
    <w:rsid w:val="00B82C89"/>
    <w:rsid w:val="00B83417"/>
    <w:rsid w:val="00B83950"/>
    <w:rsid w:val="00B83B00"/>
    <w:rsid w:val="00B83C2B"/>
    <w:rsid w:val="00B83C3A"/>
    <w:rsid w:val="00B83E5F"/>
    <w:rsid w:val="00B841D2"/>
    <w:rsid w:val="00B84EB2"/>
    <w:rsid w:val="00B85143"/>
    <w:rsid w:val="00B8514D"/>
    <w:rsid w:val="00B852D4"/>
    <w:rsid w:val="00B853B4"/>
    <w:rsid w:val="00B866AB"/>
    <w:rsid w:val="00B86B92"/>
    <w:rsid w:val="00B87050"/>
    <w:rsid w:val="00B87355"/>
    <w:rsid w:val="00B875D7"/>
    <w:rsid w:val="00B8787B"/>
    <w:rsid w:val="00B87DFB"/>
    <w:rsid w:val="00B87EB6"/>
    <w:rsid w:val="00B9004E"/>
    <w:rsid w:val="00B90613"/>
    <w:rsid w:val="00B90C60"/>
    <w:rsid w:val="00B90CC4"/>
    <w:rsid w:val="00B90F80"/>
    <w:rsid w:val="00B90FB7"/>
    <w:rsid w:val="00B91249"/>
    <w:rsid w:val="00B91E7E"/>
    <w:rsid w:val="00B91F2B"/>
    <w:rsid w:val="00B9255B"/>
    <w:rsid w:val="00B932E6"/>
    <w:rsid w:val="00B9334A"/>
    <w:rsid w:val="00B93472"/>
    <w:rsid w:val="00B935F6"/>
    <w:rsid w:val="00B9371F"/>
    <w:rsid w:val="00B938F8"/>
    <w:rsid w:val="00B939AA"/>
    <w:rsid w:val="00B939D8"/>
    <w:rsid w:val="00B93A25"/>
    <w:rsid w:val="00B93B6C"/>
    <w:rsid w:val="00B93E19"/>
    <w:rsid w:val="00B941CC"/>
    <w:rsid w:val="00B94ADB"/>
    <w:rsid w:val="00B94D56"/>
    <w:rsid w:val="00B9540B"/>
    <w:rsid w:val="00B958DD"/>
    <w:rsid w:val="00B95930"/>
    <w:rsid w:val="00B95BA9"/>
    <w:rsid w:val="00B9684A"/>
    <w:rsid w:val="00B96A98"/>
    <w:rsid w:val="00B972F5"/>
    <w:rsid w:val="00B975D4"/>
    <w:rsid w:val="00B975D7"/>
    <w:rsid w:val="00B976A0"/>
    <w:rsid w:val="00BA04D6"/>
    <w:rsid w:val="00BA08C0"/>
    <w:rsid w:val="00BA0A2B"/>
    <w:rsid w:val="00BA0BEB"/>
    <w:rsid w:val="00BA0C20"/>
    <w:rsid w:val="00BA0C37"/>
    <w:rsid w:val="00BA0C8B"/>
    <w:rsid w:val="00BA0E60"/>
    <w:rsid w:val="00BA0EB8"/>
    <w:rsid w:val="00BA0FD3"/>
    <w:rsid w:val="00BA1284"/>
    <w:rsid w:val="00BA12A5"/>
    <w:rsid w:val="00BA1339"/>
    <w:rsid w:val="00BA16C4"/>
    <w:rsid w:val="00BA1928"/>
    <w:rsid w:val="00BA1CA5"/>
    <w:rsid w:val="00BA1E8C"/>
    <w:rsid w:val="00BA1F5F"/>
    <w:rsid w:val="00BA28ED"/>
    <w:rsid w:val="00BA2A1F"/>
    <w:rsid w:val="00BA2E99"/>
    <w:rsid w:val="00BA30D8"/>
    <w:rsid w:val="00BA3283"/>
    <w:rsid w:val="00BA32F6"/>
    <w:rsid w:val="00BA3743"/>
    <w:rsid w:val="00BA3BE1"/>
    <w:rsid w:val="00BA41F5"/>
    <w:rsid w:val="00BA4824"/>
    <w:rsid w:val="00BA4A00"/>
    <w:rsid w:val="00BA4B9E"/>
    <w:rsid w:val="00BA588C"/>
    <w:rsid w:val="00BA60AA"/>
    <w:rsid w:val="00BA640A"/>
    <w:rsid w:val="00BA6AF3"/>
    <w:rsid w:val="00BA6D51"/>
    <w:rsid w:val="00BA6DBB"/>
    <w:rsid w:val="00BA6DFB"/>
    <w:rsid w:val="00BA6EFA"/>
    <w:rsid w:val="00BA6F92"/>
    <w:rsid w:val="00BA7634"/>
    <w:rsid w:val="00BA788C"/>
    <w:rsid w:val="00BA7F7A"/>
    <w:rsid w:val="00BB0599"/>
    <w:rsid w:val="00BB07CB"/>
    <w:rsid w:val="00BB0B7C"/>
    <w:rsid w:val="00BB0D0E"/>
    <w:rsid w:val="00BB0DA6"/>
    <w:rsid w:val="00BB0DB0"/>
    <w:rsid w:val="00BB1219"/>
    <w:rsid w:val="00BB1665"/>
    <w:rsid w:val="00BB1D62"/>
    <w:rsid w:val="00BB24B5"/>
    <w:rsid w:val="00BB2D0F"/>
    <w:rsid w:val="00BB3A99"/>
    <w:rsid w:val="00BB450E"/>
    <w:rsid w:val="00BB45D6"/>
    <w:rsid w:val="00BB4AF2"/>
    <w:rsid w:val="00BB4C3E"/>
    <w:rsid w:val="00BB5215"/>
    <w:rsid w:val="00BB58B3"/>
    <w:rsid w:val="00BB5AFD"/>
    <w:rsid w:val="00BB622D"/>
    <w:rsid w:val="00BB67DF"/>
    <w:rsid w:val="00BB707D"/>
    <w:rsid w:val="00BB724F"/>
    <w:rsid w:val="00BB73FB"/>
    <w:rsid w:val="00BB7704"/>
    <w:rsid w:val="00BB7B84"/>
    <w:rsid w:val="00BB7CD0"/>
    <w:rsid w:val="00BC0623"/>
    <w:rsid w:val="00BC099E"/>
    <w:rsid w:val="00BC0A4F"/>
    <w:rsid w:val="00BC1145"/>
    <w:rsid w:val="00BC12E9"/>
    <w:rsid w:val="00BC1C34"/>
    <w:rsid w:val="00BC2029"/>
    <w:rsid w:val="00BC23BD"/>
    <w:rsid w:val="00BC2C0C"/>
    <w:rsid w:val="00BC2D05"/>
    <w:rsid w:val="00BC2D8D"/>
    <w:rsid w:val="00BC2F54"/>
    <w:rsid w:val="00BC38EF"/>
    <w:rsid w:val="00BC4B01"/>
    <w:rsid w:val="00BC4E27"/>
    <w:rsid w:val="00BC5750"/>
    <w:rsid w:val="00BC5EF7"/>
    <w:rsid w:val="00BC62CA"/>
    <w:rsid w:val="00BC6667"/>
    <w:rsid w:val="00BC6B7B"/>
    <w:rsid w:val="00BC6D95"/>
    <w:rsid w:val="00BC6E02"/>
    <w:rsid w:val="00BC7162"/>
    <w:rsid w:val="00BC7260"/>
    <w:rsid w:val="00BC731D"/>
    <w:rsid w:val="00BC75EB"/>
    <w:rsid w:val="00BC778C"/>
    <w:rsid w:val="00BC7832"/>
    <w:rsid w:val="00BC7C6E"/>
    <w:rsid w:val="00BC7FE7"/>
    <w:rsid w:val="00BD04A4"/>
    <w:rsid w:val="00BD1567"/>
    <w:rsid w:val="00BD1883"/>
    <w:rsid w:val="00BD193B"/>
    <w:rsid w:val="00BD19FF"/>
    <w:rsid w:val="00BD1A88"/>
    <w:rsid w:val="00BD224E"/>
    <w:rsid w:val="00BD2AD1"/>
    <w:rsid w:val="00BD2E15"/>
    <w:rsid w:val="00BD2F3A"/>
    <w:rsid w:val="00BD319E"/>
    <w:rsid w:val="00BD3244"/>
    <w:rsid w:val="00BD3D29"/>
    <w:rsid w:val="00BD40C3"/>
    <w:rsid w:val="00BD412D"/>
    <w:rsid w:val="00BD47FA"/>
    <w:rsid w:val="00BD4AAA"/>
    <w:rsid w:val="00BD5034"/>
    <w:rsid w:val="00BD5090"/>
    <w:rsid w:val="00BD50BF"/>
    <w:rsid w:val="00BD51DC"/>
    <w:rsid w:val="00BD526B"/>
    <w:rsid w:val="00BD5320"/>
    <w:rsid w:val="00BD58A0"/>
    <w:rsid w:val="00BD61D2"/>
    <w:rsid w:val="00BD661A"/>
    <w:rsid w:val="00BD668E"/>
    <w:rsid w:val="00BD680B"/>
    <w:rsid w:val="00BD6A44"/>
    <w:rsid w:val="00BD6BF5"/>
    <w:rsid w:val="00BD6C56"/>
    <w:rsid w:val="00BD6CA3"/>
    <w:rsid w:val="00BD73B6"/>
    <w:rsid w:val="00BE013C"/>
    <w:rsid w:val="00BE01B7"/>
    <w:rsid w:val="00BE05E7"/>
    <w:rsid w:val="00BE0A26"/>
    <w:rsid w:val="00BE0C1E"/>
    <w:rsid w:val="00BE0DED"/>
    <w:rsid w:val="00BE1157"/>
    <w:rsid w:val="00BE16DB"/>
    <w:rsid w:val="00BE27C4"/>
    <w:rsid w:val="00BE2C3E"/>
    <w:rsid w:val="00BE2DAD"/>
    <w:rsid w:val="00BE2E11"/>
    <w:rsid w:val="00BE3026"/>
    <w:rsid w:val="00BE31CC"/>
    <w:rsid w:val="00BE3A87"/>
    <w:rsid w:val="00BE3F60"/>
    <w:rsid w:val="00BE3FE9"/>
    <w:rsid w:val="00BE407C"/>
    <w:rsid w:val="00BE414D"/>
    <w:rsid w:val="00BE4248"/>
    <w:rsid w:val="00BE4383"/>
    <w:rsid w:val="00BE4C7C"/>
    <w:rsid w:val="00BE4FAA"/>
    <w:rsid w:val="00BE509C"/>
    <w:rsid w:val="00BE5EA4"/>
    <w:rsid w:val="00BE6A46"/>
    <w:rsid w:val="00BE6B72"/>
    <w:rsid w:val="00BE6B89"/>
    <w:rsid w:val="00BE6CE3"/>
    <w:rsid w:val="00BE7045"/>
    <w:rsid w:val="00BE768A"/>
    <w:rsid w:val="00BE77A2"/>
    <w:rsid w:val="00BF012F"/>
    <w:rsid w:val="00BF05D8"/>
    <w:rsid w:val="00BF073D"/>
    <w:rsid w:val="00BF0B3D"/>
    <w:rsid w:val="00BF0B77"/>
    <w:rsid w:val="00BF1349"/>
    <w:rsid w:val="00BF161E"/>
    <w:rsid w:val="00BF16B6"/>
    <w:rsid w:val="00BF1CED"/>
    <w:rsid w:val="00BF1D20"/>
    <w:rsid w:val="00BF20D2"/>
    <w:rsid w:val="00BF240D"/>
    <w:rsid w:val="00BF3AD6"/>
    <w:rsid w:val="00BF3F0A"/>
    <w:rsid w:val="00BF4177"/>
    <w:rsid w:val="00BF4709"/>
    <w:rsid w:val="00BF4A7E"/>
    <w:rsid w:val="00BF4AB7"/>
    <w:rsid w:val="00BF4B05"/>
    <w:rsid w:val="00BF4BB2"/>
    <w:rsid w:val="00BF4C2C"/>
    <w:rsid w:val="00BF4E71"/>
    <w:rsid w:val="00BF502B"/>
    <w:rsid w:val="00BF53A5"/>
    <w:rsid w:val="00BF53FB"/>
    <w:rsid w:val="00BF5422"/>
    <w:rsid w:val="00BF57C6"/>
    <w:rsid w:val="00BF5A65"/>
    <w:rsid w:val="00BF6017"/>
    <w:rsid w:val="00BF6201"/>
    <w:rsid w:val="00BF6DB0"/>
    <w:rsid w:val="00BF73C7"/>
    <w:rsid w:val="00BF7517"/>
    <w:rsid w:val="00BF788F"/>
    <w:rsid w:val="00BF7905"/>
    <w:rsid w:val="00C00015"/>
    <w:rsid w:val="00C00079"/>
    <w:rsid w:val="00C00122"/>
    <w:rsid w:val="00C00A8C"/>
    <w:rsid w:val="00C0106D"/>
    <w:rsid w:val="00C01350"/>
    <w:rsid w:val="00C0146D"/>
    <w:rsid w:val="00C01DE5"/>
    <w:rsid w:val="00C01ED0"/>
    <w:rsid w:val="00C02069"/>
    <w:rsid w:val="00C02398"/>
    <w:rsid w:val="00C0263F"/>
    <w:rsid w:val="00C02763"/>
    <w:rsid w:val="00C02930"/>
    <w:rsid w:val="00C02DC4"/>
    <w:rsid w:val="00C033CD"/>
    <w:rsid w:val="00C03667"/>
    <w:rsid w:val="00C03BA7"/>
    <w:rsid w:val="00C03F53"/>
    <w:rsid w:val="00C04174"/>
    <w:rsid w:val="00C04654"/>
    <w:rsid w:val="00C04D1E"/>
    <w:rsid w:val="00C05362"/>
    <w:rsid w:val="00C055AA"/>
    <w:rsid w:val="00C05985"/>
    <w:rsid w:val="00C05A64"/>
    <w:rsid w:val="00C05A8C"/>
    <w:rsid w:val="00C05CDA"/>
    <w:rsid w:val="00C063D5"/>
    <w:rsid w:val="00C06488"/>
    <w:rsid w:val="00C06DBD"/>
    <w:rsid w:val="00C074F9"/>
    <w:rsid w:val="00C0761C"/>
    <w:rsid w:val="00C07977"/>
    <w:rsid w:val="00C07D6B"/>
    <w:rsid w:val="00C104D8"/>
    <w:rsid w:val="00C116ED"/>
    <w:rsid w:val="00C11F96"/>
    <w:rsid w:val="00C124C3"/>
    <w:rsid w:val="00C1286B"/>
    <w:rsid w:val="00C128FC"/>
    <w:rsid w:val="00C12BC3"/>
    <w:rsid w:val="00C12CBF"/>
    <w:rsid w:val="00C13456"/>
    <w:rsid w:val="00C13565"/>
    <w:rsid w:val="00C1363A"/>
    <w:rsid w:val="00C13F56"/>
    <w:rsid w:val="00C14277"/>
    <w:rsid w:val="00C14CCD"/>
    <w:rsid w:val="00C15130"/>
    <w:rsid w:val="00C158C7"/>
    <w:rsid w:val="00C15EE8"/>
    <w:rsid w:val="00C1612E"/>
    <w:rsid w:val="00C16143"/>
    <w:rsid w:val="00C16473"/>
    <w:rsid w:val="00C16780"/>
    <w:rsid w:val="00C167B8"/>
    <w:rsid w:val="00C16BA9"/>
    <w:rsid w:val="00C16E23"/>
    <w:rsid w:val="00C17259"/>
    <w:rsid w:val="00C174A6"/>
    <w:rsid w:val="00C17D54"/>
    <w:rsid w:val="00C2004C"/>
    <w:rsid w:val="00C2047B"/>
    <w:rsid w:val="00C20E54"/>
    <w:rsid w:val="00C20EC1"/>
    <w:rsid w:val="00C212B9"/>
    <w:rsid w:val="00C221B9"/>
    <w:rsid w:val="00C22599"/>
    <w:rsid w:val="00C231BA"/>
    <w:rsid w:val="00C2320A"/>
    <w:rsid w:val="00C23495"/>
    <w:rsid w:val="00C23797"/>
    <w:rsid w:val="00C237F7"/>
    <w:rsid w:val="00C24035"/>
    <w:rsid w:val="00C2445B"/>
    <w:rsid w:val="00C24699"/>
    <w:rsid w:val="00C24861"/>
    <w:rsid w:val="00C24AA6"/>
    <w:rsid w:val="00C24B52"/>
    <w:rsid w:val="00C24D5D"/>
    <w:rsid w:val="00C24ECE"/>
    <w:rsid w:val="00C252FB"/>
    <w:rsid w:val="00C2550B"/>
    <w:rsid w:val="00C25FF2"/>
    <w:rsid w:val="00C26728"/>
    <w:rsid w:val="00C26901"/>
    <w:rsid w:val="00C2693D"/>
    <w:rsid w:val="00C26C40"/>
    <w:rsid w:val="00C26F1C"/>
    <w:rsid w:val="00C27275"/>
    <w:rsid w:val="00C27706"/>
    <w:rsid w:val="00C27A92"/>
    <w:rsid w:val="00C30566"/>
    <w:rsid w:val="00C308E3"/>
    <w:rsid w:val="00C30AB5"/>
    <w:rsid w:val="00C30BB8"/>
    <w:rsid w:val="00C30DAD"/>
    <w:rsid w:val="00C30F43"/>
    <w:rsid w:val="00C326FD"/>
    <w:rsid w:val="00C330C2"/>
    <w:rsid w:val="00C335A1"/>
    <w:rsid w:val="00C33A4C"/>
    <w:rsid w:val="00C33F84"/>
    <w:rsid w:val="00C34191"/>
    <w:rsid w:val="00C34E85"/>
    <w:rsid w:val="00C34F79"/>
    <w:rsid w:val="00C35251"/>
    <w:rsid w:val="00C35441"/>
    <w:rsid w:val="00C35D58"/>
    <w:rsid w:val="00C36568"/>
    <w:rsid w:val="00C36947"/>
    <w:rsid w:val="00C3775E"/>
    <w:rsid w:val="00C40392"/>
    <w:rsid w:val="00C40579"/>
    <w:rsid w:val="00C406F7"/>
    <w:rsid w:val="00C407A9"/>
    <w:rsid w:val="00C40A24"/>
    <w:rsid w:val="00C40B2F"/>
    <w:rsid w:val="00C41316"/>
    <w:rsid w:val="00C416E6"/>
    <w:rsid w:val="00C422C5"/>
    <w:rsid w:val="00C422CA"/>
    <w:rsid w:val="00C42EFD"/>
    <w:rsid w:val="00C4478E"/>
    <w:rsid w:val="00C44E94"/>
    <w:rsid w:val="00C451B7"/>
    <w:rsid w:val="00C4521E"/>
    <w:rsid w:val="00C4538B"/>
    <w:rsid w:val="00C456C4"/>
    <w:rsid w:val="00C45AB1"/>
    <w:rsid w:val="00C45C1A"/>
    <w:rsid w:val="00C46D10"/>
    <w:rsid w:val="00C47125"/>
    <w:rsid w:val="00C47505"/>
    <w:rsid w:val="00C47FDF"/>
    <w:rsid w:val="00C5079C"/>
    <w:rsid w:val="00C5084D"/>
    <w:rsid w:val="00C508C0"/>
    <w:rsid w:val="00C50937"/>
    <w:rsid w:val="00C50C40"/>
    <w:rsid w:val="00C50F55"/>
    <w:rsid w:val="00C5118B"/>
    <w:rsid w:val="00C5164B"/>
    <w:rsid w:val="00C5216E"/>
    <w:rsid w:val="00C521B9"/>
    <w:rsid w:val="00C526AD"/>
    <w:rsid w:val="00C52BBE"/>
    <w:rsid w:val="00C52EE5"/>
    <w:rsid w:val="00C52EF0"/>
    <w:rsid w:val="00C52F4C"/>
    <w:rsid w:val="00C53114"/>
    <w:rsid w:val="00C53136"/>
    <w:rsid w:val="00C531BE"/>
    <w:rsid w:val="00C534E3"/>
    <w:rsid w:val="00C538B7"/>
    <w:rsid w:val="00C5417B"/>
    <w:rsid w:val="00C5470E"/>
    <w:rsid w:val="00C54E12"/>
    <w:rsid w:val="00C55A09"/>
    <w:rsid w:val="00C55EF2"/>
    <w:rsid w:val="00C55F0E"/>
    <w:rsid w:val="00C56A98"/>
    <w:rsid w:val="00C56FD5"/>
    <w:rsid w:val="00C57A05"/>
    <w:rsid w:val="00C57B08"/>
    <w:rsid w:val="00C57CA1"/>
    <w:rsid w:val="00C57F17"/>
    <w:rsid w:val="00C60303"/>
    <w:rsid w:val="00C60F83"/>
    <w:rsid w:val="00C610D5"/>
    <w:rsid w:val="00C611BC"/>
    <w:rsid w:val="00C6128F"/>
    <w:rsid w:val="00C6157A"/>
    <w:rsid w:val="00C61EB5"/>
    <w:rsid w:val="00C620CD"/>
    <w:rsid w:val="00C622DF"/>
    <w:rsid w:val="00C62327"/>
    <w:rsid w:val="00C62746"/>
    <w:rsid w:val="00C63002"/>
    <w:rsid w:val="00C632F2"/>
    <w:rsid w:val="00C6442D"/>
    <w:rsid w:val="00C64728"/>
    <w:rsid w:val="00C64D96"/>
    <w:rsid w:val="00C6561A"/>
    <w:rsid w:val="00C65A39"/>
    <w:rsid w:val="00C65ECF"/>
    <w:rsid w:val="00C663A9"/>
    <w:rsid w:val="00C666D8"/>
    <w:rsid w:val="00C66A17"/>
    <w:rsid w:val="00C6700B"/>
    <w:rsid w:val="00C6711A"/>
    <w:rsid w:val="00C6715F"/>
    <w:rsid w:val="00C6720F"/>
    <w:rsid w:val="00C6787D"/>
    <w:rsid w:val="00C67EFB"/>
    <w:rsid w:val="00C70B22"/>
    <w:rsid w:val="00C71265"/>
    <w:rsid w:val="00C7157E"/>
    <w:rsid w:val="00C71581"/>
    <w:rsid w:val="00C718BC"/>
    <w:rsid w:val="00C71EF5"/>
    <w:rsid w:val="00C72417"/>
    <w:rsid w:val="00C7245F"/>
    <w:rsid w:val="00C72538"/>
    <w:rsid w:val="00C72539"/>
    <w:rsid w:val="00C7253E"/>
    <w:rsid w:val="00C72952"/>
    <w:rsid w:val="00C72CAA"/>
    <w:rsid w:val="00C72CF3"/>
    <w:rsid w:val="00C7317E"/>
    <w:rsid w:val="00C7321B"/>
    <w:rsid w:val="00C73577"/>
    <w:rsid w:val="00C736D8"/>
    <w:rsid w:val="00C73B20"/>
    <w:rsid w:val="00C73B47"/>
    <w:rsid w:val="00C74728"/>
    <w:rsid w:val="00C74929"/>
    <w:rsid w:val="00C74E5F"/>
    <w:rsid w:val="00C752D0"/>
    <w:rsid w:val="00C75730"/>
    <w:rsid w:val="00C75AF5"/>
    <w:rsid w:val="00C76326"/>
    <w:rsid w:val="00C764FB"/>
    <w:rsid w:val="00C765A9"/>
    <w:rsid w:val="00C769E0"/>
    <w:rsid w:val="00C76A3A"/>
    <w:rsid w:val="00C775AF"/>
    <w:rsid w:val="00C77AA2"/>
    <w:rsid w:val="00C77D32"/>
    <w:rsid w:val="00C80019"/>
    <w:rsid w:val="00C805FF"/>
    <w:rsid w:val="00C80704"/>
    <w:rsid w:val="00C8106F"/>
    <w:rsid w:val="00C818CB"/>
    <w:rsid w:val="00C81E1C"/>
    <w:rsid w:val="00C82050"/>
    <w:rsid w:val="00C82469"/>
    <w:rsid w:val="00C827AE"/>
    <w:rsid w:val="00C82A9D"/>
    <w:rsid w:val="00C82C70"/>
    <w:rsid w:val="00C82D2C"/>
    <w:rsid w:val="00C82F3E"/>
    <w:rsid w:val="00C83258"/>
    <w:rsid w:val="00C8392C"/>
    <w:rsid w:val="00C83EE8"/>
    <w:rsid w:val="00C84061"/>
    <w:rsid w:val="00C84353"/>
    <w:rsid w:val="00C84361"/>
    <w:rsid w:val="00C84486"/>
    <w:rsid w:val="00C846FE"/>
    <w:rsid w:val="00C84A0A"/>
    <w:rsid w:val="00C84DE2"/>
    <w:rsid w:val="00C852F9"/>
    <w:rsid w:val="00C85AAB"/>
    <w:rsid w:val="00C86564"/>
    <w:rsid w:val="00C8663F"/>
    <w:rsid w:val="00C870B4"/>
    <w:rsid w:val="00C9049E"/>
    <w:rsid w:val="00C909C6"/>
    <w:rsid w:val="00C90F17"/>
    <w:rsid w:val="00C91109"/>
    <w:rsid w:val="00C91B5B"/>
    <w:rsid w:val="00C91E8C"/>
    <w:rsid w:val="00C922AD"/>
    <w:rsid w:val="00C925B4"/>
    <w:rsid w:val="00C9289A"/>
    <w:rsid w:val="00C92B6B"/>
    <w:rsid w:val="00C93071"/>
    <w:rsid w:val="00C9327F"/>
    <w:rsid w:val="00C934A6"/>
    <w:rsid w:val="00C93BD1"/>
    <w:rsid w:val="00C93BFA"/>
    <w:rsid w:val="00C93E3B"/>
    <w:rsid w:val="00C93F28"/>
    <w:rsid w:val="00C93F35"/>
    <w:rsid w:val="00C93FE0"/>
    <w:rsid w:val="00C947EA"/>
    <w:rsid w:val="00C94932"/>
    <w:rsid w:val="00C965A5"/>
    <w:rsid w:val="00C96756"/>
    <w:rsid w:val="00C967E1"/>
    <w:rsid w:val="00C96817"/>
    <w:rsid w:val="00C96A70"/>
    <w:rsid w:val="00C96BA8"/>
    <w:rsid w:val="00C96DFF"/>
    <w:rsid w:val="00C97065"/>
    <w:rsid w:val="00C970F1"/>
    <w:rsid w:val="00C9740C"/>
    <w:rsid w:val="00C9754A"/>
    <w:rsid w:val="00C97603"/>
    <w:rsid w:val="00C977B4"/>
    <w:rsid w:val="00CA0011"/>
    <w:rsid w:val="00CA0125"/>
    <w:rsid w:val="00CA04EE"/>
    <w:rsid w:val="00CA085B"/>
    <w:rsid w:val="00CA09AD"/>
    <w:rsid w:val="00CA1270"/>
    <w:rsid w:val="00CA1559"/>
    <w:rsid w:val="00CA1C5F"/>
    <w:rsid w:val="00CA22E3"/>
    <w:rsid w:val="00CA2406"/>
    <w:rsid w:val="00CA2524"/>
    <w:rsid w:val="00CA2850"/>
    <w:rsid w:val="00CA2CBA"/>
    <w:rsid w:val="00CA3016"/>
    <w:rsid w:val="00CA31B3"/>
    <w:rsid w:val="00CA352C"/>
    <w:rsid w:val="00CA37A0"/>
    <w:rsid w:val="00CA38E8"/>
    <w:rsid w:val="00CA3AAB"/>
    <w:rsid w:val="00CA4294"/>
    <w:rsid w:val="00CA445E"/>
    <w:rsid w:val="00CA449B"/>
    <w:rsid w:val="00CA48D6"/>
    <w:rsid w:val="00CA4C7E"/>
    <w:rsid w:val="00CA4E06"/>
    <w:rsid w:val="00CA4E56"/>
    <w:rsid w:val="00CA50EB"/>
    <w:rsid w:val="00CA537B"/>
    <w:rsid w:val="00CA53A6"/>
    <w:rsid w:val="00CA615B"/>
    <w:rsid w:val="00CA64C2"/>
    <w:rsid w:val="00CA66AA"/>
    <w:rsid w:val="00CA6702"/>
    <w:rsid w:val="00CA67C0"/>
    <w:rsid w:val="00CA6948"/>
    <w:rsid w:val="00CA6A05"/>
    <w:rsid w:val="00CA70B2"/>
    <w:rsid w:val="00CA72C3"/>
    <w:rsid w:val="00CA731C"/>
    <w:rsid w:val="00CA7731"/>
    <w:rsid w:val="00CA7E37"/>
    <w:rsid w:val="00CA7F59"/>
    <w:rsid w:val="00CB02C5"/>
    <w:rsid w:val="00CB0507"/>
    <w:rsid w:val="00CB0BA6"/>
    <w:rsid w:val="00CB0D00"/>
    <w:rsid w:val="00CB105E"/>
    <w:rsid w:val="00CB11E2"/>
    <w:rsid w:val="00CB1424"/>
    <w:rsid w:val="00CB1777"/>
    <w:rsid w:val="00CB17DE"/>
    <w:rsid w:val="00CB1F06"/>
    <w:rsid w:val="00CB1FBF"/>
    <w:rsid w:val="00CB2011"/>
    <w:rsid w:val="00CB22F8"/>
    <w:rsid w:val="00CB267C"/>
    <w:rsid w:val="00CB2B09"/>
    <w:rsid w:val="00CB35B4"/>
    <w:rsid w:val="00CB3B2A"/>
    <w:rsid w:val="00CB3FFD"/>
    <w:rsid w:val="00CB4099"/>
    <w:rsid w:val="00CB41AE"/>
    <w:rsid w:val="00CB4324"/>
    <w:rsid w:val="00CB4786"/>
    <w:rsid w:val="00CB52D9"/>
    <w:rsid w:val="00CB5F44"/>
    <w:rsid w:val="00CB6396"/>
    <w:rsid w:val="00CB6518"/>
    <w:rsid w:val="00CB78C5"/>
    <w:rsid w:val="00CB7E41"/>
    <w:rsid w:val="00CC005F"/>
    <w:rsid w:val="00CC1198"/>
    <w:rsid w:val="00CC1FC6"/>
    <w:rsid w:val="00CC2148"/>
    <w:rsid w:val="00CC39A8"/>
    <w:rsid w:val="00CC3E75"/>
    <w:rsid w:val="00CC4A18"/>
    <w:rsid w:val="00CC4F8D"/>
    <w:rsid w:val="00CC5432"/>
    <w:rsid w:val="00CC5CC3"/>
    <w:rsid w:val="00CC6086"/>
    <w:rsid w:val="00CC6093"/>
    <w:rsid w:val="00CC661B"/>
    <w:rsid w:val="00CC6AB6"/>
    <w:rsid w:val="00CC6D20"/>
    <w:rsid w:val="00CC7597"/>
    <w:rsid w:val="00CC7D32"/>
    <w:rsid w:val="00CC7F20"/>
    <w:rsid w:val="00CD02DF"/>
    <w:rsid w:val="00CD0D04"/>
    <w:rsid w:val="00CD0E38"/>
    <w:rsid w:val="00CD0FDE"/>
    <w:rsid w:val="00CD12A2"/>
    <w:rsid w:val="00CD1776"/>
    <w:rsid w:val="00CD1820"/>
    <w:rsid w:val="00CD1C49"/>
    <w:rsid w:val="00CD2751"/>
    <w:rsid w:val="00CD29E3"/>
    <w:rsid w:val="00CD2AE7"/>
    <w:rsid w:val="00CD2CA9"/>
    <w:rsid w:val="00CD3CED"/>
    <w:rsid w:val="00CD434C"/>
    <w:rsid w:val="00CD4489"/>
    <w:rsid w:val="00CD472B"/>
    <w:rsid w:val="00CD4B9F"/>
    <w:rsid w:val="00CD4C7B"/>
    <w:rsid w:val="00CD5224"/>
    <w:rsid w:val="00CD54F0"/>
    <w:rsid w:val="00CD5674"/>
    <w:rsid w:val="00CD56B2"/>
    <w:rsid w:val="00CD5D12"/>
    <w:rsid w:val="00CD5E2C"/>
    <w:rsid w:val="00CD5FCB"/>
    <w:rsid w:val="00CD7150"/>
    <w:rsid w:val="00CD7253"/>
    <w:rsid w:val="00CD7269"/>
    <w:rsid w:val="00CD7272"/>
    <w:rsid w:val="00CD74A5"/>
    <w:rsid w:val="00CD7C46"/>
    <w:rsid w:val="00CD7F7B"/>
    <w:rsid w:val="00CE05C4"/>
    <w:rsid w:val="00CE0A6B"/>
    <w:rsid w:val="00CE0ADC"/>
    <w:rsid w:val="00CE0F5A"/>
    <w:rsid w:val="00CE124A"/>
    <w:rsid w:val="00CE1626"/>
    <w:rsid w:val="00CE1628"/>
    <w:rsid w:val="00CE19D0"/>
    <w:rsid w:val="00CE1D74"/>
    <w:rsid w:val="00CE1EEB"/>
    <w:rsid w:val="00CE21A8"/>
    <w:rsid w:val="00CE2336"/>
    <w:rsid w:val="00CE23B4"/>
    <w:rsid w:val="00CE2720"/>
    <w:rsid w:val="00CE2848"/>
    <w:rsid w:val="00CE2A16"/>
    <w:rsid w:val="00CE2A3C"/>
    <w:rsid w:val="00CE3A39"/>
    <w:rsid w:val="00CE3DD2"/>
    <w:rsid w:val="00CE4010"/>
    <w:rsid w:val="00CE458B"/>
    <w:rsid w:val="00CE47DC"/>
    <w:rsid w:val="00CE4FEB"/>
    <w:rsid w:val="00CE54F2"/>
    <w:rsid w:val="00CE55FF"/>
    <w:rsid w:val="00CE604B"/>
    <w:rsid w:val="00CE619E"/>
    <w:rsid w:val="00CE665B"/>
    <w:rsid w:val="00CE69AE"/>
    <w:rsid w:val="00CE7188"/>
    <w:rsid w:val="00CE7B4C"/>
    <w:rsid w:val="00CF1438"/>
    <w:rsid w:val="00CF1E78"/>
    <w:rsid w:val="00CF2504"/>
    <w:rsid w:val="00CF2988"/>
    <w:rsid w:val="00CF2F1D"/>
    <w:rsid w:val="00CF30BC"/>
    <w:rsid w:val="00CF3772"/>
    <w:rsid w:val="00CF37D6"/>
    <w:rsid w:val="00CF3B43"/>
    <w:rsid w:val="00CF3C8B"/>
    <w:rsid w:val="00CF48B7"/>
    <w:rsid w:val="00CF57C1"/>
    <w:rsid w:val="00CF58A6"/>
    <w:rsid w:val="00CF5A2F"/>
    <w:rsid w:val="00CF5C6E"/>
    <w:rsid w:val="00CF5FA8"/>
    <w:rsid w:val="00CF63FD"/>
    <w:rsid w:val="00CF6CF5"/>
    <w:rsid w:val="00CF6DA9"/>
    <w:rsid w:val="00CF753C"/>
    <w:rsid w:val="00CF7623"/>
    <w:rsid w:val="00CF77F0"/>
    <w:rsid w:val="00CF7D6F"/>
    <w:rsid w:val="00D0007E"/>
    <w:rsid w:val="00D006DB"/>
    <w:rsid w:val="00D00B52"/>
    <w:rsid w:val="00D012A4"/>
    <w:rsid w:val="00D014EB"/>
    <w:rsid w:val="00D017AC"/>
    <w:rsid w:val="00D01963"/>
    <w:rsid w:val="00D01BEE"/>
    <w:rsid w:val="00D02432"/>
    <w:rsid w:val="00D02481"/>
    <w:rsid w:val="00D02635"/>
    <w:rsid w:val="00D02C30"/>
    <w:rsid w:val="00D03149"/>
    <w:rsid w:val="00D03155"/>
    <w:rsid w:val="00D03557"/>
    <w:rsid w:val="00D036A5"/>
    <w:rsid w:val="00D03C0E"/>
    <w:rsid w:val="00D03E28"/>
    <w:rsid w:val="00D0409A"/>
    <w:rsid w:val="00D040DB"/>
    <w:rsid w:val="00D041EF"/>
    <w:rsid w:val="00D05A0C"/>
    <w:rsid w:val="00D05D3F"/>
    <w:rsid w:val="00D05DC4"/>
    <w:rsid w:val="00D05DCC"/>
    <w:rsid w:val="00D0621A"/>
    <w:rsid w:val="00D07C9F"/>
    <w:rsid w:val="00D104B4"/>
    <w:rsid w:val="00D10519"/>
    <w:rsid w:val="00D107BA"/>
    <w:rsid w:val="00D10B1F"/>
    <w:rsid w:val="00D10B2C"/>
    <w:rsid w:val="00D10E67"/>
    <w:rsid w:val="00D11573"/>
    <w:rsid w:val="00D1167D"/>
    <w:rsid w:val="00D116DD"/>
    <w:rsid w:val="00D11EF2"/>
    <w:rsid w:val="00D1201D"/>
    <w:rsid w:val="00D120C3"/>
    <w:rsid w:val="00D1230E"/>
    <w:rsid w:val="00D12874"/>
    <w:rsid w:val="00D12B0D"/>
    <w:rsid w:val="00D12B99"/>
    <w:rsid w:val="00D12C02"/>
    <w:rsid w:val="00D12CA1"/>
    <w:rsid w:val="00D1317E"/>
    <w:rsid w:val="00D13554"/>
    <w:rsid w:val="00D13CF1"/>
    <w:rsid w:val="00D13DB2"/>
    <w:rsid w:val="00D13E24"/>
    <w:rsid w:val="00D13F3D"/>
    <w:rsid w:val="00D14528"/>
    <w:rsid w:val="00D14723"/>
    <w:rsid w:val="00D14D45"/>
    <w:rsid w:val="00D14DC5"/>
    <w:rsid w:val="00D14EB9"/>
    <w:rsid w:val="00D15710"/>
    <w:rsid w:val="00D15961"/>
    <w:rsid w:val="00D15F37"/>
    <w:rsid w:val="00D16505"/>
    <w:rsid w:val="00D16538"/>
    <w:rsid w:val="00D16598"/>
    <w:rsid w:val="00D200B3"/>
    <w:rsid w:val="00D201E7"/>
    <w:rsid w:val="00D2029F"/>
    <w:rsid w:val="00D2090D"/>
    <w:rsid w:val="00D2095E"/>
    <w:rsid w:val="00D20A47"/>
    <w:rsid w:val="00D21397"/>
    <w:rsid w:val="00D213F3"/>
    <w:rsid w:val="00D2148A"/>
    <w:rsid w:val="00D219B2"/>
    <w:rsid w:val="00D21E10"/>
    <w:rsid w:val="00D22679"/>
    <w:rsid w:val="00D22877"/>
    <w:rsid w:val="00D228C4"/>
    <w:rsid w:val="00D22E0B"/>
    <w:rsid w:val="00D23175"/>
    <w:rsid w:val="00D23209"/>
    <w:rsid w:val="00D24F11"/>
    <w:rsid w:val="00D25568"/>
    <w:rsid w:val="00D263FC"/>
    <w:rsid w:val="00D2691E"/>
    <w:rsid w:val="00D26CD3"/>
    <w:rsid w:val="00D26D96"/>
    <w:rsid w:val="00D27350"/>
    <w:rsid w:val="00D27524"/>
    <w:rsid w:val="00D27A17"/>
    <w:rsid w:val="00D27A93"/>
    <w:rsid w:val="00D27AF3"/>
    <w:rsid w:val="00D27D09"/>
    <w:rsid w:val="00D301D7"/>
    <w:rsid w:val="00D30457"/>
    <w:rsid w:val="00D304A8"/>
    <w:rsid w:val="00D309C8"/>
    <w:rsid w:val="00D31118"/>
    <w:rsid w:val="00D31188"/>
    <w:rsid w:val="00D316CE"/>
    <w:rsid w:val="00D317B1"/>
    <w:rsid w:val="00D323F6"/>
    <w:rsid w:val="00D3256B"/>
    <w:rsid w:val="00D32A21"/>
    <w:rsid w:val="00D32AB7"/>
    <w:rsid w:val="00D33110"/>
    <w:rsid w:val="00D33BF5"/>
    <w:rsid w:val="00D33F9D"/>
    <w:rsid w:val="00D3421F"/>
    <w:rsid w:val="00D34338"/>
    <w:rsid w:val="00D34A33"/>
    <w:rsid w:val="00D34CE4"/>
    <w:rsid w:val="00D3532C"/>
    <w:rsid w:val="00D36E4C"/>
    <w:rsid w:val="00D36F71"/>
    <w:rsid w:val="00D37432"/>
    <w:rsid w:val="00D37F3D"/>
    <w:rsid w:val="00D40F6E"/>
    <w:rsid w:val="00D4106B"/>
    <w:rsid w:val="00D410F2"/>
    <w:rsid w:val="00D41BD0"/>
    <w:rsid w:val="00D4214D"/>
    <w:rsid w:val="00D42764"/>
    <w:rsid w:val="00D42C87"/>
    <w:rsid w:val="00D43211"/>
    <w:rsid w:val="00D434D1"/>
    <w:rsid w:val="00D438E2"/>
    <w:rsid w:val="00D43F3C"/>
    <w:rsid w:val="00D43FAF"/>
    <w:rsid w:val="00D443EC"/>
    <w:rsid w:val="00D444A1"/>
    <w:rsid w:val="00D44960"/>
    <w:rsid w:val="00D44DC8"/>
    <w:rsid w:val="00D4528B"/>
    <w:rsid w:val="00D45434"/>
    <w:rsid w:val="00D455FF"/>
    <w:rsid w:val="00D45689"/>
    <w:rsid w:val="00D4590F"/>
    <w:rsid w:val="00D45E58"/>
    <w:rsid w:val="00D46BFB"/>
    <w:rsid w:val="00D46D14"/>
    <w:rsid w:val="00D46DAB"/>
    <w:rsid w:val="00D46F99"/>
    <w:rsid w:val="00D4737E"/>
    <w:rsid w:val="00D473D5"/>
    <w:rsid w:val="00D47664"/>
    <w:rsid w:val="00D4799A"/>
    <w:rsid w:val="00D47A71"/>
    <w:rsid w:val="00D47B22"/>
    <w:rsid w:val="00D47EDE"/>
    <w:rsid w:val="00D50559"/>
    <w:rsid w:val="00D50604"/>
    <w:rsid w:val="00D50798"/>
    <w:rsid w:val="00D50ACA"/>
    <w:rsid w:val="00D519EF"/>
    <w:rsid w:val="00D51F5B"/>
    <w:rsid w:val="00D5202F"/>
    <w:rsid w:val="00D520E9"/>
    <w:rsid w:val="00D523FA"/>
    <w:rsid w:val="00D52673"/>
    <w:rsid w:val="00D526E0"/>
    <w:rsid w:val="00D5283C"/>
    <w:rsid w:val="00D52D8F"/>
    <w:rsid w:val="00D52DA3"/>
    <w:rsid w:val="00D530D7"/>
    <w:rsid w:val="00D53111"/>
    <w:rsid w:val="00D5356B"/>
    <w:rsid w:val="00D53E2B"/>
    <w:rsid w:val="00D54401"/>
    <w:rsid w:val="00D54D72"/>
    <w:rsid w:val="00D54E73"/>
    <w:rsid w:val="00D55093"/>
    <w:rsid w:val="00D55109"/>
    <w:rsid w:val="00D55179"/>
    <w:rsid w:val="00D5522A"/>
    <w:rsid w:val="00D55A8B"/>
    <w:rsid w:val="00D55CAC"/>
    <w:rsid w:val="00D55EDF"/>
    <w:rsid w:val="00D5615B"/>
    <w:rsid w:val="00D564B3"/>
    <w:rsid w:val="00D57254"/>
    <w:rsid w:val="00D5740A"/>
    <w:rsid w:val="00D57569"/>
    <w:rsid w:val="00D576AD"/>
    <w:rsid w:val="00D57F40"/>
    <w:rsid w:val="00D60C2B"/>
    <w:rsid w:val="00D60C4F"/>
    <w:rsid w:val="00D60C9E"/>
    <w:rsid w:val="00D60E13"/>
    <w:rsid w:val="00D6146E"/>
    <w:rsid w:val="00D61697"/>
    <w:rsid w:val="00D61BBC"/>
    <w:rsid w:val="00D622F0"/>
    <w:rsid w:val="00D62A73"/>
    <w:rsid w:val="00D6306C"/>
    <w:rsid w:val="00D631C4"/>
    <w:rsid w:val="00D6354D"/>
    <w:rsid w:val="00D63A32"/>
    <w:rsid w:val="00D63CAC"/>
    <w:rsid w:val="00D63DC4"/>
    <w:rsid w:val="00D64001"/>
    <w:rsid w:val="00D6416D"/>
    <w:rsid w:val="00D6430E"/>
    <w:rsid w:val="00D64324"/>
    <w:rsid w:val="00D64548"/>
    <w:rsid w:val="00D6465A"/>
    <w:rsid w:val="00D64BC1"/>
    <w:rsid w:val="00D65438"/>
    <w:rsid w:val="00D65660"/>
    <w:rsid w:val="00D65F66"/>
    <w:rsid w:val="00D661D4"/>
    <w:rsid w:val="00D666D9"/>
    <w:rsid w:val="00D66977"/>
    <w:rsid w:val="00D669B7"/>
    <w:rsid w:val="00D66A00"/>
    <w:rsid w:val="00D66A3D"/>
    <w:rsid w:val="00D674F5"/>
    <w:rsid w:val="00D6763E"/>
    <w:rsid w:val="00D67941"/>
    <w:rsid w:val="00D67FE8"/>
    <w:rsid w:val="00D70461"/>
    <w:rsid w:val="00D7065C"/>
    <w:rsid w:val="00D70ADB"/>
    <w:rsid w:val="00D70F62"/>
    <w:rsid w:val="00D70FBB"/>
    <w:rsid w:val="00D7133E"/>
    <w:rsid w:val="00D72631"/>
    <w:rsid w:val="00D72CA9"/>
    <w:rsid w:val="00D72F5D"/>
    <w:rsid w:val="00D738DB"/>
    <w:rsid w:val="00D739F7"/>
    <w:rsid w:val="00D74044"/>
    <w:rsid w:val="00D74154"/>
    <w:rsid w:val="00D74C88"/>
    <w:rsid w:val="00D75741"/>
    <w:rsid w:val="00D75791"/>
    <w:rsid w:val="00D7583C"/>
    <w:rsid w:val="00D758B1"/>
    <w:rsid w:val="00D75D2E"/>
    <w:rsid w:val="00D76495"/>
    <w:rsid w:val="00D76773"/>
    <w:rsid w:val="00D76807"/>
    <w:rsid w:val="00D7778A"/>
    <w:rsid w:val="00D77DB8"/>
    <w:rsid w:val="00D80448"/>
    <w:rsid w:val="00D8051D"/>
    <w:rsid w:val="00D80CC9"/>
    <w:rsid w:val="00D81377"/>
    <w:rsid w:val="00D8141F"/>
    <w:rsid w:val="00D81834"/>
    <w:rsid w:val="00D81F1E"/>
    <w:rsid w:val="00D81F21"/>
    <w:rsid w:val="00D8235D"/>
    <w:rsid w:val="00D82A5C"/>
    <w:rsid w:val="00D830CE"/>
    <w:rsid w:val="00D83680"/>
    <w:rsid w:val="00D83EAD"/>
    <w:rsid w:val="00D83F90"/>
    <w:rsid w:val="00D83FBD"/>
    <w:rsid w:val="00D8430C"/>
    <w:rsid w:val="00D8432E"/>
    <w:rsid w:val="00D8490D"/>
    <w:rsid w:val="00D84BA3"/>
    <w:rsid w:val="00D84C2A"/>
    <w:rsid w:val="00D84CD5"/>
    <w:rsid w:val="00D86101"/>
    <w:rsid w:val="00D86195"/>
    <w:rsid w:val="00D861DE"/>
    <w:rsid w:val="00D86B5E"/>
    <w:rsid w:val="00D86C34"/>
    <w:rsid w:val="00D87063"/>
    <w:rsid w:val="00D87564"/>
    <w:rsid w:val="00D8762D"/>
    <w:rsid w:val="00D87C75"/>
    <w:rsid w:val="00D87DC8"/>
    <w:rsid w:val="00D87E5A"/>
    <w:rsid w:val="00D9006B"/>
    <w:rsid w:val="00D90262"/>
    <w:rsid w:val="00D90862"/>
    <w:rsid w:val="00D915D9"/>
    <w:rsid w:val="00D9194F"/>
    <w:rsid w:val="00D924A0"/>
    <w:rsid w:val="00D92CCC"/>
    <w:rsid w:val="00D92E47"/>
    <w:rsid w:val="00D93021"/>
    <w:rsid w:val="00D93102"/>
    <w:rsid w:val="00D93A1A"/>
    <w:rsid w:val="00D9434C"/>
    <w:rsid w:val="00D9486E"/>
    <w:rsid w:val="00D94CA2"/>
    <w:rsid w:val="00D95843"/>
    <w:rsid w:val="00D95B19"/>
    <w:rsid w:val="00D95D3D"/>
    <w:rsid w:val="00D95FC7"/>
    <w:rsid w:val="00D96050"/>
    <w:rsid w:val="00D969D8"/>
    <w:rsid w:val="00D975B7"/>
    <w:rsid w:val="00DA0379"/>
    <w:rsid w:val="00DA0844"/>
    <w:rsid w:val="00DA0ADD"/>
    <w:rsid w:val="00DA0B3E"/>
    <w:rsid w:val="00DA0D25"/>
    <w:rsid w:val="00DA0E0B"/>
    <w:rsid w:val="00DA173E"/>
    <w:rsid w:val="00DA1F6B"/>
    <w:rsid w:val="00DA2065"/>
    <w:rsid w:val="00DA2274"/>
    <w:rsid w:val="00DA232D"/>
    <w:rsid w:val="00DA2F5E"/>
    <w:rsid w:val="00DA32CC"/>
    <w:rsid w:val="00DA36F9"/>
    <w:rsid w:val="00DA37C1"/>
    <w:rsid w:val="00DA3BA0"/>
    <w:rsid w:val="00DA40E7"/>
    <w:rsid w:val="00DA447A"/>
    <w:rsid w:val="00DA447F"/>
    <w:rsid w:val="00DA4EC8"/>
    <w:rsid w:val="00DA4F9F"/>
    <w:rsid w:val="00DA56A2"/>
    <w:rsid w:val="00DA5D79"/>
    <w:rsid w:val="00DA5DBD"/>
    <w:rsid w:val="00DA5E66"/>
    <w:rsid w:val="00DA61AB"/>
    <w:rsid w:val="00DA644F"/>
    <w:rsid w:val="00DA64FF"/>
    <w:rsid w:val="00DA676B"/>
    <w:rsid w:val="00DA6926"/>
    <w:rsid w:val="00DA6B12"/>
    <w:rsid w:val="00DA75BA"/>
    <w:rsid w:val="00DA765E"/>
    <w:rsid w:val="00DA770F"/>
    <w:rsid w:val="00DB019E"/>
    <w:rsid w:val="00DB0229"/>
    <w:rsid w:val="00DB0943"/>
    <w:rsid w:val="00DB0CDA"/>
    <w:rsid w:val="00DB1312"/>
    <w:rsid w:val="00DB1A88"/>
    <w:rsid w:val="00DB1C82"/>
    <w:rsid w:val="00DB1D3C"/>
    <w:rsid w:val="00DB1EAB"/>
    <w:rsid w:val="00DB29B2"/>
    <w:rsid w:val="00DB2A51"/>
    <w:rsid w:val="00DB2C3D"/>
    <w:rsid w:val="00DB2D27"/>
    <w:rsid w:val="00DB327C"/>
    <w:rsid w:val="00DB372D"/>
    <w:rsid w:val="00DB38C1"/>
    <w:rsid w:val="00DB3914"/>
    <w:rsid w:val="00DB42BB"/>
    <w:rsid w:val="00DB531E"/>
    <w:rsid w:val="00DB5BE8"/>
    <w:rsid w:val="00DB5DA8"/>
    <w:rsid w:val="00DB5FEF"/>
    <w:rsid w:val="00DB65D2"/>
    <w:rsid w:val="00DB68DB"/>
    <w:rsid w:val="00DB7000"/>
    <w:rsid w:val="00DB712F"/>
    <w:rsid w:val="00DB7647"/>
    <w:rsid w:val="00DB7892"/>
    <w:rsid w:val="00DB7CDC"/>
    <w:rsid w:val="00DC0330"/>
    <w:rsid w:val="00DC0A3D"/>
    <w:rsid w:val="00DC0C8C"/>
    <w:rsid w:val="00DC1309"/>
    <w:rsid w:val="00DC14F4"/>
    <w:rsid w:val="00DC1742"/>
    <w:rsid w:val="00DC1DF9"/>
    <w:rsid w:val="00DC2F6B"/>
    <w:rsid w:val="00DC2FF5"/>
    <w:rsid w:val="00DC332F"/>
    <w:rsid w:val="00DC34D5"/>
    <w:rsid w:val="00DC366F"/>
    <w:rsid w:val="00DC372C"/>
    <w:rsid w:val="00DC3864"/>
    <w:rsid w:val="00DC398D"/>
    <w:rsid w:val="00DC3A7C"/>
    <w:rsid w:val="00DC453D"/>
    <w:rsid w:val="00DC4844"/>
    <w:rsid w:val="00DC4B2C"/>
    <w:rsid w:val="00DC584D"/>
    <w:rsid w:val="00DC5C7A"/>
    <w:rsid w:val="00DC6595"/>
    <w:rsid w:val="00DC6738"/>
    <w:rsid w:val="00DC738D"/>
    <w:rsid w:val="00DC7534"/>
    <w:rsid w:val="00DC7647"/>
    <w:rsid w:val="00DC764C"/>
    <w:rsid w:val="00DC7E23"/>
    <w:rsid w:val="00DD00AD"/>
    <w:rsid w:val="00DD016F"/>
    <w:rsid w:val="00DD10FA"/>
    <w:rsid w:val="00DD135A"/>
    <w:rsid w:val="00DD181D"/>
    <w:rsid w:val="00DD25F7"/>
    <w:rsid w:val="00DD260C"/>
    <w:rsid w:val="00DD2A22"/>
    <w:rsid w:val="00DD3203"/>
    <w:rsid w:val="00DD398B"/>
    <w:rsid w:val="00DD3AEF"/>
    <w:rsid w:val="00DD3D49"/>
    <w:rsid w:val="00DD3EB6"/>
    <w:rsid w:val="00DD3F1D"/>
    <w:rsid w:val="00DD3F26"/>
    <w:rsid w:val="00DD3FA1"/>
    <w:rsid w:val="00DD469C"/>
    <w:rsid w:val="00DD46C1"/>
    <w:rsid w:val="00DD4AF5"/>
    <w:rsid w:val="00DD4E20"/>
    <w:rsid w:val="00DD50D4"/>
    <w:rsid w:val="00DD5156"/>
    <w:rsid w:val="00DD5198"/>
    <w:rsid w:val="00DD532C"/>
    <w:rsid w:val="00DD5727"/>
    <w:rsid w:val="00DD5741"/>
    <w:rsid w:val="00DD69AA"/>
    <w:rsid w:val="00DD7036"/>
    <w:rsid w:val="00DD754B"/>
    <w:rsid w:val="00DD7654"/>
    <w:rsid w:val="00DD7E44"/>
    <w:rsid w:val="00DD7FAE"/>
    <w:rsid w:val="00DE0028"/>
    <w:rsid w:val="00DE00A2"/>
    <w:rsid w:val="00DE0567"/>
    <w:rsid w:val="00DE0FA6"/>
    <w:rsid w:val="00DE113E"/>
    <w:rsid w:val="00DE127D"/>
    <w:rsid w:val="00DE1312"/>
    <w:rsid w:val="00DE14CF"/>
    <w:rsid w:val="00DE194A"/>
    <w:rsid w:val="00DE1ACF"/>
    <w:rsid w:val="00DE20C2"/>
    <w:rsid w:val="00DE22DE"/>
    <w:rsid w:val="00DE26A8"/>
    <w:rsid w:val="00DE2B76"/>
    <w:rsid w:val="00DE2EDD"/>
    <w:rsid w:val="00DE2F57"/>
    <w:rsid w:val="00DE31D7"/>
    <w:rsid w:val="00DE33CD"/>
    <w:rsid w:val="00DE3E81"/>
    <w:rsid w:val="00DE435F"/>
    <w:rsid w:val="00DE457C"/>
    <w:rsid w:val="00DE4A2E"/>
    <w:rsid w:val="00DE4BB7"/>
    <w:rsid w:val="00DE4EF6"/>
    <w:rsid w:val="00DE5050"/>
    <w:rsid w:val="00DE5225"/>
    <w:rsid w:val="00DE5403"/>
    <w:rsid w:val="00DE5493"/>
    <w:rsid w:val="00DE5C48"/>
    <w:rsid w:val="00DE5F19"/>
    <w:rsid w:val="00DE60FF"/>
    <w:rsid w:val="00DE6782"/>
    <w:rsid w:val="00DE6A22"/>
    <w:rsid w:val="00DE6A36"/>
    <w:rsid w:val="00DE6B90"/>
    <w:rsid w:val="00DE6E02"/>
    <w:rsid w:val="00DE7309"/>
    <w:rsid w:val="00DE7365"/>
    <w:rsid w:val="00DE7568"/>
    <w:rsid w:val="00DF018B"/>
    <w:rsid w:val="00DF0329"/>
    <w:rsid w:val="00DF08A7"/>
    <w:rsid w:val="00DF0AEA"/>
    <w:rsid w:val="00DF0D33"/>
    <w:rsid w:val="00DF121C"/>
    <w:rsid w:val="00DF1287"/>
    <w:rsid w:val="00DF145B"/>
    <w:rsid w:val="00DF1657"/>
    <w:rsid w:val="00DF20AE"/>
    <w:rsid w:val="00DF2714"/>
    <w:rsid w:val="00DF28E0"/>
    <w:rsid w:val="00DF2E1B"/>
    <w:rsid w:val="00DF2F96"/>
    <w:rsid w:val="00DF3379"/>
    <w:rsid w:val="00DF349E"/>
    <w:rsid w:val="00DF34BE"/>
    <w:rsid w:val="00DF3BAD"/>
    <w:rsid w:val="00DF3C97"/>
    <w:rsid w:val="00DF4515"/>
    <w:rsid w:val="00DF4807"/>
    <w:rsid w:val="00DF4A74"/>
    <w:rsid w:val="00DF4D81"/>
    <w:rsid w:val="00DF533B"/>
    <w:rsid w:val="00DF53E4"/>
    <w:rsid w:val="00DF5800"/>
    <w:rsid w:val="00DF5E81"/>
    <w:rsid w:val="00DF6335"/>
    <w:rsid w:val="00DF6579"/>
    <w:rsid w:val="00DF6BC2"/>
    <w:rsid w:val="00DF6D0F"/>
    <w:rsid w:val="00DF76B7"/>
    <w:rsid w:val="00DF7F1E"/>
    <w:rsid w:val="00E0034B"/>
    <w:rsid w:val="00E00666"/>
    <w:rsid w:val="00E006F2"/>
    <w:rsid w:val="00E0096C"/>
    <w:rsid w:val="00E00D94"/>
    <w:rsid w:val="00E01225"/>
    <w:rsid w:val="00E01586"/>
    <w:rsid w:val="00E0160E"/>
    <w:rsid w:val="00E01A45"/>
    <w:rsid w:val="00E01C47"/>
    <w:rsid w:val="00E020E6"/>
    <w:rsid w:val="00E0252A"/>
    <w:rsid w:val="00E02C71"/>
    <w:rsid w:val="00E0330C"/>
    <w:rsid w:val="00E03608"/>
    <w:rsid w:val="00E03766"/>
    <w:rsid w:val="00E03784"/>
    <w:rsid w:val="00E0498B"/>
    <w:rsid w:val="00E04B40"/>
    <w:rsid w:val="00E04BDF"/>
    <w:rsid w:val="00E05048"/>
    <w:rsid w:val="00E05205"/>
    <w:rsid w:val="00E05649"/>
    <w:rsid w:val="00E05AAD"/>
    <w:rsid w:val="00E05DC1"/>
    <w:rsid w:val="00E0636A"/>
    <w:rsid w:val="00E063EB"/>
    <w:rsid w:val="00E064AD"/>
    <w:rsid w:val="00E064C0"/>
    <w:rsid w:val="00E068F2"/>
    <w:rsid w:val="00E06900"/>
    <w:rsid w:val="00E070C8"/>
    <w:rsid w:val="00E072E1"/>
    <w:rsid w:val="00E074C7"/>
    <w:rsid w:val="00E07758"/>
    <w:rsid w:val="00E07FE1"/>
    <w:rsid w:val="00E1028C"/>
    <w:rsid w:val="00E104A9"/>
    <w:rsid w:val="00E10CB7"/>
    <w:rsid w:val="00E10ECC"/>
    <w:rsid w:val="00E11250"/>
    <w:rsid w:val="00E1137B"/>
    <w:rsid w:val="00E1160C"/>
    <w:rsid w:val="00E11B87"/>
    <w:rsid w:val="00E11F0F"/>
    <w:rsid w:val="00E12879"/>
    <w:rsid w:val="00E12901"/>
    <w:rsid w:val="00E12AC9"/>
    <w:rsid w:val="00E12C16"/>
    <w:rsid w:val="00E131D4"/>
    <w:rsid w:val="00E13460"/>
    <w:rsid w:val="00E13537"/>
    <w:rsid w:val="00E13C77"/>
    <w:rsid w:val="00E14E97"/>
    <w:rsid w:val="00E14EA8"/>
    <w:rsid w:val="00E14EBB"/>
    <w:rsid w:val="00E1504B"/>
    <w:rsid w:val="00E15DE1"/>
    <w:rsid w:val="00E15E67"/>
    <w:rsid w:val="00E16396"/>
    <w:rsid w:val="00E168C5"/>
    <w:rsid w:val="00E16927"/>
    <w:rsid w:val="00E16C22"/>
    <w:rsid w:val="00E16E48"/>
    <w:rsid w:val="00E16FC4"/>
    <w:rsid w:val="00E173CE"/>
    <w:rsid w:val="00E1753A"/>
    <w:rsid w:val="00E178B6"/>
    <w:rsid w:val="00E17AE5"/>
    <w:rsid w:val="00E17B06"/>
    <w:rsid w:val="00E17B90"/>
    <w:rsid w:val="00E17C9D"/>
    <w:rsid w:val="00E20507"/>
    <w:rsid w:val="00E205A7"/>
    <w:rsid w:val="00E205B0"/>
    <w:rsid w:val="00E20E52"/>
    <w:rsid w:val="00E210CD"/>
    <w:rsid w:val="00E21369"/>
    <w:rsid w:val="00E215D0"/>
    <w:rsid w:val="00E21A53"/>
    <w:rsid w:val="00E222CA"/>
    <w:rsid w:val="00E225C9"/>
    <w:rsid w:val="00E225E6"/>
    <w:rsid w:val="00E22A4D"/>
    <w:rsid w:val="00E22D5D"/>
    <w:rsid w:val="00E22F72"/>
    <w:rsid w:val="00E230A9"/>
    <w:rsid w:val="00E2326D"/>
    <w:rsid w:val="00E24256"/>
    <w:rsid w:val="00E24296"/>
    <w:rsid w:val="00E242DD"/>
    <w:rsid w:val="00E243B8"/>
    <w:rsid w:val="00E24BAE"/>
    <w:rsid w:val="00E251FB"/>
    <w:rsid w:val="00E2582E"/>
    <w:rsid w:val="00E25F9D"/>
    <w:rsid w:val="00E26276"/>
    <w:rsid w:val="00E2646C"/>
    <w:rsid w:val="00E264ED"/>
    <w:rsid w:val="00E266DF"/>
    <w:rsid w:val="00E2680D"/>
    <w:rsid w:val="00E26860"/>
    <w:rsid w:val="00E26C63"/>
    <w:rsid w:val="00E2770E"/>
    <w:rsid w:val="00E27A8D"/>
    <w:rsid w:val="00E27BC7"/>
    <w:rsid w:val="00E27E9A"/>
    <w:rsid w:val="00E3011B"/>
    <w:rsid w:val="00E30177"/>
    <w:rsid w:val="00E307ED"/>
    <w:rsid w:val="00E30820"/>
    <w:rsid w:val="00E309E7"/>
    <w:rsid w:val="00E30E75"/>
    <w:rsid w:val="00E3116C"/>
    <w:rsid w:val="00E313B3"/>
    <w:rsid w:val="00E31F17"/>
    <w:rsid w:val="00E326E6"/>
    <w:rsid w:val="00E32ACE"/>
    <w:rsid w:val="00E32BBC"/>
    <w:rsid w:val="00E330C5"/>
    <w:rsid w:val="00E331D3"/>
    <w:rsid w:val="00E334F1"/>
    <w:rsid w:val="00E341F4"/>
    <w:rsid w:val="00E3422D"/>
    <w:rsid w:val="00E344CC"/>
    <w:rsid w:val="00E34565"/>
    <w:rsid w:val="00E345EB"/>
    <w:rsid w:val="00E3486D"/>
    <w:rsid w:val="00E34961"/>
    <w:rsid w:val="00E34C98"/>
    <w:rsid w:val="00E3542F"/>
    <w:rsid w:val="00E35568"/>
    <w:rsid w:val="00E35C2A"/>
    <w:rsid w:val="00E3617B"/>
    <w:rsid w:val="00E36321"/>
    <w:rsid w:val="00E36641"/>
    <w:rsid w:val="00E36B26"/>
    <w:rsid w:val="00E37065"/>
    <w:rsid w:val="00E37235"/>
    <w:rsid w:val="00E376F8"/>
    <w:rsid w:val="00E37ABF"/>
    <w:rsid w:val="00E37E8F"/>
    <w:rsid w:val="00E37F8F"/>
    <w:rsid w:val="00E37FC2"/>
    <w:rsid w:val="00E40456"/>
    <w:rsid w:val="00E40AE4"/>
    <w:rsid w:val="00E40D43"/>
    <w:rsid w:val="00E40EE3"/>
    <w:rsid w:val="00E413E6"/>
    <w:rsid w:val="00E41505"/>
    <w:rsid w:val="00E41683"/>
    <w:rsid w:val="00E416B7"/>
    <w:rsid w:val="00E41741"/>
    <w:rsid w:val="00E41F4B"/>
    <w:rsid w:val="00E41F7C"/>
    <w:rsid w:val="00E4209E"/>
    <w:rsid w:val="00E42319"/>
    <w:rsid w:val="00E429AE"/>
    <w:rsid w:val="00E42D17"/>
    <w:rsid w:val="00E4332D"/>
    <w:rsid w:val="00E43616"/>
    <w:rsid w:val="00E43769"/>
    <w:rsid w:val="00E437EF"/>
    <w:rsid w:val="00E43CD6"/>
    <w:rsid w:val="00E43F2F"/>
    <w:rsid w:val="00E440E5"/>
    <w:rsid w:val="00E446BC"/>
    <w:rsid w:val="00E4476D"/>
    <w:rsid w:val="00E44FEF"/>
    <w:rsid w:val="00E45327"/>
    <w:rsid w:val="00E45F64"/>
    <w:rsid w:val="00E4677F"/>
    <w:rsid w:val="00E46B7F"/>
    <w:rsid w:val="00E46BB4"/>
    <w:rsid w:val="00E46C22"/>
    <w:rsid w:val="00E477F9"/>
    <w:rsid w:val="00E47A5C"/>
    <w:rsid w:val="00E47AC1"/>
    <w:rsid w:val="00E47F66"/>
    <w:rsid w:val="00E508A7"/>
    <w:rsid w:val="00E50CD4"/>
    <w:rsid w:val="00E51107"/>
    <w:rsid w:val="00E512AC"/>
    <w:rsid w:val="00E51ABF"/>
    <w:rsid w:val="00E52CE2"/>
    <w:rsid w:val="00E52EF6"/>
    <w:rsid w:val="00E52F84"/>
    <w:rsid w:val="00E533D3"/>
    <w:rsid w:val="00E53626"/>
    <w:rsid w:val="00E5395C"/>
    <w:rsid w:val="00E53A16"/>
    <w:rsid w:val="00E53B74"/>
    <w:rsid w:val="00E53F98"/>
    <w:rsid w:val="00E54391"/>
    <w:rsid w:val="00E54451"/>
    <w:rsid w:val="00E54933"/>
    <w:rsid w:val="00E551A5"/>
    <w:rsid w:val="00E554C1"/>
    <w:rsid w:val="00E55821"/>
    <w:rsid w:val="00E5595A"/>
    <w:rsid w:val="00E55A0C"/>
    <w:rsid w:val="00E5601A"/>
    <w:rsid w:val="00E572DE"/>
    <w:rsid w:val="00E5736A"/>
    <w:rsid w:val="00E5756E"/>
    <w:rsid w:val="00E57963"/>
    <w:rsid w:val="00E579C7"/>
    <w:rsid w:val="00E57B3F"/>
    <w:rsid w:val="00E60140"/>
    <w:rsid w:val="00E60469"/>
    <w:rsid w:val="00E605A7"/>
    <w:rsid w:val="00E60663"/>
    <w:rsid w:val="00E60B25"/>
    <w:rsid w:val="00E60BF8"/>
    <w:rsid w:val="00E60ED6"/>
    <w:rsid w:val="00E61446"/>
    <w:rsid w:val="00E614D6"/>
    <w:rsid w:val="00E61548"/>
    <w:rsid w:val="00E61A47"/>
    <w:rsid w:val="00E61A95"/>
    <w:rsid w:val="00E621A4"/>
    <w:rsid w:val="00E62244"/>
    <w:rsid w:val="00E62447"/>
    <w:rsid w:val="00E626FC"/>
    <w:rsid w:val="00E62DDE"/>
    <w:rsid w:val="00E63205"/>
    <w:rsid w:val="00E633C5"/>
    <w:rsid w:val="00E634DE"/>
    <w:rsid w:val="00E634E6"/>
    <w:rsid w:val="00E63A5E"/>
    <w:rsid w:val="00E63B0F"/>
    <w:rsid w:val="00E63CD0"/>
    <w:rsid w:val="00E63DC8"/>
    <w:rsid w:val="00E63E95"/>
    <w:rsid w:val="00E64036"/>
    <w:rsid w:val="00E643D1"/>
    <w:rsid w:val="00E6459D"/>
    <w:rsid w:val="00E64804"/>
    <w:rsid w:val="00E64A17"/>
    <w:rsid w:val="00E6506D"/>
    <w:rsid w:val="00E656B8"/>
    <w:rsid w:val="00E65AEB"/>
    <w:rsid w:val="00E66444"/>
    <w:rsid w:val="00E66686"/>
    <w:rsid w:val="00E66791"/>
    <w:rsid w:val="00E6719D"/>
    <w:rsid w:val="00E67774"/>
    <w:rsid w:val="00E67AC4"/>
    <w:rsid w:val="00E67C90"/>
    <w:rsid w:val="00E67F87"/>
    <w:rsid w:val="00E67FA2"/>
    <w:rsid w:val="00E70C86"/>
    <w:rsid w:val="00E71504"/>
    <w:rsid w:val="00E7193C"/>
    <w:rsid w:val="00E71F7D"/>
    <w:rsid w:val="00E723BA"/>
    <w:rsid w:val="00E72B66"/>
    <w:rsid w:val="00E72CAB"/>
    <w:rsid w:val="00E72DF4"/>
    <w:rsid w:val="00E7305E"/>
    <w:rsid w:val="00E73307"/>
    <w:rsid w:val="00E733CC"/>
    <w:rsid w:val="00E734F1"/>
    <w:rsid w:val="00E7386D"/>
    <w:rsid w:val="00E738FC"/>
    <w:rsid w:val="00E7390F"/>
    <w:rsid w:val="00E739C5"/>
    <w:rsid w:val="00E73A16"/>
    <w:rsid w:val="00E73CE3"/>
    <w:rsid w:val="00E73DC4"/>
    <w:rsid w:val="00E74183"/>
    <w:rsid w:val="00E747A3"/>
    <w:rsid w:val="00E74B9F"/>
    <w:rsid w:val="00E74E9C"/>
    <w:rsid w:val="00E74FC0"/>
    <w:rsid w:val="00E75081"/>
    <w:rsid w:val="00E758F6"/>
    <w:rsid w:val="00E75AF5"/>
    <w:rsid w:val="00E75B7C"/>
    <w:rsid w:val="00E75D2C"/>
    <w:rsid w:val="00E7612E"/>
    <w:rsid w:val="00E7629B"/>
    <w:rsid w:val="00E76357"/>
    <w:rsid w:val="00E767B7"/>
    <w:rsid w:val="00E76D5C"/>
    <w:rsid w:val="00E770FB"/>
    <w:rsid w:val="00E772AB"/>
    <w:rsid w:val="00E7731B"/>
    <w:rsid w:val="00E778C4"/>
    <w:rsid w:val="00E77F9A"/>
    <w:rsid w:val="00E80EC4"/>
    <w:rsid w:val="00E80FB7"/>
    <w:rsid w:val="00E8112B"/>
    <w:rsid w:val="00E814EE"/>
    <w:rsid w:val="00E8163F"/>
    <w:rsid w:val="00E8255C"/>
    <w:rsid w:val="00E828B9"/>
    <w:rsid w:val="00E82DCC"/>
    <w:rsid w:val="00E82E11"/>
    <w:rsid w:val="00E83545"/>
    <w:rsid w:val="00E84750"/>
    <w:rsid w:val="00E84A75"/>
    <w:rsid w:val="00E84F0F"/>
    <w:rsid w:val="00E8518D"/>
    <w:rsid w:val="00E851F9"/>
    <w:rsid w:val="00E855A2"/>
    <w:rsid w:val="00E859CB"/>
    <w:rsid w:val="00E85BFE"/>
    <w:rsid w:val="00E85E41"/>
    <w:rsid w:val="00E85EB8"/>
    <w:rsid w:val="00E864F4"/>
    <w:rsid w:val="00E8659F"/>
    <w:rsid w:val="00E8693F"/>
    <w:rsid w:val="00E86A0B"/>
    <w:rsid w:val="00E86AD1"/>
    <w:rsid w:val="00E86ADA"/>
    <w:rsid w:val="00E87157"/>
    <w:rsid w:val="00E879A6"/>
    <w:rsid w:val="00E90379"/>
    <w:rsid w:val="00E903A2"/>
    <w:rsid w:val="00E9060F"/>
    <w:rsid w:val="00E90774"/>
    <w:rsid w:val="00E908E5"/>
    <w:rsid w:val="00E90D0F"/>
    <w:rsid w:val="00E91E33"/>
    <w:rsid w:val="00E91FD5"/>
    <w:rsid w:val="00E9212E"/>
    <w:rsid w:val="00E922E1"/>
    <w:rsid w:val="00E92DF2"/>
    <w:rsid w:val="00E93769"/>
    <w:rsid w:val="00E93FC1"/>
    <w:rsid w:val="00E94208"/>
    <w:rsid w:val="00E9421E"/>
    <w:rsid w:val="00E94772"/>
    <w:rsid w:val="00E94A98"/>
    <w:rsid w:val="00E9595F"/>
    <w:rsid w:val="00E959CB"/>
    <w:rsid w:val="00E95A39"/>
    <w:rsid w:val="00E95B36"/>
    <w:rsid w:val="00E95BED"/>
    <w:rsid w:val="00E9604B"/>
    <w:rsid w:val="00E96164"/>
    <w:rsid w:val="00E9620D"/>
    <w:rsid w:val="00E96460"/>
    <w:rsid w:val="00E96BF0"/>
    <w:rsid w:val="00E96D83"/>
    <w:rsid w:val="00E96ED5"/>
    <w:rsid w:val="00E9706C"/>
    <w:rsid w:val="00E9719C"/>
    <w:rsid w:val="00E9722F"/>
    <w:rsid w:val="00E97289"/>
    <w:rsid w:val="00E97845"/>
    <w:rsid w:val="00E97950"/>
    <w:rsid w:val="00E97E3B"/>
    <w:rsid w:val="00EA0098"/>
    <w:rsid w:val="00EA04C1"/>
    <w:rsid w:val="00EA08D1"/>
    <w:rsid w:val="00EA0E3E"/>
    <w:rsid w:val="00EA10BA"/>
    <w:rsid w:val="00EA1156"/>
    <w:rsid w:val="00EA150C"/>
    <w:rsid w:val="00EA263D"/>
    <w:rsid w:val="00EA2777"/>
    <w:rsid w:val="00EA2F48"/>
    <w:rsid w:val="00EA3059"/>
    <w:rsid w:val="00EA3210"/>
    <w:rsid w:val="00EA33FA"/>
    <w:rsid w:val="00EA3974"/>
    <w:rsid w:val="00EA3DAB"/>
    <w:rsid w:val="00EA3DB1"/>
    <w:rsid w:val="00EA437A"/>
    <w:rsid w:val="00EA45DA"/>
    <w:rsid w:val="00EA46CC"/>
    <w:rsid w:val="00EA4717"/>
    <w:rsid w:val="00EA4750"/>
    <w:rsid w:val="00EA481C"/>
    <w:rsid w:val="00EA49DB"/>
    <w:rsid w:val="00EA4AB7"/>
    <w:rsid w:val="00EA4DAA"/>
    <w:rsid w:val="00EA5825"/>
    <w:rsid w:val="00EA5AD7"/>
    <w:rsid w:val="00EA5B5A"/>
    <w:rsid w:val="00EA5BC4"/>
    <w:rsid w:val="00EA60B8"/>
    <w:rsid w:val="00EA6D45"/>
    <w:rsid w:val="00EA7BB1"/>
    <w:rsid w:val="00EA7F57"/>
    <w:rsid w:val="00EA7FD7"/>
    <w:rsid w:val="00EB05D1"/>
    <w:rsid w:val="00EB0698"/>
    <w:rsid w:val="00EB06E7"/>
    <w:rsid w:val="00EB0738"/>
    <w:rsid w:val="00EB0A3F"/>
    <w:rsid w:val="00EB0B1F"/>
    <w:rsid w:val="00EB0D49"/>
    <w:rsid w:val="00EB10CD"/>
    <w:rsid w:val="00EB1CC2"/>
    <w:rsid w:val="00EB1E97"/>
    <w:rsid w:val="00EB2522"/>
    <w:rsid w:val="00EB2B03"/>
    <w:rsid w:val="00EB36AD"/>
    <w:rsid w:val="00EB3D0D"/>
    <w:rsid w:val="00EB459B"/>
    <w:rsid w:val="00EB51FC"/>
    <w:rsid w:val="00EB58F2"/>
    <w:rsid w:val="00EB603C"/>
    <w:rsid w:val="00EB6221"/>
    <w:rsid w:val="00EB63BD"/>
    <w:rsid w:val="00EB663D"/>
    <w:rsid w:val="00EB6937"/>
    <w:rsid w:val="00EB6E36"/>
    <w:rsid w:val="00EB7070"/>
    <w:rsid w:val="00EB7EDA"/>
    <w:rsid w:val="00EC022E"/>
    <w:rsid w:val="00EC0982"/>
    <w:rsid w:val="00EC09F2"/>
    <w:rsid w:val="00EC0B2C"/>
    <w:rsid w:val="00EC0F00"/>
    <w:rsid w:val="00EC0FEE"/>
    <w:rsid w:val="00EC148B"/>
    <w:rsid w:val="00EC1D5A"/>
    <w:rsid w:val="00EC1FE9"/>
    <w:rsid w:val="00EC22B7"/>
    <w:rsid w:val="00EC2449"/>
    <w:rsid w:val="00EC25E6"/>
    <w:rsid w:val="00EC2794"/>
    <w:rsid w:val="00EC2B11"/>
    <w:rsid w:val="00EC2FFA"/>
    <w:rsid w:val="00EC3B66"/>
    <w:rsid w:val="00EC457D"/>
    <w:rsid w:val="00EC47DD"/>
    <w:rsid w:val="00EC4881"/>
    <w:rsid w:val="00EC517B"/>
    <w:rsid w:val="00EC5472"/>
    <w:rsid w:val="00EC557A"/>
    <w:rsid w:val="00EC5819"/>
    <w:rsid w:val="00EC5BC7"/>
    <w:rsid w:val="00EC5E13"/>
    <w:rsid w:val="00EC5ED9"/>
    <w:rsid w:val="00EC5EE1"/>
    <w:rsid w:val="00EC60FF"/>
    <w:rsid w:val="00EC64DA"/>
    <w:rsid w:val="00EC655C"/>
    <w:rsid w:val="00EC6717"/>
    <w:rsid w:val="00EC691F"/>
    <w:rsid w:val="00EC6BEA"/>
    <w:rsid w:val="00EC7050"/>
    <w:rsid w:val="00EC7247"/>
    <w:rsid w:val="00EC74DF"/>
    <w:rsid w:val="00EC7605"/>
    <w:rsid w:val="00EC7970"/>
    <w:rsid w:val="00EC7999"/>
    <w:rsid w:val="00EC7C01"/>
    <w:rsid w:val="00ED002C"/>
    <w:rsid w:val="00ED0515"/>
    <w:rsid w:val="00ED075F"/>
    <w:rsid w:val="00ED079E"/>
    <w:rsid w:val="00ED07CC"/>
    <w:rsid w:val="00ED13FC"/>
    <w:rsid w:val="00ED1D94"/>
    <w:rsid w:val="00ED1DF9"/>
    <w:rsid w:val="00ED20C8"/>
    <w:rsid w:val="00ED2294"/>
    <w:rsid w:val="00ED322E"/>
    <w:rsid w:val="00ED3265"/>
    <w:rsid w:val="00ED3410"/>
    <w:rsid w:val="00ED3C2F"/>
    <w:rsid w:val="00ED3F15"/>
    <w:rsid w:val="00ED40AC"/>
    <w:rsid w:val="00ED4166"/>
    <w:rsid w:val="00ED4546"/>
    <w:rsid w:val="00ED492C"/>
    <w:rsid w:val="00ED4BD2"/>
    <w:rsid w:val="00ED4F75"/>
    <w:rsid w:val="00ED50CA"/>
    <w:rsid w:val="00ED5190"/>
    <w:rsid w:val="00ED53BB"/>
    <w:rsid w:val="00ED5C5A"/>
    <w:rsid w:val="00ED6272"/>
    <w:rsid w:val="00ED76E1"/>
    <w:rsid w:val="00ED792F"/>
    <w:rsid w:val="00ED7F0B"/>
    <w:rsid w:val="00ED7F13"/>
    <w:rsid w:val="00EE02CF"/>
    <w:rsid w:val="00EE039E"/>
    <w:rsid w:val="00EE044A"/>
    <w:rsid w:val="00EE072E"/>
    <w:rsid w:val="00EE0FF3"/>
    <w:rsid w:val="00EE10D1"/>
    <w:rsid w:val="00EE1312"/>
    <w:rsid w:val="00EE149E"/>
    <w:rsid w:val="00EE254F"/>
    <w:rsid w:val="00EE26FF"/>
    <w:rsid w:val="00EE3474"/>
    <w:rsid w:val="00EE38F2"/>
    <w:rsid w:val="00EE3BE2"/>
    <w:rsid w:val="00EE3D29"/>
    <w:rsid w:val="00EE3D7F"/>
    <w:rsid w:val="00EE3E3B"/>
    <w:rsid w:val="00EE3F48"/>
    <w:rsid w:val="00EE3FF4"/>
    <w:rsid w:val="00EE484E"/>
    <w:rsid w:val="00EE4A83"/>
    <w:rsid w:val="00EE6197"/>
    <w:rsid w:val="00EE61E9"/>
    <w:rsid w:val="00EE63AD"/>
    <w:rsid w:val="00EE7312"/>
    <w:rsid w:val="00EE7946"/>
    <w:rsid w:val="00EE7A09"/>
    <w:rsid w:val="00EE7E76"/>
    <w:rsid w:val="00EF02C0"/>
    <w:rsid w:val="00EF04DF"/>
    <w:rsid w:val="00EF0571"/>
    <w:rsid w:val="00EF0AE2"/>
    <w:rsid w:val="00EF0C04"/>
    <w:rsid w:val="00EF0DE9"/>
    <w:rsid w:val="00EF1527"/>
    <w:rsid w:val="00EF1637"/>
    <w:rsid w:val="00EF1D15"/>
    <w:rsid w:val="00EF20F1"/>
    <w:rsid w:val="00EF2623"/>
    <w:rsid w:val="00EF26D2"/>
    <w:rsid w:val="00EF2BF4"/>
    <w:rsid w:val="00EF2DB5"/>
    <w:rsid w:val="00EF2F52"/>
    <w:rsid w:val="00EF3202"/>
    <w:rsid w:val="00EF323B"/>
    <w:rsid w:val="00EF389E"/>
    <w:rsid w:val="00EF4052"/>
    <w:rsid w:val="00EF43E1"/>
    <w:rsid w:val="00EF474D"/>
    <w:rsid w:val="00EF4980"/>
    <w:rsid w:val="00EF50E3"/>
    <w:rsid w:val="00EF53B7"/>
    <w:rsid w:val="00EF5567"/>
    <w:rsid w:val="00EF595A"/>
    <w:rsid w:val="00EF5BE1"/>
    <w:rsid w:val="00EF61E7"/>
    <w:rsid w:val="00EF63BF"/>
    <w:rsid w:val="00EF6DAA"/>
    <w:rsid w:val="00EF6ECA"/>
    <w:rsid w:val="00EF71E5"/>
    <w:rsid w:val="00F002DE"/>
    <w:rsid w:val="00F00464"/>
    <w:rsid w:val="00F00583"/>
    <w:rsid w:val="00F00688"/>
    <w:rsid w:val="00F00E9A"/>
    <w:rsid w:val="00F012A3"/>
    <w:rsid w:val="00F01B99"/>
    <w:rsid w:val="00F01D28"/>
    <w:rsid w:val="00F021EA"/>
    <w:rsid w:val="00F023BC"/>
    <w:rsid w:val="00F028B1"/>
    <w:rsid w:val="00F02AF9"/>
    <w:rsid w:val="00F03D5A"/>
    <w:rsid w:val="00F0407D"/>
    <w:rsid w:val="00F04128"/>
    <w:rsid w:val="00F042CF"/>
    <w:rsid w:val="00F04578"/>
    <w:rsid w:val="00F047B2"/>
    <w:rsid w:val="00F04ABE"/>
    <w:rsid w:val="00F04C88"/>
    <w:rsid w:val="00F04EF2"/>
    <w:rsid w:val="00F04EF3"/>
    <w:rsid w:val="00F05077"/>
    <w:rsid w:val="00F052E8"/>
    <w:rsid w:val="00F055CE"/>
    <w:rsid w:val="00F057CA"/>
    <w:rsid w:val="00F058C6"/>
    <w:rsid w:val="00F0599D"/>
    <w:rsid w:val="00F06134"/>
    <w:rsid w:val="00F0621B"/>
    <w:rsid w:val="00F06788"/>
    <w:rsid w:val="00F06DD8"/>
    <w:rsid w:val="00F07080"/>
    <w:rsid w:val="00F0756D"/>
    <w:rsid w:val="00F07822"/>
    <w:rsid w:val="00F07DF0"/>
    <w:rsid w:val="00F108CD"/>
    <w:rsid w:val="00F109E6"/>
    <w:rsid w:val="00F10AD5"/>
    <w:rsid w:val="00F10EE3"/>
    <w:rsid w:val="00F1198F"/>
    <w:rsid w:val="00F119AE"/>
    <w:rsid w:val="00F11DE6"/>
    <w:rsid w:val="00F1228E"/>
    <w:rsid w:val="00F12679"/>
    <w:rsid w:val="00F12DA9"/>
    <w:rsid w:val="00F1349C"/>
    <w:rsid w:val="00F14081"/>
    <w:rsid w:val="00F142DD"/>
    <w:rsid w:val="00F149B0"/>
    <w:rsid w:val="00F14A62"/>
    <w:rsid w:val="00F14AD5"/>
    <w:rsid w:val="00F14DE3"/>
    <w:rsid w:val="00F15064"/>
    <w:rsid w:val="00F150DC"/>
    <w:rsid w:val="00F151F0"/>
    <w:rsid w:val="00F155D6"/>
    <w:rsid w:val="00F16D57"/>
    <w:rsid w:val="00F17247"/>
    <w:rsid w:val="00F177A9"/>
    <w:rsid w:val="00F178C6"/>
    <w:rsid w:val="00F17F14"/>
    <w:rsid w:val="00F207C3"/>
    <w:rsid w:val="00F2086F"/>
    <w:rsid w:val="00F20DDA"/>
    <w:rsid w:val="00F20F63"/>
    <w:rsid w:val="00F21064"/>
    <w:rsid w:val="00F21135"/>
    <w:rsid w:val="00F21336"/>
    <w:rsid w:val="00F21AC1"/>
    <w:rsid w:val="00F21F13"/>
    <w:rsid w:val="00F22111"/>
    <w:rsid w:val="00F22CF1"/>
    <w:rsid w:val="00F22F25"/>
    <w:rsid w:val="00F22F2E"/>
    <w:rsid w:val="00F2308C"/>
    <w:rsid w:val="00F237FB"/>
    <w:rsid w:val="00F23E7F"/>
    <w:rsid w:val="00F24016"/>
    <w:rsid w:val="00F243FC"/>
    <w:rsid w:val="00F24749"/>
    <w:rsid w:val="00F247C0"/>
    <w:rsid w:val="00F24909"/>
    <w:rsid w:val="00F24A63"/>
    <w:rsid w:val="00F24BB4"/>
    <w:rsid w:val="00F251C9"/>
    <w:rsid w:val="00F2539D"/>
    <w:rsid w:val="00F25BBF"/>
    <w:rsid w:val="00F25DC2"/>
    <w:rsid w:val="00F25F49"/>
    <w:rsid w:val="00F260A8"/>
    <w:rsid w:val="00F2632A"/>
    <w:rsid w:val="00F2664B"/>
    <w:rsid w:val="00F26987"/>
    <w:rsid w:val="00F26EE5"/>
    <w:rsid w:val="00F26F64"/>
    <w:rsid w:val="00F27202"/>
    <w:rsid w:val="00F275D3"/>
    <w:rsid w:val="00F2765E"/>
    <w:rsid w:val="00F27E17"/>
    <w:rsid w:val="00F301B6"/>
    <w:rsid w:val="00F30939"/>
    <w:rsid w:val="00F3152F"/>
    <w:rsid w:val="00F315BD"/>
    <w:rsid w:val="00F31AAA"/>
    <w:rsid w:val="00F32CAA"/>
    <w:rsid w:val="00F3377A"/>
    <w:rsid w:val="00F33C3D"/>
    <w:rsid w:val="00F34660"/>
    <w:rsid w:val="00F3497C"/>
    <w:rsid w:val="00F34D10"/>
    <w:rsid w:val="00F34E3D"/>
    <w:rsid w:val="00F35A66"/>
    <w:rsid w:val="00F35BB5"/>
    <w:rsid w:val="00F3642E"/>
    <w:rsid w:val="00F371B7"/>
    <w:rsid w:val="00F37C1E"/>
    <w:rsid w:val="00F37E41"/>
    <w:rsid w:val="00F4072E"/>
    <w:rsid w:val="00F4074B"/>
    <w:rsid w:val="00F4174F"/>
    <w:rsid w:val="00F41893"/>
    <w:rsid w:val="00F41A38"/>
    <w:rsid w:val="00F41F2B"/>
    <w:rsid w:val="00F420D2"/>
    <w:rsid w:val="00F424EA"/>
    <w:rsid w:val="00F42F28"/>
    <w:rsid w:val="00F43831"/>
    <w:rsid w:val="00F43ADB"/>
    <w:rsid w:val="00F43BF1"/>
    <w:rsid w:val="00F43F68"/>
    <w:rsid w:val="00F43FE9"/>
    <w:rsid w:val="00F441AB"/>
    <w:rsid w:val="00F441B1"/>
    <w:rsid w:val="00F442A7"/>
    <w:rsid w:val="00F4470D"/>
    <w:rsid w:val="00F45053"/>
    <w:rsid w:val="00F458EF"/>
    <w:rsid w:val="00F45A30"/>
    <w:rsid w:val="00F463F1"/>
    <w:rsid w:val="00F46445"/>
    <w:rsid w:val="00F46632"/>
    <w:rsid w:val="00F46744"/>
    <w:rsid w:val="00F46958"/>
    <w:rsid w:val="00F46C2D"/>
    <w:rsid w:val="00F46E72"/>
    <w:rsid w:val="00F46E9E"/>
    <w:rsid w:val="00F47EFD"/>
    <w:rsid w:val="00F50293"/>
    <w:rsid w:val="00F503AF"/>
    <w:rsid w:val="00F50ABD"/>
    <w:rsid w:val="00F50BAE"/>
    <w:rsid w:val="00F50C71"/>
    <w:rsid w:val="00F50D34"/>
    <w:rsid w:val="00F519A4"/>
    <w:rsid w:val="00F51DF6"/>
    <w:rsid w:val="00F52345"/>
    <w:rsid w:val="00F534A8"/>
    <w:rsid w:val="00F537D0"/>
    <w:rsid w:val="00F53B52"/>
    <w:rsid w:val="00F540F3"/>
    <w:rsid w:val="00F5419B"/>
    <w:rsid w:val="00F546A8"/>
    <w:rsid w:val="00F54CBE"/>
    <w:rsid w:val="00F54CD6"/>
    <w:rsid w:val="00F55148"/>
    <w:rsid w:val="00F55339"/>
    <w:rsid w:val="00F555C2"/>
    <w:rsid w:val="00F555F8"/>
    <w:rsid w:val="00F55AB1"/>
    <w:rsid w:val="00F56332"/>
    <w:rsid w:val="00F565DA"/>
    <w:rsid w:val="00F569C5"/>
    <w:rsid w:val="00F571D4"/>
    <w:rsid w:val="00F579A7"/>
    <w:rsid w:val="00F57BDF"/>
    <w:rsid w:val="00F60475"/>
    <w:rsid w:val="00F61E81"/>
    <w:rsid w:val="00F621FA"/>
    <w:rsid w:val="00F62380"/>
    <w:rsid w:val="00F62402"/>
    <w:rsid w:val="00F62A21"/>
    <w:rsid w:val="00F62E7C"/>
    <w:rsid w:val="00F630EA"/>
    <w:rsid w:val="00F63AA7"/>
    <w:rsid w:val="00F64DB6"/>
    <w:rsid w:val="00F65684"/>
    <w:rsid w:val="00F6633F"/>
    <w:rsid w:val="00F66B72"/>
    <w:rsid w:val="00F670BD"/>
    <w:rsid w:val="00F6726B"/>
    <w:rsid w:val="00F67671"/>
    <w:rsid w:val="00F678DE"/>
    <w:rsid w:val="00F67C48"/>
    <w:rsid w:val="00F704D9"/>
    <w:rsid w:val="00F704E3"/>
    <w:rsid w:val="00F70816"/>
    <w:rsid w:val="00F70868"/>
    <w:rsid w:val="00F71144"/>
    <w:rsid w:val="00F711B8"/>
    <w:rsid w:val="00F71AB4"/>
    <w:rsid w:val="00F71B2C"/>
    <w:rsid w:val="00F7238B"/>
    <w:rsid w:val="00F7257D"/>
    <w:rsid w:val="00F725A9"/>
    <w:rsid w:val="00F727E0"/>
    <w:rsid w:val="00F72DC5"/>
    <w:rsid w:val="00F73C35"/>
    <w:rsid w:val="00F740A6"/>
    <w:rsid w:val="00F7441B"/>
    <w:rsid w:val="00F74A4D"/>
    <w:rsid w:val="00F7580F"/>
    <w:rsid w:val="00F75FAC"/>
    <w:rsid w:val="00F76E76"/>
    <w:rsid w:val="00F76FCD"/>
    <w:rsid w:val="00F770E9"/>
    <w:rsid w:val="00F7778E"/>
    <w:rsid w:val="00F77869"/>
    <w:rsid w:val="00F77892"/>
    <w:rsid w:val="00F80237"/>
    <w:rsid w:val="00F804F4"/>
    <w:rsid w:val="00F809AD"/>
    <w:rsid w:val="00F80E00"/>
    <w:rsid w:val="00F80FF5"/>
    <w:rsid w:val="00F81610"/>
    <w:rsid w:val="00F818EE"/>
    <w:rsid w:val="00F81B54"/>
    <w:rsid w:val="00F823A8"/>
    <w:rsid w:val="00F82A08"/>
    <w:rsid w:val="00F83294"/>
    <w:rsid w:val="00F83504"/>
    <w:rsid w:val="00F83AAC"/>
    <w:rsid w:val="00F84005"/>
    <w:rsid w:val="00F84367"/>
    <w:rsid w:val="00F84A59"/>
    <w:rsid w:val="00F84D5F"/>
    <w:rsid w:val="00F84E1E"/>
    <w:rsid w:val="00F85276"/>
    <w:rsid w:val="00F852C0"/>
    <w:rsid w:val="00F854DB"/>
    <w:rsid w:val="00F8572B"/>
    <w:rsid w:val="00F857F2"/>
    <w:rsid w:val="00F86436"/>
    <w:rsid w:val="00F870B2"/>
    <w:rsid w:val="00F87357"/>
    <w:rsid w:val="00F9071C"/>
    <w:rsid w:val="00F90BA7"/>
    <w:rsid w:val="00F90EE8"/>
    <w:rsid w:val="00F91743"/>
    <w:rsid w:val="00F9179E"/>
    <w:rsid w:val="00F91A82"/>
    <w:rsid w:val="00F91C0D"/>
    <w:rsid w:val="00F91C94"/>
    <w:rsid w:val="00F9239E"/>
    <w:rsid w:val="00F92C3B"/>
    <w:rsid w:val="00F92DDB"/>
    <w:rsid w:val="00F93A97"/>
    <w:rsid w:val="00F94091"/>
    <w:rsid w:val="00F9435F"/>
    <w:rsid w:val="00F94506"/>
    <w:rsid w:val="00F946BB"/>
    <w:rsid w:val="00F9476D"/>
    <w:rsid w:val="00F94B1E"/>
    <w:rsid w:val="00F951F8"/>
    <w:rsid w:val="00F95778"/>
    <w:rsid w:val="00F9578D"/>
    <w:rsid w:val="00F95FF0"/>
    <w:rsid w:val="00F96677"/>
    <w:rsid w:val="00F96BAE"/>
    <w:rsid w:val="00F96D42"/>
    <w:rsid w:val="00F96ED6"/>
    <w:rsid w:val="00F97364"/>
    <w:rsid w:val="00F97370"/>
    <w:rsid w:val="00FA01A5"/>
    <w:rsid w:val="00FA0549"/>
    <w:rsid w:val="00FA0B4C"/>
    <w:rsid w:val="00FA1A93"/>
    <w:rsid w:val="00FA20B6"/>
    <w:rsid w:val="00FA2601"/>
    <w:rsid w:val="00FA26F7"/>
    <w:rsid w:val="00FA273F"/>
    <w:rsid w:val="00FA3518"/>
    <w:rsid w:val="00FA48B8"/>
    <w:rsid w:val="00FA4C67"/>
    <w:rsid w:val="00FA5B80"/>
    <w:rsid w:val="00FA5CF5"/>
    <w:rsid w:val="00FA6170"/>
    <w:rsid w:val="00FA627C"/>
    <w:rsid w:val="00FA6490"/>
    <w:rsid w:val="00FA6542"/>
    <w:rsid w:val="00FA6966"/>
    <w:rsid w:val="00FA725B"/>
    <w:rsid w:val="00FA755A"/>
    <w:rsid w:val="00FA7563"/>
    <w:rsid w:val="00FA79D3"/>
    <w:rsid w:val="00FA7A5F"/>
    <w:rsid w:val="00FA7F36"/>
    <w:rsid w:val="00FB0012"/>
    <w:rsid w:val="00FB0D91"/>
    <w:rsid w:val="00FB144B"/>
    <w:rsid w:val="00FB1478"/>
    <w:rsid w:val="00FB1F6C"/>
    <w:rsid w:val="00FB26B6"/>
    <w:rsid w:val="00FB2B6C"/>
    <w:rsid w:val="00FB30A5"/>
    <w:rsid w:val="00FB34A7"/>
    <w:rsid w:val="00FB36BC"/>
    <w:rsid w:val="00FB3CAC"/>
    <w:rsid w:val="00FB4650"/>
    <w:rsid w:val="00FB4858"/>
    <w:rsid w:val="00FB4DE6"/>
    <w:rsid w:val="00FB583B"/>
    <w:rsid w:val="00FB5954"/>
    <w:rsid w:val="00FB5FCC"/>
    <w:rsid w:val="00FB6067"/>
    <w:rsid w:val="00FB675E"/>
    <w:rsid w:val="00FB6ADB"/>
    <w:rsid w:val="00FB7949"/>
    <w:rsid w:val="00FB7F78"/>
    <w:rsid w:val="00FC0C14"/>
    <w:rsid w:val="00FC10AB"/>
    <w:rsid w:val="00FC1435"/>
    <w:rsid w:val="00FC14F4"/>
    <w:rsid w:val="00FC1545"/>
    <w:rsid w:val="00FC1C0F"/>
    <w:rsid w:val="00FC2076"/>
    <w:rsid w:val="00FC2542"/>
    <w:rsid w:val="00FC27AF"/>
    <w:rsid w:val="00FC28E6"/>
    <w:rsid w:val="00FC31EC"/>
    <w:rsid w:val="00FC386C"/>
    <w:rsid w:val="00FC3AF7"/>
    <w:rsid w:val="00FC403A"/>
    <w:rsid w:val="00FC45B2"/>
    <w:rsid w:val="00FC48BE"/>
    <w:rsid w:val="00FC5952"/>
    <w:rsid w:val="00FC6087"/>
    <w:rsid w:val="00FC62EF"/>
    <w:rsid w:val="00FC69EB"/>
    <w:rsid w:val="00FC7092"/>
    <w:rsid w:val="00FC75A4"/>
    <w:rsid w:val="00FC75C2"/>
    <w:rsid w:val="00FC7724"/>
    <w:rsid w:val="00FC773A"/>
    <w:rsid w:val="00FC7A7A"/>
    <w:rsid w:val="00FD02D8"/>
    <w:rsid w:val="00FD050C"/>
    <w:rsid w:val="00FD0AB2"/>
    <w:rsid w:val="00FD0B03"/>
    <w:rsid w:val="00FD0F5C"/>
    <w:rsid w:val="00FD124C"/>
    <w:rsid w:val="00FD15D1"/>
    <w:rsid w:val="00FD16EB"/>
    <w:rsid w:val="00FD1831"/>
    <w:rsid w:val="00FD1DE9"/>
    <w:rsid w:val="00FD229E"/>
    <w:rsid w:val="00FD278C"/>
    <w:rsid w:val="00FD2958"/>
    <w:rsid w:val="00FD2B2F"/>
    <w:rsid w:val="00FD2D34"/>
    <w:rsid w:val="00FD2E48"/>
    <w:rsid w:val="00FD3565"/>
    <w:rsid w:val="00FD3A43"/>
    <w:rsid w:val="00FD3B64"/>
    <w:rsid w:val="00FD422F"/>
    <w:rsid w:val="00FD43B9"/>
    <w:rsid w:val="00FD503D"/>
    <w:rsid w:val="00FD5513"/>
    <w:rsid w:val="00FD57DF"/>
    <w:rsid w:val="00FD5A33"/>
    <w:rsid w:val="00FD5C84"/>
    <w:rsid w:val="00FD5CE8"/>
    <w:rsid w:val="00FD5E4A"/>
    <w:rsid w:val="00FD5F49"/>
    <w:rsid w:val="00FD6161"/>
    <w:rsid w:val="00FD648A"/>
    <w:rsid w:val="00FD6C62"/>
    <w:rsid w:val="00FD76FF"/>
    <w:rsid w:val="00FD787F"/>
    <w:rsid w:val="00FD7994"/>
    <w:rsid w:val="00FD7C32"/>
    <w:rsid w:val="00FD7E34"/>
    <w:rsid w:val="00FD7FD0"/>
    <w:rsid w:val="00FE01DD"/>
    <w:rsid w:val="00FE05AD"/>
    <w:rsid w:val="00FE07CD"/>
    <w:rsid w:val="00FE0923"/>
    <w:rsid w:val="00FE0950"/>
    <w:rsid w:val="00FE14DD"/>
    <w:rsid w:val="00FE1759"/>
    <w:rsid w:val="00FE27C9"/>
    <w:rsid w:val="00FE2B27"/>
    <w:rsid w:val="00FE2CA4"/>
    <w:rsid w:val="00FE35F2"/>
    <w:rsid w:val="00FE3D7F"/>
    <w:rsid w:val="00FE48F6"/>
    <w:rsid w:val="00FE4EA9"/>
    <w:rsid w:val="00FE53BE"/>
    <w:rsid w:val="00FE557F"/>
    <w:rsid w:val="00FE568A"/>
    <w:rsid w:val="00FE6649"/>
    <w:rsid w:val="00FE6844"/>
    <w:rsid w:val="00FE6C51"/>
    <w:rsid w:val="00FE6D0E"/>
    <w:rsid w:val="00FE6F5E"/>
    <w:rsid w:val="00FE70AC"/>
    <w:rsid w:val="00FE7CFC"/>
    <w:rsid w:val="00FE7D3A"/>
    <w:rsid w:val="00FE7F72"/>
    <w:rsid w:val="00FF02AE"/>
    <w:rsid w:val="00FF0436"/>
    <w:rsid w:val="00FF0DF9"/>
    <w:rsid w:val="00FF0FE9"/>
    <w:rsid w:val="00FF10FC"/>
    <w:rsid w:val="00FF1184"/>
    <w:rsid w:val="00FF13F7"/>
    <w:rsid w:val="00FF145D"/>
    <w:rsid w:val="00FF1BCA"/>
    <w:rsid w:val="00FF1E07"/>
    <w:rsid w:val="00FF2715"/>
    <w:rsid w:val="00FF27A0"/>
    <w:rsid w:val="00FF2EE4"/>
    <w:rsid w:val="00FF39E2"/>
    <w:rsid w:val="00FF3B55"/>
    <w:rsid w:val="00FF44D8"/>
    <w:rsid w:val="00FF44F9"/>
    <w:rsid w:val="00FF45C5"/>
    <w:rsid w:val="00FF48B6"/>
    <w:rsid w:val="00FF4B8F"/>
    <w:rsid w:val="00FF4E2D"/>
    <w:rsid w:val="00FF5307"/>
    <w:rsid w:val="00FF53DA"/>
    <w:rsid w:val="00FF5DF5"/>
    <w:rsid w:val="00FF5E41"/>
    <w:rsid w:val="00FF5E86"/>
    <w:rsid w:val="00FF6595"/>
    <w:rsid w:val="00FF6F13"/>
    <w:rsid w:val="00FF6F86"/>
    <w:rsid w:val="00FF7021"/>
    <w:rsid w:val="00FF71CB"/>
    <w:rsid w:val="00FF73E3"/>
    <w:rsid w:val="00FF76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DD459C3"/>
  <w15:docId w15:val="{AC3555A0-16B8-452D-8FDC-13A7B5DF6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lsdException w:name="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0"/>
    <w:lsdException w:name="Subtle Reference" w:uiPriority="0"/>
    <w:lsdException w:name="Intense Reference" w:uiPriority="0"/>
    <w:lsdException w:name="Book Title" w:uiPriority="0"/>
    <w:lsdException w:name="Bibliography" w:semiHidden="1" w:uiPriority="37"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BC6"/>
    <w:rPr>
      <w:rFonts w:ascii="Calibri" w:hAnsi="Calibri"/>
      <w:sz w:val="24"/>
      <w:szCs w:val="24"/>
      <w:lang w:eastAsia="en-US"/>
    </w:rPr>
  </w:style>
  <w:style w:type="paragraph" w:styleId="Heading1">
    <w:name w:val="heading 1"/>
    <w:aliases w:val="Heading 1 New,Char1,Section,Chapter Hdg,Economics Section,New Section,Economics Section Heading,My Heading 1,Lev 1,Section Heading,(Alt 1),Numbered - 1,Outline1,1 ghost,g,Oscar Faber 1,Heading 1 TXC,CES Heading 1,Section 1,Chapter Heading,hea"/>
    <w:basedOn w:val="Normal"/>
    <w:next w:val="Normal"/>
    <w:link w:val="Heading1Char"/>
    <w:qFormat/>
    <w:rsid w:val="00E05649"/>
    <w:pPr>
      <w:keepNext/>
      <w:numPr>
        <w:numId w:val="20"/>
      </w:numPr>
      <w:spacing w:before="120" w:after="120"/>
      <w:jc w:val="both"/>
      <w:outlineLvl w:val="0"/>
    </w:pPr>
    <w:rPr>
      <w:bCs/>
      <w:color w:val="009999"/>
      <w:kern w:val="32"/>
      <w:sz w:val="40"/>
      <w:szCs w:val="28"/>
      <w:lang w:val="x-none"/>
    </w:rPr>
  </w:style>
  <w:style w:type="paragraph" w:styleId="Heading2">
    <w:name w:val="heading 2"/>
    <w:basedOn w:val="Normal"/>
    <w:next w:val="Normal"/>
    <w:link w:val="Heading2Char"/>
    <w:uiPriority w:val="99"/>
    <w:qFormat/>
    <w:rsid w:val="00EF1527"/>
    <w:pPr>
      <w:keepNext/>
      <w:tabs>
        <w:tab w:val="num" w:pos="709"/>
      </w:tabs>
      <w:spacing w:before="120" w:after="120"/>
      <w:ind w:left="1418" w:hanging="709"/>
      <w:jc w:val="both"/>
      <w:outlineLvl w:val="1"/>
    </w:pPr>
    <w:rPr>
      <w:bCs/>
      <w:iCs/>
      <w:color w:val="009999"/>
      <w:sz w:val="32"/>
      <w:szCs w:val="28"/>
      <w:lang w:val="x-none"/>
    </w:rPr>
  </w:style>
  <w:style w:type="paragraph" w:styleId="Heading3">
    <w:name w:val="heading 3"/>
    <w:aliases w:val="Heading3"/>
    <w:basedOn w:val="Normal"/>
    <w:next w:val="Normal"/>
    <w:link w:val="Heading3Char1"/>
    <w:uiPriority w:val="99"/>
    <w:qFormat/>
    <w:rsid w:val="00E05649"/>
    <w:pPr>
      <w:keepNext/>
      <w:spacing w:before="120" w:after="120"/>
      <w:ind w:left="709"/>
      <w:jc w:val="both"/>
      <w:outlineLvl w:val="2"/>
    </w:pPr>
    <w:rPr>
      <w:color w:val="009999"/>
      <w:sz w:val="28"/>
      <w:szCs w:val="28"/>
      <w:lang w:val="x-none"/>
    </w:rPr>
  </w:style>
  <w:style w:type="paragraph" w:styleId="Heading4">
    <w:name w:val="heading 4"/>
    <w:basedOn w:val="Normal"/>
    <w:next w:val="Normal"/>
    <w:link w:val="Heading4Char"/>
    <w:uiPriority w:val="99"/>
    <w:qFormat/>
    <w:rsid w:val="00844F11"/>
    <w:pPr>
      <w:keepNext/>
      <w:spacing w:before="120" w:after="120"/>
      <w:ind w:left="720"/>
      <w:jc w:val="both"/>
      <w:outlineLvl w:val="3"/>
    </w:pPr>
    <w:rPr>
      <w:bCs/>
      <w:i/>
      <w:color w:val="009999"/>
      <w:lang w:val="x-none"/>
    </w:rPr>
  </w:style>
  <w:style w:type="paragraph" w:styleId="Heading5">
    <w:name w:val="heading 5"/>
    <w:aliases w:val="Do Not Use 5,Economics Bullets,paragraph,Bold &amp; Italic,Paragraph Text,Lower Case,Lower Case Char,Heading 5 Char1,Lower Case Char1,Bold &amp; Italic Char1,paragraph Char Char Char,Heading 5 Char Char Char Char"/>
    <w:basedOn w:val="Normal"/>
    <w:next w:val="Normal"/>
    <w:link w:val="Heading5Char"/>
    <w:uiPriority w:val="99"/>
    <w:rsid w:val="00FD0F5C"/>
    <w:pPr>
      <w:numPr>
        <w:ilvl w:val="4"/>
        <w:numId w:val="10"/>
      </w:numPr>
      <w:spacing w:before="240" w:after="60"/>
      <w:jc w:val="both"/>
      <w:outlineLvl w:val="4"/>
    </w:pPr>
    <w:rPr>
      <w:b/>
      <w:bCs/>
      <w:i/>
      <w:iCs/>
      <w:sz w:val="26"/>
      <w:szCs w:val="26"/>
      <w:lang w:val="x-none"/>
    </w:rPr>
  </w:style>
  <w:style w:type="paragraph" w:styleId="Heading6">
    <w:name w:val="heading 6"/>
    <w:aliases w:val="Do Not Use 6,Economics Bullets 2,level 1 bullet,Legal Level 1.,level 1 bullet 1,level 1 bullet Char Char Char,level 1 bullet 1 Char Char Char,level 1 bullet 1 Char Char Char Char Char Char Char,Heading 61"/>
    <w:basedOn w:val="Normal"/>
    <w:next w:val="Normal"/>
    <w:link w:val="Heading6Char"/>
    <w:uiPriority w:val="99"/>
    <w:rsid w:val="00FD0F5C"/>
    <w:pPr>
      <w:numPr>
        <w:ilvl w:val="5"/>
        <w:numId w:val="10"/>
      </w:numPr>
      <w:spacing w:before="240" w:after="60"/>
      <w:jc w:val="both"/>
      <w:outlineLvl w:val="5"/>
    </w:pPr>
    <w:rPr>
      <w:b/>
      <w:bCs/>
      <w:szCs w:val="22"/>
      <w:lang w:val="x-none"/>
    </w:rPr>
  </w:style>
  <w:style w:type="paragraph" w:styleId="Heading7">
    <w:name w:val="heading 7"/>
    <w:aliases w:val="Do Not Use 7,Economics List (i),level 2 bullets,Legal Level 1.1."/>
    <w:basedOn w:val="Normal"/>
    <w:next w:val="Normal"/>
    <w:link w:val="Heading7Char"/>
    <w:uiPriority w:val="99"/>
    <w:rsid w:val="00FD0F5C"/>
    <w:pPr>
      <w:numPr>
        <w:ilvl w:val="6"/>
        <w:numId w:val="10"/>
      </w:numPr>
      <w:spacing w:before="240" w:after="60"/>
      <w:jc w:val="both"/>
      <w:outlineLvl w:val="6"/>
    </w:pPr>
    <w:rPr>
      <w:lang w:val="x-none"/>
    </w:rPr>
  </w:style>
  <w:style w:type="paragraph" w:styleId="Heading8">
    <w:name w:val="heading 8"/>
    <w:aliases w:val="Do Not Use 8,Economics List (a),level 3 bullets,Legal Level 1.1.1.,Bullet 3"/>
    <w:basedOn w:val="Normal"/>
    <w:next w:val="Normal"/>
    <w:link w:val="Heading8Char"/>
    <w:uiPriority w:val="99"/>
    <w:rsid w:val="00FD0F5C"/>
    <w:pPr>
      <w:numPr>
        <w:ilvl w:val="7"/>
        <w:numId w:val="10"/>
      </w:numPr>
      <w:spacing w:before="240" w:after="60"/>
      <w:jc w:val="both"/>
      <w:outlineLvl w:val="7"/>
    </w:pPr>
    <w:rPr>
      <w:i/>
      <w:iCs/>
      <w:lang w:val="x-none"/>
    </w:rPr>
  </w:style>
  <w:style w:type="paragraph" w:styleId="Heading9">
    <w:name w:val="heading 9"/>
    <w:aliases w:val="Do Not Use 9,Legal Level 1.1.1.1."/>
    <w:basedOn w:val="Normal"/>
    <w:next w:val="Normal"/>
    <w:link w:val="Heading9Char"/>
    <w:uiPriority w:val="99"/>
    <w:rsid w:val="00FD0F5C"/>
    <w:pPr>
      <w:numPr>
        <w:ilvl w:val="8"/>
        <w:numId w:val="10"/>
      </w:numPr>
      <w:spacing w:before="240" w:after="60"/>
      <w:jc w:val="both"/>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NumbersonConentsPage">
    <w:name w:val="Page Numbers on Conents Page"/>
    <w:basedOn w:val="Normal"/>
    <w:uiPriority w:val="99"/>
    <w:rsid w:val="00FD0F5C"/>
    <w:pPr>
      <w:spacing w:before="120" w:after="120"/>
      <w:jc w:val="right"/>
    </w:pPr>
    <w:rPr>
      <w:b/>
      <w:bCs/>
      <w:szCs w:val="20"/>
    </w:rPr>
  </w:style>
  <w:style w:type="paragraph" w:customStyle="1" w:styleId="Figure">
    <w:name w:val="Figure"/>
    <w:basedOn w:val="BodyCopy"/>
    <w:uiPriority w:val="99"/>
    <w:rsid w:val="00FD0F5C"/>
    <w:pPr>
      <w:spacing w:before="60" w:after="60"/>
    </w:pPr>
    <w:rPr>
      <w:rFonts w:ascii="GillSans" w:hAnsi="GillSans"/>
      <w:sz w:val="16"/>
    </w:rPr>
  </w:style>
  <w:style w:type="paragraph" w:styleId="TOC1">
    <w:name w:val="toc 1"/>
    <w:basedOn w:val="Normal"/>
    <w:next w:val="Normal"/>
    <w:autoRedefine/>
    <w:uiPriority w:val="39"/>
    <w:rsid w:val="00C074F9"/>
    <w:pPr>
      <w:tabs>
        <w:tab w:val="left" w:pos="720"/>
        <w:tab w:val="left" w:pos="1440"/>
        <w:tab w:val="left" w:pos="1680"/>
        <w:tab w:val="right" w:leader="dot" w:pos="9185"/>
      </w:tabs>
      <w:spacing w:before="60" w:after="60"/>
      <w:ind w:left="1440" w:right="544" w:hanging="1440"/>
      <w:jc w:val="both"/>
    </w:pPr>
    <w:rPr>
      <w:rFonts w:cs="Arial"/>
      <w:b/>
      <w:bCs/>
      <w:noProof/>
    </w:rPr>
  </w:style>
  <w:style w:type="paragraph" w:customStyle="1" w:styleId="ReportName">
    <w:name w:val="Report Name"/>
    <w:basedOn w:val="Normal"/>
    <w:uiPriority w:val="99"/>
    <w:rsid w:val="00FD0F5C"/>
    <w:pPr>
      <w:spacing w:before="120" w:after="120"/>
      <w:jc w:val="both"/>
    </w:pPr>
    <w:rPr>
      <w:rFonts w:ascii="GillSans" w:hAnsi="GillSans"/>
      <w:color w:val="FFFFFF"/>
      <w:sz w:val="38"/>
      <w:szCs w:val="38"/>
    </w:rPr>
  </w:style>
  <w:style w:type="paragraph" w:customStyle="1" w:styleId="CoverPageDate">
    <w:name w:val="Cover Page Date"/>
    <w:basedOn w:val="Normal"/>
    <w:uiPriority w:val="99"/>
    <w:rsid w:val="00FD0F5C"/>
    <w:pPr>
      <w:spacing w:before="120" w:after="120"/>
      <w:jc w:val="both"/>
    </w:pPr>
    <w:rPr>
      <w:rFonts w:ascii="GillSans Light" w:hAnsi="GillSans Light"/>
      <w:color w:val="FFFFFF"/>
      <w:sz w:val="38"/>
      <w:szCs w:val="38"/>
    </w:rPr>
  </w:style>
  <w:style w:type="paragraph" w:customStyle="1" w:styleId="Footer-Abra">
    <w:name w:val="Footer - Abra"/>
    <w:basedOn w:val="Normal"/>
    <w:uiPriority w:val="99"/>
    <w:rsid w:val="00FD0F5C"/>
    <w:pPr>
      <w:tabs>
        <w:tab w:val="center" w:pos="4320"/>
        <w:tab w:val="right" w:pos="8640"/>
      </w:tabs>
      <w:spacing w:before="120" w:after="120"/>
      <w:jc w:val="both"/>
    </w:pPr>
    <w:rPr>
      <w:rFonts w:ascii="Verdana" w:hAnsi="Verdana"/>
      <w:color w:val="008080"/>
      <w:szCs w:val="16"/>
    </w:rPr>
  </w:style>
  <w:style w:type="character" w:styleId="PageNumber">
    <w:name w:val="page number"/>
    <w:uiPriority w:val="99"/>
    <w:rsid w:val="00FD0F5C"/>
    <w:rPr>
      <w:rFonts w:ascii="GillSans" w:hAnsi="GillSans"/>
      <w:color w:val="FFFFFF"/>
      <w:sz w:val="16"/>
    </w:rPr>
  </w:style>
  <w:style w:type="paragraph" w:customStyle="1" w:styleId="ContentsNumbers">
    <w:name w:val="Contents Numbers"/>
    <w:basedOn w:val="Normal"/>
    <w:uiPriority w:val="99"/>
    <w:rsid w:val="00FD0F5C"/>
    <w:pPr>
      <w:spacing w:before="120" w:after="120"/>
      <w:jc w:val="center"/>
    </w:pPr>
    <w:rPr>
      <w:color w:val="FFFFFF"/>
      <w:sz w:val="20"/>
    </w:rPr>
  </w:style>
  <w:style w:type="paragraph" w:customStyle="1" w:styleId="TitleHeading">
    <w:name w:val="Title Heading"/>
    <w:basedOn w:val="Heading1"/>
    <w:rsid w:val="00FD0F5C"/>
    <w:pPr>
      <w:numPr>
        <w:numId w:val="0"/>
      </w:numPr>
      <w:ind w:left="709" w:hanging="709"/>
    </w:pPr>
    <w:rPr>
      <w:bCs w:val="0"/>
      <w:sz w:val="44"/>
      <w:szCs w:val="20"/>
    </w:rPr>
  </w:style>
  <w:style w:type="paragraph" w:customStyle="1" w:styleId="BodyCopy">
    <w:name w:val="Body Copy"/>
    <w:basedOn w:val="Normal"/>
    <w:uiPriority w:val="99"/>
    <w:rsid w:val="00FD0F5C"/>
    <w:pPr>
      <w:numPr>
        <w:ilvl w:val="1"/>
        <w:numId w:val="1"/>
      </w:numPr>
      <w:spacing w:before="120" w:after="120"/>
      <w:jc w:val="both"/>
    </w:pPr>
    <w:rPr>
      <w:rFonts w:ascii="GillSans Light" w:hAnsi="GillSans Light"/>
      <w:sz w:val="20"/>
      <w:szCs w:val="20"/>
    </w:rPr>
  </w:style>
  <w:style w:type="paragraph" w:customStyle="1" w:styleId="Maintext">
    <w:name w:val="Main text"/>
    <w:basedOn w:val="Normal"/>
    <w:link w:val="MaintextChar1"/>
    <w:uiPriority w:val="99"/>
    <w:rsid w:val="00FD0F5C"/>
    <w:pPr>
      <w:numPr>
        <w:ilvl w:val="1"/>
        <w:numId w:val="10"/>
      </w:numPr>
      <w:spacing w:before="120" w:after="120"/>
      <w:jc w:val="both"/>
    </w:pPr>
    <w:rPr>
      <w:lang w:val="x-none"/>
    </w:rPr>
  </w:style>
  <w:style w:type="paragraph" w:styleId="ListBullet">
    <w:name w:val="List Bullet"/>
    <w:basedOn w:val="Normal"/>
    <w:autoRedefine/>
    <w:uiPriority w:val="99"/>
    <w:rsid w:val="00FD0F5C"/>
    <w:pPr>
      <w:numPr>
        <w:numId w:val="3"/>
      </w:numPr>
      <w:spacing w:before="120" w:after="120"/>
      <w:jc w:val="both"/>
    </w:pPr>
    <w:rPr>
      <w:sz w:val="20"/>
    </w:rPr>
  </w:style>
  <w:style w:type="paragraph" w:styleId="TOC2">
    <w:name w:val="toc 2"/>
    <w:basedOn w:val="Normal"/>
    <w:next w:val="Normal"/>
    <w:autoRedefine/>
    <w:uiPriority w:val="39"/>
    <w:rsid w:val="00C074F9"/>
    <w:pPr>
      <w:tabs>
        <w:tab w:val="right" w:pos="720"/>
        <w:tab w:val="right" w:leader="dot" w:pos="9185"/>
      </w:tabs>
      <w:spacing w:before="60" w:after="60"/>
      <w:ind w:left="720" w:right="380"/>
      <w:jc w:val="both"/>
    </w:pPr>
    <w:rPr>
      <w:bCs/>
      <w:szCs w:val="20"/>
    </w:rPr>
  </w:style>
  <w:style w:type="paragraph" w:styleId="TOC3">
    <w:name w:val="toc 3"/>
    <w:basedOn w:val="Normal"/>
    <w:next w:val="Normal"/>
    <w:autoRedefine/>
    <w:uiPriority w:val="39"/>
    <w:rsid w:val="00750DEF"/>
    <w:pPr>
      <w:tabs>
        <w:tab w:val="right" w:leader="dot" w:pos="9322"/>
      </w:tabs>
      <w:spacing w:before="120" w:after="120"/>
      <w:ind w:left="240"/>
      <w:jc w:val="both"/>
    </w:pPr>
    <w:rPr>
      <w:sz w:val="20"/>
      <w:szCs w:val="20"/>
    </w:rPr>
  </w:style>
  <w:style w:type="paragraph" w:styleId="TOC4">
    <w:name w:val="toc 4"/>
    <w:basedOn w:val="Normal"/>
    <w:next w:val="Normal"/>
    <w:autoRedefine/>
    <w:uiPriority w:val="39"/>
    <w:rsid w:val="00FD0F5C"/>
    <w:pPr>
      <w:spacing w:before="120" w:after="120"/>
      <w:ind w:left="480"/>
      <w:jc w:val="both"/>
    </w:pPr>
    <w:rPr>
      <w:sz w:val="20"/>
      <w:szCs w:val="20"/>
    </w:rPr>
  </w:style>
  <w:style w:type="paragraph" w:styleId="TOC5">
    <w:name w:val="toc 5"/>
    <w:basedOn w:val="Normal"/>
    <w:next w:val="Normal"/>
    <w:autoRedefine/>
    <w:uiPriority w:val="39"/>
    <w:rsid w:val="00FD0F5C"/>
    <w:pPr>
      <w:spacing w:before="120" w:after="120"/>
      <w:ind w:left="720"/>
      <w:jc w:val="both"/>
    </w:pPr>
    <w:rPr>
      <w:sz w:val="20"/>
      <w:szCs w:val="20"/>
    </w:rPr>
  </w:style>
  <w:style w:type="paragraph" w:styleId="TOC6">
    <w:name w:val="toc 6"/>
    <w:basedOn w:val="Normal"/>
    <w:next w:val="Normal"/>
    <w:autoRedefine/>
    <w:uiPriority w:val="39"/>
    <w:rsid w:val="00FD0F5C"/>
    <w:pPr>
      <w:spacing w:before="120" w:after="120"/>
      <w:ind w:left="960"/>
      <w:jc w:val="both"/>
    </w:pPr>
    <w:rPr>
      <w:sz w:val="20"/>
      <w:szCs w:val="20"/>
    </w:rPr>
  </w:style>
  <w:style w:type="paragraph" w:styleId="TOC7">
    <w:name w:val="toc 7"/>
    <w:basedOn w:val="Normal"/>
    <w:next w:val="Normal"/>
    <w:autoRedefine/>
    <w:uiPriority w:val="39"/>
    <w:rsid w:val="00FD0F5C"/>
    <w:pPr>
      <w:spacing w:before="120" w:after="120"/>
      <w:ind w:left="1200"/>
      <w:jc w:val="both"/>
    </w:pPr>
    <w:rPr>
      <w:sz w:val="20"/>
      <w:szCs w:val="20"/>
    </w:rPr>
  </w:style>
  <w:style w:type="paragraph" w:styleId="TOC8">
    <w:name w:val="toc 8"/>
    <w:basedOn w:val="Normal"/>
    <w:next w:val="Normal"/>
    <w:autoRedefine/>
    <w:uiPriority w:val="39"/>
    <w:rsid w:val="00FD0F5C"/>
    <w:pPr>
      <w:spacing w:before="120" w:after="120"/>
      <w:ind w:left="1440"/>
      <w:jc w:val="both"/>
    </w:pPr>
    <w:rPr>
      <w:sz w:val="20"/>
      <w:szCs w:val="20"/>
    </w:rPr>
  </w:style>
  <w:style w:type="paragraph" w:styleId="TOC9">
    <w:name w:val="toc 9"/>
    <w:basedOn w:val="Normal"/>
    <w:next w:val="Normal"/>
    <w:autoRedefine/>
    <w:uiPriority w:val="39"/>
    <w:rsid w:val="00FD0F5C"/>
    <w:pPr>
      <w:spacing w:before="120" w:after="120"/>
      <w:ind w:left="1680"/>
      <w:jc w:val="both"/>
    </w:pPr>
    <w:rPr>
      <w:sz w:val="20"/>
      <w:szCs w:val="20"/>
    </w:rPr>
  </w:style>
  <w:style w:type="character" w:styleId="Hyperlink">
    <w:name w:val="Hyperlink"/>
    <w:uiPriority w:val="99"/>
    <w:rsid w:val="00FD0F5C"/>
    <w:rPr>
      <w:color w:val="0000FF"/>
      <w:u w:val="single"/>
    </w:rPr>
  </w:style>
  <w:style w:type="paragraph" w:styleId="Header">
    <w:name w:val="header"/>
    <w:basedOn w:val="Normal"/>
    <w:link w:val="HeaderChar"/>
    <w:uiPriority w:val="99"/>
    <w:rsid w:val="00FD0F5C"/>
    <w:pPr>
      <w:tabs>
        <w:tab w:val="center" w:pos="4153"/>
        <w:tab w:val="right" w:pos="8306"/>
      </w:tabs>
      <w:spacing w:before="120" w:after="120"/>
      <w:jc w:val="both"/>
    </w:pPr>
    <w:rPr>
      <w:lang w:val="x-none"/>
    </w:rPr>
  </w:style>
  <w:style w:type="paragraph" w:styleId="Footer">
    <w:name w:val="footer"/>
    <w:basedOn w:val="Normal"/>
    <w:link w:val="FooterChar"/>
    <w:uiPriority w:val="99"/>
    <w:rsid w:val="00FD0F5C"/>
    <w:pPr>
      <w:tabs>
        <w:tab w:val="center" w:pos="4153"/>
        <w:tab w:val="right" w:pos="8306"/>
      </w:tabs>
      <w:spacing w:before="120" w:after="120"/>
      <w:jc w:val="both"/>
    </w:pPr>
    <w:rPr>
      <w:lang w:val="x-none"/>
    </w:rPr>
  </w:style>
  <w:style w:type="paragraph" w:styleId="FootnoteText">
    <w:name w:val="footnote text"/>
    <w:aliases w:val="EKOS Footnote Text"/>
    <w:basedOn w:val="Normal"/>
    <w:link w:val="FootnoteTextChar"/>
    <w:uiPriority w:val="99"/>
    <w:rsid w:val="00CD0D04"/>
    <w:pPr>
      <w:spacing w:before="120" w:after="120"/>
      <w:jc w:val="both"/>
    </w:pPr>
    <w:rPr>
      <w:sz w:val="16"/>
      <w:szCs w:val="20"/>
      <w:lang w:val="x-none"/>
    </w:rPr>
  </w:style>
  <w:style w:type="character" w:styleId="FootnoteReference">
    <w:name w:val="footnote reference"/>
    <w:aliases w:val="Footnote Reference (caveat)"/>
    <w:uiPriority w:val="99"/>
    <w:rsid w:val="00FD0F5C"/>
    <w:rPr>
      <w:vertAlign w:val="superscript"/>
    </w:rPr>
  </w:style>
  <w:style w:type="paragraph" w:customStyle="1" w:styleId="Char">
    <w:name w:val="Char"/>
    <w:basedOn w:val="Normal"/>
    <w:uiPriority w:val="99"/>
    <w:rsid w:val="00BF20D2"/>
    <w:pPr>
      <w:spacing w:before="120" w:after="160" w:line="240" w:lineRule="exact"/>
      <w:jc w:val="both"/>
    </w:pPr>
    <w:rPr>
      <w:sz w:val="20"/>
      <w:szCs w:val="20"/>
      <w:lang w:val="en-US"/>
    </w:rPr>
  </w:style>
  <w:style w:type="paragraph" w:customStyle="1" w:styleId="Style18ptBoldDarkBlueCentered">
    <w:name w:val="Style 18 pt Bold Dark Blue Centered"/>
    <w:basedOn w:val="Normal"/>
    <w:uiPriority w:val="99"/>
    <w:rsid w:val="00FD0F5C"/>
    <w:pPr>
      <w:spacing w:before="120" w:after="120"/>
      <w:jc w:val="center"/>
    </w:pPr>
    <w:rPr>
      <w:b/>
      <w:bCs/>
      <w:color w:val="008080"/>
      <w:sz w:val="36"/>
      <w:szCs w:val="36"/>
    </w:rPr>
  </w:style>
  <w:style w:type="character" w:customStyle="1" w:styleId="MaintextCharChar1">
    <w:name w:val="Main text Char Char1"/>
    <w:uiPriority w:val="99"/>
    <w:rsid w:val="00FD0F5C"/>
    <w:rPr>
      <w:rFonts w:ascii="Arial" w:hAnsi="Arial"/>
      <w:sz w:val="24"/>
      <w:szCs w:val="24"/>
      <w:lang w:eastAsia="en-US"/>
    </w:rPr>
  </w:style>
  <w:style w:type="paragraph" w:styleId="BodyText3">
    <w:name w:val="Body Text 3"/>
    <w:basedOn w:val="Normal"/>
    <w:link w:val="BodyText3Char"/>
    <w:uiPriority w:val="99"/>
    <w:rsid w:val="00FD0F5C"/>
    <w:pPr>
      <w:spacing w:before="120" w:after="120"/>
      <w:jc w:val="both"/>
    </w:pPr>
    <w:rPr>
      <w:sz w:val="16"/>
      <w:szCs w:val="16"/>
      <w:lang w:val="x-none"/>
    </w:rPr>
  </w:style>
  <w:style w:type="paragraph" w:customStyle="1" w:styleId="StyleTableBold">
    <w:name w:val="Style Table + Bold"/>
    <w:basedOn w:val="Normal"/>
    <w:uiPriority w:val="99"/>
    <w:rsid w:val="00FD0F5C"/>
    <w:pPr>
      <w:spacing w:before="60" w:after="60"/>
      <w:ind w:left="709"/>
      <w:jc w:val="both"/>
    </w:pPr>
    <w:rPr>
      <w:b/>
      <w:bCs/>
      <w:szCs w:val="20"/>
    </w:rPr>
  </w:style>
  <w:style w:type="paragraph" w:customStyle="1" w:styleId="StyleCentered">
    <w:name w:val="Style Centered"/>
    <w:basedOn w:val="Normal"/>
    <w:uiPriority w:val="99"/>
    <w:rsid w:val="00FD0F5C"/>
    <w:pPr>
      <w:spacing w:before="120" w:after="120"/>
      <w:jc w:val="center"/>
    </w:pPr>
    <w:rPr>
      <w:szCs w:val="20"/>
    </w:rPr>
  </w:style>
  <w:style w:type="paragraph" w:customStyle="1" w:styleId="StyleHeading312ptTeal">
    <w:name w:val="Style Heading 3 + 12 pt Teal"/>
    <w:basedOn w:val="Heading3"/>
    <w:uiPriority w:val="99"/>
    <w:rsid w:val="00FD0F5C"/>
    <w:pPr>
      <w:ind w:left="0"/>
    </w:pPr>
    <w:rPr>
      <w:b/>
      <w:bCs/>
      <w:sz w:val="24"/>
      <w:szCs w:val="26"/>
    </w:rPr>
  </w:style>
  <w:style w:type="paragraph" w:customStyle="1" w:styleId="StyleMaintextItalicFirstline0cm">
    <w:name w:val="Style Main text + Italic First line:  0 cm"/>
    <w:basedOn w:val="Maintext"/>
    <w:uiPriority w:val="99"/>
    <w:rsid w:val="00FD0F5C"/>
    <w:pPr>
      <w:numPr>
        <w:ilvl w:val="0"/>
        <w:numId w:val="0"/>
      </w:numPr>
      <w:tabs>
        <w:tab w:val="num" w:pos="1134"/>
      </w:tabs>
      <w:ind w:left="958" w:right="958"/>
    </w:pPr>
    <w:rPr>
      <w:i/>
      <w:iCs/>
      <w:szCs w:val="20"/>
    </w:rPr>
  </w:style>
  <w:style w:type="paragraph" w:customStyle="1" w:styleId="StyleHeading3Left125cmBefore12ptAfter3pt">
    <w:name w:val="Style Heading 3 + Left:  1.25 cm Before:  12 pt After:  3 pt"/>
    <w:basedOn w:val="Heading3"/>
    <w:uiPriority w:val="99"/>
    <w:rsid w:val="00FD0F5C"/>
    <w:rPr>
      <w:b/>
      <w:bCs/>
      <w:color w:val="auto"/>
      <w:sz w:val="24"/>
      <w:szCs w:val="24"/>
      <w:lang w:val="en-US"/>
    </w:rPr>
  </w:style>
  <w:style w:type="paragraph" w:customStyle="1" w:styleId="StyleMaintextGillSansMT">
    <w:name w:val="Style Main text + Gill Sans MT"/>
    <w:basedOn w:val="Normal"/>
    <w:uiPriority w:val="99"/>
    <w:rsid w:val="00FD0F5C"/>
    <w:pPr>
      <w:numPr>
        <w:ilvl w:val="1"/>
        <w:numId w:val="4"/>
      </w:numPr>
      <w:tabs>
        <w:tab w:val="clear" w:pos="709"/>
        <w:tab w:val="num" w:pos="2149"/>
      </w:tabs>
      <w:spacing w:before="120" w:after="120"/>
      <w:ind w:left="2149" w:hanging="360"/>
      <w:jc w:val="both"/>
    </w:pPr>
    <w:rPr>
      <w:lang w:val="en-US"/>
    </w:rPr>
  </w:style>
  <w:style w:type="character" w:customStyle="1" w:styleId="Char1CharChar">
    <w:name w:val="Char1 Char Char"/>
    <w:uiPriority w:val="99"/>
    <w:rsid w:val="00FD0F5C"/>
    <w:rPr>
      <w:rFonts w:ascii="Arial Bold" w:hAnsi="Arial Bold" w:cs="Arial"/>
      <w:b/>
      <w:bCs/>
      <w:color w:val="008080"/>
      <w:kern w:val="32"/>
      <w:sz w:val="32"/>
      <w:szCs w:val="28"/>
      <w:lang w:eastAsia="en-US"/>
    </w:rPr>
  </w:style>
  <w:style w:type="character" w:customStyle="1" w:styleId="CharChar14">
    <w:name w:val="Char Char14"/>
    <w:uiPriority w:val="99"/>
    <w:rsid w:val="00FD0F5C"/>
    <w:rPr>
      <w:rFonts w:ascii="Arial" w:hAnsi="Arial" w:cs="Arial"/>
      <w:b/>
      <w:bCs/>
      <w:iCs/>
      <w:color w:val="008080"/>
      <w:sz w:val="28"/>
      <w:szCs w:val="28"/>
      <w:lang w:val="en-GB" w:eastAsia="en-US" w:bidi="ar-SA"/>
    </w:rPr>
  </w:style>
  <w:style w:type="paragraph" w:styleId="BodyTextIndent">
    <w:name w:val="Body Text Indent"/>
    <w:basedOn w:val="Normal"/>
    <w:link w:val="BodyTextIndentChar"/>
    <w:uiPriority w:val="99"/>
    <w:rsid w:val="00FD0F5C"/>
    <w:pPr>
      <w:numPr>
        <w:numId w:val="6"/>
      </w:numPr>
      <w:tabs>
        <w:tab w:val="clear" w:pos="1914"/>
      </w:tabs>
      <w:spacing w:before="120" w:after="120"/>
      <w:ind w:left="283" w:firstLine="0"/>
      <w:jc w:val="both"/>
    </w:pPr>
    <w:rPr>
      <w:lang w:val="x-none"/>
    </w:rPr>
  </w:style>
  <w:style w:type="paragraph" w:customStyle="1" w:styleId="GVABullets">
    <w:name w:val="GVA Bullets"/>
    <w:basedOn w:val="Normal"/>
    <w:uiPriority w:val="99"/>
    <w:rsid w:val="00FD0F5C"/>
    <w:pPr>
      <w:numPr>
        <w:numId w:val="2"/>
      </w:numPr>
      <w:spacing w:before="120" w:after="120"/>
      <w:jc w:val="both"/>
    </w:pPr>
  </w:style>
  <w:style w:type="character" w:customStyle="1" w:styleId="MaintextCharChar">
    <w:name w:val="Main text Char Char"/>
    <w:uiPriority w:val="99"/>
    <w:rsid w:val="00FD0F5C"/>
    <w:rPr>
      <w:rFonts w:ascii="Arial" w:hAnsi="Arial"/>
      <w:sz w:val="24"/>
      <w:szCs w:val="24"/>
      <w:lang w:val="en-US" w:eastAsia="en-US" w:bidi="ar-SA"/>
    </w:rPr>
  </w:style>
  <w:style w:type="paragraph" w:styleId="BodyTextIndent3">
    <w:name w:val="Body Text Indent 3"/>
    <w:basedOn w:val="Normal"/>
    <w:link w:val="BodyTextIndent3Char"/>
    <w:uiPriority w:val="99"/>
    <w:rsid w:val="00FD0F5C"/>
    <w:pPr>
      <w:spacing w:before="120" w:after="120"/>
      <w:ind w:left="283"/>
      <w:jc w:val="both"/>
    </w:pPr>
    <w:rPr>
      <w:sz w:val="16"/>
      <w:szCs w:val="16"/>
      <w:lang w:val="x-none"/>
    </w:rPr>
  </w:style>
  <w:style w:type="paragraph" w:customStyle="1" w:styleId="Default">
    <w:name w:val="Default"/>
    <w:uiPriority w:val="99"/>
    <w:rsid w:val="00FD0F5C"/>
    <w:pPr>
      <w:autoSpaceDE w:val="0"/>
      <w:autoSpaceDN w:val="0"/>
      <w:adjustRightInd w:val="0"/>
    </w:pPr>
    <w:rPr>
      <w:rFonts w:ascii="Arial" w:eastAsia="SimSun" w:hAnsi="Arial" w:cs="Arial"/>
      <w:color w:val="000000"/>
      <w:sz w:val="24"/>
      <w:szCs w:val="24"/>
      <w:lang w:eastAsia="zh-CN"/>
    </w:rPr>
  </w:style>
  <w:style w:type="paragraph" w:styleId="BodyText">
    <w:name w:val="Body Text"/>
    <w:basedOn w:val="Normal"/>
    <w:link w:val="BodyTextChar"/>
    <w:uiPriority w:val="99"/>
    <w:rsid w:val="00FD0F5C"/>
    <w:pPr>
      <w:spacing w:before="120" w:after="120"/>
      <w:jc w:val="both"/>
    </w:pPr>
    <w:rPr>
      <w:lang w:val="x-none"/>
    </w:rPr>
  </w:style>
  <w:style w:type="paragraph" w:customStyle="1" w:styleId="StyleHeading312ptWhite">
    <w:name w:val="Style Heading 3 + 12 pt White"/>
    <w:basedOn w:val="Heading3"/>
    <w:uiPriority w:val="99"/>
    <w:rsid w:val="00FD0F5C"/>
    <w:pPr>
      <w:ind w:left="0"/>
    </w:pPr>
    <w:rPr>
      <w:b/>
      <w:bCs/>
      <w:color w:val="FFFFFF"/>
      <w:sz w:val="26"/>
      <w:szCs w:val="20"/>
      <w:lang w:val="en-US"/>
    </w:rPr>
  </w:style>
  <w:style w:type="paragraph" w:customStyle="1" w:styleId="bullets">
    <w:name w:val="bullets"/>
    <w:basedOn w:val="Normal"/>
    <w:uiPriority w:val="99"/>
    <w:rsid w:val="00FD0F5C"/>
    <w:pPr>
      <w:numPr>
        <w:numId w:val="7"/>
      </w:numPr>
      <w:tabs>
        <w:tab w:val="left" w:pos="1276"/>
      </w:tabs>
      <w:spacing w:before="120" w:after="120"/>
      <w:ind w:left="1276" w:hanging="567"/>
      <w:jc w:val="both"/>
    </w:pPr>
    <w:rPr>
      <w:szCs w:val="22"/>
    </w:rPr>
  </w:style>
  <w:style w:type="character" w:customStyle="1" w:styleId="bulletsChar2">
    <w:name w:val="bullets Char2"/>
    <w:uiPriority w:val="99"/>
    <w:rsid w:val="00FD0F5C"/>
    <w:rPr>
      <w:rFonts w:ascii="Arial" w:hAnsi="Arial"/>
      <w:sz w:val="22"/>
      <w:szCs w:val="22"/>
      <w:lang w:eastAsia="en-US"/>
    </w:rPr>
  </w:style>
  <w:style w:type="paragraph" w:styleId="BalloonText">
    <w:name w:val="Balloon Text"/>
    <w:basedOn w:val="Normal"/>
    <w:link w:val="BalloonTextChar"/>
    <w:uiPriority w:val="99"/>
    <w:semiHidden/>
    <w:rsid w:val="00FD0F5C"/>
    <w:pPr>
      <w:spacing w:before="120" w:after="120"/>
      <w:jc w:val="both"/>
    </w:pPr>
    <w:rPr>
      <w:rFonts w:ascii="Tahoma" w:hAnsi="Tahoma"/>
      <w:sz w:val="16"/>
      <w:szCs w:val="16"/>
      <w:lang w:val="x-none"/>
    </w:rPr>
  </w:style>
  <w:style w:type="paragraph" w:styleId="DocumentMap">
    <w:name w:val="Document Map"/>
    <w:basedOn w:val="Normal"/>
    <w:link w:val="DocumentMapChar"/>
    <w:uiPriority w:val="99"/>
    <w:semiHidden/>
    <w:rsid w:val="00FD0F5C"/>
    <w:pPr>
      <w:shd w:val="clear" w:color="auto" w:fill="000080"/>
    </w:pPr>
    <w:rPr>
      <w:rFonts w:ascii="Tahoma" w:hAnsi="Tahoma"/>
      <w:lang w:val="x-none"/>
    </w:rPr>
  </w:style>
  <w:style w:type="character" w:customStyle="1" w:styleId="Hyperlink1">
    <w:name w:val="Hyperlink1"/>
    <w:uiPriority w:val="99"/>
    <w:rsid w:val="00FD0F5C"/>
    <w:rPr>
      <w:strike w:val="0"/>
      <w:dstrike w:val="0"/>
      <w:color w:val="008083"/>
      <w:u w:val="single"/>
      <w:effect w:val="none"/>
      <w:shd w:val="clear" w:color="auto" w:fill="auto"/>
    </w:rPr>
  </w:style>
  <w:style w:type="paragraph" w:customStyle="1" w:styleId="StyleMaintextJustified1">
    <w:name w:val="Style Main text + Justified1"/>
    <w:basedOn w:val="Maintext"/>
    <w:uiPriority w:val="99"/>
    <w:rsid w:val="00FD0F5C"/>
    <w:pPr>
      <w:numPr>
        <w:numId w:val="5"/>
      </w:numPr>
    </w:pPr>
    <w:rPr>
      <w:szCs w:val="20"/>
    </w:rPr>
  </w:style>
  <w:style w:type="character" w:customStyle="1" w:styleId="MaintextChar">
    <w:name w:val="Main text Char"/>
    <w:uiPriority w:val="99"/>
    <w:rsid w:val="00FD0F5C"/>
    <w:rPr>
      <w:rFonts w:ascii="Arial" w:hAnsi="Arial"/>
      <w:sz w:val="24"/>
      <w:szCs w:val="24"/>
      <w:lang w:val="en-GB" w:eastAsia="en-US" w:bidi="ar-SA"/>
    </w:rPr>
  </w:style>
  <w:style w:type="paragraph" w:customStyle="1" w:styleId="StyleMaintextLeft">
    <w:name w:val="Style Main text + Left"/>
    <w:basedOn w:val="Maintext"/>
    <w:uiPriority w:val="99"/>
    <w:rsid w:val="00FD0F5C"/>
    <w:rPr>
      <w:szCs w:val="20"/>
    </w:rPr>
  </w:style>
  <w:style w:type="paragraph" w:customStyle="1" w:styleId="StyleHeading3Firstline125cm">
    <w:name w:val="Style Heading 3 + First line:  1.25 cm"/>
    <w:basedOn w:val="Heading3"/>
    <w:uiPriority w:val="99"/>
    <w:rsid w:val="00FD0F5C"/>
    <w:pPr>
      <w:ind w:left="0" w:firstLine="709"/>
    </w:pPr>
    <w:rPr>
      <w:b/>
      <w:bCs/>
      <w:color w:val="auto"/>
      <w:sz w:val="26"/>
      <w:szCs w:val="20"/>
      <w:lang w:val="en-US"/>
    </w:rPr>
  </w:style>
  <w:style w:type="paragraph" w:styleId="EndnoteText">
    <w:name w:val="endnote text"/>
    <w:basedOn w:val="Normal"/>
    <w:link w:val="EndnoteTextChar"/>
    <w:uiPriority w:val="99"/>
    <w:semiHidden/>
    <w:unhideWhenUsed/>
    <w:rsid w:val="00FD0F5C"/>
    <w:rPr>
      <w:sz w:val="20"/>
      <w:szCs w:val="20"/>
      <w:lang w:val="x-none"/>
    </w:rPr>
  </w:style>
  <w:style w:type="character" w:customStyle="1" w:styleId="CharChar2">
    <w:name w:val="Char Char2"/>
    <w:uiPriority w:val="99"/>
    <w:semiHidden/>
    <w:rsid w:val="00FD0F5C"/>
    <w:rPr>
      <w:rFonts w:ascii="Arial" w:hAnsi="Arial"/>
      <w:lang w:eastAsia="en-US"/>
    </w:rPr>
  </w:style>
  <w:style w:type="character" w:styleId="EndnoteReference">
    <w:name w:val="endnote reference"/>
    <w:uiPriority w:val="99"/>
    <w:semiHidden/>
    <w:unhideWhenUsed/>
    <w:rsid w:val="00FD0F5C"/>
    <w:rPr>
      <w:vertAlign w:val="superscript"/>
    </w:rPr>
  </w:style>
  <w:style w:type="character" w:customStyle="1" w:styleId="CharChar13">
    <w:name w:val="Char Char13"/>
    <w:uiPriority w:val="99"/>
    <w:rsid w:val="00FD0F5C"/>
    <w:rPr>
      <w:rFonts w:ascii="Arial" w:hAnsi="Arial" w:cs="Arial"/>
      <w:color w:val="008080"/>
      <w:sz w:val="28"/>
      <w:szCs w:val="28"/>
      <w:lang w:eastAsia="en-US"/>
    </w:rPr>
  </w:style>
  <w:style w:type="character" w:customStyle="1" w:styleId="CharChar12">
    <w:name w:val="Char Char12"/>
    <w:uiPriority w:val="99"/>
    <w:rsid w:val="00FD0F5C"/>
    <w:rPr>
      <w:rFonts w:ascii="Arial" w:hAnsi="Arial"/>
      <w:bCs/>
      <w:i/>
      <w:color w:val="008080"/>
      <w:sz w:val="24"/>
      <w:szCs w:val="24"/>
      <w:lang w:eastAsia="en-US"/>
    </w:rPr>
  </w:style>
  <w:style w:type="character" w:customStyle="1" w:styleId="DoNotUse5CharChar">
    <w:name w:val="Do Not Use 5 Char Char"/>
    <w:uiPriority w:val="99"/>
    <w:rsid w:val="00FD0F5C"/>
    <w:rPr>
      <w:rFonts w:ascii="Arial" w:hAnsi="Arial"/>
      <w:b/>
      <w:bCs/>
      <w:i/>
      <w:iCs/>
      <w:sz w:val="26"/>
      <w:szCs w:val="26"/>
      <w:lang w:eastAsia="en-US"/>
    </w:rPr>
  </w:style>
  <w:style w:type="character" w:customStyle="1" w:styleId="DoNotUse6CharChar">
    <w:name w:val="Do Not Use 6 Char Char"/>
    <w:uiPriority w:val="99"/>
    <w:rsid w:val="00FD0F5C"/>
    <w:rPr>
      <w:b/>
      <w:bCs/>
      <w:sz w:val="22"/>
      <w:szCs w:val="22"/>
      <w:lang w:eastAsia="en-US"/>
    </w:rPr>
  </w:style>
  <w:style w:type="character" w:customStyle="1" w:styleId="DoNotUse7CharChar">
    <w:name w:val="Do Not Use 7 Char Char"/>
    <w:uiPriority w:val="99"/>
    <w:rsid w:val="00FD0F5C"/>
    <w:rPr>
      <w:sz w:val="24"/>
      <w:szCs w:val="24"/>
      <w:lang w:eastAsia="en-US"/>
    </w:rPr>
  </w:style>
  <w:style w:type="character" w:customStyle="1" w:styleId="DoNotUse8CharChar">
    <w:name w:val="Do Not Use 8 Char Char"/>
    <w:uiPriority w:val="99"/>
    <w:rsid w:val="00FD0F5C"/>
    <w:rPr>
      <w:i/>
      <w:iCs/>
      <w:sz w:val="24"/>
      <w:szCs w:val="24"/>
      <w:lang w:eastAsia="en-US"/>
    </w:rPr>
  </w:style>
  <w:style w:type="character" w:customStyle="1" w:styleId="DoNotUse9CharChar">
    <w:name w:val="Do Not Use 9 Char Char"/>
    <w:uiPriority w:val="99"/>
    <w:rsid w:val="00FD0F5C"/>
    <w:rPr>
      <w:rFonts w:ascii="Arial" w:hAnsi="Arial" w:cs="Arial"/>
      <w:sz w:val="22"/>
      <w:szCs w:val="22"/>
      <w:lang w:eastAsia="en-US"/>
    </w:rPr>
  </w:style>
  <w:style w:type="character" w:customStyle="1" w:styleId="CharChar11">
    <w:name w:val="Char Char11"/>
    <w:uiPriority w:val="99"/>
    <w:rsid w:val="00FD0F5C"/>
    <w:rPr>
      <w:rFonts w:ascii="Arial" w:hAnsi="Arial"/>
      <w:sz w:val="24"/>
      <w:szCs w:val="24"/>
      <w:lang w:eastAsia="en-US"/>
    </w:rPr>
  </w:style>
  <w:style w:type="character" w:customStyle="1" w:styleId="CharChar10">
    <w:name w:val="Char Char10"/>
    <w:uiPriority w:val="99"/>
    <w:rsid w:val="00FD0F5C"/>
    <w:rPr>
      <w:rFonts w:ascii="Arial" w:hAnsi="Arial"/>
      <w:sz w:val="24"/>
      <w:szCs w:val="24"/>
      <w:lang w:eastAsia="en-US"/>
    </w:rPr>
  </w:style>
  <w:style w:type="character" w:customStyle="1" w:styleId="CharChar9">
    <w:name w:val="Char Char9"/>
    <w:uiPriority w:val="99"/>
    <w:semiHidden/>
    <w:rsid w:val="00FD0F5C"/>
    <w:rPr>
      <w:rFonts w:ascii="Arial" w:hAnsi="Arial"/>
      <w:lang w:eastAsia="en-US"/>
    </w:rPr>
  </w:style>
  <w:style w:type="character" w:customStyle="1" w:styleId="CharChar8">
    <w:name w:val="Char Char8"/>
    <w:uiPriority w:val="99"/>
    <w:rsid w:val="00FD0F5C"/>
    <w:rPr>
      <w:sz w:val="16"/>
      <w:szCs w:val="16"/>
      <w:lang w:eastAsia="en-US"/>
    </w:rPr>
  </w:style>
  <w:style w:type="character" w:customStyle="1" w:styleId="CharChar7">
    <w:name w:val="Char Char7"/>
    <w:uiPriority w:val="99"/>
    <w:rsid w:val="00FD0F5C"/>
    <w:rPr>
      <w:rFonts w:ascii="Arial" w:hAnsi="Arial"/>
      <w:sz w:val="24"/>
      <w:szCs w:val="24"/>
      <w:lang w:eastAsia="en-US"/>
    </w:rPr>
  </w:style>
  <w:style w:type="character" w:customStyle="1" w:styleId="CharChar6">
    <w:name w:val="Char Char6"/>
    <w:uiPriority w:val="99"/>
    <w:rsid w:val="00FD0F5C"/>
    <w:rPr>
      <w:rFonts w:ascii="Arial" w:hAnsi="Arial"/>
      <w:sz w:val="16"/>
      <w:szCs w:val="16"/>
      <w:lang w:eastAsia="en-US"/>
    </w:rPr>
  </w:style>
  <w:style w:type="character" w:customStyle="1" w:styleId="CharChar5">
    <w:name w:val="Char Char5"/>
    <w:uiPriority w:val="99"/>
    <w:rsid w:val="00FD0F5C"/>
    <w:rPr>
      <w:sz w:val="24"/>
      <w:szCs w:val="24"/>
      <w:lang w:eastAsia="en-US"/>
    </w:rPr>
  </w:style>
  <w:style w:type="character" w:customStyle="1" w:styleId="CharChar4">
    <w:name w:val="Char Char4"/>
    <w:uiPriority w:val="99"/>
    <w:rsid w:val="00FD0F5C"/>
    <w:rPr>
      <w:rFonts w:ascii="Tahoma" w:hAnsi="Tahoma" w:cs="Tahoma"/>
      <w:sz w:val="16"/>
      <w:szCs w:val="16"/>
      <w:lang w:eastAsia="en-US"/>
    </w:rPr>
  </w:style>
  <w:style w:type="character" w:customStyle="1" w:styleId="CharChar3">
    <w:name w:val="Char Char3"/>
    <w:uiPriority w:val="99"/>
    <w:semiHidden/>
    <w:rsid w:val="00FD0F5C"/>
    <w:rPr>
      <w:rFonts w:ascii="Tahoma" w:hAnsi="Tahoma" w:cs="Tahoma"/>
      <w:sz w:val="24"/>
      <w:szCs w:val="24"/>
      <w:shd w:val="clear" w:color="auto" w:fill="000080"/>
      <w:lang w:eastAsia="en-US"/>
    </w:rPr>
  </w:style>
  <w:style w:type="character" w:styleId="CommentReference">
    <w:name w:val="annotation reference"/>
    <w:uiPriority w:val="99"/>
    <w:rsid w:val="00FD0F5C"/>
    <w:rPr>
      <w:sz w:val="16"/>
      <w:szCs w:val="16"/>
    </w:rPr>
  </w:style>
  <w:style w:type="paragraph" w:styleId="CommentText">
    <w:name w:val="annotation text"/>
    <w:basedOn w:val="Normal"/>
    <w:link w:val="CommentTextChar"/>
    <w:uiPriority w:val="99"/>
    <w:rsid w:val="00FD0F5C"/>
    <w:pPr>
      <w:spacing w:before="120" w:after="120"/>
      <w:jc w:val="both"/>
    </w:pPr>
    <w:rPr>
      <w:sz w:val="20"/>
      <w:szCs w:val="20"/>
      <w:lang w:val="x-none"/>
    </w:rPr>
  </w:style>
  <w:style w:type="paragraph" w:styleId="CommentSubject">
    <w:name w:val="annotation subject"/>
    <w:basedOn w:val="CommentText"/>
    <w:next w:val="CommentText"/>
    <w:link w:val="CommentSubjectChar"/>
    <w:uiPriority w:val="99"/>
    <w:semiHidden/>
    <w:rsid w:val="00FD0F5C"/>
    <w:rPr>
      <w:b/>
      <w:bCs/>
    </w:rPr>
  </w:style>
  <w:style w:type="paragraph" w:customStyle="1" w:styleId="Normal9pt">
    <w:name w:val="Normal + 9 pt"/>
    <w:basedOn w:val="Normal"/>
    <w:uiPriority w:val="99"/>
    <w:rsid w:val="00FD0F5C"/>
    <w:pPr>
      <w:spacing w:before="120" w:after="120" w:line="250" w:lineRule="exact"/>
      <w:jc w:val="both"/>
    </w:pPr>
    <w:rPr>
      <w:sz w:val="18"/>
      <w:szCs w:val="20"/>
    </w:rPr>
  </w:style>
  <w:style w:type="paragraph" w:styleId="BodyText2">
    <w:name w:val="Body Text 2"/>
    <w:basedOn w:val="Normal"/>
    <w:link w:val="BodyText2Char"/>
    <w:uiPriority w:val="99"/>
    <w:rsid w:val="00FD0F5C"/>
    <w:pPr>
      <w:spacing w:before="120" w:after="120" w:line="480" w:lineRule="auto"/>
      <w:jc w:val="both"/>
    </w:pPr>
    <w:rPr>
      <w:lang w:val="x-none"/>
    </w:rPr>
  </w:style>
  <w:style w:type="character" w:customStyle="1" w:styleId="CharChar1">
    <w:name w:val="Char Char1"/>
    <w:uiPriority w:val="99"/>
    <w:rsid w:val="00FD0F5C"/>
    <w:rPr>
      <w:rFonts w:ascii="Arial" w:hAnsi="Arial"/>
      <w:sz w:val="24"/>
      <w:szCs w:val="24"/>
      <w:lang w:eastAsia="en-US"/>
    </w:rPr>
  </w:style>
  <w:style w:type="character" w:customStyle="1" w:styleId="FootnoteTextChar">
    <w:name w:val="Footnote Text Char"/>
    <w:aliases w:val="EKOS Footnote Text Char"/>
    <w:link w:val="FootnoteText"/>
    <w:uiPriority w:val="99"/>
    <w:rsid w:val="00CD0D04"/>
    <w:rPr>
      <w:rFonts w:ascii="Arial" w:hAnsi="Arial"/>
      <w:sz w:val="16"/>
      <w:lang w:val="x-none" w:eastAsia="en-US"/>
    </w:rPr>
  </w:style>
  <w:style w:type="paragraph" w:styleId="ListParagraph">
    <w:name w:val="List Paragraph"/>
    <w:aliases w:val="Sub Head,Main-bullets,List Paragraph1,F5 List Paragraph,List Paragraph11,Numbered Para 1,Dot pt,List Paragraph Char Char Char,Indicator Text,Bullet Points,MAIN CONTENT,List Paragraph12"/>
    <w:basedOn w:val="Normal"/>
    <w:link w:val="ListParagraphChar"/>
    <w:uiPriority w:val="34"/>
    <w:rsid w:val="00BC23BD"/>
    <w:pPr>
      <w:spacing w:before="120" w:after="120"/>
      <w:ind w:left="720"/>
      <w:jc w:val="both"/>
    </w:pPr>
    <w:rPr>
      <w:lang w:val="x-none"/>
    </w:rPr>
  </w:style>
  <w:style w:type="character" w:customStyle="1" w:styleId="clear">
    <w:name w:val="clear"/>
    <w:basedOn w:val="DefaultParagraphFont"/>
    <w:uiPriority w:val="99"/>
    <w:rsid w:val="008704CC"/>
  </w:style>
  <w:style w:type="character" w:customStyle="1" w:styleId="Heading1Char">
    <w:name w:val="Heading 1 Char"/>
    <w:aliases w:val="Heading 1 New Char,Char1 Char,Section Char,Chapter Hdg Char,Economics Section Char,New Section Char,Economics Section Heading Char,My Heading 1 Char,Lev 1 Char,Section Heading Char,(Alt 1) Char,Numbered - 1 Char,Outline1 Char,1 ghost Char"/>
    <w:link w:val="Heading1"/>
    <w:rsid w:val="00E05649"/>
    <w:rPr>
      <w:rFonts w:ascii="Calibri" w:hAnsi="Calibri"/>
      <w:bCs/>
      <w:color w:val="009999"/>
      <w:kern w:val="32"/>
      <w:sz w:val="40"/>
      <w:szCs w:val="28"/>
      <w:lang w:val="x-none" w:eastAsia="en-US"/>
    </w:rPr>
  </w:style>
  <w:style w:type="character" w:customStyle="1" w:styleId="Heading2Char">
    <w:name w:val="Heading 2 Char"/>
    <w:link w:val="Heading2"/>
    <w:uiPriority w:val="99"/>
    <w:rsid w:val="00EF1527"/>
    <w:rPr>
      <w:rFonts w:ascii="Arial" w:hAnsi="Arial"/>
      <w:bCs/>
      <w:iCs/>
      <w:color w:val="009999"/>
      <w:sz w:val="32"/>
      <w:szCs w:val="28"/>
      <w:lang w:val="x-none" w:eastAsia="en-US"/>
    </w:rPr>
  </w:style>
  <w:style w:type="character" w:customStyle="1" w:styleId="apple-converted-space">
    <w:name w:val="apple-converted-space"/>
    <w:basedOn w:val="DefaultParagraphFont"/>
    <w:rsid w:val="00E864F4"/>
  </w:style>
  <w:style w:type="paragraph" w:styleId="Revision">
    <w:name w:val="Revision"/>
    <w:hidden/>
    <w:uiPriority w:val="99"/>
    <w:semiHidden/>
    <w:rsid w:val="000F16B2"/>
    <w:rPr>
      <w:rFonts w:ascii="Arial" w:hAnsi="Arial"/>
      <w:sz w:val="24"/>
      <w:szCs w:val="24"/>
      <w:lang w:eastAsia="en-US"/>
    </w:rPr>
  </w:style>
  <w:style w:type="character" w:customStyle="1" w:styleId="Heading3Char1">
    <w:name w:val="Heading 3 Char1"/>
    <w:aliases w:val="Heading3 Char"/>
    <w:link w:val="Heading3"/>
    <w:uiPriority w:val="99"/>
    <w:rsid w:val="00E05649"/>
    <w:rPr>
      <w:rFonts w:ascii="Arial" w:hAnsi="Arial"/>
      <w:color w:val="009999"/>
      <w:sz w:val="28"/>
      <w:szCs w:val="28"/>
      <w:lang w:val="x-none" w:eastAsia="en-US"/>
    </w:rPr>
  </w:style>
  <w:style w:type="character" w:customStyle="1" w:styleId="Heading4Char">
    <w:name w:val="Heading 4 Char"/>
    <w:link w:val="Heading4"/>
    <w:uiPriority w:val="99"/>
    <w:rsid w:val="00844F11"/>
    <w:rPr>
      <w:rFonts w:ascii="Arial" w:hAnsi="Arial"/>
      <w:bCs/>
      <w:i/>
      <w:color w:val="009999"/>
      <w:sz w:val="24"/>
      <w:szCs w:val="24"/>
      <w:lang w:val="x-none" w:eastAsia="en-US"/>
    </w:rPr>
  </w:style>
  <w:style w:type="character" w:customStyle="1" w:styleId="Heading5Char">
    <w:name w:val="Heading 5 Char"/>
    <w:aliases w:val="Do Not Use 5 Char,Economics Bullets Char,paragraph Char,Bold &amp; Italic Char,Paragraph Text Char,Lower Case Char2,Lower Case Char Char,Heading 5 Char1 Char,Lower Case Char1 Char,Bold &amp; Italic Char1 Char,paragraph Char Char Char Char"/>
    <w:link w:val="Heading5"/>
    <w:uiPriority w:val="99"/>
    <w:rsid w:val="002A4C96"/>
    <w:rPr>
      <w:rFonts w:ascii="Calibri" w:hAnsi="Calibri"/>
      <w:b/>
      <w:bCs/>
      <w:i/>
      <w:iCs/>
      <w:sz w:val="26"/>
      <w:szCs w:val="26"/>
      <w:lang w:val="x-none" w:eastAsia="en-US"/>
    </w:rPr>
  </w:style>
  <w:style w:type="character" w:customStyle="1" w:styleId="Heading6Char">
    <w:name w:val="Heading 6 Char"/>
    <w:aliases w:val="Do Not Use 6 Char,Economics Bullets 2 Char,level 1 bullet Char,Legal Level 1. Char,level 1 bullet 1 Char,level 1 bullet Char Char Char Char,level 1 bullet 1 Char Char Char Char,level 1 bullet 1 Char Char Char Char Char Char Char Char"/>
    <w:link w:val="Heading6"/>
    <w:uiPriority w:val="99"/>
    <w:rsid w:val="002A4C96"/>
    <w:rPr>
      <w:rFonts w:ascii="Calibri" w:hAnsi="Calibri"/>
      <w:b/>
      <w:bCs/>
      <w:sz w:val="24"/>
      <w:szCs w:val="22"/>
      <w:lang w:val="x-none" w:eastAsia="en-US"/>
    </w:rPr>
  </w:style>
  <w:style w:type="character" w:customStyle="1" w:styleId="Heading7Char">
    <w:name w:val="Heading 7 Char"/>
    <w:aliases w:val="Do Not Use 7 Char,Economics List (i) Char,level 2 bullets Char,Legal Level 1.1. Char"/>
    <w:link w:val="Heading7"/>
    <w:uiPriority w:val="99"/>
    <w:rsid w:val="002A4C96"/>
    <w:rPr>
      <w:rFonts w:ascii="Calibri" w:hAnsi="Calibri"/>
      <w:sz w:val="24"/>
      <w:szCs w:val="24"/>
      <w:lang w:val="x-none" w:eastAsia="en-US"/>
    </w:rPr>
  </w:style>
  <w:style w:type="character" w:customStyle="1" w:styleId="Heading8Char">
    <w:name w:val="Heading 8 Char"/>
    <w:aliases w:val="Do Not Use 8 Char,Economics List (a) Char,level 3 bullets Char,Legal Level 1.1.1. Char,Bullet 3 Char"/>
    <w:link w:val="Heading8"/>
    <w:uiPriority w:val="99"/>
    <w:rsid w:val="002A4C96"/>
    <w:rPr>
      <w:rFonts w:ascii="Calibri" w:hAnsi="Calibri"/>
      <w:i/>
      <w:iCs/>
      <w:sz w:val="24"/>
      <w:szCs w:val="24"/>
      <w:lang w:val="x-none" w:eastAsia="en-US"/>
    </w:rPr>
  </w:style>
  <w:style w:type="character" w:customStyle="1" w:styleId="Heading9Char">
    <w:name w:val="Heading 9 Char"/>
    <w:aliases w:val="Do Not Use 9 Char,Legal Level 1.1.1.1. Char"/>
    <w:link w:val="Heading9"/>
    <w:uiPriority w:val="99"/>
    <w:rsid w:val="002A4C96"/>
    <w:rPr>
      <w:rFonts w:ascii="Calibri" w:hAnsi="Calibri"/>
      <w:sz w:val="24"/>
      <w:szCs w:val="22"/>
      <w:lang w:val="x-none" w:eastAsia="en-US"/>
    </w:rPr>
  </w:style>
  <w:style w:type="character" w:customStyle="1" w:styleId="HeaderChar">
    <w:name w:val="Header Char"/>
    <w:link w:val="Header"/>
    <w:uiPriority w:val="99"/>
    <w:rsid w:val="002A4C96"/>
    <w:rPr>
      <w:rFonts w:ascii="Arial" w:hAnsi="Arial"/>
      <w:sz w:val="24"/>
      <w:szCs w:val="24"/>
      <w:lang w:eastAsia="en-US"/>
    </w:rPr>
  </w:style>
  <w:style w:type="character" w:customStyle="1" w:styleId="FooterChar">
    <w:name w:val="Footer Char"/>
    <w:link w:val="Footer"/>
    <w:uiPriority w:val="99"/>
    <w:rsid w:val="002A4C96"/>
    <w:rPr>
      <w:rFonts w:ascii="Arial" w:hAnsi="Arial"/>
      <w:sz w:val="24"/>
      <w:szCs w:val="24"/>
      <w:lang w:eastAsia="en-US"/>
    </w:rPr>
  </w:style>
  <w:style w:type="character" w:customStyle="1" w:styleId="BodyText3Char">
    <w:name w:val="Body Text 3 Char"/>
    <w:link w:val="BodyText3"/>
    <w:uiPriority w:val="99"/>
    <w:rsid w:val="002A4C96"/>
    <w:rPr>
      <w:sz w:val="16"/>
      <w:szCs w:val="16"/>
      <w:lang w:eastAsia="en-US"/>
    </w:rPr>
  </w:style>
  <w:style w:type="character" w:customStyle="1" w:styleId="BodyTextIndentChar">
    <w:name w:val="Body Text Indent Char"/>
    <w:link w:val="BodyTextIndent"/>
    <w:uiPriority w:val="99"/>
    <w:rsid w:val="002A4C96"/>
    <w:rPr>
      <w:rFonts w:ascii="Calibri" w:hAnsi="Calibri"/>
      <w:sz w:val="24"/>
      <w:szCs w:val="24"/>
      <w:lang w:val="x-none" w:eastAsia="en-US"/>
    </w:rPr>
  </w:style>
  <w:style w:type="character" w:customStyle="1" w:styleId="BodyTextIndent3Char">
    <w:name w:val="Body Text Indent 3 Char"/>
    <w:link w:val="BodyTextIndent3"/>
    <w:uiPriority w:val="99"/>
    <w:rsid w:val="002A4C96"/>
    <w:rPr>
      <w:rFonts w:ascii="Arial" w:hAnsi="Arial"/>
      <w:sz w:val="16"/>
      <w:szCs w:val="16"/>
      <w:lang w:eastAsia="en-US"/>
    </w:rPr>
  </w:style>
  <w:style w:type="character" w:customStyle="1" w:styleId="BodyTextChar">
    <w:name w:val="Body Text Char"/>
    <w:link w:val="BodyText"/>
    <w:uiPriority w:val="99"/>
    <w:rsid w:val="002A4C96"/>
    <w:rPr>
      <w:sz w:val="24"/>
      <w:szCs w:val="24"/>
      <w:lang w:eastAsia="en-US"/>
    </w:rPr>
  </w:style>
  <w:style w:type="character" w:customStyle="1" w:styleId="BalloonTextChar">
    <w:name w:val="Balloon Text Char"/>
    <w:link w:val="BalloonText"/>
    <w:uiPriority w:val="99"/>
    <w:semiHidden/>
    <w:rsid w:val="002A4C96"/>
    <w:rPr>
      <w:rFonts w:ascii="Tahoma" w:hAnsi="Tahoma" w:cs="Tahoma"/>
      <w:sz w:val="16"/>
      <w:szCs w:val="16"/>
      <w:lang w:eastAsia="en-US"/>
    </w:rPr>
  </w:style>
  <w:style w:type="character" w:customStyle="1" w:styleId="DocumentMapChar">
    <w:name w:val="Document Map Char"/>
    <w:link w:val="DocumentMap"/>
    <w:uiPriority w:val="99"/>
    <w:semiHidden/>
    <w:rsid w:val="002A4C96"/>
    <w:rPr>
      <w:rFonts w:ascii="Tahoma" w:hAnsi="Tahoma" w:cs="Tahoma"/>
      <w:sz w:val="24"/>
      <w:szCs w:val="24"/>
      <w:shd w:val="clear" w:color="auto" w:fill="000080"/>
      <w:lang w:eastAsia="en-US"/>
    </w:rPr>
  </w:style>
  <w:style w:type="character" w:customStyle="1" w:styleId="EndnoteTextChar">
    <w:name w:val="Endnote Text Char"/>
    <w:link w:val="EndnoteText"/>
    <w:uiPriority w:val="99"/>
    <w:semiHidden/>
    <w:rsid w:val="002A4C96"/>
    <w:rPr>
      <w:rFonts w:ascii="Arial" w:hAnsi="Arial"/>
      <w:lang w:eastAsia="en-US"/>
    </w:rPr>
  </w:style>
  <w:style w:type="character" w:customStyle="1" w:styleId="CommentTextChar">
    <w:name w:val="Comment Text Char"/>
    <w:link w:val="CommentText"/>
    <w:uiPriority w:val="99"/>
    <w:rsid w:val="002A4C96"/>
    <w:rPr>
      <w:rFonts w:ascii="Arial" w:hAnsi="Arial"/>
      <w:lang w:eastAsia="en-US"/>
    </w:rPr>
  </w:style>
  <w:style w:type="character" w:customStyle="1" w:styleId="CommentSubjectChar">
    <w:name w:val="Comment Subject Char"/>
    <w:link w:val="CommentSubject"/>
    <w:uiPriority w:val="99"/>
    <w:semiHidden/>
    <w:rsid w:val="002A4C96"/>
    <w:rPr>
      <w:rFonts w:ascii="Arial" w:hAnsi="Arial"/>
      <w:b/>
      <w:bCs/>
      <w:lang w:eastAsia="en-US"/>
    </w:rPr>
  </w:style>
  <w:style w:type="character" w:customStyle="1" w:styleId="BodyText2Char">
    <w:name w:val="Body Text 2 Char"/>
    <w:link w:val="BodyText2"/>
    <w:uiPriority w:val="99"/>
    <w:rsid w:val="002A4C96"/>
    <w:rPr>
      <w:rFonts w:ascii="Arial" w:hAnsi="Arial"/>
      <w:sz w:val="24"/>
      <w:szCs w:val="24"/>
      <w:lang w:eastAsia="en-US"/>
    </w:rPr>
  </w:style>
  <w:style w:type="table" w:styleId="TableGrid">
    <w:name w:val="Table Grid"/>
    <w:basedOn w:val="TableNormal"/>
    <w:uiPriority w:val="59"/>
    <w:rsid w:val="002A4C96"/>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C16473"/>
    <w:rPr>
      <w:color w:val="800080"/>
      <w:u w:val="single"/>
    </w:rPr>
  </w:style>
  <w:style w:type="paragraph" w:styleId="PlainText">
    <w:name w:val="Plain Text"/>
    <w:basedOn w:val="Normal"/>
    <w:link w:val="PlainTextChar"/>
    <w:uiPriority w:val="99"/>
    <w:rsid w:val="00C16473"/>
    <w:pPr>
      <w:spacing w:before="120" w:after="120"/>
      <w:jc w:val="both"/>
    </w:pPr>
    <w:rPr>
      <w:sz w:val="20"/>
      <w:szCs w:val="20"/>
      <w:lang w:val="x-none"/>
    </w:rPr>
  </w:style>
  <w:style w:type="character" w:customStyle="1" w:styleId="Heading3Char">
    <w:name w:val="Heading 3 Char"/>
    <w:uiPriority w:val="99"/>
    <w:rsid w:val="00C16473"/>
    <w:rPr>
      <w:rFonts w:ascii="Arial" w:hAnsi="Arial" w:cs="Arial"/>
      <w:color w:val="008080"/>
      <w:sz w:val="28"/>
      <w:szCs w:val="28"/>
      <w:lang w:val="en-GB" w:eastAsia="en-US" w:bidi="ar-SA"/>
    </w:rPr>
  </w:style>
  <w:style w:type="paragraph" w:customStyle="1" w:styleId="CM33">
    <w:name w:val="CM33"/>
    <w:basedOn w:val="Normal"/>
    <w:next w:val="Normal"/>
    <w:uiPriority w:val="99"/>
    <w:rsid w:val="00C16473"/>
    <w:pPr>
      <w:widowControl w:val="0"/>
      <w:autoSpaceDE w:val="0"/>
      <w:autoSpaceDN w:val="0"/>
      <w:adjustRightInd w:val="0"/>
      <w:spacing w:before="120" w:after="268"/>
      <w:jc w:val="both"/>
    </w:pPr>
    <w:rPr>
      <w:rFonts w:ascii="Georgia" w:hAnsi="Georgia"/>
      <w:lang w:val="en-US"/>
    </w:rPr>
  </w:style>
  <w:style w:type="paragraph" w:customStyle="1" w:styleId="CM37">
    <w:name w:val="CM37"/>
    <w:basedOn w:val="Default"/>
    <w:next w:val="Default"/>
    <w:uiPriority w:val="99"/>
    <w:rsid w:val="00C16473"/>
    <w:pPr>
      <w:widowControl w:val="0"/>
      <w:spacing w:after="768"/>
    </w:pPr>
    <w:rPr>
      <w:rFonts w:ascii="Georgia" w:eastAsia="Times New Roman" w:hAnsi="Georgia" w:cs="Times New Roman"/>
      <w:color w:val="auto"/>
      <w:lang w:val="en-US" w:eastAsia="en-US"/>
    </w:rPr>
  </w:style>
  <w:style w:type="paragraph" w:styleId="NormalWeb">
    <w:name w:val="Normal (Web)"/>
    <w:basedOn w:val="Normal"/>
    <w:uiPriority w:val="99"/>
    <w:rsid w:val="00C16473"/>
    <w:pPr>
      <w:spacing w:before="100" w:beforeAutospacing="1" w:after="100" w:afterAutospacing="1"/>
      <w:jc w:val="both"/>
    </w:pPr>
    <w:rPr>
      <w:lang w:eastAsia="en-GB"/>
    </w:rPr>
  </w:style>
  <w:style w:type="character" w:customStyle="1" w:styleId="legdslegrhslegp2text">
    <w:name w:val="legds legrhs legp2text"/>
    <w:basedOn w:val="DefaultParagraphFont"/>
    <w:uiPriority w:val="99"/>
    <w:rsid w:val="00C16473"/>
  </w:style>
  <w:style w:type="character" w:customStyle="1" w:styleId="legdslegp1grouptitle">
    <w:name w:val="legds legp1grouptitle"/>
    <w:basedOn w:val="DefaultParagraphFont"/>
    <w:uiPriority w:val="99"/>
    <w:rsid w:val="00C16473"/>
  </w:style>
  <w:style w:type="character" w:customStyle="1" w:styleId="BodytextdcChar">
    <w:name w:val="Body text dc Char"/>
    <w:link w:val="Bodytextdc"/>
    <w:uiPriority w:val="99"/>
    <w:locked/>
    <w:rsid w:val="001C2C07"/>
    <w:rPr>
      <w:rFonts w:ascii="TimesNewRomanPS" w:hAnsi="TimesNewRomanPS" w:cs="TimesNewRomanPS"/>
      <w:color w:val="000000"/>
      <w:sz w:val="28"/>
      <w:szCs w:val="28"/>
      <w:lang w:eastAsia="en-US"/>
    </w:rPr>
  </w:style>
  <w:style w:type="paragraph" w:customStyle="1" w:styleId="Bodytextdc">
    <w:name w:val="Body text dc"/>
    <w:basedOn w:val="Normal"/>
    <w:link w:val="BodytextdcChar"/>
    <w:uiPriority w:val="99"/>
    <w:rsid w:val="001C2C07"/>
    <w:pPr>
      <w:widowControl w:val="0"/>
      <w:tabs>
        <w:tab w:val="left" w:pos="539"/>
        <w:tab w:val="left" w:pos="850"/>
      </w:tabs>
      <w:suppressAutoHyphens/>
      <w:autoSpaceDE w:val="0"/>
      <w:autoSpaceDN w:val="0"/>
      <w:adjustRightInd w:val="0"/>
      <w:spacing w:before="120" w:after="280" w:line="340" w:lineRule="atLeast"/>
      <w:jc w:val="both"/>
    </w:pPr>
    <w:rPr>
      <w:rFonts w:ascii="TimesNewRomanPS" w:hAnsi="TimesNewRomanPS"/>
      <w:color w:val="000000"/>
      <w:sz w:val="28"/>
      <w:szCs w:val="28"/>
      <w:lang w:val="x-none"/>
    </w:rPr>
  </w:style>
  <w:style w:type="table" w:styleId="TableColumns3">
    <w:name w:val="Table Columns 3"/>
    <w:basedOn w:val="TableNormal"/>
    <w:uiPriority w:val="99"/>
    <w:rsid w:val="001C2C07"/>
    <w:pPr>
      <w:spacing w:before="12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Reporttext">
    <w:name w:val="Report text"/>
    <w:basedOn w:val="Maintext"/>
    <w:link w:val="ReporttextChar"/>
    <w:qFormat/>
    <w:rsid w:val="00EF1527"/>
    <w:pPr>
      <w:numPr>
        <w:numId w:val="20"/>
      </w:numPr>
      <w:tabs>
        <w:tab w:val="left" w:pos="709"/>
      </w:tabs>
    </w:pPr>
  </w:style>
  <w:style w:type="character" w:customStyle="1" w:styleId="MaintextChar1">
    <w:name w:val="Main text Char1"/>
    <w:link w:val="Maintext"/>
    <w:uiPriority w:val="99"/>
    <w:rsid w:val="001C2C07"/>
    <w:rPr>
      <w:rFonts w:ascii="Calibri" w:hAnsi="Calibri"/>
      <w:sz w:val="24"/>
      <w:szCs w:val="24"/>
      <w:lang w:val="x-none" w:eastAsia="en-US"/>
    </w:rPr>
  </w:style>
  <w:style w:type="character" w:customStyle="1" w:styleId="ReporttextChar">
    <w:name w:val="Report text Char"/>
    <w:link w:val="Reporttext"/>
    <w:rsid w:val="00EF1527"/>
    <w:rPr>
      <w:rFonts w:ascii="Calibri" w:hAnsi="Calibri"/>
      <w:sz w:val="24"/>
      <w:szCs w:val="24"/>
      <w:lang w:val="x-none" w:eastAsia="en-US"/>
    </w:rPr>
  </w:style>
  <w:style w:type="table" w:styleId="LightList-Accent4">
    <w:name w:val="Light List Accent 4"/>
    <w:basedOn w:val="TableNormal"/>
    <w:uiPriority w:val="99"/>
    <w:rsid w:val="00185C4E"/>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Spacing">
    <w:name w:val="No Spacing"/>
    <w:link w:val="NoSpacingChar"/>
    <w:uiPriority w:val="99"/>
    <w:rsid w:val="0004072A"/>
    <w:rPr>
      <w:rFonts w:ascii="Calibri" w:hAnsi="Calibri"/>
      <w:sz w:val="22"/>
      <w:szCs w:val="22"/>
      <w:lang w:val="en-US" w:eastAsia="en-US"/>
    </w:rPr>
  </w:style>
  <w:style w:type="character" w:customStyle="1" w:styleId="NoSpacingChar">
    <w:name w:val="No Spacing Char"/>
    <w:link w:val="NoSpacing"/>
    <w:uiPriority w:val="99"/>
    <w:rsid w:val="0004072A"/>
    <w:rPr>
      <w:rFonts w:ascii="Calibri" w:hAnsi="Calibri"/>
      <w:sz w:val="22"/>
      <w:szCs w:val="22"/>
      <w:lang w:val="en-US" w:eastAsia="en-US" w:bidi="ar-SA"/>
    </w:rPr>
  </w:style>
  <w:style w:type="table" w:customStyle="1" w:styleId="LightList-Accent11">
    <w:name w:val="Light List - Accent 11"/>
    <w:basedOn w:val="TableNormal"/>
    <w:uiPriority w:val="99"/>
    <w:rsid w:val="00100EF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yleHelveticaNeue-Light24pt">
    <w:name w:val="Style HelveticaNeue-Light 24 pt"/>
    <w:uiPriority w:val="99"/>
    <w:rsid w:val="002F1584"/>
    <w:rPr>
      <w:rFonts w:ascii="Arial" w:hAnsi="Arial"/>
      <w:sz w:val="48"/>
    </w:rPr>
  </w:style>
  <w:style w:type="paragraph" w:customStyle="1" w:styleId="abullet">
    <w:name w:val="a. bullet"/>
    <w:basedOn w:val="PlainText"/>
    <w:uiPriority w:val="99"/>
    <w:rsid w:val="006458D3"/>
    <w:pPr>
      <w:numPr>
        <w:numId w:val="8"/>
      </w:numPr>
    </w:pPr>
    <w:rPr>
      <w:rFonts w:eastAsia="MS Mincho"/>
    </w:rPr>
  </w:style>
  <w:style w:type="paragraph" w:customStyle="1" w:styleId="1bullet">
    <w:name w:val="1. bullet"/>
    <w:basedOn w:val="PlainText"/>
    <w:uiPriority w:val="99"/>
    <w:rsid w:val="006458D3"/>
    <w:pPr>
      <w:tabs>
        <w:tab w:val="num" w:pos="709"/>
      </w:tabs>
      <w:ind w:left="709" w:hanging="709"/>
    </w:pPr>
    <w:rPr>
      <w:rFonts w:eastAsia="MS Mincho"/>
    </w:rPr>
  </w:style>
  <w:style w:type="paragraph" w:customStyle="1" w:styleId="2bullet">
    <w:name w:val="2. bullet"/>
    <w:basedOn w:val="1bullet"/>
    <w:uiPriority w:val="99"/>
    <w:rsid w:val="006458D3"/>
    <w:pPr>
      <w:tabs>
        <w:tab w:val="clear" w:pos="709"/>
        <w:tab w:val="num" w:pos="1134"/>
      </w:tabs>
      <w:ind w:left="1134" w:hanging="425"/>
    </w:pPr>
  </w:style>
  <w:style w:type="paragraph" w:customStyle="1" w:styleId="3bullet">
    <w:name w:val="3. bullet"/>
    <w:basedOn w:val="2bullet"/>
    <w:uiPriority w:val="99"/>
    <w:rsid w:val="006458D3"/>
    <w:pPr>
      <w:numPr>
        <w:numId w:val="11"/>
      </w:numPr>
    </w:pPr>
  </w:style>
  <w:style w:type="paragraph" w:customStyle="1" w:styleId="xl24">
    <w:name w:val="xl24"/>
    <w:basedOn w:val="Normal"/>
    <w:uiPriority w:val="99"/>
    <w:rsid w:val="006458D3"/>
    <w:pPr>
      <w:spacing w:before="100" w:beforeAutospacing="1" w:after="100" w:afterAutospacing="1"/>
      <w:jc w:val="both"/>
    </w:pPr>
    <w:rPr>
      <w:rFonts w:cs="Arial"/>
    </w:rPr>
  </w:style>
  <w:style w:type="paragraph" w:customStyle="1" w:styleId="xl25">
    <w:name w:val="xl25"/>
    <w:basedOn w:val="Normal"/>
    <w:uiPriority w:val="99"/>
    <w:rsid w:val="006458D3"/>
    <w:pPr>
      <w:spacing w:before="100" w:beforeAutospacing="1" w:after="100" w:afterAutospacing="1"/>
      <w:jc w:val="both"/>
    </w:pPr>
    <w:rPr>
      <w:rFonts w:cs="Arial"/>
      <w:sz w:val="16"/>
      <w:szCs w:val="16"/>
    </w:rPr>
  </w:style>
  <w:style w:type="character" w:customStyle="1" w:styleId="highlightedsearchterm">
    <w:name w:val="highlightedsearchterm"/>
    <w:basedOn w:val="DefaultParagraphFont"/>
    <w:uiPriority w:val="99"/>
    <w:rsid w:val="006458D3"/>
  </w:style>
  <w:style w:type="character" w:customStyle="1" w:styleId="PlainTextChar">
    <w:name w:val="Plain Text Char"/>
    <w:link w:val="PlainText"/>
    <w:uiPriority w:val="99"/>
    <w:rsid w:val="00EF389E"/>
    <w:rPr>
      <w:rFonts w:ascii="Arial" w:hAnsi="Arial" w:cs="Courier New"/>
      <w:lang w:eastAsia="en-US"/>
    </w:rPr>
  </w:style>
  <w:style w:type="paragraph" w:customStyle="1" w:styleId="tableheading">
    <w:name w:val="tableheading"/>
    <w:basedOn w:val="Normal"/>
    <w:next w:val="Normal"/>
    <w:link w:val="tableheadingChar"/>
    <w:uiPriority w:val="99"/>
    <w:qFormat/>
    <w:rsid w:val="003B06E4"/>
    <w:pPr>
      <w:spacing w:before="120" w:after="120"/>
      <w:jc w:val="both"/>
    </w:pPr>
    <w:rPr>
      <w:rFonts w:cs="Arial"/>
      <w:b/>
      <w:color w:val="FFFFFF" w:themeColor="background1"/>
      <w:sz w:val="22"/>
      <w:lang w:val="x-none"/>
    </w:rPr>
  </w:style>
  <w:style w:type="paragraph" w:customStyle="1" w:styleId="bullet">
    <w:name w:val="bullet"/>
    <w:basedOn w:val="ListParagraph"/>
    <w:link w:val="bulletChar"/>
    <w:qFormat/>
    <w:rsid w:val="0063425F"/>
    <w:pPr>
      <w:numPr>
        <w:numId w:val="9"/>
      </w:numPr>
    </w:pPr>
  </w:style>
  <w:style w:type="character" w:customStyle="1" w:styleId="tableheadingChar">
    <w:name w:val="tableheading Char"/>
    <w:link w:val="tableheading"/>
    <w:uiPriority w:val="99"/>
    <w:rsid w:val="003B06E4"/>
    <w:rPr>
      <w:rFonts w:ascii="Calibri" w:hAnsi="Calibri" w:cs="Arial"/>
      <w:b/>
      <w:color w:val="FFFFFF" w:themeColor="background1"/>
      <w:sz w:val="22"/>
      <w:szCs w:val="24"/>
      <w:lang w:val="x-none" w:eastAsia="en-US"/>
    </w:rPr>
  </w:style>
  <w:style w:type="paragraph" w:customStyle="1" w:styleId="mapheading">
    <w:name w:val="mapheading"/>
    <w:basedOn w:val="Normal"/>
    <w:link w:val="mapheadingChar"/>
    <w:uiPriority w:val="99"/>
    <w:qFormat/>
    <w:rsid w:val="001D2A84"/>
    <w:pPr>
      <w:keepNext/>
      <w:spacing w:before="120" w:after="120"/>
      <w:jc w:val="both"/>
    </w:pPr>
    <w:rPr>
      <w:b/>
      <w:color w:val="009999"/>
      <w:sz w:val="22"/>
      <w:lang w:val="x-none"/>
    </w:rPr>
  </w:style>
  <w:style w:type="character" w:customStyle="1" w:styleId="ListParagraphChar">
    <w:name w:val="List Paragraph Char"/>
    <w:aliases w:val="Sub Head Char,Main-bullets Char1,List Paragraph1 Char,F5 List Paragraph Char,List Paragraph11 Char,Numbered Para 1 Char,Dot pt Char,List Paragraph Char Char Char Char,Indicator Text Char,Bullet Points Char,MAIN CONTENT Char"/>
    <w:link w:val="ListParagraph"/>
    <w:uiPriority w:val="34"/>
    <w:rsid w:val="0017107B"/>
    <w:rPr>
      <w:rFonts w:ascii="Arial" w:hAnsi="Arial"/>
      <w:sz w:val="24"/>
      <w:szCs w:val="24"/>
      <w:lang w:eastAsia="en-US"/>
    </w:rPr>
  </w:style>
  <w:style w:type="character" w:customStyle="1" w:styleId="bulletChar">
    <w:name w:val="bullet Char"/>
    <w:link w:val="bullet"/>
    <w:rsid w:val="0063425F"/>
    <w:rPr>
      <w:rFonts w:ascii="Calibri" w:hAnsi="Calibri"/>
      <w:sz w:val="24"/>
      <w:szCs w:val="24"/>
      <w:lang w:val="x-none" w:eastAsia="en-US"/>
    </w:rPr>
  </w:style>
  <w:style w:type="character" w:customStyle="1" w:styleId="mapheadingChar">
    <w:name w:val="mapheading Char"/>
    <w:link w:val="mapheading"/>
    <w:uiPriority w:val="99"/>
    <w:rsid w:val="001D2A84"/>
    <w:rPr>
      <w:rFonts w:ascii="Calibri" w:hAnsi="Calibri"/>
      <w:b/>
      <w:color w:val="009999"/>
      <w:sz w:val="22"/>
      <w:szCs w:val="24"/>
      <w:lang w:val="x-none" w:eastAsia="en-US"/>
    </w:rPr>
  </w:style>
  <w:style w:type="paragraph" w:customStyle="1" w:styleId="figureheading">
    <w:name w:val="figureheading"/>
    <w:basedOn w:val="mapheading"/>
    <w:next w:val="Normal"/>
    <w:link w:val="figureheadingChar"/>
    <w:qFormat/>
    <w:rsid w:val="00531B66"/>
  </w:style>
  <w:style w:type="character" w:styleId="Strong">
    <w:name w:val="Strong"/>
    <w:uiPriority w:val="22"/>
    <w:rsid w:val="005620AF"/>
    <w:rPr>
      <w:b/>
      <w:bCs/>
    </w:rPr>
  </w:style>
  <w:style w:type="character" w:customStyle="1" w:styleId="figureheadingChar">
    <w:name w:val="figureheading Char"/>
    <w:link w:val="figureheading"/>
    <w:rsid w:val="00531B66"/>
    <w:rPr>
      <w:rFonts w:ascii="Arial" w:hAnsi="Arial"/>
      <w:b/>
      <w:color w:val="009999"/>
      <w:sz w:val="22"/>
      <w:szCs w:val="24"/>
      <w:lang w:val="x-none" w:eastAsia="en-US"/>
    </w:rPr>
  </w:style>
  <w:style w:type="paragraph" w:customStyle="1" w:styleId="frontpage">
    <w:name w:val="front page"/>
    <w:basedOn w:val="Normal"/>
    <w:autoRedefine/>
    <w:uiPriority w:val="99"/>
    <w:rsid w:val="00C91109"/>
    <w:pPr>
      <w:spacing w:before="720" w:after="720"/>
      <w:jc w:val="center"/>
    </w:pPr>
    <w:rPr>
      <w:b/>
      <w:caps/>
      <w:sz w:val="28"/>
      <w:szCs w:val="20"/>
    </w:rPr>
  </w:style>
  <w:style w:type="numbering" w:customStyle="1" w:styleId="Reportnumberingstyle">
    <w:name w:val="Report numbering style"/>
    <w:rsid w:val="00E90774"/>
    <w:pPr>
      <w:numPr>
        <w:numId w:val="22"/>
      </w:numPr>
    </w:pPr>
  </w:style>
  <w:style w:type="paragraph" w:customStyle="1" w:styleId="TOCHeading1">
    <w:name w:val="TOC Heading1"/>
    <w:basedOn w:val="Normal"/>
    <w:link w:val="TOCheadingChar"/>
    <w:uiPriority w:val="99"/>
    <w:qFormat/>
    <w:rsid w:val="00385919"/>
    <w:pPr>
      <w:spacing w:before="120" w:after="120"/>
      <w:jc w:val="both"/>
    </w:pPr>
    <w:rPr>
      <w:rFonts w:cs="Arial"/>
      <w:color w:val="009999"/>
      <w:sz w:val="28"/>
      <w:szCs w:val="28"/>
    </w:rPr>
  </w:style>
  <w:style w:type="character" w:customStyle="1" w:styleId="TOCheadingChar">
    <w:name w:val="TOC heading Char"/>
    <w:basedOn w:val="DefaultParagraphFont"/>
    <w:link w:val="TOCHeading1"/>
    <w:uiPriority w:val="99"/>
    <w:rsid w:val="00385919"/>
    <w:rPr>
      <w:rFonts w:ascii="Arial" w:hAnsi="Arial" w:cs="Arial"/>
      <w:color w:val="009999"/>
      <w:sz w:val="28"/>
      <w:szCs w:val="28"/>
      <w:lang w:eastAsia="en-US"/>
    </w:rPr>
  </w:style>
  <w:style w:type="paragraph" w:styleId="Caption">
    <w:name w:val="caption"/>
    <w:basedOn w:val="Normal"/>
    <w:next w:val="Normal"/>
    <w:uiPriority w:val="99"/>
    <w:rsid w:val="00E16927"/>
    <w:pPr>
      <w:spacing w:before="120" w:after="120" w:line="360" w:lineRule="auto"/>
      <w:jc w:val="both"/>
    </w:pPr>
    <w:rPr>
      <w:rFonts w:ascii="GillSans" w:hAnsi="GillSans"/>
      <w:b/>
      <w:bCs/>
      <w:sz w:val="20"/>
      <w:szCs w:val="20"/>
    </w:rPr>
  </w:style>
  <w:style w:type="paragraph" w:customStyle="1" w:styleId="HTMLBody">
    <w:name w:val="HTML Body"/>
    <w:uiPriority w:val="99"/>
    <w:rsid w:val="00E16927"/>
    <w:rPr>
      <w:rFonts w:ascii="Arial" w:hAnsi="Arial"/>
      <w:snapToGrid w:val="0"/>
      <w:lang w:val="en-US" w:eastAsia="en-US"/>
    </w:rPr>
  </w:style>
  <w:style w:type="paragraph" w:customStyle="1" w:styleId="CM22">
    <w:name w:val="CM22"/>
    <w:basedOn w:val="Default"/>
    <w:next w:val="Default"/>
    <w:uiPriority w:val="99"/>
    <w:rsid w:val="00E16927"/>
    <w:pPr>
      <w:widowControl w:val="0"/>
      <w:spacing w:after="445"/>
    </w:pPr>
    <w:rPr>
      <w:rFonts w:eastAsia="Times New Roman" w:cs="Times New Roman"/>
      <w:color w:val="auto"/>
      <w:lang w:val="en-US" w:eastAsia="en-US"/>
    </w:rPr>
  </w:style>
  <w:style w:type="paragraph" w:customStyle="1" w:styleId="CM23">
    <w:name w:val="CM23"/>
    <w:basedOn w:val="Default"/>
    <w:next w:val="Default"/>
    <w:uiPriority w:val="99"/>
    <w:rsid w:val="00E16927"/>
    <w:pPr>
      <w:widowControl w:val="0"/>
      <w:spacing w:after="253"/>
    </w:pPr>
    <w:rPr>
      <w:rFonts w:eastAsia="Times New Roman" w:cs="Times New Roman"/>
      <w:color w:val="auto"/>
      <w:lang w:val="en-US" w:eastAsia="en-US"/>
    </w:rPr>
  </w:style>
  <w:style w:type="paragraph" w:customStyle="1" w:styleId="CM25">
    <w:name w:val="CM25"/>
    <w:basedOn w:val="Default"/>
    <w:next w:val="Default"/>
    <w:uiPriority w:val="99"/>
    <w:rsid w:val="00E16927"/>
    <w:pPr>
      <w:widowControl w:val="0"/>
      <w:spacing w:after="508"/>
    </w:pPr>
    <w:rPr>
      <w:rFonts w:eastAsia="Times New Roman" w:cs="Times New Roman"/>
      <w:color w:val="auto"/>
      <w:lang w:val="en-US" w:eastAsia="en-US"/>
    </w:rPr>
  </w:style>
  <w:style w:type="paragraph" w:customStyle="1" w:styleId="CM6">
    <w:name w:val="CM6"/>
    <w:basedOn w:val="Default"/>
    <w:next w:val="Default"/>
    <w:uiPriority w:val="99"/>
    <w:rsid w:val="00E16927"/>
    <w:pPr>
      <w:widowControl w:val="0"/>
      <w:spacing w:line="260" w:lineRule="atLeast"/>
    </w:pPr>
    <w:rPr>
      <w:rFonts w:eastAsia="Times New Roman" w:cs="Times New Roman"/>
      <w:color w:val="auto"/>
      <w:lang w:val="en-US" w:eastAsia="en-US"/>
    </w:rPr>
  </w:style>
  <w:style w:type="paragraph" w:customStyle="1" w:styleId="CM14">
    <w:name w:val="CM14"/>
    <w:basedOn w:val="Default"/>
    <w:next w:val="Default"/>
    <w:uiPriority w:val="99"/>
    <w:rsid w:val="00E16927"/>
    <w:pPr>
      <w:widowControl w:val="0"/>
      <w:spacing w:line="260" w:lineRule="atLeast"/>
    </w:pPr>
    <w:rPr>
      <w:rFonts w:eastAsia="Times New Roman" w:cs="Times New Roman"/>
      <w:color w:val="auto"/>
      <w:lang w:val="en-US" w:eastAsia="en-US"/>
    </w:rPr>
  </w:style>
  <w:style w:type="paragraph" w:customStyle="1" w:styleId="CM28">
    <w:name w:val="CM28"/>
    <w:basedOn w:val="Default"/>
    <w:next w:val="Default"/>
    <w:uiPriority w:val="99"/>
    <w:rsid w:val="00E16927"/>
    <w:pPr>
      <w:widowControl w:val="0"/>
      <w:spacing w:after="170"/>
    </w:pPr>
    <w:rPr>
      <w:rFonts w:eastAsia="Times New Roman" w:cs="Times New Roman"/>
      <w:color w:val="auto"/>
      <w:lang w:val="en-US" w:eastAsia="en-US"/>
    </w:rPr>
  </w:style>
  <w:style w:type="paragraph" w:customStyle="1" w:styleId="bullet20">
    <w:name w:val="bullet 2"/>
    <w:basedOn w:val="Normal"/>
    <w:uiPriority w:val="99"/>
    <w:rsid w:val="00E16927"/>
    <w:pPr>
      <w:numPr>
        <w:ilvl w:val="2"/>
        <w:numId w:val="12"/>
      </w:numPr>
      <w:spacing w:before="120" w:after="120"/>
      <w:jc w:val="both"/>
    </w:pPr>
  </w:style>
  <w:style w:type="paragraph" w:styleId="BodyTextIndent2">
    <w:name w:val="Body Text Indent 2"/>
    <w:basedOn w:val="Normal"/>
    <w:link w:val="BodyTextIndent2Char"/>
    <w:uiPriority w:val="99"/>
    <w:rsid w:val="00E16927"/>
    <w:pPr>
      <w:spacing w:before="120" w:after="120"/>
      <w:ind w:left="720"/>
      <w:jc w:val="both"/>
    </w:pPr>
  </w:style>
  <w:style w:type="character" w:customStyle="1" w:styleId="BodyTextIndent2Char">
    <w:name w:val="Body Text Indent 2 Char"/>
    <w:basedOn w:val="DefaultParagraphFont"/>
    <w:link w:val="BodyTextIndent2"/>
    <w:uiPriority w:val="99"/>
    <w:rsid w:val="00E16927"/>
    <w:rPr>
      <w:rFonts w:ascii="Arial" w:hAnsi="Arial"/>
      <w:sz w:val="24"/>
      <w:szCs w:val="24"/>
      <w:lang w:eastAsia="en-US"/>
    </w:rPr>
  </w:style>
  <w:style w:type="paragraph" w:customStyle="1" w:styleId="StyleHeading214ptDarkBlueLeft125cmHanging125">
    <w:name w:val="Style Heading 2 + 14 pt Dark Blue Left:  1.25 cm Hanging:  1.25 ..."/>
    <w:basedOn w:val="Heading2"/>
    <w:uiPriority w:val="99"/>
    <w:rsid w:val="00E16927"/>
    <w:pPr>
      <w:tabs>
        <w:tab w:val="clear" w:pos="709"/>
      </w:tabs>
      <w:spacing w:before="240" w:after="60"/>
    </w:pPr>
    <w:rPr>
      <w:iCs w:val="0"/>
      <w:color w:val="000080"/>
      <w:sz w:val="28"/>
      <w:szCs w:val="20"/>
      <w:lang w:val="en-GB"/>
    </w:rPr>
  </w:style>
  <w:style w:type="paragraph" w:customStyle="1" w:styleId="StyleHeading2Left125cmHanging125cmBefore12pt">
    <w:name w:val="Style Heading 2 + Left:  1.25 cm Hanging:  1.25 cm Before:  12 pt..."/>
    <w:basedOn w:val="Heading2"/>
    <w:uiPriority w:val="99"/>
    <w:rsid w:val="00E16927"/>
    <w:pPr>
      <w:tabs>
        <w:tab w:val="clear" w:pos="709"/>
      </w:tabs>
      <w:spacing w:before="240" w:after="60"/>
    </w:pPr>
    <w:rPr>
      <w:iCs w:val="0"/>
      <w:color w:val="333399"/>
      <w:sz w:val="28"/>
      <w:szCs w:val="20"/>
      <w:lang w:val="en-GB"/>
    </w:rPr>
  </w:style>
  <w:style w:type="paragraph" w:customStyle="1" w:styleId="StyleHeading2Left127cm">
    <w:name w:val="Style Heading 2 + Left:  1.27 cm"/>
    <w:basedOn w:val="Heading2"/>
    <w:uiPriority w:val="99"/>
    <w:rsid w:val="00E16927"/>
    <w:pPr>
      <w:tabs>
        <w:tab w:val="clear" w:pos="709"/>
      </w:tabs>
      <w:ind w:left="720" w:firstLine="0"/>
    </w:pPr>
    <w:rPr>
      <w:iCs w:val="0"/>
      <w:color w:val="333399"/>
      <w:sz w:val="28"/>
      <w:szCs w:val="20"/>
      <w:lang w:val="en-GB"/>
    </w:rPr>
  </w:style>
  <w:style w:type="character" w:styleId="Emphasis">
    <w:name w:val="Emphasis"/>
    <w:uiPriority w:val="20"/>
    <w:rsid w:val="00E16927"/>
    <w:rPr>
      <w:i/>
      <w:iCs/>
    </w:rPr>
  </w:style>
  <w:style w:type="paragraph" w:customStyle="1" w:styleId="DefaultText">
    <w:name w:val="Default Text"/>
    <w:basedOn w:val="Normal"/>
    <w:uiPriority w:val="99"/>
    <w:rsid w:val="00E16927"/>
    <w:pPr>
      <w:overflowPunct w:val="0"/>
      <w:autoSpaceDE w:val="0"/>
      <w:autoSpaceDN w:val="0"/>
      <w:adjustRightInd w:val="0"/>
      <w:spacing w:before="120" w:after="120"/>
      <w:jc w:val="both"/>
      <w:textAlignment w:val="baseline"/>
    </w:pPr>
    <w:rPr>
      <w:noProof/>
      <w:szCs w:val="20"/>
    </w:rPr>
  </w:style>
  <w:style w:type="paragraph" w:customStyle="1" w:styleId="StyleLinespacingsingle">
    <w:name w:val="Style Line spacing:  single"/>
    <w:basedOn w:val="Normal"/>
    <w:uiPriority w:val="99"/>
    <w:rsid w:val="00E16927"/>
    <w:pPr>
      <w:spacing w:before="120" w:after="120"/>
      <w:jc w:val="both"/>
    </w:pPr>
    <w:rPr>
      <w:szCs w:val="20"/>
    </w:rPr>
  </w:style>
  <w:style w:type="paragraph" w:styleId="TOCHeading">
    <w:name w:val="TOC Heading"/>
    <w:basedOn w:val="Heading1"/>
    <w:next w:val="Normal"/>
    <w:uiPriority w:val="99"/>
    <w:unhideWhenUsed/>
    <w:rsid w:val="00E16927"/>
    <w:pPr>
      <w:keepLines/>
      <w:numPr>
        <w:numId w:val="0"/>
      </w:numPr>
      <w:spacing w:before="480" w:line="276" w:lineRule="auto"/>
      <w:outlineLvl w:val="9"/>
    </w:pPr>
    <w:rPr>
      <w:rFonts w:ascii="Cambria" w:hAnsi="Cambria"/>
      <w:b/>
      <w:color w:val="365F91"/>
      <w:kern w:val="0"/>
      <w:sz w:val="28"/>
      <w:lang w:val="en-US"/>
    </w:rPr>
  </w:style>
  <w:style w:type="paragraph" w:customStyle="1" w:styleId="prec4">
    <w:name w:val="prec4"/>
    <w:basedOn w:val="Normal"/>
    <w:uiPriority w:val="99"/>
    <w:rsid w:val="00E16927"/>
    <w:pPr>
      <w:numPr>
        <w:ilvl w:val="3"/>
        <w:numId w:val="13"/>
      </w:numPr>
      <w:spacing w:before="120" w:after="240" w:line="360" w:lineRule="auto"/>
      <w:jc w:val="both"/>
    </w:pPr>
    <w:rPr>
      <w:szCs w:val="20"/>
    </w:rPr>
  </w:style>
  <w:style w:type="paragraph" w:customStyle="1" w:styleId="mrukbody1">
    <w:name w:val="mruk_body1"/>
    <w:basedOn w:val="Normal"/>
    <w:link w:val="mrukbody1Char1"/>
    <w:uiPriority w:val="99"/>
    <w:rsid w:val="00E16927"/>
    <w:pPr>
      <w:spacing w:before="120" w:after="120" w:line="260" w:lineRule="exact"/>
      <w:jc w:val="both"/>
    </w:pPr>
    <w:rPr>
      <w:szCs w:val="20"/>
      <w:lang w:val="x-none"/>
    </w:rPr>
  </w:style>
  <w:style w:type="character" w:customStyle="1" w:styleId="mrukbody1Char1">
    <w:name w:val="mruk_body1 Char1"/>
    <w:link w:val="mrukbody1"/>
    <w:uiPriority w:val="99"/>
    <w:rsid w:val="00E16927"/>
    <w:rPr>
      <w:rFonts w:ascii="Arial" w:hAnsi="Arial"/>
      <w:sz w:val="22"/>
      <w:lang w:val="x-none" w:eastAsia="en-US"/>
    </w:rPr>
  </w:style>
  <w:style w:type="paragraph" w:customStyle="1" w:styleId="mrukbullet1">
    <w:name w:val="mruk_bullet1"/>
    <w:basedOn w:val="Normal"/>
    <w:link w:val="mrukbullet1Char"/>
    <w:uiPriority w:val="99"/>
    <w:rsid w:val="00E16927"/>
    <w:pPr>
      <w:numPr>
        <w:numId w:val="14"/>
      </w:numPr>
      <w:spacing w:before="120" w:after="260" w:line="260" w:lineRule="exact"/>
      <w:jc w:val="both"/>
    </w:pPr>
    <w:rPr>
      <w:szCs w:val="20"/>
      <w:lang w:val="x-none"/>
    </w:rPr>
  </w:style>
  <w:style w:type="character" w:customStyle="1" w:styleId="mrukbullet1Char">
    <w:name w:val="mruk_bullet1 Char"/>
    <w:link w:val="mrukbullet1"/>
    <w:uiPriority w:val="99"/>
    <w:rsid w:val="00E16927"/>
    <w:rPr>
      <w:rFonts w:ascii="Calibri" w:hAnsi="Calibri"/>
      <w:sz w:val="24"/>
      <w:lang w:val="x-none" w:eastAsia="en-US"/>
    </w:rPr>
  </w:style>
  <w:style w:type="paragraph" w:customStyle="1" w:styleId="ProgressiveTextChar">
    <w:name w:val="Progressive Text Char"/>
    <w:link w:val="ProgressiveTextCharChar"/>
    <w:uiPriority w:val="99"/>
    <w:rsid w:val="00E16927"/>
    <w:pPr>
      <w:spacing w:before="120" w:after="120"/>
      <w:jc w:val="both"/>
    </w:pPr>
    <w:rPr>
      <w:rFonts w:ascii="Arial" w:hAnsi="Arial"/>
      <w:sz w:val="22"/>
      <w:lang w:eastAsia="en-US"/>
    </w:rPr>
  </w:style>
  <w:style w:type="character" w:customStyle="1" w:styleId="ProgressiveTextCharChar">
    <w:name w:val="Progressive Text Char Char"/>
    <w:link w:val="ProgressiveTextChar"/>
    <w:uiPriority w:val="99"/>
    <w:rsid w:val="00E16927"/>
    <w:rPr>
      <w:rFonts w:ascii="Arial" w:hAnsi="Arial"/>
      <w:sz w:val="22"/>
      <w:lang w:eastAsia="en-US"/>
    </w:rPr>
  </w:style>
  <w:style w:type="paragraph" w:customStyle="1" w:styleId="ProgressiveTableText">
    <w:name w:val="Progressive Table Text"/>
    <w:basedOn w:val="ProgressiveTextChar"/>
    <w:uiPriority w:val="99"/>
    <w:rsid w:val="00E16927"/>
    <w:pPr>
      <w:keepLines/>
      <w:spacing w:before="0" w:after="0"/>
    </w:pPr>
    <w:rPr>
      <w:bCs/>
    </w:rPr>
  </w:style>
  <w:style w:type="paragraph" w:customStyle="1" w:styleId="Char2">
    <w:name w:val="Char2"/>
    <w:basedOn w:val="Normal"/>
    <w:uiPriority w:val="99"/>
    <w:rsid w:val="00E1504B"/>
    <w:pPr>
      <w:spacing w:before="120" w:after="160" w:line="240" w:lineRule="exact"/>
      <w:jc w:val="both"/>
    </w:pPr>
    <w:rPr>
      <w:sz w:val="20"/>
      <w:szCs w:val="20"/>
      <w:lang w:val="en-US"/>
    </w:rPr>
  </w:style>
  <w:style w:type="character" w:customStyle="1" w:styleId="CharChar141">
    <w:name w:val="Char Char141"/>
    <w:basedOn w:val="DefaultParagraphFont"/>
    <w:uiPriority w:val="99"/>
    <w:rsid w:val="00E1504B"/>
    <w:rPr>
      <w:rFonts w:ascii="Arial" w:hAnsi="Arial" w:cs="Arial"/>
      <w:b/>
      <w:bCs/>
      <w:iCs/>
      <w:color w:val="008080"/>
      <w:sz w:val="28"/>
      <w:szCs w:val="28"/>
      <w:lang w:val="en-GB" w:eastAsia="en-US" w:bidi="ar-SA"/>
    </w:rPr>
  </w:style>
  <w:style w:type="character" w:customStyle="1" w:styleId="CharChar131">
    <w:name w:val="Char Char131"/>
    <w:basedOn w:val="DefaultParagraphFont"/>
    <w:uiPriority w:val="99"/>
    <w:rsid w:val="00E1504B"/>
    <w:rPr>
      <w:rFonts w:ascii="Arial" w:hAnsi="Arial" w:cs="Arial"/>
      <w:color w:val="008080"/>
      <w:sz w:val="28"/>
      <w:szCs w:val="28"/>
      <w:lang w:eastAsia="en-US"/>
    </w:rPr>
  </w:style>
  <w:style w:type="character" w:customStyle="1" w:styleId="CharChar121">
    <w:name w:val="Char Char121"/>
    <w:basedOn w:val="DefaultParagraphFont"/>
    <w:uiPriority w:val="99"/>
    <w:rsid w:val="00E1504B"/>
    <w:rPr>
      <w:rFonts w:ascii="Arial" w:hAnsi="Arial"/>
      <w:bCs/>
      <w:i/>
      <w:color w:val="008080"/>
      <w:sz w:val="24"/>
      <w:szCs w:val="24"/>
      <w:lang w:eastAsia="en-US"/>
    </w:rPr>
  </w:style>
  <w:style w:type="character" w:customStyle="1" w:styleId="CharChar111">
    <w:name w:val="Char Char111"/>
    <w:basedOn w:val="DefaultParagraphFont"/>
    <w:uiPriority w:val="99"/>
    <w:rsid w:val="00E1504B"/>
    <w:rPr>
      <w:rFonts w:ascii="Arial" w:hAnsi="Arial"/>
      <w:sz w:val="24"/>
      <w:szCs w:val="24"/>
      <w:lang w:eastAsia="en-US"/>
    </w:rPr>
  </w:style>
  <w:style w:type="character" w:customStyle="1" w:styleId="CharChar101">
    <w:name w:val="Char Char101"/>
    <w:basedOn w:val="DefaultParagraphFont"/>
    <w:uiPriority w:val="99"/>
    <w:rsid w:val="00E1504B"/>
    <w:rPr>
      <w:rFonts w:ascii="Arial" w:hAnsi="Arial"/>
      <w:sz w:val="24"/>
      <w:szCs w:val="24"/>
      <w:lang w:eastAsia="en-US"/>
    </w:rPr>
  </w:style>
  <w:style w:type="character" w:customStyle="1" w:styleId="CharChar81">
    <w:name w:val="Char Char81"/>
    <w:basedOn w:val="DefaultParagraphFont"/>
    <w:uiPriority w:val="99"/>
    <w:rsid w:val="00E1504B"/>
    <w:rPr>
      <w:sz w:val="16"/>
      <w:szCs w:val="16"/>
      <w:lang w:eastAsia="en-US"/>
    </w:rPr>
  </w:style>
  <w:style w:type="character" w:customStyle="1" w:styleId="CharChar71">
    <w:name w:val="Char Char71"/>
    <w:basedOn w:val="DefaultParagraphFont"/>
    <w:uiPriority w:val="99"/>
    <w:rsid w:val="00E1504B"/>
    <w:rPr>
      <w:rFonts w:ascii="Arial" w:hAnsi="Arial"/>
      <w:sz w:val="24"/>
      <w:szCs w:val="24"/>
      <w:lang w:eastAsia="en-US"/>
    </w:rPr>
  </w:style>
  <w:style w:type="character" w:customStyle="1" w:styleId="CharChar61">
    <w:name w:val="Char Char61"/>
    <w:basedOn w:val="DefaultParagraphFont"/>
    <w:uiPriority w:val="99"/>
    <w:rsid w:val="00E1504B"/>
    <w:rPr>
      <w:rFonts w:ascii="Arial" w:hAnsi="Arial"/>
      <w:sz w:val="16"/>
      <w:szCs w:val="16"/>
      <w:lang w:eastAsia="en-US"/>
    </w:rPr>
  </w:style>
  <w:style w:type="character" w:customStyle="1" w:styleId="CharChar51">
    <w:name w:val="Char Char51"/>
    <w:basedOn w:val="DefaultParagraphFont"/>
    <w:uiPriority w:val="99"/>
    <w:rsid w:val="00E1504B"/>
    <w:rPr>
      <w:sz w:val="24"/>
      <w:szCs w:val="24"/>
      <w:lang w:eastAsia="en-US"/>
    </w:rPr>
  </w:style>
  <w:style w:type="character" w:customStyle="1" w:styleId="CharChar15">
    <w:name w:val="Char Char15"/>
    <w:basedOn w:val="DefaultParagraphFont"/>
    <w:uiPriority w:val="99"/>
    <w:rsid w:val="00E1504B"/>
    <w:rPr>
      <w:rFonts w:ascii="Arial" w:hAnsi="Arial"/>
      <w:sz w:val="24"/>
      <w:szCs w:val="24"/>
      <w:lang w:eastAsia="en-US"/>
    </w:rPr>
  </w:style>
  <w:style w:type="paragraph" w:customStyle="1" w:styleId="StyleHeading1Char1Teal">
    <w:name w:val="Style Heading 1Char1 + Teal"/>
    <w:basedOn w:val="Heading1"/>
    <w:uiPriority w:val="99"/>
    <w:rsid w:val="00E1504B"/>
    <w:pPr>
      <w:numPr>
        <w:numId w:val="0"/>
      </w:numPr>
      <w:tabs>
        <w:tab w:val="num" w:pos="432"/>
        <w:tab w:val="num" w:pos="928"/>
      </w:tabs>
      <w:spacing w:before="240" w:after="60"/>
      <w:ind w:left="432" w:hanging="432"/>
    </w:pPr>
    <w:rPr>
      <w:rFonts w:cs="Arial"/>
      <w:b/>
      <w:caps/>
      <w:color w:val="008080"/>
      <w:sz w:val="36"/>
      <w:lang w:val="en-GB"/>
    </w:rPr>
  </w:style>
  <w:style w:type="paragraph" w:customStyle="1" w:styleId="Bulletstyle">
    <w:name w:val="Bullet style"/>
    <w:basedOn w:val="Maintext"/>
    <w:link w:val="BulletstyleChar"/>
    <w:uiPriority w:val="99"/>
    <w:rsid w:val="00E1504B"/>
    <w:pPr>
      <w:numPr>
        <w:ilvl w:val="0"/>
        <w:numId w:val="0"/>
      </w:numPr>
      <w:tabs>
        <w:tab w:val="num" w:pos="1134"/>
      </w:tabs>
      <w:ind w:left="1134" w:hanging="425"/>
    </w:pPr>
  </w:style>
  <w:style w:type="character" w:customStyle="1" w:styleId="BulletstyleChar">
    <w:name w:val="Bullet style Char"/>
    <w:basedOn w:val="MaintextChar1"/>
    <w:link w:val="Bulletstyle"/>
    <w:uiPriority w:val="99"/>
    <w:rsid w:val="00E1504B"/>
    <w:rPr>
      <w:rFonts w:ascii="Arial" w:hAnsi="Arial"/>
      <w:sz w:val="24"/>
      <w:szCs w:val="24"/>
      <w:lang w:val="x-none" w:eastAsia="en-US"/>
    </w:rPr>
  </w:style>
  <w:style w:type="paragraph" w:customStyle="1" w:styleId="CharCharCharCharCharCharCharCharCharChar">
    <w:name w:val="Char Char Char Char Char Char Char Char Char Char"/>
    <w:basedOn w:val="Normal"/>
    <w:uiPriority w:val="99"/>
    <w:rsid w:val="0068512D"/>
    <w:pPr>
      <w:spacing w:before="120" w:after="120" w:line="240" w:lineRule="exact"/>
      <w:jc w:val="both"/>
    </w:pPr>
    <w:rPr>
      <w:rFonts w:ascii="Verdana" w:hAnsi="Verdana"/>
      <w:sz w:val="20"/>
      <w:szCs w:val="20"/>
      <w:lang w:val="en-US"/>
    </w:rPr>
  </w:style>
  <w:style w:type="character" w:customStyle="1" w:styleId="MaintextChar2">
    <w:name w:val="Main text Char2"/>
    <w:uiPriority w:val="99"/>
    <w:rsid w:val="0068512D"/>
    <w:rPr>
      <w:rFonts w:ascii="Arial" w:hAnsi="Arial"/>
      <w:sz w:val="24"/>
      <w:szCs w:val="24"/>
      <w:lang w:eastAsia="en-US"/>
    </w:rPr>
  </w:style>
  <w:style w:type="character" w:customStyle="1" w:styleId="googqs-tidbitgoogqs-tidbit-0">
    <w:name w:val="goog_qs-tidbit goog_qs-tidbit-0"/>
    <w:basedOn w:val="DefaultParagraphFont"/>
    <w:uiPriority w:val="99"/>
    <w:rsid w:val="0068512D"/>
  </w:style>
  <w:style w:type="character" w:customStyle="1" w:styleId="apple-style-span">
    <w:name w:val="apple-style-span"/>
    <w:basedOn w:val="DefaultParagraphFont"/>
    <w:uiPriority w:val="99"/>
    <w:rsid w:val="0068512D"/>
  </w:style>
  <w:style w:type="character" w:customStyle="1" w:styleId="DocumentMapChar1">
    <w:name w:val="Document Map Char1"/>
    <w:basedOn w:val="DefaultParagraphFont"/>
    <w:uiPriority w:val="99"/>
    <w:semiHidden/>
    <w:rsid w:val="0068512D"/>
    <w:rPr>
      <w:rFonts w:ascii="Tahoma" w:hAnsi="Tahoma" w:cs="Tahoma"/>
      <w:sz w:val="16"/>
      <w:szCs w:val="16"/>
      <w:lang w:eastAsia="en-US"/>
    </w:rPr>
  </w:style>
  <w:style w:type="character" w:customStyle="1" w:styleId="EndnoteTextChar1">
    <w:name w:val="Endnote Text Char1"/>
    <w:basedOn w:val="DefaultParagraphFont"/>
    <w:uiPriority w:val="99"/>
    <w:semiHidden/>
    <w:rsid w:val="0068512D"/>
    <w:rPr>
      <w:lang w:eastAsia="en-US"/>
    </w:rPr>
  </w:style>
  <w:style w:type="character" w:customStyle="1" w:styleId="BodyText2Char1">
    <w:name w:val="Body Text 2 Char1"/>
    <w:basedOn w:val="DefaultParagraphFont"/>
    <w:uiPriority w:val="99"/>
    <w:semiHidden/>
    <w:rsid w:val="0068512D"/>
    <w:rPr>
      <w:sz w:val="24"/>
      <w:szCs w:val="24"/>
      <w:lang w:eastAsia="en-US"/>
    </w:rPr>
  </w:style>
  <w:style w:type="paragraph" w:styleId="IntenseQuote">
    <w:name w:val="Intense Quote"/>
    <w:basedOn w:val="Normal"/>
    <w:next w:val="Normal"/>
    <w:link w:val="IntenseQuoteChar"/>
    <w:uiPriority w:val="99"/>
    <w:rsid w:val="0068512D"/>
    <w:pPr>
      <w:pBdr>
        <w:bottom w:val="single" w:sz="4" w:space="4" w:color="4F81BD"/>
      </w:pBdr>
      <w:spacing w:before="200" w:after="280"/>
      <w:ind w:left="936" w:right="936"/>
      <w:jc w:val="both"/>
    </w:pPr>
    <w:rPr>
      <w:b/>
      <w:bCs/>
      <w:i/>
      <w:iCs/>
      <w:color w:val="4F81BD"/>
    </w:rPr>
  </w:style>
  <w:style w:type="character" w:customStyle="1" w:styleId="IntenseQuoteChar">
    <w:name w:val="Intense Quote Char"/>
    <w:basedOn w:val="DefaultParagraphFont"/>
    <w:link w:val="IntenseQuote"/>
    <w:uiPriority w:val="99"/>
    <w:rsid w:val="0068512D"/>
    <w:rPr>
      <w:rFonts w:ascii="Arial" w:hAnsi="Arial"/>
      <w:b/>
      <w:bCs/>
      <w:i/>
      <w:iCs/>
      <w:color w:val="4F81BD"/>
      <w:sz w:val="24"/>
      <w:szCs w:val="24"/>
      <w:lang w:eastAsia="en-US"/>
    </w:rPr>
  </w:style>
  <w:style w:type="paragraph" w:customStyle="1" w:styleId="Bullet0">
    <w:name w:val="Bullet"/>
    <w:basedOn w:val="Maintext"/>
    <w:link w:val="BulletChar0"/>
    <w:uiPriority w:val="99"/>
    <w:rsid w:val="0068512D"/>
    <w:pPr>
      <w:numPr>
        <w:numId w:val="15"/>
      </w:numPr>
    </w:pPr>
    <w:rPr>
      <w:lang w:val="en-GB"/>
    </w:rPr>
  </w:style>
  <w:style w:type="character" w:customStyle="1" w:styleId="BulletChar0">
    <w:name w:val="Bullet Char"/>
    <w:basedOn w:val="MaintextChar2"/>
    <w:link w:val="Bullet0"/>
    <w:uiPriority w:val="99"/>
    <w:rsid w:val="0068512D"/>
    <w:rPr>
      <w:rFonts w:ascii="Calibri" w:hAnsi="Calibri"/>
      <w:sz w:val="24"/>
      <w:szCs w:val="24"/>
      <w:lang w:eastAsia="en-US"/>
    </w:rPr>
  </w:style>
  <w:style w:type="table" w:customStyle="1" w:styleId="arc4table">
    <w:name w:val="arc4 table"/>
    <w:basedOn w:val="TableNormal"/>
    <w:uiPriority w:val="99"/>
    <w:rsid w:val="00F50D34"/>
    <w:pPr>
      <w:spacing w:before="20" w:after="20"/>
    </w:pPr>
    <w:rPr>
      <w:rFonts w:ascii="Arial" w:hAnsi="Arial"/>
      <w:sz w:val="22"/>
    </w:rPr>
    <w:tblPr>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Pr>
    <w:tcPr>
      <w:vAlign w:val="center"/>
    </w:tcPr>
    <w:tblStylePr w:type="firstRow">
      <w:rPr>
        <w:rFonts w:ascii="Arial" w:hAnsi="Arial"/>
        <w:b/>
        <w:color w:val="FFFFFF" w:themeColor="background1"/>
        <w:sz w:val="22"/>
      </w:rPr>
      <w:tblPr/>
      <w:tcPr>
        <w:shd w:val="clear" w:color="auto" w:fill="009999"/>
      </w:tcPr>
    </w:tblStylePr>
  </w:style>
  <w:style w:type="paragraph" w:customStyle="1" w:styleId="bulletlevel2">
    <w:name w:val="bullet level 2"/>
    <w:basedOn w:val="ListParagraph"/>
    <w:link w:val="bulletlevel2Char"/>
    <w:qFormat/>
    <w:rsid w:val="00A16AF7"/>
    <w:pPr>
      <w:numPr>
        <w:ilvl w:val="1"/>
        <w:numId w:val="16"/>
      </w:numPr>
      <w:shd w:val="clear" w:color="auto" w:fill="FFFFFF"/>
      <w:ind w:left="1434" w:hanging="357"/>
    </w:pPr>
    <w:rPr>
      <w:rFonts w:cs="Arial"/>
      <w:bCs/>
      <w:color w:val="000000"/>
      <w:lang w:eastAsia="en-GB"/>
    </w:rPr>
  </w:style>
  <w:style w:type="character" w:customStyle="1" w:styleId="bulletlevel2Char">
    <w:name w:val="bullet level 2 Char"/>
    <w:link w:val="bulletlevel2"/>
    <w:rsid w:val="00A16AF7"/>
    <w:rPr>
      <w:rFonts w:ascii="Calibri" w:hAnsi="Calibri" w:cs="Arial"/>
      <w:bCs/>
      <w:color w:val="000000"/>
      <w:sz w:val="24"/>
      <w:szCs w:val="24"/>
      <w:shd w:val="clear" w:color="auto" w:fill="FFFFFF"/>
      <w:lang w:val="x-none"/>
    </w:rPr>
  </w:style>
  <w:style w:type="paragraph" w:styleId="z-TopofForm">
    <w:name w:val="HTML Top of Form"/>
    <w:basedOn w:val="Normal"/>
    <w:next w:val="Normal"/>
    <w:link w:val="z-TopofFormChar"/>
    <w:hidden/>
    <w:uiPriority w:val="99"/>
    <w:semiHidden/>
    <w:unhideWhenUsed/>
    <w:rsid w:val="00143803"/>
    <w:pPr>
      <w:pBdr>
        <w:bottom w:val="single" w:sz="6" w:space="1" w:color="auto"/>
      </w:pBdr>
      <w:jc w:val="center"/>
    </w:pPr>
    <w:rPr>
      <w:rFonts w:cs="Arial"/>
      <w:vanish/>
      <w:sz w:val="16"/>
      <w:szCs w:val="16"/>
      <w:lang w:eastAsia="en-GB"/>
    </w:rPr>
  </w:style>
  <w:style w:type="character" w:customStyle="1" w:styleId="z-TopofFormChar">
    <w:name w:val="z-Top of Form Char"/>
    <w:basedOn w:val="DefaultParagraphFont"/>
    <w:link w:val="z-TopofForm"/>
    <w:uiPriority w:val="99"/>
    <w:semiHidden/>
    <w:rsid w:val="0014380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43803"/>
    <w:pPr>
      <w:pBdr>
        <w:top w:val="single" w:sz="6" w:space="1" w:color="auto"/>
      </w:pBdr>
      <w:jc w:val="center"/>
    </w:pPr>
    <w:rPr>
      <w:rFonts w:cs="Arial"/>
      <w:vanish/>
      <w:sz w:val="16"/>
      <w:szCs w:val="16"/>
      <w:lang w:eastAsia="en-GB"/>
    </w:rPr>
  </w:style>
  <w:style w:type="character" w:customStyle="1" w:styleId="z-BottomofFormChar">
    <w:name w:val="z-Bottom of Form Char"/>
    <w:basedOn w:val="DefaultParagraphFont"/>
    <w:link w:val="z-BottomofForm"/>
    <w:uiPriority w:val="99"/>
    <w:semiHidden/>
    <w:rsid w:val="00143803"/>
    <w:rPr>
      <w:rFonts w:ascii="Arial" w:hAnsi="Arial" w:cs="Arial"/>
      <w:vanish/>
      <w:sz w:val="16"/>
      <w:szCs w:val="16"/>
    </w:rPr>
  </w:style>
  <w:style w:type="paragraph" w:customStyle="1" w:styleId="reporttext0">
    <w:name w:val="report text"/>
    <w:basedOn w:val="Maintext"/>
    <w:link w:val="reporttextChar0"/>
    <w:uiPriority w:val="99"/>
    <w:rsid w:val="00D60C2B"/>
    <w:pPr>
      <w:numPr>
        <w:ilvl w:val="0"/>
        <w:numId w:val="0"/>
      </w:numPr>
      <w:tabs>
        <w:tab w:val="num" w:pos="709"/>
      </w:tabs>
      <w:ind w:left="709" w:hanging="709"/>
    </w:pPr>
    <w:rPr>
      <w:sz w:val="20"/>
      <w:szCs w:val="20"/>
      <w:lang w:eastAsia="x-none"/>
    </w:rPr>
  </w:style>
  <w:style w:type="character" w:customStyle="1" w:styleId="reporttextChar0">
    <w:name w:val="report text Char"/>
    <w:link w:val="reporttext0"/>
    <w:uiPriority w:val="99"/>
    <w:rsid w:val="00D60C2B"/>
    <w:rPr>
      <w:rFonts w:ascii="Arial" w:hAnsi="Arial"/>
      <w:lang w:val="x-none" w:eastAsia="x-none"/>
    </w:rPr>
  </w:style>
  <w:style w:type="numbering" w:customStyle="1" w:styleId="NoList1">
    <w:name w:val="No List1"/>
    <w:next w:val="NoList"/>
    <w:uiPriority w:val="99"/>
    <w:semiHidden/>
    <w:unhideWhenUsed/>
    <w:rsid w:val="0037041D"/>
  </w:style>
  <w:style w:type="paragraph" w:customStyle="1" w:styleId="Figureheading0">
    <w:name w:val="Figureheading"/>
    <w:basedOn w:val="Maintext"/>
    <w:link w:val="FigureheadingChar0"/>
    <w:rsid w:val="00F463F1"/>
    <w:pPr>
      <w:numPr>
        <w:ilvl w:val="0"/>
        <w:numId w:val="0"/>
      </w:numPr>
      <w:ind w:firstLine="709"/>
    </w:pPr>
    <w:rPr>
      <w:rFonts w:asciiTheme="minorHAnsi" w:hAnsiTheme="minorHAnsi" w:cs="Arial"/>
      <w:lang w:val="en-GB"/>
    </w:rPr>
  </w:style>
  <w:style w:type="character" w:customStyle="1" w:styleId="FigureheadingChar0">
    <w:name w:val="Figureheading Char"/>
    <w:basedOn w:val="MaintextChar2"/>
    <w:link w:val="Figureheading0"/>
    <w:rsid w:val="00F463F1"/>
    <w:rPr>
      <w:rFonts w:asciiTheme="minorHAnsi" w:hAnsiTheme="minorHAnsi" w:cs="Arial"/>
      <w:sz w:val="24"/>
      <w:szCs w:val="24"/>
      <w:lang w:eastAsia="en-US"/>
    </w:rPr>
  </w:style>
  <w:style w:type="paragraph" w:customStyle="1" w:styleId="Mapheading0">
    <w:name w:val="Mapheading"/>
    <w:basedOn w:val="Maintext"/>
    <w:link w:val="MapheadingChar0"/>
    <w:rsid w:val="002E2A63"/>
    <w:pPr>
      <w:numPr>
        <w:ilvl w:val="0"/>
        <w:numId w:val="0"/>
      </w:numPr>
    </w:pPr>
    <w:rPr>
      <w:rFonts w:cs="Arial"/>
      <w:lang w:val="en-GB"/>
    </w:rPr>
  </w:style>
  <w:style w:type="character" w:customStyle="1" w:styleId="MapheadingChar0">
    <w:name w:val="Mapheading Char"/>
    <w:basedOn w:val="MaintextChar2"/>
    <w:link w:val="Mapheading0"/>
    <w:rsid w:val="002E2A63"/>
    <w:rPr>
      <w:rFonts w:ascii="Arial" w:hAnsi="Arial" w:cs="Arial"/>
      <w:sz w:val="24"/>
      <w:szCs w:val="24"/>
      <w:lang w:eastAsia="en-US"/>
    </w:rPr>
  </w:style>
  <w:style w:type="table" w:customStyle="1" w:styleId="GridTable1Light-Accent11">
    <w:name w:val="Grid Table 1 Light - Accent 11"/>
    <w:basedOn w:val="TableNormal"/>
    <w:uiPriority w:val="46"/>
    <w:rsid w:val="002E2A63"/>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ParagraphNumbered">
    <w:name w:val="Normal Paragraph Numbered"/>
    <w:basedOn w:val="Heading2"/>
    <w:uiPriority w:val="99"/>
    <w:rsid w:val="002E2A63"/>
    <w:pPr>
      <w:keepNext w:val="0"/>
      <w:numPr>
        <w:ilvl w:val="1"/>
      </w:numPr>
      <w:tabs>
        <w:tab w:val="num" w:pos="709"/>
      </w:tabs>
      <w:spacing w:after="240"/>
      <w:ind w:left="1021" w:hanging="1021"/>
    </w:pPr>
    <w:rPr>
      <w:iCs w:val="0"/>
      <w:color w:val="auto"/>
      <w:sz w:val="20"/>
      <w:szCs w:val="26"/>
      <w:lang w:val="en-GB"/>
    </w:rPr>
  </w:style>
  <w:style w:type="paragraph" w:customStyle="1" w:styleId="tableheader">
    <w:name w:val="tableheader"/>
    <w:basedOn w:val="Normal"/>
    <w:uiPriority w:val="99"/>
    <w:rsid w:val="00275E53"/>
    <w:pPr>
      <w:spacing w:before="120" w:after="120"/>
      <w:jc w:val="both"/>
    </w:pPr>
  </w:style>
  <w:style w:type="numbering" w:customStyle="1" w:styleId="Reportnumberingstyle1">
    <w:name w:val="Report numbering style1"/>
    <w:uiPriority w:val="99"/>
    <w:rsid w:val="005066A9"/>
  </w:style>
  <w:style w:type="paragraph" w:customStyle="1" w:styleId="BulletList">
    <w:name w:val="Bullet List"/>
    <w:basedOn w:val="Normal"/>
    <w:link w:val="BulletListChar"/>
    <w:uiPriority w:val="99"/>
    <w:rsid w:val="00855FF7"/>
    <w:pPr>
      <w:spacing w:before="120" w:after="240" w:line="360" w:lineRule="auto"/>
      <w:ind w:left="709" w:right="227" w:hanging="284"/>
      <w:contextualSpacing/>
      <w:jc w:val="both"/>
      <w:outlineLvl w:val="2"/>
    </w:pPr>
    <w:rPr>
      <w:rFonts w:cstheme="minorHAnsi"/>
      <w:sz w:val="22"/>
      <w:lang w:eastAsia="en-GB"/>
    </w:rPr>
  </w:style>
  <w:style w:type="paragraph" w:customStyle="1" w:styleId="TableBullets">
    <w:name w:val="TableBullets"/>
    <w:basedOn w:val="BulletList"/>
    <w:rsid w:val="00855FF7"/>
    <w:pPr>
      <w:tabs>
        <w:tab w:val="num" w:pos="720"/>
      </w:tabs>
      <w:spacing w:after="0" w:line="240" w:lineRule="auto"/>
      <w:ind w:left="720" w:hanging="720"/>
    </w:pPr>
    <w:rPr>
      <w:lang w:val="en-US"/>
    </w:rPr>
  </w:style>
  <w:style w:type="paragraph" w:customStyle="1" w:styleId="TableNote">
    <w:name w:val="Table Note"/>
    <w:basedOn w:val="Normal"/>
    <w:link w:val="TableNoteChar"/>
    <w:rsid w:val="00855FF7"/>
    <w:pPr>
      <w:autoSpaceDE w:val="0"/>
      <w:autoSpaceDN w:val="0"/>
      <w:adjustRightInd w:val="0"/>
      <w:spacing w:before="80" w:after="120"/>
      <w:jc w:val="both"/>
    </w:pPr>
    <w:rPr>
      <w:rFonts w:asciiTheme="minorHAnsi" w:hAnsiTheme="minorHAnsi" w:cs="Calibri"/>
      <w:sz w:val="19"/>
      <w:szCs w:val="19"/>
      <w:lang w:eastAsia="en-GB"/>
    </w:rPr>
  </w:style>
  <w:style w:type="character" w:customStyle="1" w:styleId="TableNoteChar">
    <w:name w:val="Table Note Char"/>
    <w:basedOn w:val="DefaultParagraphFont"/>
    <w:link w:val="TableNote"/>
    <w:rsid w:val="00855FF7"/>
    <w:rPr>
      <w:rFonts w:asciiTheme="minorHAnsi" w:hAnsiTheme="minorHAnsi" w:cs="Calibri"/>
      <w:sz w:val="19"/>
      <w:szCs w:val="19"/>
    </w:rPr>
  </w:style>
  <w:style w:type="character" w:customStyle="1" w:styleId="BulletListChar">
    <w:name w:val="Bullet List Char"/>
    <w:link w:val="BulletList"/>
    <w:uiPriority w:val="99"/>
    <w:rsid w:val="00855FF7"/>
    <w:rPr>
      <w:rFonts w:ascii="Calibri" w:hAnsi="Calibri" w:cstheme="minorHAnsi"/>
      <w:sz w:val="22"/>
      <w:szCs w:val="24"/>
    </w:rPr>
  </w:style>
  <w:style w:type="paragraph" w:customStyle="1" w:styleId="Picture">
    <w:name w:val="Picture"/>
    <w:basedOn w:val="Normal"/>
    <w:link w:val="PictureChar"/>
    <w:rsid w:val="00855FF7"/>
    <w:pPr>
      <w:spacing w:before="120" w:after="80"/>
      <w:jc w:val="center"/>
    </w:pPr>
    <w:rPr>
      <w:rFonts w:cs="Calibri"/>
      <w:sz w:val="22"/>
      <w:lang w:eastAsia="en-GB"/>
    </w:rPr>
  </w:style>
  <w:style w:type="character" w:customStyle="1" w:styleId="PictureChar">
    <w:name w:val="Picture Char"/>
    <w:basedOn w:val="DefaultParagraphFont"/>
    <w:link w:val="Picture"/>
    <w:rsid w:val="00855FF7"/>
    <w:rPr>
      <w:rFonts w:ascii="Calibri" w:hAnsi="Calibri" w:cs="Calibri"/>
      <w:sz w:val="22"/>
      <w:szCs w:val="24"/>
    </w:rPr>
  </w:style>
  <w:style w:type="paragraph" w:customStyle="1" w:styleId="TableCaption">
    <w:name w:val="Table Caption"/>
    <w:basedOn w:val="Caption"/>
    <w:link w:val="TableCaptionChar"/>
    <w:rsid w:val="00855FF7"/>
    <w:pPr>
      <w:spacing w:before="240" w:after="80" w:line="240" w:lineRule="auto"/>
    </w:pPr>
    <w:rPr>
      <w:rFonts w:asciiTheme="minorHAnsi" w:hAnsiTheme="minorHAnsi" w:cs="Calibri"/>
      <w:b w:val="0"/>
      <w:bCs w:val="0"/>
      <w:sz w:val="21"/>
      <w:lang w:eastAsia="en-GB"/>
    </w:rPr>
  </w:style>
  <w:style w:type="character" w:customStyle="1" w:styleId="TableCaptionChar">
    <w:name w:val="Table Caption Char"/>
    <w:basedOn w:val="DefaultParagraphFont"/>
    <w:link w:val="TableCaption"/>
    <w:rsid w:val="00855FF7"/>
    <w:rPr>
      <w:rFonts w:asciiTheme="minorHAnsi" w:hAnsiTheme="minorHAnsi" w:cs="Calibri"/>
      <w:sz w:val="21"/>
    </w:rPr>
  </w:style>
  <w:style w:type="paragraph" w:customStyle="1" w:styleId="PictureCaption">
    <w:name w:val="Picture Caption"/>
    <w:basedOn w:val="Caption"/>
    <w:link w:val="PictureCaptionChar"/>
    <w:uiPriority w:val="99"/>
    <w:locked/>
    <w:rsid w:val="00855FF7"/>
    <w:pPr>
      <w:spacing w:before="80" w:after="480" w:line="240" w:lineRule="auto"/>
      <w:jc w:val="center"/>
    </w:pPr>
    <w:rPr>
      <w:rFonts w:asciiTheme="minorHAnsi" w:hAnsiTheme="minorHAnsi" w:cs="Calibri"/>
      <w:b w:val="0"/>
      <w:bCs w:val="0"/>
      <w:sz w:val="21"/>
      <w:szCs w:val="21"/>
      <w:lang w:eastAsia="en-GB"/>
    </w:rPr>
  </w:style>
  <w:style w:type="character" w:customStyle="1" w:styleId="PictureCaptionChar">
    <w:name w:val="Picture Caption Char"/>
    <w:basedOn w:val="DefaultParagraphFont"/>
    <w:link w:val="PictureCaption"/>
    <w:uiPriority w:val="99"/>
    <w:locked/>
    <w:rsid w:val="00855FF7"/>
    <w:rPr>
      <w:rFonts w:asciiTheme="minorHAnsi" w:hAnsiTheme="minorHAnsi" w:cs="Calibri"/>
      <w:sz w:val="21"/>
      <w:szCs w:val="21"/>
    </w:rPr>
  </w:style>
  <w:style w:type="paragraph" w:customStyle="1" w:styleId="Heading50">
    <w:name w:val="Heading5"/>
    <w:basedOn w:val="Heading4"/>
    <w:link w:val="Heading5Char0"/>
    <w:rsid w:val="00855FF7"/>
    <w:pPr>
      <w:keepLines/>
      <w:spacing w:before="300" w:after="80" w:line="360" w:lineRule="auto"/>
      <w:ind w:left="0"/>
    </w:pPr>
    <w:rPr>
      <w:rFonts w:ascii="Gill Sans MT" w:eastAsiaTheme="majorEastAsia" w:hAnsi="Gill Sans MT" w:cstheme="majorBidi"/>
      <w:iCs/>
      <w:color w:val="0B56B1"/>
      <w:sz w:val="28"/>
      <w:szCs w:val="28"/>
    </w:rPr>
  </w:style>
  <w:style w:type="character" w:customStyle="1" w:styleId="Heading5Char0">
    <w:name w:val="Heading5 Char"/>
    <w:basedOn w:val="Heading4Char"/>
    <w:link w:val="Heading50"/>
    <w:rsid w:val="00855FF7"/>
    <w:rPr>
      <w:rFonts w:ascii="Gill Sans MT" w:eastAsiaTheme="majorEastAsia" w:hAnsi="Gill Sans MT" w:cstheme="majorBidi"/>
      <w:bCs/>
      <w:i/>
      <w:iCs/>
      <w:color w:val="0B56B1"/>
      <w:sz w:val="28"/>
      <w:szCs w:val="28"/>
      <w:lang w:val="x-none" w:eastAsia="en-US"/>
    </w:rPr>
  </w:style>
  <w:style w:type="paragraph" w:customStyle="1" w:styleId="Footnotes">
    <w:name w:val="Footnotes"/>
    <w:basedOn w:val="Normal"/>
    <w:link w:val="FootnotesChar"/>
    <w:rsid w:val="00855FF7"/>
    <w:pPr>
      <w:spacing w:before="120" w:after="60"/>
      <w:jc w:val="both"/>
    </w:pPr>
    <w:rPr>
      <w:rFonts w:asciiTheme="minorHAnsi" w:hAnsiTheme="minorHAnsi" w:cs="Calibri"/>
      <w:sz w:val="19"/>
      <w:szCs w:val="19"/>
      <w:lang w:eastAsia="en-GB"/>
    </w:rPr>
  </w:style>
  <w:style w:type="character" w:customStyle="1" w:styleId="FootnotesChar">
    <w:name w:val="Footnotes Char"/>
    <w:basedOn w:val="DefaultParagraphFont"/>
    <w:link w:val="Footnotes"/>
    <w:rsid w:val="00855FF7"/>
    <w:rPr>
      <w:rFonts w:asciiTheme="minorHAnsi" w:hAnsiTheme="minorHAnsi" w:cs="Calibri"/>
      <w:sz w:val="19"/>
      <w:szCs w:val="19"/>
    </w:rPr>
  </w:style>
  <w:style w:type="paragraph" w:customStyle="1" w:styleId="Quotes">
    <w:name w:val="Quotes"/>
    <w:basedOn w:val="Reporttext"/>
    <w:link w:val="QuotesChar"/>
    <w:uiPriority w:val="99"/>
    <w:rsid w:val="00855FF7"/>
    <w:pPr>
      <w:numPr>
        <w:ilvl w:val="0"/>
        <w:numId w:val="0"/>
      </w:numPr>
      <w:tabs>
        <w:tab w:val="num" w:pos="709"/>
      </w:tabs>
      <w:ind w:left="709" w:hanging="709"/>
    </w:pPr>
    <w:rPr>
      <w:rFonts w:cs="Arial"/>
      <w:color w:val="009999"/>
    </w:rPr>
  </w:style>
  <w:style w:type="character" w:customStyle="1" w:styleId="QuotesChar">
    <w:name w:val="Quotes Char"/>
    <w:basedOn w:val="DefaultParagraphFont"/>
    <w:link w:val="Quotes"/>
    <w:uiPriority w:val="99"/>
    <w:rsid w:val="00855FF7"/>
    <w:rPr>
      <w:rFonts w:ascii="Arial" w:hAnsi="Arial" w:cs="Arial"/>
      <w:color w:val="009999"/>
      <w:sz w:val="24"/>
      <w:szCs w:val="24"/>
      <w:lang w:val="x-none" w:eastAsia="en-US"/>
    </w:rPr>
  </w:style>
  <w:style w:type="paragraph" w:customStyle="1" w:styleId="mapheader">
    <w:name w:val="mapheader"/>
    <w:basedOn w:val="Maintext"/>
    <w:uiPriority w:val="99"/>
    <w:rsid w:val="00994D8F"/>
    <w:pPr>
      <w:numPr>
        <w:ilvl w:val="0"/>
        <w:numId w:val="0"/>
      </w:numPr>
    </w:pPr>
    <w:rPr>
      <w:rFonts w:cs="Arial"/>
    </w:rPr>
  </w:style>
  <w:style w:type="paragraph" w:customStyle="1" w:styleId="mapheadinf">
    <w:name w:val="mapheadinf"/>
    <w:basedOn w:val="mapheader"/>
    <w:rsid w:val="00994D8F"/>
  </w:style>
  <w:style w:type="paragraph" w:customStyle="1" w:styleId="Normal1">
    <w:name w:val="Normal1"/>
    <w:rsid w:val="004816F4"/>
    <w:pPr>
      <w:spacing w:before="120" w:after="120"/>
      <w:jc w:val="both"/>
    </w:pPr>
    <w:rPr>
      <w:rFonts w:ascii="Arial" w:eastAsia="Arial" w:hAnsi="Arial" w:cs="Arial"/>
      <w:color w:val="000000"/>
      <w:sz w:val="24"/>
      <w:lang w:eastAsia="en-US"/>
    </w:rPr>
  </w:style>
  <w:style w:type="numbering" w:customStyle="1" w:styleId="Reportnumberingstyle2">
    <w:name w:val="Report numbering style2"/>
    <w:uiPriority w:val="99"/>
    <w:rsid w:val="00E634DE"/>
  </w:style>
  <w:style w:type="paragraph" w:customStyle="1" w:styleId="Figureheader">
    <w:name w:val="Figureheader"/>
    <w:basedOn w:val="Figureheading0"/>
    <w:rsid w:val="00B732CE"/>
    <w:rPr>
      <w:shd w:val="clear" w:color="auto" w:fill="FFFFFF"/>
      <w:lang w:eastAsia="en-GB"/>
    </w:rPr>
  </w:style>
  <w:style w:type="numbering" w:customStyle="1" w:styleId="Reportnumberingstyle3">
    <w:name w:val="Report numbering style3"/>
    <w:uiPriority w:val="99"/>
    <w:rsid w:val="005670FF"/>
  </w:style>
  <w:style w:type="numbering" w:customStyle="1" w:styleId="Reportnumberingstyle4">
    <w:name w:val="Report numbering style4"/>
    <w:rsid w:val="00326767"/>
  </w:style>
  <w:style w:type="numbering" w:customStyle="1" w:styleId="Reportnumberingstyle5">
    <w:name w:val="Report numbering style5"/>
    <w:rsid w:val="00056990"/>
    <w:pPr>
      <w:numPr>
        <w:numId w:val="1"/>
      </w:numPr>
    </w:pPr>
  </w:style>
  <w:style w:type="numbering" w:customStyle="1" w:styleId="Reportnumberingstyle6">
    <w:name w:val="Report numbering style6"/>
    <w:rsid w:val="00F9179E"/>
  </w:style>
  <w:style w:type="numbering" w:customStyle="1" w:styleId="Reportnumberingstyle7">
    <w:name w:val="Report numbering style7"/>
    <w:rsid w:val="000757E2"/>
  </w:style>
  <w:style w:type="paragraph" w:customStyle="1" w:styleId="TOCHeading10">
    <w:name w:val="TOC Heading 1"/>
    <w:basedOn w:val="Normal"/>
    <w:rsid w:val="002A606F"/>
    <w:pPr>
      <w:spacing w:before="120" w:after="120"/>
      <w:jc w:val="both"/>
    </w:pPr>
  </w:style>
  <w:style w:type="character" w:customStyle="1" w:styleId="Heading1Char8">
    <w:name w:val="Heading 1 Char8"/>
    <w:aliases w:val="Heading 1 New Char8,Char1 Char8,Section Char8,Chapter Hdg Char8,Economics Section Char8,New Section Char8,Economics Section Heading Char8,My Heading 1 Char8,Lev 1 Char8,Section Heading Char8,(Alt 1) Char8,Numbered - 1 Char8,1 ghost Cha"/>
    <w:basedOn w:val="DefaultParagraphFont"/>
    <w:uiPriority w:val="99"/>
    <w:locked/>
    <w:rsid w:val="00D631C4"/>
    <w:rPr>
      <w:rFonts w:ascii="Cambria" w:hAnsi="Cambria" w:cs="Times New Roman"/>
      <w:b/>
      <w:bCs/>
      <w:kern w:val="32"/>
      <w:sz w:val="32"/>
      <w:szCs w:val="32"/>
      <w:lang w:eastAsia="en-US"/>
    </w:rPr>
  </w:style>
  <w:style w:type="character" w:customStyle="1" w:styleId="Heading1Char7">
    <w:name w:val="Heading 1 Char7"/>
    <w:aliases w:val="Heading 1 New Char7,Char1 Char7,Section Char7,Chapter Hdg Char7,Economics Section Char7,New Section Char7,Economics Section Heading Char7,My Heading 1 Char7,Lev 1 Char7,Section Heading Char7,(Alt 1) Char7,Numbered - 1 Char7,1 ghost Cha6"/>
    <w:basedOn w:val="DefaultParagraphFont"/>
    <w:uiPriority w:val="99"/>
    <w:locked/>
    <w:rsid w:val="00D631C4"/>
    <w:rPr>
      <w:rFonts w:ascii="Cambria" w:hAnsi="Cambria" w:cs="Times New Roman"/>
      <w:b/>
      <w:bCs/>
      <w:kern w:val="32"/>
      <w:sz w:val="32"/>
      <w:szCs w:val="32"/>
      <w:lang w:eastAsia="en-US"/>
    </w:rPr>
  </w:style>
  <w:style w:type="character" w:customStyle="1" w:styleId="Heading1Char6">
    <w:name w:val="Heading 1 Char6"/>
    <w:aliases w:val="Heading 1 New Char6,Char1 Char6,Section Char6,Chapter Hdg Char6,Economics Section Char6,New Section Char6,Economics Section Heading Char6,My Heading 1 Char6,Lev 1 Char6,Section Heading Char6,(Alt 1) Char6,Numbered - 1 Char6,1 ghost Cha5"/>
    <w:basedOn w:val="DefaultParagraphFont"/>
    <w:uiPriority w:val="99"/>
    <w:locked/>
    <w:rsid w:val="00D631C4"/>
    <w:rPr>
      <w:rFonts w:ascii="Cambria" w:hAnsi="Cambria" w:cs="Times New Roman"/>
      <w:b/>
      <w:bCs/>
      <w:kern w:val="32"/>
      <w:sz w:val="32"/>
      <w:szCs w:val="32"/>
      <w:lang w:eastAsia="en-US"/>
    </w:rPr>
  </w:style>
  <w:style w:type="character" w:customStyle="1" w:styleId="Heading1Char5">
    <w:name w:val="Heading 1 Char5"/>
    <w:aliases w:val="Heading 1 New Char5,Char1 Char5,Section Char5,Chapter Hdg Char5,Economics Section Char5,New Section Char5,Economics Section Heading Char5,My Heading 1 Char5,Lev 1 Char5,Section Heading Char5,(Alt 1) Char5,Numbered - 1 Char5,1 ghost Cha4"/>
    <w:basedOn w:val="DefaultParagraphFont"/>
    <w:uiPriority w:val="99"/>
    <w:locked/>
    <w:rsid w:val="00D631C4"/>
    <w:rPr>
      <w:rFonts w:ascii="Cambria" w:hAnsi="Cambria" w:cs="Times New Roman"/>
      <w:b/>
      <w:bCs/>
      <w:kern w:val="32"/>
      <w:sz w:val="32"/>
      <w:szCs w:val="32"/>
      <w:lang w:eastAsia="en-US"/>
    </w:rPr>
  </w:style>
  <w:style w:type="character" w:customStyle="1" w:styleId="Heading1Char4">
    <w:name w:val="Heading 1 Char4"/>
    <w:aliases w:val="Heading 1 New Char4,Char1 Char4,Section Char4,Chapter Hdg Char4,Economics Section Char4,New Section Char4,Economics Section Heading Char4,My Heading 1 Char4,Lev 1 Char4,Section Heading Char4,(Alt 1) Char4,Numbered - 1 Char4,1 ghost Cha3"/>
    <w:basedOn w:val="DefaultParagraphFont"/>
    <w:uiPriority w:val="99"/>
    <w:locked/>
    <w:rsid w:val="00D631C4"/>
    <w:rPr>
      <w:rFonts w:ascii="Cambria" w:hAnsi="Cambria" w:cs="Times New Roman"/>
      <w:b/>
      <w:bCs/>
      <w:kern w:val="32"/>
      <w:sz w:val="32"/>
      <w:szCs w:val="32"/>
      <w:lang w:eastAsia="en-US"/>
    </w:rPr>
  </w:style>
  <w:style w:type="character" w:customStyle="1" w:styleId="Heading1Char3">
    <w:name w:val="Heading 1 Char3"/>
    <w:aliases w:val="Heading 1 New Char3,Char1 Char3,Section Char3,Chapter Hdg Char3,Economics Section Char3,New Section Char3,Economics Section Heading Char3,My Heading 1 Char3,Lev 1 Char3,Section Heading Char3,(Alt 1) Char3,Numbered - 1 Char3,1 ghost Cha2"/>
    <w:basedOn w:val="DefaultParagraphFont"/>
    <w:uiPriority w:val="99"/>
    <w:locked/>
    <w:rsid w:val="00D631C4"/>
    <w:rPr>
      <w:rFonts w:ascii="Cambria" w:hAnsi="Cambria" w:cs="Times New Roman"/>
      <w:b/>
      <w:bCs/>
      <w:kern w:val="32"/>
      <w:sz w:val="32"/>
      <w:szCs w:val="32"/>
      <w:lang w:eastAsia="en-US"/>
    </w:rPr>
  </w:style>
  <w:style w:type="character" w:customStyle="1" w:styleId="Heading1Char2">
    <w:name w:val="Heading 1 Char2"/>
    <w:aliases w:val="Heading 1 New Char2,Char1 Char2,Section Char2,Chapter Hdg Char2,Economics Section Char2,New Section Char2,Economics Section Heading Char2,My Heading 1 Char2,Lev 1 Char2,Section Heading Char2,(Alt 1) Char2,Numbered - 1 Char2,1 ghost Cha1"/>
    <w:basedOn w:val="DefaultParagraphFont"/>
    <w:uiPriority w:val="99"/>
    <w:locked/>
    <w:rsid w:val="00D631C4"/>
    <w:rPr>
      <w:rFonts w:ascii="Cambria" w:hAnsi="Cambria" w:cs="Times New Roman"/>
      <w:b/>
      <w:bCs/>
      <w:kern w:val="32"/>
      <w:sz w:val="32"/>
      <w:szCs w:val="32"/>
      <w:lang w:eastAsia="en-US"/>
    </w:rPr>
  </w:style>
  <w:style w:type="character" w:customStyle="1" w:styleId="Heading1Char1">
    <w:name w:val="Heading 1 Char1"/>
    <w:aliases w:val="Heading 1 New Char1,Char1 Char1,Section Char1,Chapter Hdg Char1,Economics Section Char1,New Section Char1,Economics Section Heading Char1,My Heading 1 Char1,Lev 1 Char1,Section Heading Char1,(Alt 1) Char1,Numbered - 1 Char1,1 ghost Char1"/>
    <w:uiPriority w:val="99"/>
    <w:locked/>
    <w:rsid w:val="00D631C4"/>
    <w:rPr>
      <w:rFonts w:ascii="Arial" w:hAnsi="Arial"/>
      <w:color w:val="009999"/>
      <w:kern w:val="32"/>
      <w:sz w:val="28"/>
      <w:lang w:eastAsia="en-US"/>
    </w:rPr>
  </w:style>
  <w:style w:type="character" w:customStyle="1" w:styleId="Heading5Char2">
    <w:name w:val="Heading 5 Char2"/>
    <w:aliases w:val="Do Not Use 5 Char1,Economics Bullets Char1,paragraph Char1,Bold &amp; Italic Char2,Paragraph Text Char1,Lower Case Char3,Lower Case Char Char1,Heading 5 Char1 Char1,Lower Case Char1 Char1,Bold &amp; Italic Char1 Char1"/>
    <w:basedOn w:val="DefaultParagraphFont"/>
    <w:uiPriority w:val="99"/>
    <w:semiHidden/>
    <w:rsid w:val="00D631C4"/>
    <w:rPr>
      <w:rFonts w:asciiTheme="majorHAnsi" w:eastAsiaTheme="majorEastAsia" w:hAnsiTheme="majorHAnsi" w:cstheme="majorBidi"/>
      <w:color w:val="243F60" w:themeColor="accent1" w:themeShade="7F"/>
      <w:sz w:val="24"/>
      <w:szCs w:val="24"/>
      <w:lang w:eastAsia="en-US"/>
    </w:rPr>
  </w:style>
  <w:style w:type="character" w:customStyle="1" w:styleId="Heading6Char1">
    <w:name w:val="Heading 6 Char1"/>
    <w:aliases w:val="Do Not Use 6 Char1,Economics Bullets 2 Char1,level 1 bullet Char1,Legal Level 1. Char1,level 1 bullet 1 Char1,level 1 bullet Char Char Char Char1,level 1 bullet 1 Char Char Char Char1,Heading 61 Char"/>
    <w:basedOn w:val="DefaultParagraphFont"/>
    <w:uiPriority w:val="99"/>
    <w:semiHidden/>
    <w:rsid w:val="00D631C4"/>
    <w:rPr>
      <w:rFonts w:asciiTheme="majorHAnsi" w:eastAsiaTheme="majorEastAsia" w:hAnsiTheme="majorHAnsi" w:cstheme="majorBidi"/>
      <w:i/>
      <w:iCs/>
      <w:color w:val="243F60" w:themeColor="accent1" w:themeShade="7F"/>
      <w:sz w:val="24"/>
      <w:szCs w:val="24"/>
      <w:lang w:eastAsia="en-US"/>
    </w:rPr>
  </w:style>
  <w:style w:type="character" w:styleId="HTMLTypewriter">
    <w:name w:val="HTML Typewriter"/>
    <w:uiPriority w:val="99"/>
    <w:unhideWhenUsed/>
    <w:rsid w:val="00D631C4"/>
    <w:rPr>
      <w:rFonts w:ascii="Courier New" w:eastAsia="Times New Roman" w:hAnsi="Courier New" w:cs="Courier New" w:hint="default"/>
      <w:sz w:val="20"/>
      <w:szCs w:val="20"/>
    </w:rPr>
  </w:style>
  <w:style w:type="character" w:customStyle="1" w:styleId="Heading7Char1">
    <w:name w:val="Heading 7 Char1"/>
    <w:aliases w:val="Do Not Use 7 Char1,Economics List (i) Char1,level 2 bullets Char1,Legal Level 1.1. Char1"/>
    <w:basedOn w:val="DefaultParagraphFont"/>
    <w:uiPriority w:val="99"/>
    <w:semiHidden/>
    <w:rsid w:val="00D631C4"/>
    <w:rPr>
      <w:rFonts w:asciiTheme="majorHAnsi" w:eastAsiaTheme="majorEastAsia" w:hAnsiTheme="majorHAnsi" w:cstheme="majorBidi"/>
      <w:i/>
      <w:iCs/>
      <w:color w:val="404040" w:themeColor="text1" w:themeTint="BF"/>
      <w:sz w:val="24"/>
      <w:szCs w:val="24"/>
      <w:lang w:eastAsia="en-US"/>
    </w:rPr>
  </w:style>
  <w:style w:type="character" w:customStyle="1" w:styleId="Heading8Char1">
    <w:name w:val="Heading 8 Char1"/>
    <w:aliases w:val="Do Not Use 8 Char1,Economics List (a) Char1,level 3 bullets Char1,Legal Level 1.1.1. Char1,Bullet 3 Char1"/>
    <w:basedOn w:val="DefaultParagraphFont"/>
    <w:uiPriority w:val="99"/>
    <w:semiHidden/>
    <w:rsid w:val="00D631C4"/>
    <w:rPr>
      <w:rFonts w:asciiTheme="majorHAnsi" w:eastAsiaTheme="majorEastAsia" w:hAnsiTheme="majorHAnsi" w:cstheme="majorBidi"/>
      <w:color w:val="404040" w:themeColor="text1" w:themeTint="BF"/>
      <w:lang w:eastAsia="en-US"/>
    </w:rPr>
  </w:style>
  <w:style w:type="character" w:customStyle="1" w:styleId="Heading9Char1">
    <w:name w:val="Heading 9 Char1"/>
    <w:aliases w:val="Do Not Use 9 Char1,Legal Level 1.1.1.1. Char1"/>
    <w:basedOn w:val="DefaultParagraphFont"/>
    <w:uiPriority w:val="99"/>
    <w:semiHidden/>
    <w:rsid w:val="00D631C4"/>
    <w:rPr>
      <w:rFonts w:asciiTheme="majorHAnsi" w:eastAsiaTheme="majorEastAsia" w:hAnsiTheme="majorHAnsi" w:cstheme="majorBidi"/>
      <w:i/>
      <w:iCs/>
      <w:color w:val="404040" w:themeColor="text1" w:themeTint="BF"/>
      <w:lang w:eastAsia="en-US"/>
    </w:rPr>
  </w:style>
  <w:style w:type="character" w:customStyle="1" w:styleId="FootnoteTextChar1">
    <w:name w:val="Footnote Text Char1"/>
    <w:aliases w:val="EKOS Footnote Text Char1,Footnote Text Char2"/>
    <w:basedOn w:val="DefaultParagraphFont"/>
    <w:semiHidden/>
    <w:rsid w:val="00D631C4"/>
    <w:rPr>
      <w:rFonts w:ascii="Arial" w:hAnsi="Arial"/>
      <w:lang w:eastAsia="en-US"/>
    </w:rPr>
  </w:style>
  <w:style w:type="paragraph" w:styleId="Title">
    <w:name w:val="Title"/>
    <w:basedOn w:val="Normal"/>
    <w:link w:val="TitleChar"/>
    <w:uiPriority w:val="99"/>
    <w:rsid w:val="00D631C4"/>
    <w:pPr>
      <w:spacing w:before="120" w:after="120"/>
      <w:jc w:val="center"/>
    </w:pPr>
    <w:rPr>
      <w:b/>
      <w:bCs/>
      <w:u w:val="single"/>
      <w:lang w:eastAsia="en-GB"/>
    </w:rPr>
  </w:style>
  <w:style w:type="character" w:customStyle="1" w:styleId="TitleChar">
    <w:name w:val="Title Char"/>
    <w:basedOn w:val="DefaultParagraphFont"/>
    <w:link w:val="Title"/>
    <w:uiPriority w:val="99"/>
    <w:rsid w:val="00D631C4"/>
    <w:rPr>
      <w:b/>
      <w:bCs/>
      <w:sz w:val="24"/>
      <w:szCs w:val="24"/>
      <w:u w:val="single"/>
    </w:rPr>
  </w:style>
  <w:style w:type="table" w:styleId="ColorfulList-Accent1">
    <w:name w:val="Colorful List Accent 1"/>
    <w:basedOn w:val="TableNormal"/>
    <w:uiPriority w:val="72"/>
    <w:rsid w:val="00D631C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no-margin">
    <w:name w:val="no-margin"/>
    <w:basedOn w:val="Normal"/>
    <w:uiPriority w:val="99"/>
    <w:rsid w:val="00D631C4"/>
    <w:pPr>
      <w:spacing w:before="75" w:after="150"/>
      <w:jc w:val="both"/>
    </w:pPr>
    <w:rPr>
      <w:rFonts w:asciiTheme="minorHAnsi" w:hAnsiTheme="minorHAnsi" w:cs="Arial"/>
      <w:color w:val="333333"/>
      <w:sz w:val="18"/>
      <w:szCs w:val="18"/>
      <w:lang w:eastAsia="en-GB"/>
    </w:rPr>
  </w:style>
  <w:style w:type="paragraph" w:customStyle="1" w:styleId="ecxmsolistparagraph">
    <w:name w:val="ecxmsolistparagraph"/>
    <w:basedOn w:val="Normal"/>
    <w:uiPriority w:val="99"/>
    <w:rsid w:val="00D631C4"/>
    <w:pPr>
      <w:spacing w:before="120" w:after="324"/>
      <w:jc w:val="both"/>
    </w:pPr>
    <w:rPr>
      <w:lang w:eastAsia="en-GB"/>
    </w:rPr>
  </w:style>
  <w:style w:type="paragraph" w:customStyle="1" w:styleId="ecxmsonormal">
    <w:name w:val="ecxmsonormal"/>
    <w:basedOn w:val="Normal"/>
    <w:uiPriority w:val="99"/>
    <w:rsid w:val="00D631C4"/>
    <w:pPr>
      <w:spacing w:before="120" w:after="324"/>
      <w:jc w:val="both"/>
    </w:pPr>
    <w:rPr>
      <w:lang w:eastAsia="en-GB"/>
    </w:rPr>
  </w:style>
  <w:style w:type="paragraph" w:customStyle="1" w:styleId="1">
    <w:name w:val="1"/>
    <w:basedOn w:val="Normal"/>
    <w:uiPriority w:val="99"/>
    <w:rsid w:val="00D631C4"/>
    <w:pPr>
      <w:spacing w:before="120" w:after="120" w:line="240" w:lineRule="exact"/>
      <w:jc w:val="both"/>
    </w:pPr>
    <w:rPr>
      <w:rFonts w:ascii="Verdana" w:hAnsi="Verdana"/>
      <w:sz w:val="20"/>
      <w:szCs w:val="20"/>
      <w:lang w:val="en-US" w:eastAsia="en-GB"/>
    </w:rPr>
  </w:style>
  <w:style w:type="paragraph" w:customStyle="1" w:styleId="StyleJustified">
    <w:name w:val="Style Justified"/>
    <w:basedOn w:val="Normal"/>
    <w:uiPriority w:val="99"/>
    <w:rsid w:val="00D631C4"/>
    <w:pPr>
      <w:numPr>
        <w:ilvl w:val="1"/>
        <w:numId w:val="24"/>
      </w:numPr>
      <w:spacing w:before="120" w:after="120"/>
      <w:ind w:left="0" w:firstLine="0"/>
      <w:jc w:val="both"/>
    </w:pPr>
    <w:rPr>
      <w:rFonts w:asciiTheme="minorHAnsi" w:hAnsiTheme="minorHAnsi"/>
      <w:sz w:val="22"/>
      <w:szCs w:val="20"/>
      <w:lang w:eastAsia="en-GB"/>
    </w:rPr>
  </w:style>
  <w:style w:type="paragraph" w:customStyle="1" w:styleId="Min">
    <w:name w:val="Min"/>
    <w:basedOn w:val="Normal"/>
    <w:uiPriority w:val="99"/>
    <w:rsid w:val="00D631C4"/>
    <w:pPr>
      <w:autoSpaceDE w:val="0"/>
      <w:autoSpaceDN w:val="0"/>
      <w:adjustRightInd w:val="0"/>
      <w:spacing w:before="120" w:after="120"/>
      <w:ind w:left="720" w:hanging="720"/>
      <w:jc w:val="both"/>
    </w:pPr>
    <w:rPr>
      <w:rFonts w:ascii="Helvetica" w:hAnsi="Helvetica" w:cs="Helvetica"/>
      <w:lang w:eastAsia="en-GB"/>
    </w:rPr>
  </w:style>
  <w:style w:type="paragraph" w:customStyle="1" w:styleId="Main">
    <w:name w:val="Main#"/>
    <w:basedOn w:val="Maintext"/>
    <w:uiPriority w:val="99"/>
    <w:rsid w:val="00D631C4"/>
    <w:pPr>
      <w:numPr>
        <w:ilvl w:val="0"/>
        <w:numId w:val="0"/>
      </w:numPr>
      <w:tabs>
        <w:tab w:val="num" w:pos="709"/>
      </w:tabs>
      <w:ind w:left="720" w:hanging="720"/>
    </w:pPr>
    <w:rPr>
      <w:rFonts w:asciiTheme="minorHAnsi" w:hAnsiTheme="minorHAnsi"/>
      <w:lang w:val="en-GB" w:eastAsia="en-GB"/>
    </w:rPr>
  </w:style>
  <w:style w:type="paragraph" w:customStyle="1" w:styleId="Nor">
    <w:name w:val="Nor#"/>
    <w:basedOn w:val="Normal"/>
    <w:uiPriority w:val="99"/>
    <w:rsid w:val="00D631C4"/>
    <w:pPr>
      <w:spacing w:before="120" w:after="120"/>
      <w:jc w:val="both"/>
    </w:pPr>
    <w:rPr>
      <w:rFonts w:asciiTheme="minorHAnsi" w:hAnsiTheme="minorHAnsi"/>
      <w:sz w:val="22"/>
      <w:lang w:eastAsia="en-GB"/>
    </w:rPr>
  </w:style>
  <w:style w:type="paragraph" w:customStyle="1" w:styleId="CM70">
    <w:name w:val="CM70"/>
    <w:basedOn w:val="Default"/>
    <w:next w:val="Default"/>
    <w:uiPriority w:val="99"/>
    <w:rsid w:val="00D631C4"/>
    <w:rPr>
      <w:rFonts w:ascii="Gill Sans MT Pro Medium" w:eastAsia="Times New Roman" w:hAnsi="Gill Sans MT Pro Medium" w:cs="Times New Roman"/>
      <w:color w:val="auto"/>
      <w:lang w:val="en-US" w:eastAsia="en-US"/>
    </w:rPr>
  </w:style>
  <w:style w:type="paragraph" w:customStyle="1" w:styleId="Bullets0">
    <w:name w:val="Bullets"/>
    <w:basedOn w:val="Normal"/>
    <w:uiPriority w:val="99"/>
    <w:rsid w:val="00D631C4"/>
    <w:pPr>
      <w:tabs>
        <w:tab w:val="num" w:pos="709"/>
      </w:tabs>
      <w:spacing w:before="120" w:after="120"/>
      <w:ind w:left="709" w:hanging="709"/>
      <w:jc w:val="both"/>
    </w:pPr>
    <w:rPr>
      <w:rFonts w:asciiTheme="minorHAnsi" w:hAnsiTheme="minorHAnsi"/>
      <w:lang w:eastAsia="en-GB"/>
    </w:rPr>
  </w:style>
  <w:style w:type="paragraph" w:customStyle="1" w:styleId="NoParagraphStyle">
    <w:name w:val="[No Paragraph Style]"/>
    <w:uiPriority w:val="99"/>
    <w:rsid w:val="00D631C4"/>
    <w:pPr>
      <w:autoSpaceDE w:val="0"/>
      <w:autoSpaceDN w:val="0"/>
      <w:adjustRightInd w:val="0"/>
      <w:spacing w:line="288" w:lineRule="auto"/>
    </w:pPr>
    <w:rPr>
      <w:color w:val="000000"/>
      <w:sz w:val="24"/>
      <w:szCs w:val="24"/>
      <w:lang w:eastAsia="en-US"/>
    </w:rPr>
  </w:style>
  <w:style w:type="paragraph" w:customStyle="1" w:styleId="DocumentTitle">
    <w:name w:val="Document Title"/>
    <w:uiPriority w:val="99"/>
    <w:rsid w:val="00D631C4"/>
    <w:pPr>
      <w:spacing w:line="860" w:lineRule="exact"/>
    </w:pPr>
    <w:rPr>
      <w:rFonts w:ascii="Arial" w:hAnsi="Arial"/>
      <w:b/>
      <w:color w:val="00B3BE"/>
      <w:sz w:val="80"/>
      <w:lang w:eastAsia="en-US"/>
    </w:rPr>
  </w:style>
  <w:style w:type="paragraph" w:customStyle="1" w:styleId="naib">
    <w:name w:val="naib"/>
    <w:basedOn w:val="Normal"/>
    <w:rsid w:val="00D631C4"/>
    <w:pPr>
      <w:spacing w:before="120" w:after="120"/>
      <w:jc w:val="both"/>
    </w:pPr>
    <w:rPr>
      <w:rFonts w:asciiTheme="minorHAnsi" w:hAnsiTheme="minorHAnsi"/>
      <w:sz w:val="22"/>
      <w:lang w:eastAsia="en-GB"/>
    </w:rPr>
  </w:style>
  <w:style w:type="paragraph" w:customStyle="1" w:styleId="TableContents">
    <w:name w:val="Table Contents"/>
    <w:basedOn w:val="Normal"/>
    <w:rsid w:val="00D631C4"/>
    <w:pPr>
      <w:widowControl w:val="0"/>
      <w:suppressLineNumbers/>
      <w:suppressAutoHyphens/>
      <w:spacing w:before="120" w:after="120"/>
      <w:jc w:val="both"/>
    </w:pPr>
    <w:rPr>
      <w:rFonts w:eastAsia="Arial Unicode MS" w:cs="Arial Unicode MS"/>
      <w:kern w:val="2"/>
      <w:lang w:eastAsia="zh-CN" w:bidi="hi-IN"/>
    </w:rPr>
  </w:style>
  <w:style w:type="paragraph" w:customStyle="1" w:styleId="Masin">
    <w:name w:val="Masin"/>
    <w:basedOn w:val="Normal"/>
    <w:uiPriority w:val="99"/>
    <w:rsid w:val="00D631C4"/>
    <w:pPr>
      <w:spacing w:before="120" w:after="120"/>
      <w:jc w:val="both"/>
    </w:pPr>
    <w:rPr>
      <w:rFonts w:asciiTheme="minorHAnsi" w:hAnsiTheme="minorHAnsi"/>
      <w:lang w:eastAsia="en-GB"/>
    </w:rPr>
  </w:style>
  <w:style w:type="character" w:customStyle="1" w:styleId="ColorfulList-Accent1Char">
    <w:name w:val="Colorful List - Accent 1 Char"/>
    <w:link w:val="ColorfulList-Accent11"/>
    <w:uiPriority w:val="34"/>
    <w:locked/>
    <w:rsid w:val="00D631C4"/>
    <w:rPr>
      <w:rFonts w:ascii="Arial" w:hAnsi="Arial" w:cs="Arial"/>
    </w:rPr>
  </w:style>
  <w:style w:type="paragraph" w:customStyle="1" w:styleId="ColorfulList-Accent11">
    <w:name w:val="Colorful List - Accent 11"/>
    <w:basedOn w:val="Normal"/>
    <w:link w:val="ColorfulList-Accent1Char"/>
    <w:uiPriority w:val="34"/>
    <w:rsid w:val="00D631C4"/>
    <w:pPr>
      <w:spacing w:before="120" w:after="120"/>
      <w:ind w:left="720"/>
      <w:jc w:val="both"/>
    </w:pPr>
    <w:rPr>
      <w:rFonts w:cs="Arial"/>
      <w:sz w:val="20"/>
      <w:szCs w:val="20"/>
      <w:lang w:eastAsia="en-GB"/>
    </w:rPr>
  </w:style>
  <w:style w:type="paragraph" w:customStyle="1" w:styleId="ColorfulShading-Accent11">
    <w:name w:val="Colorful Shading - Accent 11"/>
    <w:uiPriority w:val="99"/>
    <w:semiHidden/>
    <w:rsid w:val="00D631C4"/>
    <w:rPr>
      <w:rFonts w:ascii="Arial" w:hAnsi="Arial"/>
      <w:sz w:val="24"/>
      <w:szCs w:val="24"/>
      <w:lang w:eastAsia="en-US"/>
    </w:rPr>
  </w:style>
  <w:style w:type="paragraph" w:customStyle="1" w:styleId="NoSpacing1">
    <w:name w:val="No Spacing1"/>
    <w:uiPriority w:val="1"/>
    <w:rsid w:val="00D631C4"/>
    <w:rPr>
      <w:rFonts w:ascii="Calibri" w:hAnsi="Calibri"/>
      <w:sz w:val="22"/>
      <w:szCs w:val="22"/>
      <w:lang w:val="en-US" w:eastAsia="en-US"/>
    </w:rPr>
  </w:style>
  <w:style w:type="character" w:customStyle="1" w:styleId="bullet2Char">
    <w:name w:val="bullet2 Char"/>
    <w:link w:val="bullet2"/>
    <w:uiPriority w:val="99"/>
    <w:locked/>
    <w:rsid w:val="00D631C4"/>
    <w:rPr>
      <w:rFonts w:ascii="Calibri" w:hAnsi="Calibri"/>
    </w:rPr>
  </w:style>
  <w:style w:type="paragraph" w:customStyle="1" w:styleId="bullet2">
    <w:name w:val="bullet2"/>
    <w:basedOn w:val="Normal"/>
    <w:link w:val="bullet2Char"/>
    <w:uiPriority w:val="99"/>
    <w:rsid w:val="00D631C4"/>
    <w:pPr>
      <w:numPr>
        <w:ilvl w:val="1"/>
        <w:numId w:val="25"/>
      </w:numPr>
      <w:spacing w:before="120" w:after="120"/>
      <w:ind w:left="1794" w:hanging="357"/>
      <w:jc w:val="both"/>
    </w:pPr>
    <w:rPr>
      <w:sz w:val="20"/>
      <w:szCs w:val="20"/>
      <w:lang w:eastAsia="en-GB"/>
    </w:rPr>
  </w:style>
  <w:style w:type="table" w:styleId="MediumGrid2">
    <w:name w:val="Medium Grid 2"/>
    <w:basedOn w:val="TableNormal"/>
    <w:link w:val="MediumGrid2Char1"/>
    <w:uiPriority w:val="1"/>
    <w:rsid w:val="00D631C4"/>
    <w:rPr>
      <w:rFonts w:ascii="Calibri" w:hAnsi="Calibr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MediumGrid2Char1">
    <w:name w:val="Medium Grid 2 Char1"/>
    <w:link w:val="MediumGrid2"/>
    <w:uiPriority w:val="1"/>
    <w:locked/>
    <w:rsid w:val="00D631C4"/>
    <w:rPr>
      <w:rFonts w:ascii="Calibri" w:hAnsi="Calibri" w:hint="default"/>
      <w:sz w:val="22"/>
      <w:szCs w:val="22"/>
      <w:lang w:val="en-US" w:eastAsia="en-US" w:bidi="ar-SA"/>
    </w:rPr>
  </w:style>
  <w:style w:type="character" w:customStyle="1" w:styleId="ColorfulList-Accent1Char1">
    <w:name w:val="Colorful List - Accent 1 Char1"/>
    <w:aliases w:val="Main-bullets Char"/>
    <w:uiPriority w:val="34"/>
    <w:rsid w:val="00D631C4"/>
    <w:rPr>
      <w:rFonts w:ascii="Arial" w:hAnsi="Arial" w:cs="Arial" w:hint="default"/>
      <w:sz w:val="24"/>
      <w:szCs w:val="24"/>
      <w:lang w:eastAsia="en-US"/>
    </w:rPr>
  </w:style>
  <w:style w:type="table" w:styleId="LightShading-Accent2">
    <w:name w:val="Light Shading Accent 2"/>
    <w:basedOn w:val="TableNormal"/>
    <w:link w:val="LightShading-Accent2Char"/>
    <w:uiPriority w:val="30"/>
    <w:rsid w:val="00D631C4"/>
    <w:rPr>
      <w:rFonts w:ascii="Arial" w:hAnsi="Arial" w:cs="Arial"/>
      <w:b/>
      <w:bCs/>
      <w:i/>
      <w:iCs/>
      <w:color w:val="4F81BD"/>
      <w:sz w:val="24"/>
      <w:szCs w:val="24"/>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0" w:afterLines="0" w:afterAutospacing="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LightShading-Accent2Char">
    <w:name w:val="Light Shading - Accent 2 Char"/>
    <w:link w:val="LightShading-Accent2"/>
    <w:uiPriority w:val="30"/>
    <w:locked/>
    <w:rsid w:val="00D631C4"/>
    <w:rPr>
      <w:rFonts w:ascii="Arial" w:hAnsi="Arial" w:cs="Arial" w:hint="default"/>
      <w:b/>
      <w:bCs/>
      <w:i/>
      <w:iCs/>
      <w:color w:val="4F81BD"/>
      <w:sz w:val="24"/>
      <w:szCs w:val="24"/>
      <w:lang w:eastAsia="en-US"/>
    </w:rPr>
  </w:style>
  <w:style w:type="character" w:customStyle="1" w:styleId="caps">
    <w:name w:val="caps"/>
    <w:basedOn w:val="DefaultParagraphFont"/>
    <w:uiPriority w:val="99"/>
    <w:rsid w:val="00D631C4"/>
  </w:style>
  <w:style w:type="character" w:customStyle="1" w:styleId="CharChar25">
    <w:name w:val="Char Char25"/>
    <w:uiPriority w:val="99"/>
    <w:semiHidden/>
    <w:rsid w:val="00D631C4"/>
    <w:rPr>
      <w:rFonts w:ascii="Arial" w:hAnsi="Arial" w:cs="Arial" w:hint="default"/>
      <w:lang w:eastAsia="en-US"/>
    </w:rPr>
  </w:style>
  <w:style w:type="table" w:styleId="MediumShading1-Accent1">
    <w:name w:val="Medium Shading 1 Accent 1"/>
    <w:basedOn w:val="TableNormal"/>
    <w:link w:val="MediumGrid2Char"/>
    <w:uiPriority w:val="1"/>
    <w:rsid w:val="00D631C4"/>
    <w:rPr>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ediumGrid2Char">
    <w:name w:val="Medium Grid 2 Char"/>
    <w:link w:val="MediumShading1-Accent1"/>
    <w:uiPriority w:val="1"/>
    <w:locked/>
    <w:rsid w:val="00D631C4"/>
    <w:rPr>
      <w:rFonts w:ascii="Times New Roman" w:eastAsia="Times New Roman" w:hAnsi="Times New Roman" w:cs="Times New Roman" w:hint="default"/>
      <w:lang w:val="en-US" w:eastAsia="en-GB" w:bidi="ar-SA"/>
    </w:rPr>
  </w:style>
  <w:style w:type="table" w:styleId="TableGrid1">
    <w:name w:val="Table Grid 1"/>
    <w:basedOn w:val="TableNormal"/>
    <w:unhideWhenUsed/>
    <w:rsid w:val="00D631C4"/>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uiPriority w:val="99"/>
    <w:unhideWhenUsed/>
    <w:rsid w:val="00D631C4"/>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D631C4"/>
    <w:pPr>
      <w:spacing w:before="120" w:after="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DarkList-Accent4">
    <w:name w:val="Dark List Accent 4"/>
    <w:basedOn w:val="TableNormal"/>
    <w:uiPriority w:val="61"/>
    <w:rsid w:val="00D631C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List1-Accent5">
    <w:name w:val="Medium List 1 Accent 5"/>
    <w:basedOn w:val="TableNormal"/>
    <w:uiPriority w:val="61"/>
    <w:rsid w:val="00D631C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GTTAquestionno">
    <w:name w:val="GTTA question no"/>
    <w:basedOn w:val="Heading4"/>
    <w:link w:val="GTTAquestionnoChar"/>
    <w:qFormat/>
    <w:rsid w:val="00D631C4"/>
    <w:pPr>
      <w:numPr>
        <w:numId w:val="26"/>
      </w:numPr>
    </w:pPr>
    <w:rPr>
      <w:rFonts w:asciiTheme="minorHAnsi" w:hAnsiTheme="minorHAnsi"/>
    </w:rPr>
  </w:style>
  <w:style w:type="character" w:customStyle="1" w:styleId="GTTAquestionnoChar">
    <w:name w:val="GTTA question no Char"/>
    <w:basedOn w:val="Heading4Char"/>
    <w:link w:val="GTTAquestionno"/>
    <w:rsid w:val="00D631C4"/>
    <w:rPr>
      <w:rFonts w:asciiTheme="minorHAnsi" w:hAnsiTheme="minorHAnsi"/>
      <w:bCs/>
      <w:i/>
      <w:color w:val="009999"/>
      <w:sz w:val="24"/>
      <w:szCs w:val="24"/>
      <w:lang w:val="x-none" w:eastAsia="en-US"/>
    </w:rPr>
  </w:style>
  <w:style w:type="character" w:customStyle="1" w:styleId="Mention1">
    <w:name w:val="Mention1"/>
    <w:basedOn w:val="DefaultParagraphFont"/>
    <w:uiPriority w:val="99"/>
    <w:semiHidden/>
    <w:unhideWhenUsed/>
    <w:rsid w:val="00D631C4"/>
    <w:rPr>
      <w:color w:val="2B579A"/>
      <w:shd w:val="clear" w:color="auto" w:fill="E6E6E6"/>
    </w:rPr>
  </w:style>
  <w:style w:type="paragraph" w:customStyle="1" w:styleId="msonormal0">
    <w:name w:val="msonormal"/>
    <w:basedOn w:val="Normal"/>
    <w:uiPriority w:val="99"/>
    <w:rsid w:val="00D631C4"/>
    <w:pPr>
      <w:spacing w:before="100" w:beforeAutospacing="1" w:after="100" w:afterAutospacing="1"/>
      <w:jc w:val="both"/>
    </w:pPr>
    <w:rPr>
      <w:lang w:eastAsia="en-GB"/>
    </w:rPr>
  </w:style>
  <w:style w:type="paragraph" w:customStyle="1" w:styleId="tableheaders">
    <w:name w:val="tableheaders"/>
    <w:basedOn w:val="Normal"/>
    <w:uiPriority w:val="99"/>
    <w:rsid w:val="00D631C4"/>
    <w:pPr>
      <w:spacing w:before="120" w:after="120"/>
      <w:jc w:val="both"/>
    </w:pPr>
    <w:rPr>
      <w:rFonts w:asciiTheme="minorHAnsi" w:hAnsiTheme="minorHAnsi"/>
      <w:szCs w:val="22"/>
      <w:lang w:eastAsia="en-GB"/>
    </w:rPr>
  </w:style>
  <w:style w:type="paragraph" w:customStyle="1" w:styleId="t">
    <w:name w:val="t"/>
    <w:basedOn w:val="Normal"/>
    <w:rsid w:val="00D631C4"/>
    <w:pPr>
      <w:spacing w:before="120" w:after="120"/>
      <w:jc w:val="both"/>
    </w:pPr>
    <w:rPr>
      <w:rFonts w:asciiTheme="minorHAnsi" w:hAnsiTheme="minorHAnsi"/>
      <w:lang w:eastAsia="en-GB"/>
    </w:rPr>
  </w:style>
  <w:style w:type="paragraph" w:customStyle="1" w:styleId="tt">
    <w:name w:val="tt"/>
    <w:basedOn w:val="t"/>
    <w:rsid w:val="00D631C4"/>
  </w:style>
  <w:style w:type="paragraph" w:customStyle="1" w:styleId="tableeheading">
    <w:name w:val="tableeheading"/>
    <w:basedOn w:val="Normal"/>
    <w:rsid w:val="00D631C4"/>
    <w:pPr>
      <w:spacing w:before="120" w:after="120"/>
      <w:jc w:val="both"/>
    </w:pPr>
    <w:rPr>
      <w:rFonts w:asciiTheme="minorHAnsi" w:hAnsiTheme="minorHAnsi"/>
      <w:color w:val="000000"/>
      <w:lang w:eastAsia="en-GB"/>
    </w:rPr>
  </w:style>
  <w:style w:type="paragraph" w:customStyle="1" w:styleId="tabeheading">
    <w:name w:val="tabeheading"/>
    <w:basedOn w:val="Maintext"/>
    <w:rsid w:val="00D631C4"/>
    <w:pPr>
      <w:numPr>
        <w:ilvl w:val="0"/>
        <w:numId w:val="0"/>
      </w:numPr>
    </w:pPr>
    <w:rPr>
      <w:lang w:val="en-GB" w:eastAsia="en-GB"/>
    </w:rPr>
  </w:style>
  <w:style w:type="paragraph" w:customStyle="1" w:styleId="Normatabl">
    <w:name w:val="Normatabl"/>
    <w:basedOn w:val="Normal"/>
    <w:rsid w:val="00D631C4"/>
    <w:pPr>
      <w:spacing w:before="120" w:after="120"/>
      <w:jc w:val="both"/>
    </w:pPr>
    <w:rPr>
      <w:rFonts w:asciiTheme="minorHAnsi" w:hAnsiTheme="minorHAnsi"/>
      <w:lang w:eastAsia="en-GB"/>
    </w:rPr>
  </w:style>
  <w:style w:type="paragraph" w:customStyle="1" w:styleId="tableheading0">
    <w:name w:val="table heading"/>
    <w:basedOn w:val="Normatabl"/>
    <w:rsid w:val="00D631C4"/>
  </w:style>
  <w:style w:type="paragraph" w:customStyle="1" w:styleId="tablehading">
    <w:name w:val="tablehading"/>
    <w:basedOn w:val="t"/>
    <w:rsid w:val="00D631C4"/>
    <w:rPr>
      <w:color w:val="000000"/>
    </w:rPr>
  </w:style>
  <w:style w:type="paragraph" w:customStyle="1" w:styleId="ffigureheading">
    <w:name w:val="ffigureheading"/>
    <w:basedOn w:val="Normal"/>
    <w:rsid w:val="00D631C4"/>
    <w:pPr>
      <w:spacing w:before="120" w:after="120"/>
      <w:jc w:val="both"/>
    </w:pPr>
    <w:rPr>
      <w:rFonts w:asciiTheme="minorHAnsi" w:hAnsiTheme="minorHAnsi"/>
      <w:lang w:eastAsia="en-GB"/>
    </w:rPr>
  </w:style>
  <w:style w:type="paragraph" w:customStyle="1" w:styleId="figureheadingffigureheading">
    <w:name w:val="figureheadingffigureheading"/>
    <w:basedOn w:val="ffigureheading"/>
    <w:rsid w:val="00D631C4"/>
  </w:style>
  <w:style w:type="paragraph" w:customStyle="1" w:styleId="fi">
    <w:name w:val="fi"/>
    <w:basedOn w:val="Reporttext"/>
    <w:rsid w:val="00D631C4"/>
    <w:pPr>
      <w:numPr>
        <w:ilvl w:val="0"/>
        <w:numId w:val="0"/>
      </w:numPr>
      <w:tabs>
        <w:tab w:val="clear" w:pos="709"/>
      </w:tabs>
      <w:ind w:left="709"/>
    </w:pPr>
    <w:rPr>
      <w:lang w:val="en-GB" w:eastAsia="en-GB"/>
    </w:rPr>
  </w:style>
  <w:style w:type="table" w:customStyle="1" w:styleId="LightList-Accent41">
    <w:name w:val="Light List - Accent 41"/>
    <w:rsid w:val="00D631C4"/>
    <w:rPr>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Centre14">
    <w:name w:val="Centre14"/>
    <w:basedOn w:val="Normal"/>
    <w:next w:val="Normal"/>
    <w:autoRedefine/>
    <w:rsid w:val="00D631C4"/>
    <w:pPr>
      <w:spacing w:before="120" w:after="120"/>
      <w:ind w:left="709" w:hanging="709"/>
      <w:jc w:val="center"/>
    </w:pPr>
    <w:rPr>
      <w:rFonts w:asciiTheme="minorHAnsi" w:hAnsiTheme="minorHAnsi"/>
      <w:b/>
      <w:sz w:val="28"/>
      <w:lang w:eastAsia="en-GB"/>
    </w:rPr>
  </w:style>
  <w:style w:type="paragraph" w:customStyle="1" w:styleId="Sidehead11">
    <w:name w:val="Sidehead11"/>
    <w:basedOn w:val="Normal"/>
    <w:next w:val="Normal"/>
    <w:autoRedefine/>
    <w:rsid w:val="00D631C4"/>
    <w:pPr>
      <w:spacing w:before="120" w:after="120"/>
      <w:ind w:left="720" w:hanging="720"/>
      <w:jc w:val="both"/>
    </w:pPr>
    <w:rPr>
      <w:rFonts w:asciiTheme="minorHAnsi" w:hAnsiTheme="minorHAnsi"/>
      <w:b/>
      <w:lang w:eastAsia="en-GB"/>
    </w:rPr>
  </w:style>
  <w:style w:type="paragraph" w:customStyle="1" w:styleId="Min0">
    <w:name w:val="Min#"/>
    <w:basedOn w:val="Maintext"/>
    <w:rsid w:val="00D631C4"/>
    <w:pPr>
      <w:numPr>
        <w:ilvl w:val="0"/>
        <w:numId w:val="0"/>
      </w:numPr>
    </w:pPr>
    <w:rPr>
      <w:rFonts w:asciiTheme="minorHAnsi" w:eastAsia="MS Mincho" w:hAnsiTheme="minorHAnsi"/>
      <w:lang w:val="en-US" w:eastAsia="ja-JP"/>
    </w:rPr>
  </w:style>
  <w:style w:type="character" w:styleId="SubtleEmphasis">
    <w:name w:val="Subtle Emphasis"/>
    <w:uiPriority w:val="99"/>
    <w:rsid w:val="00D631C4"/>
    <w:rPr>
      <w:rFonts w:cs="Times New Roman"/>
      <w:i/>
      <w:color w:val="808080"/>
    </w:rPr>
  </w:style>
  <w:style w:type="paragraph" w:customStyle="1" w:styleId="Para">
    <w:name w:val="Para"/>
    <w:basedOn w:val="Normal"/>
    <w:link w:val="ParaChar"/>
    <w:rsid w:val="00D631C4"/>
    <w:pPr>
      <w:numPr>
        <w:ilvl w:val="1"/>
        <w:numId w:val="28"/>
      </w:numPr>
      <w:spacing w:before="120" w:after="120"/>
      <w:ind w:left="709" w:hanging="709"/>
      <w:jc w:val="both"/>
    </w:pPr>
    <w:rPr>
      <w:rFonts w:asciiTheme="minorHAnsi" w:hAnsiTheme="minorHAnsi"/>
      <w:szCs w:val="20"/>
      <w:lang w:val="en-US" w:eastAsia="ja-JP"/>
    </w:rPr>
  </w:style>
  <w:style w:type="paragraph" w:customStyle="1" w:styleId="Heading31">
    <w:name w:val="Heading 31"/>
    <w:basedOn w:val="Heading3"/>
    <w:link w:val="Heading31Char"/>
    <w:rsid w:val="00D631C4"/>
    <w:pPr>
      <w:numPr>
        <w:numId w:val="27"/>
      </w:numPr>
    </w:pPr>
    <w:rPr>
      <w:rFonts w:asciiTheme="minorHAnsi" w:hAnsiTheme="minorHAnsi"/>
      <w:b/>
      <w:color w:val="008080"/>
      <w:szCs w:val="20"/>
      <w:lang w:val="en-US" w:eastAsia="ja-JP"/>
    </w:rPr>
  </w:style>
  <w:style w:type="character" w:customStyle="1" w:styleId="ParaChar">
    <w:name w:val="Para Char"/>
    <w:link w:val="Para"/>
    <w:locked/>
    <w:rsid w:val="00D631C4"/>
    <w:rPr>
      <w:rFonts w:asciiTheme="minorHAnsi" w:hAnsiTheme="minorHAnsi"/>
      <w:sz w:val="24"/>
      <w:lang w:val="en-US" w:eastAsia="ja-JP"/>
    </w:rPr>
  </w:style>
  <w:style w:type="paragraph" w:styleId="Subtitle">
    <w:name w:val="Subtitle"/>
    <w:basedOn w:val="Normal"/>
    <w:next w:val="Normal"/>
    <w:link w:val="SubtitleChar"/>
    <w:rsid w:val="00D631C4"/>
    <w:pPr>
      <w:spacing w:before="120" w:after="60"/>
      <w:ind w:left="709" w:hanging="709"/>
      <w:jc w:val="center"/>
      <w:outlineLvl w:val="1"/>
    </w:pPr>
    <w:rPr>
      <w:rFonts w:ascii="Cambria" w:hAnsi="Cambria"/>
      <w:lang w:val="en-US" w:eastAsia="en-GB"/>
    </w:rPr>
  </w:style>
  <w:style w:type="character" w:customStyle="1" w:styleId="SubtitleChar">
    <w:name w:val="Subtitle Char"/>
    <w:basedOn w:val="DefaultParagraphFont"/>
    <w:link w:val="Subtitle"/>
    <w:rsid w:val="00D631C4"/>
    <w:rPr>
      <w:rFonts w:ascii="Cambria" w:hAnsi="Cambria"/>
      <w:sz w:val="24"/>
      <w:szCs w:val="24"/>
      <w:lang w:val="en-US"/>
    </w:rPr>
  </w:style>
  <w:style w:type="character" w:customStyle="1" w:styleId="Heading31Char">
    <w:name w:val="Heading 31 Char"/>
    <w:link w:val="Heading31"/>
    <w:locked/>
    <w:rsid w:val="00D631C4"/>
    <w:rPr>
      <w:rFonts w:asciiTheme="minorHAnsi" w:hAnsiTheme="minorHAnsi"/>
      <w:b/>
      <w:color w:val="008080"/>
      <w:sz w:val="28"/>
      <w:lang w:val="en-US" w:eastAsia="ja-JP"/>
    </w:rPr>
  </w:style>
  <w:style w:type="paragraph" w:styleId="Quote">
    <w:name w:val="Quote"/>
    <w:basedOn w:val="Normal"/>
    <w:next w:val="Normal"/>
    <w:link w:val="QuoteChar"/>
    <w:rsid w:val="00D631C4"/>
    <w:pPr>
      <w:spacing w:before="120" w:after="120"/>
      <w:ind w:left="709" w:hanging="709"/>
      <w:jc w:val="both"/>
    </w:pPr>
    <w:rPr>
      <w:rFonts w:asciiTheme="minorHAnsi" w:hAnsiTheme="minorHAnsi"/>
      <w:i/>
      <w:iCs/>
      <w:color w:val="000000"/>
      <w:lang w:val="en-US" w:eastAsia="en-GB"/>
    </w:rPr>
  </w:style>
  <w:style w:type="character" w:customStyle="1" w:styleId="QuoteChar">
    <w:name w:val="Quote Char"/>
    <w:basedOn w:val="DefaultParagraphFont"/>
    <w:link w:val="Quote"/>
    <w:rsid w:val="00D631C4"/>
    <w:rPr>
      <w:rFonts w:asciiTheme="minorHAnsi" w:hAnsiTheme="minorHAnsi"/>
      <w:i/>
      <w:iCs/>
      <w:color w:val="000000"/>
      <w:sz w:val="24"/>
      <w:szCs w:val="24"/>
      <w:lang w:val="en-US"/>
    </w:rPr>
  </w:style>
  <w:style w:type="character" w:styleId="IntenseEmphasis">
    <w:name w:val="Intense Emphasis"/>
    <w:rsid w:val="00D631C4"/>
    <w:rPr>
      <w:rFonts w:cs="Times New Roman"/>
      <w:b/>
      <w:i/>
      <w:color w:val="4F81BD"/>
    </w:rPr>
  </w:style>
  <w:style w:type="character" w:styleId="SubtleReference">
    <w:name w:val="Subtle Reference"/>
    <w:rsid w:val="00D631C4"/>
    <w:rPr>
      <w:rFonts w:cs="Times New Roman"/>
      <w:smallCaps/>
      <w:color w:val="C0504D"/>
      <w:u w:val="single"/>
    </w:rPr>
  </w:style>
  <w:style w:type="character" w:styleId="IntenseReference">
    <w:name w:val="Intense Reference"/>
    <w:rsid w:val="00D631C4"/>
    <w:rPr>
      <w:rFonts w:cs="Times New Roman"/>
      <w:b/>
      <w:smallCaps/>
      <w:color w:val="C0504D"/>
      <w:spacing w:val="5"/>
      <w:u w:val="single"/>
    </w:rPr>
  </w:style>
  <w:style w:type="character" w:styleId="BookTitle">
    <w:name w:val="Book Title"/>
    <w:rsid w:val="00D631C4"/>
    <w:rPr>
      <w:rFonts w:cs="Times New Roman"/>
      <w:b/>
      <w:smallCaps/>
      <w:spacing w:val="5"/>
    </w:rPr>
  </w:style>
  <w:style w:type="paragraph" w:customStyle="1" w:styleId="Bulletindent">
    <w:name w:val="Bullet indent"/>
    <w:basedOn w:val="bullet"/>
    <w:link w:val="BulletindentChar"/>
    <w:rsid w:val="00D631C4"/>
    <w:pPr>
      <w:numPr>
        <w:ilvl w:val="1"/>
        <w:numId w:val="29"/>
      </w:numPr>
      <w:tabs>
        <w:tab w:val="clear" w:pos="709"/>
        <w:tab w:val="num" w:pos="1789"/>
      </w:tabs>
      <w:ind w:left="1505" w:hanging="425"/>
    </w:pPr>
    <w:rPr>
      <w:rFonts w:asciiTheme="minorHAnsi" w:hAnsiTheme="minorHAnsi" w:cs="Calibri"/>
      <w:szCs w:val="20"/>
      <w:lang w:val="en-US" w:eastAsia="ja-JP"/>
    </w:rPr>
  </w:style>
  <w:style w:type="character" w:customStyle="1" w:styleId="BulletindentChar">
    <w:name w:val="Bullet indent Char"/>
    <w:link w:val="Bulletindent"/>
    <w:locked/>
    <w:rsid w:val="00D631C4"/>
    <w:rPr>
      <w:rFonts w:asciiTheme="minorHAnsi" w:hAnsiTheme="minorHAnsi" w:cs="Calibri"/>
      <w:sz w:val="24"/>
      <w:lang w:val="en-US" w:eastAsia="ja-JP"/>
    </w:rPr>
  </w:style>
  <w:style w:type="paragraph" w:customStyle="1" w:styleId="Char4">
    <w:name w:val="Char4"/>
    <w:basedOn w:val="Normal"/>
    <w:rsid w:val="00D631C4"/>
    <w:pPr>
      <w:spacing w:before="120" w:after="160" w:line="240" w:lineRule="exact"/>
      <w:jc w:val="both"/>
    </w:pPr>
    <w:rPr>
      <w:rFonts w:asciiTheme="minorHAnsi" w:hAnsiTheme="minorHAnsi"/>
      <w:sz w:val="20"/>
      <w:szCs w:val="20"/>
      <w:lang w:val="en-US" w:eastAsia="en-GB"/>
    </w:rPr>
  </w:style>
  <w:style w:type="character" w:customStyle="1" w:styleId="CharChar251">
    <w:name w:val="Char Char251"/>
    <w:semiHidden/>
    <w:rsid w:val="00D631C4"/>
    <w:rPr>
      <w:rFonts w:ascii="Arial" w:hAnsi="Arial"/>
      <w:lang w:val="x-none" w:eastAsia="en-US"/>
    </w:rPr>
  </w:style>
  <w:style w:type="table" w:styleId="TableGrid6">
    <w:name w:val="Table Grid 6"/>
    <w:basedOn w:val="TableNormal"/>
    <w:rsid w:val="00D631C4"/>
    <w:pPr>
      <w:spacing w:before="120" w:after="120"/>
      <w:jc w:val="both"/>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CharChar62">
    <w:name w:val="Char Char62"/>
    <w:locked/>
    <w:rsid w:val="00D631C4"/>
    <w:rPr>
      <w:rFonts w:ascii="Arial" w:hAnsi="Arial"/>
      <w:b/>
      <w:color w:val="008080"/>
      <w:sz w:val="32"/>
      <w:lang w:val="en-GB" w:eastAsia="en-US"/>
    </w:rPr>
  </w:style>
  <w:style w:type="character" w:customStyle="1" w:styleId="EKOSFootnoteTextCharChar">
    <w:name w:val="EKOS Footnote Text Char Char"/>
    <w:uiPriority w:val="99"/>
    <w:semiHidden/>
    <w:locked/>
    <w:rsid w:val="00D631C4"/>
    <w:rPr>
      <w:rFonts w:ascii="Arial" w:hAnsi="Arial"/>
      <w:lang w:val="en-GB" w:eastAsia="en-US"/>
    </w:rPr>
  </w:style>
  <w:style w:type="paragraph" w:customStyle="1" w:styleId="Miain">
    <w:name w:val="Miain"/>
    <w:basedOn w:val="Normal"/>
    <w:rsid w:val="00D631C4"/>
    <w:pPr>
      <w:spacing w:before="120" w:after="120"/>
      <w:jc w:val="both"/>
    </w:pPr>
    <w:rPr>
      <w:rFonts w:asciiTheme="minorHAnsi" w:hAnsiTheme="minorHAnsi"/>
      <w:lang w:eastAsia="en-GB"/>
    </w:rPr>
  </w:style>
  <w:style w:type="paragraph" w:customStyle="1" w:styleId="CharCharCharCharCharCharCharCharCharChar1">
    <w:name w:val="Char Char Char Char Char Char Char Char Char Char1"/>
    <w:basedOn w:val="Normal"/>
    <w:rsid w:val="00D631C4"/>
    <w:pPr>
      <w:spacing w:before="120" w:after="120" w:line="240" w:lineRule="exact"/>
      <w:jc w:val="both"/>
    </w:pPr>
    <w:rPr>
      <w:rFonts w:ascii="Verdana" w:hAnsi="Verdana"/>
      <w:sz w:val="20"/>
      <w:szCs w:val="20"/>
      <w:lang w:val="en-US" w:eastAsia="en-GB"/>
    </w:rPr>
  </w:style>
  <w:style w:type="paragraph" w:customStyle="1" w:styleId="Char3">
    <w:name w:val="Char3"/>
    <w:basedOn w:val="Normal"/>
    <w:rsid w:val="00D631C4"/>
    <w:pPr>
      <w:spacing w:before="120" w:after="160" w:line="240" w:lineRule="exact"/>
      <w:jc w:val="both"/>
    </w:pPr>
    <w:rPr>
      <w:rFonts w:asciiTheme="minorHAnsi" w:hAnsiTheme="minorHAnsi"/>
      <w:sz w:val="20"/>
      <w:szCs w:val="20"/>
      <w:lang w:val="en-US" w:eastAsia="en-GB"/>
    </w:rPr>
  </w:style>
  <w:style w:type="character" w:customStyle="1" w:styleId="CharChar17">
    <w:name w:val="Char Char17"/>
    <w:rsid w:val="00D631C4"/>
    <w:rPr>
      <w:rFonts w:ascii="Arial" w:hAnsi="Arial" w:cs="Arial"/>
      <w:b/>
      <w:bCs/>
      <w:iCs/>
      <w:color w:val="008080"/>
      <w:sz w:val="28"/>
      <w:szCs w:val="28"/>
      <w:lang w:eastAsia="en-US"/>
    </w:rPr>
  </w:style>
  <w:style w:type="character" w:customStyle="1" w:styleId="CharChar16">
    <w:name w:val="Char Char16"/>
    <w:rsid w:val="00D631C4"/>
    <w:rPr>
      <w:rFonts w:ascii="Arial" w:hAnsi="Arial" w:cs="Arial"/>
      <w:color w:val="008080"/>
      <w:sz w:val="28"/>
      <w:szCs w:val="28"/>
      <w:lang w:eastAsia="en-US"/>
    </w:rPr>
  </w:style>
  <w:style w:type="character" w:customStyle="1" w:styleId="EKOSFootnoteTextCharChar1">
    <w:name w:val="EKOS Footnote Text Char Char1"/>
    <w:rsid w:val="00D631C4"/>
    <w:rPr>
      <w:rFonts w:ascii="Arial" w:hAnsi="Arial"/>
      <w:lang w:eastAsia="en-US"/>
    </w:rPr>
  </w:style>
  <w:style w:type="paragraph" w:customStyle="1" w:styleId="CharCharCharCharCharCharCharCharCharChar3">
    <w:name w:val="Char Char Char Char Char Char Char Char Char Char3"/>
    <w:basedOn w:val="Normal"/>
    <w:rsid w:val="00D631C4"/>
    <w:pPr>
      <w:spacing w:before="120" w:after="120" w:line="240" w:lineRule="exact"/>
      <w:jc w:val="both"/>
    </w:pPr>
    <w:rPr>
      <w:rFonts w:ascii="Verdana" w:hAnsi="Verdana" w:cs="Verdana"/>
      <w:sz w:val="20"/>
      <w:szCs w:val="20"/>
      <w:lang w:val="en-US" w:eastAsia="en-GB"/>
    </w:rPr>
  </w:style>
  <w:style w:type="paragraph" w:customStyle="1" w:styleId="Tableheading1">
    <w:name w:val="Tableheading"/>
    <w:basedOn w:val="Maintext"/>
    <w:link w:val="TableheadingChar0"/>
    <w:rsid w:val="00D631C4"/>
    <w:pPr>
      <w:numPr>
        <w:ilvl w:val="0"/>
        <w:numId w:val="0"/>
      </w:numPr>
    </w:pPr>
    <w:rPr>
      <w:rFonts w:asciiTheme="minorHAnsi" w:hAnsiTheme="minorHAnsi" w:cs="Arial"/>
      <w:b/>
      <w:bCs/>
      <w:color w:val="FFFFFF" w:themeColor="background1"/>
      <w:sz w:val="22"/>
      <w:lang w:val="en-GB" w:eastAsia="en-GB"/>
    </w:rPr>
  </w:style>
  <w:style w:type="character" w:customStyle="1" w:styleId="TableheadingChar0">
    <w:name w:val="Tableheading Char"/>
    <w:link w:val="Tableheading1"/>
    <w:locked/>
    <w:rsid w:val="00D631C4"/>
    <w:rPr>
      <w:rFonts w:asciiTheme="minorHAnsi" w:hAnsiTheme="minorHAnsi" w:cs="Arial"/>
      <w:b/>
      <w:bCs/>
      <w:color w:val="FFFFFF" w:themeColor="background1"/>
      <w:sz w:val="22"/>
      <w:szCs w:val="24"/>
    </w:rPr>
  </w:style>
  <w:style w:type="paragraph" w:customStyle="1" w:styleId="CharCharCharCharCharCharCharCharCharChar2">
    <w:name w:val="Char Char Char Char Char Char Char Char Char Char2"/>
    <w:basedOn w:val="Normal"/>
    <w:rsid w:val="00D631C4"/>
    <w:pPr>
      <w:spacing w:before="120" w:after="120" w:line="240" w:lineRule="exact"/>
      <w:jc w:val="both"/>
    </w:pPr>
    <w:rPr>
      <w:rFonts w:ascii="Verdana" w:hAnsi="Verdana" w:cs="Verdana"/>
      <w:sz w:val="20"/>
      <w:szCs w:val="20"/>
      <w:lang w:val="en-US" w:eastAsia="en-GB"/>
    </w:rPr>
  </w:style>
  <w:style w:type="paragraph" w:customStyle="1" w:styleId="CharCharCharCharCharCharCharCharCharChar4">
    <w:name w:val="Char Char Char Char Char Char Char Char Char Char4"/>
    <w:basedOn w:val="Normal"/>
    <w:rsid w:val="00D631C4"/>
    <w:pPr>
      <w:spacing w:before="120" w:after="120" w:line="240" w:lineRule="exact"/>
      <w:jc w:val="both"/>
    </w:pPr>
    <w:rPr>
      <w:rFonts w:ascii="Verdana" w:hAnsi="Verdana" w:cs="Verdana"/>
      <w:sz w:val="20"/>
      <w:szCs w:val="20"/>
      <w:lang w:val="en-US" w:eastAsia="en-GB"/>
    </w:rPr>
  </w:style>
  <w:style w:type="paragraph" w:customStyle="1" w:styleId="Bulletarc4">
    <w:name w:val="Bullet arc4"/>
    <w:basedOn w:val="Maintext"/>
    <w:link w:val="Bulletarc4Char"/>
    <w:rsid w:val="00D631C4"/>
    <w:pPr>
      <w:numPr>
        <w:ilvl w:val="0"/>
        <w:numId w:val="30"/>
      </w:numPr>
      <w:tabs>
        <w:tab w:val="clear" w:pos="720"/>
        <w:tab w:val="num" w:pos="1418"/>
      </w:tabs>
      <w:ind w:left="1069"/>
    </w:pPr>
    <w:rPr>
      <w:rFonts w:asciiTheme="minorHAnsi" w:hAnsiTheme="minorHAnsi" w:cs="Arial"/>
      <w:lang w:val="en-GB" w:eastAsia="en-GB"/>
    </w:rPr>
  </w:style>
  <w:style w:type="character" w:customStyle="1" w:styleId="Bulletarc4Char">
    <w:name w:val="Bullet arc4 Char"/>
    <w:link w:val="Bulletarc4"/>
    <w:locked/>
    <w:rsid w:val="00D631C4"/>
    <w:rPr>
      <w:rFonts w:asciiTheme="minorHAnsi" w:hAnsiTheme="minorHAnsi" w:cs="Arial"/>
      <w:sz w:val="24"/>
      <w:szCs w:val="24"/>
    </w:rPr>
  </w:style>
  <w:style w:type="paragraph" w:customStyle="1" w:styleId="Char5">
    <w:name w:val="Char5"/>
    <w:basedOn w:val="Normal"/>
    <w:rsid w:val="00D631C4"/>
    <w:pPr>
      <w:spacing w:before="120" w:after="160" w:line="240" w:lineRule="exact"/>
      <w:jc w:val="both"/>
    </w:pPr>
    <w:rPr>
      <w:rFonts w:asciiTheme="minorHAnsi" w:hAnsiTheme="minorHAnsi" w:cs="Arial"/>
      <w:sz w:val="20"/>
      <w:szCs w:val="20"/>
      <w:lang w:val="en-US" w:eastAsia="en-GB"/>
    </w:rPr>
  </w:style>
  <w:style w:type="paragraph" w:customStyle="1" w:styleId="Normal0">
    <w:name w:val="Normal#"/>
    <w:basedOn w:val="Heading3"/>
    <w:rsid w:val="00D631C4"/>
    <w:pPr>
      <w:spacing w:before="240" w:after="60"/>
    </w:pPr>
    <w:rPr>
      <w:rFonts w:asciiTheme="minorHAnsi" w:hAnsiTheme="minorHAnsi" w:cs="Arial"/>
      <w:color w:val="008080"/>
      <w:lang w:val="en-GB" w:eastAsia="en-GB"/>
    </w:rPr>
  </w:style>
  <w:style w:type="paragraph" w:customStyle="1" w:styleId="xl63">
    <w:name w:val="xl63"/>
    <w:basedOn w:val="Normal"/>
    <w:rsid w:val="00D631C4"/>
    <w:pPr>
      <w:spacing w:before="100" w:beforeAutospacing="1" w:after="100" w:afterAutospacing="1"/>
      <w:jc w:val="both"/>
    </w:pPr>
    <w:rPr>
      <w:rFonts w:ascii="Verdana" w:hAnsi="Verdana"/>
      <w:color w:val="333333"/>
      <w:sz w:val="16"/>
      <w:szCs w:val="16"/>
      <w:lang w:eastAsia="en-GB"/>
    </w:rPr>
  </w:style>
  <w:style w:type="paragraph" w:customStyle="1" w:styleId="xl64">
    <w:name w:val="xl64"/>
    <w:basedOn w:val="Normal"/>
    <w:rsid w:val="00D631C4"/>
    <w:pPr>
      <w:spacing w:before="100" w:beforeAutospacing="1" w:after="100" w:afterAutospacing="1"/>
      <w:jc w:val="center"/>
    </w:pPr>
    <w:rPr>
      <w:lang w:eastAsia="en-GB"/>
    </w:rPr>
  </w:style>
  <w:style w:type="paragraph" w:customStyle="1" w:styleId="xl65">
    <w:name w:val="xl65"/>
    <w:basedOn w:val="Normal"/>
    <w:rsid w:val="00D631C4"/>
    <w:pPr>
      <w:spacing w:before="100" w:beforeAutospacing="1" w:after="100" w:afterAutospacing="1"/>
      <w:jc w:val="center"/>
    </w:pPr>
    <w:rPr>
      <w:lang w:eastAsia="en-GB"/>
    </w:rPr>
  </w:style>
  <w:style w:type="paragraph" w:customStyle="1" w:styleId="xl66">
    <w:name w:val="xl66"/>
    <w:basedOn w:val="Normal"/>
    <w:rsid w:val="00D631C4"/>
    <w:pPr>
      <w:shd w:val="clear" w:color="000000" w:fill="009999"/>
      <w:spacing w:before="100" w:beforeAutospacing="1" w:after="100" w:afterAutospacing="1"/>
      <w:jc w:val="center"/>
    </w:pPr>
    <w:rPr>
      <w:b/>
      <w:bCs/>
      <w:color w:val="FFFFFF"/>
      <w:lang w:eastAsia="en-GB"/>
    </w:rPr>
  </w:style>
  <w:style w:type="paragraph" w:customStyle="1" w:styleId="xl67">
    <w:name w:val="xl67"/>
    <w:basedOn w:val="Normal"/>
    <w:rsid w:val="00D631C4"/>
    <w:pPr>
      <w:shd w:val="clear" w:color="000000" w:fill="009999"/>
      <w:spacing w:before="100" w:beforeAutospacing="1" w:after="100" w:afterAutospacing="1"/>
      <w:jc w:val="center"/>
    </w:pPr>
    <w:rPr>
      <w:b/>
      <w:bCs/>
      <w:color w:val="FFFFFF"/>
      <w:lang w:eastAsia="en-GB"/>
    </w:rPr>
  </w:style>
  <w:style w:type="paragraph" w:customStyle="1" w:styleId="xl68">
    <w:name w:val="xl68"/>
    <w:basedOn w:val="Normal"/>
    <w:rsid w:val="00D631C4"/>
    <w:pPr>
      <w:spacing w:before="100" w:beforeAutospacing="1" w:after="100" w:afterAutospacing="1"/>
      <w:jc w:val="both"/>
    </w:pPr>
    <w:rPr>
      <w:b/>
      <w:bCs/>
      <w:i/>
      <w:iCs/>
      <w:lang w:eastAsia="en-GB"/>
    </w:rPr>
  </w:style>
  <w:style w:type="paragraph" w:customStyle="1" w:styleId="xl69">
    <w:name w:val="xl69"/>
    <w:basedOn w:val="Normal"/>
    <w:rsid w:val="00D631C4"/>
    <w:pPr>
      <w:spacing w:before="100" w:beforeAutospacing="1" w:after="100" w:afterAutospacing="1"/>
      <w:jc w:val="center"/>
    </w:pPr>
    <w:rPr>
      <w:b/>
      <w:bCs/>
      <w:i/>
      <w:iCs/>
      <w:lang w:eastAsia="en-GB"/>
    </w:rPr>
  </w:style>
  <w:style w:type="paragraph" w:customStyle="1" w:styleId="xl70">
    <w:name w:val="xl70"/>
    <w:basedOn w:val="Normal"/>
    <w:rsid w:val="00D631C4"/>
    <w:pPr>
      <w:spacing w:before="100" w:beforeAutospacing="1" w:after="100" w:afterAutospacing="1"/>
      <w:jc w:val="center"/>
    </w:pPr>
    <w:rPr>
      <w:b/>
      <w:bCs/>
      <w:i/>
      <w:iCs/>
      <w:lang w:eastAsia="en-GB"/>
    </w:rPr>
  </w:style>
  <w:style w:type="paragraph" w:customStyle="1" w:styleId="TableHeading2">
    <w:name w:val="Table Heading"/>
    <w:basedOn w:val="Normal"/>
    <w:rsid w:val="00D631C4"/>
    <w:pPr>
      <w:spacing w:before="120" w:after="120"/>
      <w:ind w:right="142"/>
      <w:jc w:val="both"/>
    </w:pPr>
    <w:rPr>
      <w:rFonts w:ascii="Garamond" w:hAnsi="Garamond"/>
      <w:b/>
      <w:bCs/>
      <w:kern w:val="28"/>
      <w:sz w:val="22"/>
      <w:lang w:eastAsia="en-GB"/>
    </w:rPr>
  </w:style>
  <w:style w:type="table" w:customStyle="1" w:styleId="GridTable1Light-Accent51">
    <w:name w:val="Grid Table 1 Light - Accent 51"/>
    <w:basedOn w:val="TableNormal"/>
    <w:uiPriority w:val="46"/>
    <w:rsid w:val="00D631C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il">
    <w:name w:val="il"/>
    <w:basedOn w:val="DefaultParagraphFont"/>
    <w:rsid w:val="00D631C4"/>
  </w:style>
  <w:style w:type="character" w:customStyle="1" w:styleId="st">
    <w:name w:val="st"/>
    <w:basedOn w:val="DefaultParagraphFont"/>
    <w:rsid w:val="00D631C4"/>
  </w:style>
  <w:style w:type="paragraph" w:customStyle="1" w:styleId="scheda">
    <w:name w:val="scheda"/>
    <w:basedOn w:val="Normal"/>
    <w:next w:val="Normal"/>
    <w:rsid w:val="00D631C4"/>
    <w:pPr>
      <w:numPr>
        <w:numId w:val="31"/>
      </w:numPr>
      <w:spacing w:before="120" w:after="240" w:line="360" w:lineRule="auto"/>
      <w:jc w:val="both"/>
    </w:pPr>
    <w:rPr>
      <w:szCs w:val="20"/>
      <w:lang w:eastAsia="en-GB"/>
    </w:rPr>
  </w:style>
  <w:style w:type="paragraph" w:customStyle="1" w:styleId="schedb">
    <w:name w:val="schedb"/>
    <w:basedOn w:val="Normal"/>
    <w:rsid w:val="00D631C4"/>
    <w:pPr>
      <w:numPr>
        <w:ilvl w:val="1"/>
        <w:numId w:val="31"/>
      </w:numPr>
      <w:spacing w:before="120" w:after="240" w:line="360" w:lineRule="auto"/>
      <w:jc w:val="both"/>
    </w:pPr>
    <w:rPr>
      <w:szCs w:val="20"/>
      <w:lang w:eastAsia="en-GB"/>
    </w:rPr>
  </w:style>
  <w:style w:type="paragraph" w:customStyle="1" w:styleId="schedc">
    <w:name w:val="schedc"/>
    <w:basedOn w:val="Normal"/>
    <w:rsid w:val="00D631C4"/>
    <w:pPr>
      <w:numPr>
        <w:ilvl w:val="2"/>
        <w:numId w:val="31"/>
      </w:numPr>
      <w:spacing w:before="120" w:after="240" w:line="360" w:lineRule="auto"/>
      <w:jc w:val="both"/>
    </w:pPr>
    <w:rPr>
      <w:szCs w:val="20"/>
      <w:lang w:eastAsia="en-GB"/>
    </w:rPr>
  </w:style>
  <w:style w:type="character" w:customStyle="1" w:styleId="section-info-text">
    <w:name w:val="section-info-text"/>
    <w:basedOn w:val="DefaultParagraphFont"/>
    <w:rsid w:val="00D631C4"/>
  </w:style>
  <w:style w:type="paragraph" w:customStyle="1" w:styleId="CLevel1">
    <w:name w:val="C Level 1"/>
    <w:basedOn w:val="Heading1"/>
    <w:rsid w:val="00D631C4"/>
    <w:pPr>
      <w:numPr>
        <w:numId w:val="0"/>
      </w:numPr>
      <w:tabs>
        <w:tab w:val="num" w:pos="720"/>
      </w:tabs>
      <w:ind w:left="720" w:hanging="720"/>
    </w:pPr>
    <w:rPr>
      <w:rFonts w:cstheme="minorHAnsi"/>
      <w:b/>
      <w:bCs w:val="0"/>
      <w:color w:val="auto"/>
      <w:kern w:val="28"/>
      <w:sz w:val="24"/>
      <w:szCs w:val="24"/>
      <w:lang w:val="en-GB" w:eastAsia="en-GB"/>
    </w:rPr>
  </w:style>
  <w:style w:type="paragraph" w:customStyle="1" w:styleId="BLevel2">
    <w:name w:val="B Level 2"/>
    <w:basedOn w:val="Heading2"/>
    <w:rsid w:val="00D631C4"/>
    <w:pPr>
      <w:keepNext w:val="0"/>
      <w:numPr>
        <w:ilvl w:val="1"/>
        <w:numId w:val="32"/>
      </w:numPr>
    </w:pPr>
    <w:rPr>
      <w:bCs w:val="0"/>
      <w:iCs w:val="0"/>
      <w:color w:val="auto"/>
      <w:sz w:val="24"/>
      <w:szCs w:val="24"/>
      <w:lang w:val="en-GB" w:eastAsia="en-GB"/>
    </w:rPr>
  </w:style>
  <w:style w:type="paragraph" w:customStyle="1" w:styleId="BLevel3">
    <w:name w:val="B Level 3"/>
    <w:basedOn w:val="Heading3"/>
    <w:rsid w:val="00D631C4"/>
    <w:pPr>
      <w:keepNext w:val="0"/>
      <w:numPr>
        <w:ilvl w:val="2"/>
        <w:numId w:val="32"/>
      </w:numPr>
      <w:outlineLvl w:val="9"/>
    </w:pPr>
    <w:rPr>
      <w:color w:val="auto"/>
      <w:sz w:val="24"/>
      <w:szCs w:val="24"/>
      <w:lang w:val="en-GB" w:eastAsia="en-GB"/>
    </w:rPr>
  </w:style>
  <w:style w:type="paragraph" w:customStyle="1" w:styleId="BLevel4">
    <w:name w:val="B Level 4"/>
    <w:basedOn w:val="Heading4"/>
    <w:rsid w:val="00D631C4"/>
    <w:pPr>
      <w:keepNext w:val="0"/>
      <w:numPr>
        <w:ilvl w:val="3"/>
        <w:numId w:val="32"/>
      </w:numPr>
      <w:outlineLvl w:val="9"/>
    </w:pPr>
    <w:rPr>
      <w:rFonts w:cs="Arial"/>
      <w:bCs w:val="0"/>
      <w:i w:val="0"/>
      <w:color w:val="auto"/>
      <w:lang w:val="en-GB" w:eastAsia="en-GB"/>
    </w:rPr>
  </w:style>
  <w:style w:type="paragraph" w:customStyle="1" w:styleId="BLevel5">
    <w:name w:val="B Level 5"/>
    <w:basedOn w:val="Heading5"/>
    <w:rsid w:val="00D631C4"/>
    <w:pPr>
      <w:numPr>
        <w:numId w:val="32"/>
      </w:numPr>
      <w:tabs>
        <w:tab w:val="clear" w:pos="3878"/>
        <w:tab w:val="left" w:pos="3544"/>
      </w:tabs>
      <w:spacing w:before="0" w:after="0"/>
      <w:ind w:left="3544" w:hanging="913"/>
      <w:outlineLvl w:val="9"/>
    </w:pPr>
    <w:rPr>
      <w:rFonts w:cs="Arial"/>
      <w:b w:val="0"/>
      <w:bCs w:val="0"/>
      <w:i w:val="0"/>
      <w:iCs w:val="0"/>
      <w:sz w:val="24"/>
      <w:szCs w:val="24"/>
      <w:lang w:val="en-GB" w:eastAsia="en-GB"/>
    </w:rPr>
  </w:style>
  <w:style w:type="character" w:customStyle="1" w:styleId="st1">
    <w:name w:val="st1"/>
    <w:rsid w:val="00D631C4"/>
  </w:style>
  <w:style w:type="character" w:customStyle="1" w:styleId="UnresolvedMention1">
    <w:name w:val="Unresolved Mention1"/>
    <w:basedOn w:val="DefaultParagraphFont"/>
    <w:uiPriority w:val="99"/>
    <w:unhideWhenUsed/>
    <w:rsid w:val="00D631C4"/>
    <w:rPr>
      <w:color w:val="808080"/>
      <w:shd w:val="clear" w:color="auto" w:fill="E6E6E6"/>
    </w:rPr>
  </w:style>
  <w:style w:type="table" w:styleId="LightGrid-Accent5">
    <w:name w:val="Light Grid Accent 5"/>
    <w:basedOn w:val="TableNormal"/>
    <w:uiPriority w:val="62"/>
    <w:rsid w:val="00D631C4"/>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UnresolvedMention2">
    <w:name w:val="Unresolved Mention2"/>
    <w:basedOn w:val="DefaultParagraphFont"/>
    <w:uiPriority w:val="99"/>
    <w:unhideWhenUsed/>
    <w:rsid w:val="00D631C4"/>
    <w:rPr>
      <w:color w:val="808080"/>
      <w:shd w:val="clear" w:color="auto" w:fill="E6E6E6"/>
    </w:rPr>
  </w:style>
  <w:style w:type="character" w:customStyle="1" w:styleId="UnresolvedMention3">
    <w:name w:val="Unresolved Mention3"/>
    <w:basedOn w:val="DefaultParagraphFont"/>
    <w:uiPriority w:val="99"/>
    <w:unhideWhenUsed/>
    <w:rsid w:val="00D631C4"/>
    <w:rPr>
      <w:color w:val="808080"/>
      <w:shd w:val="clear" w:color="auto" w:fill="E6E6E6"/>
    </w:rPr>
  </w:style>
  <w:style w:type="paragraph" w:customStyle="1" w:styleId="NoSpacing2">
    <w:name w:val="No Spacing2"/>
    <w:basedOn w:val="Normal"/>
    <w:rsid w:val="00D631C4"/>
    <w:pPr>
      <w:spacing w:before="120" w:after="120"/>
      <w:jc w:val="both"/>
    </w:pPr>
    <w:rPr>
      <w:rFonts w:asciiTheme="minorHAnsi" w:hAnsiTheme="minorHAnsi"/>
      <w:lang w:eastAsia="en-GB"/>
    </w:rPr>
  </w:style>
  <w:style w:type="paragraph" w:customStyle="1" w:styleId="NoSpacing3">
    <w:name w:val="No Spacing3"/>
    <w:basedOn w:val="Normal"/>
    <w:rsid w:val="00D631C4"/>
    <w:pPr>
      <w:spacing w:before="120" w:after="120"/>
      <w:jc w:val="both"/>
    </w:pPr>
    <w:rPr>
      <w:rFonts w:asciiTheme="minorHAnsi" w:hAnsiTheme="minorHAnsi"/>
      <w:lang w:eastAsia="en-GB"/>
    </w:rPr>
  </w:style>
  <w:style w:type="paragraph" w:customStyle="1" w:styleId="BLevel1">
    <w:name w:val="B Level 1"/>
    <w:basedOn w:val="Heading1"/>
    <w:rsid w:val="00F6633F"/>
    <w:pPr>
      <w:numPr>
        <w:numId w:val="0"/>
      </w:numPr>
      <w:tabs>
        <w:tab w:val="num" w:pos="720"/>
      </w:tabs>
      <w:ind w:left="720" w:hanging="720"/>
    </w:pPr>
    <w:rPr>
      <w:rFonts w:cstheme="minorHAnsi"/>
      <w:b/>
      <w:bCs w:val="0"/>
      <w:color w:val="auto"/>
      <w:kern w:val="28"/>
      <w:sz w:val="24"/>
      <w:szCs w:val="24"/>
      <w:lang w:val="en-GB" w:eastAsia="en-GB"/>
    </w:rPr>
  </w:style>
  <w:style w:type="paragraph" w:customStyle="1" w:styleId="tabl">
    <w:name w:val="tabl"/>
    <w:basedOn w:val="reporttext0"/>
    <w:rsid w:val="00675008"/>
  </w:style>
  <w:style w:type="paragraph" w:customStyle="1" w:styleId="CharChar1CharChar">
    <w:name w:val="Char Char1 Char Char"/>
    <w:basedOn w:val="Normal"/>
    <w:uiPriority w:val="99"/>
    <w:rsid w:val="00C4521E"/>
    <w:pPr>
      <w:spacing w:before="120" w:after="120" w:line="240" w:lineRule="exact"/>
      <w:jc w:val="both"/>
    </w:pPr>
    <w:rPr>
      <w:rFonts w:ascii="Verdana" w:hAnsi="Verdana"/>
      <w:sz w:val="20"/>
      <w:szCs w:val="20"/>
      <w:lang w:val="en-US"/>
    </w:rPr>
  </w:style>
  <w:style w:type="character" w:customStyle="1" w:styleId="Heading2Char1">
    <w:name w:val="Heading 2 Char1"/>
    <w:uiPriority w:val="99"/>
    <w:semiHidden/>
    <w:locked/>
    <w:rsid w:val="00C4521E"/>
    <w:rPr>
      <w:rFonts w:ascii="Arial" w:hAnsi="Arial"/>
      <w:b/>
      <w:color w:val="008080"/>
      <w:sz w:val="32"/>
      <w:lang w:eastAsia="en-US"/>
    </w:rPr>
  </w:style>
  <w:style w:type="paragraph" w:customStyle="1" w:styleId="secondbullet">
    <w:name w:val="second bullet"/>
    <w:basedOn w:val="ListParagraph"/>
    <w:link w:val="secondbulletChar"/>
    <w:uiPriority w:val="99"/>
    <w:rsid w:val="00C4521E"/>
    <w:pPr>
      <w:numPr>
        <w:numId w:val="35"/>
      </w:numPr>
      <w:ind w:left="1429"/>
    </w:pPr>
    <w:rPr>
      <w:lang w:val="en-US"/>
    </w:rPr>
  </w:style>
  <w:style w:type="character" w:customStyle="1" w:styleId="secondbulletChar">
    <w:name w:val="second bullet Char"/>
    <w:link w:val="secondbullet"/>
    <w:uiPriority w:val="99"/>
    <w:locked/>
    <w:rsid w:val="00C4521E"/>
    <w:rPr>
      <w:rFonts w:ascii="Calibri" w:hAnsi="Calibri"/>
      <w:sz w:val="24"/>
      <w:szCs w:val="24"/>
      <w:lang w:val="en-US" w:eastAsia="en-US"/>
    </w:rPr>
  </w:style>
  <w:style w:type="character" w:customStyle="1" w:styleId="UnresolvedMention4">
    <w:name w:val="Unresolved Mention4"/>
    <w:basedOn w:val="DefaultParagraphFont"/>
    <w:uiPriority w:val="99"/>
    <w:semiHidden/>
    <w:unhideWhenUsed/>
    <w:rsid w:val="00516B53"/>
    <w:rPr>
      <w:color w:val="605E5C"/>
      <w:shd w:val="clear" w:color="auto" w:fill="E1DFDD"/>
    </w:rPr>
  </w:style>
  <w:style w:type="character" w:customStyle="1" w:styleId="UnresolvedMention5">
    <w:name w:val="Unresolved Mention5"/>
    <w:basedOn w:val="DefaultParagraphFont"/>
    <w:uiPriority w:val="99"/>
    <w:semiHidden/>
    <w:unhideWhenUsed/>
    <w:rsid w:val="00114D52"/>
    <w:rPr>
      <w:color w:val="605E5C"/>
      <w:shd w:val="clear" w:color="auto" w:fill="E1DFDD"/>
    </w:rPr>
  </w:style>
  <w:style w:type="character" w:customStyle="1" w:styleId="UnresolvedMention6">
    <w:name w:val="Unresolved Mention6"/>
    <w:basedOn w:val="DefaultParagraphFont"/>
    <w:uiPriority w:val="99"/>
    <w:semiHidden/>
    <w:unhideWhenUsed/>
    <w:rsid w:val="00213D17"/>
    <w:rPr>
      <w:color w:val="605E5C"/>
      <w:shd w:val="clear" w:color="auto" w:fill="E1DFDD"/>
    </w:rPr>
  </w:style>
  <w:style w:type="character" w:customStyle="1" w:styleId="UnresolvedMention">
    <w:name w:val="Unresolved Mention"/>
    <w:basedOn w:val="DefaultParagraphFont"/>
    <w:uiPriority w:val="99"/>
    <w:semiHidden/>
    <w:unhideWhenUsed/>
    <w:rsid w:val="00153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6772">
      <w:bodyDiv w:val="1"/>
      <w:marLeft w:val="0"/>
      <w:marRight w:val="0"/>
      <w:marTop w:val="0"/>
      <w:marBottom w:val="0"/>
      <w:divBdr>
        <w:top w:val="none" w:sz="0" w:space="0" w:color="auto"/>
        <w:left w:val="none" w:sz="0" w:space="0" w:color="auto"/>
        <w:bottom w:val="none" w:sz="0" w:space="0" w:color="auto"/>
        <w:right w:val="none" w:sz="0" w:space="0" w:color="auto"/>
      </w:divBdr>
    </w:div>
    <w:div w:id="5255218">
      <w:bodyDiv w:val="1"/>
      <w:marLeft w:val="0"/>
      <w:marRight w:val="0"/>
      <w:marTop w:val="0"/>
      <w:marBottom w:val="0"/>
      <w:divBdr>
        <w:top w:val="none" w:sz="0" w:space="0" w:color="auto"/>
        <w:left w:val="none" w:sz="0" w:space="0" w:color="auto"/>
        <w:bottom w:val="none" w:sz="0" w:space="0" w:color="auto"/>
        <w:right w:val="none" w:sz="0" w:space="0" w:color="auto"/>
      </w:divBdr>
    </w:div>
    <w:div w:id="10304082">
      <w:bodyDiv w:val="1"/>
      <w:marLeft w:val="0"/>
      <w:marRight w:val="0"/>
      <w:marTop w:val="0"/>
      <w:marBottom w:val="0"/>
      <w:divBdr>
        <w:top w:val="none" w:sz="0" w:space="0" w:color="auto"/>
        <w:left w:val="none" w:sz="0" w:space="0" w:color="auto"/>
        <w:bottom w:val="none" w:sz="0" w:space="0" w:color="auto"/>
        <w:right w:val="none" w:sz="0" w:space="0" w:color="auto"/>
      </w:divBdr>
    </w:div>
    <w:div w:id="11490727">
      <w:bodyDiv w:val="1"/>
      <w:marLeft w:val="0"/>
      <w:marRight w:val="0"/>
      <w:marTop w:val="0"/>
      <w:marBottom w:val="0"/>
      <w:divBdr>
        <w:top w:val="none" w:sz="0" w:space="0" w:color="auto"/>
        <w:left w:val="none" w:sz="0" w:space="0" w:color="auto"/>
        <w:bottom w:val="none" w:sz="0" w:space="0" w:color="auto"/>
        <w:right w:val="none" w:sz="0" w:space="0" w:color="auto"/>
      </w:divBdr>
    </w:div>
    <w:div w:id="11805988">
      <w:bodyDiv w:val="1"/>
      <w:marLeft w:val="0"/>
      <w:marRight w:val="0"/>
      <w:marTop w:val="0"/>
      <w:marBottom w:val="0"/>
      <w:divBdr>
        <w:top w:val="none" w:sz="0" w:space="0" w:color="auto"/>
        <w:left w:val="none" w:sz="0" w:space="0" w:color="auto"/>
        <w:bottom w:val="none" w:sz="0" w:space="0" w:color="auto"/>
        <w:right w:val="none" w:sz="0" w:space="0" w:color="auto"/>
      </w:divBdr>
    </w:div>
    <w:div w:id="15086867">
      <w:bodyDiv w:val="1"/>
      <w:marLeft w:val="0"/>
      <w:marRight w:val="0"/>
      <w:marTop w:val="0"/>
      <w:marBottom w:val="0"/>
      <w:divBdr>
        <w:top w:val="none" w:sz="0" w:space="0" w:color="auto"/>
        <w:left w:val="none" w:sz="0" w:space="0" w:color="auto"/>
        <w:bottom w:val="none" w:sz="0" w:space="0" w:color="auto"/>
        <w:right w:val="none" w:sz="0" w:space="0" w:color="auto"/>
      </w:divBdr>
    </w:div>
    <w:div w:id="25369946">
      <w:bodyDiv w:val="1"/>
      <w:marLeft w:val="0"/>
      <w:marRight w:val="0"/>
      <w:marTop w:val="0"/>
      <w:marBottom w:val="0"/>
      <w:divBdr>
        <w:top w:val="none" w:sz="0" w:space="0" w:color="auto"/>
        <w:left w:val="none" w:sz="0" w:space="0" w:color="auto"/>
        <w:bottom w:val="none" w:sz="0" w:space="0" w:color="auto"/>
        <w:right w:val="none" w:sz="0" w:space="0" w:color="auto"/>
      </w:divBdr>
    </w:div>
    <w:div w:id="26569121">
      <w:bodyDiv w:val="1"/>
      <w:marLeft w:val="0"/>
      <w:marRight w:val="0"/>
      <w:marTop w:val="0"/>
      <w:marBottom w:val="0"/>
      <w:divBdr>
        <w:top w:val="none" w:sz="0" w:space="0" w:color="auto"/>
        <w:left w:val="none" w:sz="0" w:space="0" w:color="auto"/>
        <w:bottom w:val="none" w:sz="0" w:space="0" w:color="auto"/>
        <w:right w:val="none" w:sz="0" w:space="0" w:color="auto"/>
      </w:divBdr>
    </w:div>
    <w:div w:id="31730497">
      <w:bodyDiv w:val="1"/>
      <w:marLeft w:val="0"/>
      <w:marRight w:val="0"/>
      <w:marTop w:val="0"/>
      <w:marBottom w:val="0"/>
      <w:divBdr>
        <w:top w:val="none" w:sz="0" w:space="0" w:color="auto"/>
        <w:left w:val="none" w:sz="0" w:space="0" w:color="auto"/>
        <w:bottom w:val="none" w:sz="0" w:space="0" w:color="auto"/>
        <w:right w:val="none" w:sz="0" w:space="0" w:color="auto"/>
      </w:divBdr>
    </w:div>
    <w:div w:id="34236693">
      <w:bodyDiv w:val="1"/>
      <w:marLeft w:val="0"/>
      <w:marRight w:val="0"/>
      <w:marTop w:val="0"/>
      <w:marBottom w:val="0"/>
      <w:divBdr>
        <w:top w:val="none" w:sz="0" w:space="0" w:color="auto"/>
        <w:left w:val="none" w:sz="0" w:space="0" w:color="auto"/>
        <w:bottom w:val="none" w:sz="0" w:space="0" w:color="auto"/>
        <w:right w:val="none" w:sz="0" w:space="0" w:color="auto"/>
      </w:divBdr>
    </w:div>
    <w:div w:id="34238915">
      <w:bodyDiv w:val="1"/>
      <w:marLeft w:val="0"/>
      <w:marRight w:val="0"/>
      <w:marTop w:val="0"/>
      <w:marBottom w:val="0"/>
      <w:divBdr>
        <w:top w:val="none" w:sz="0" w:space="0" w:color="auto"/>
        <w:left w:val="none" w:sz="0" w:space="0" w:color="auto"/>
        <w:bottom w:val="none" w:sz="0" w:space="0" w:color="auto"/>
        <w:right w:val="none" w:sz="0" w:space="0" w:color="auto"/>
      </w:divBdr>
    </w:div>
    <w:div w:id="35739839">
      <w:bodyDiv w:val="1"/>
      <w:marLeft w:val="0"/>
      <w:marRight w:val="0"/>
      <w:marTop w:val="0"/>
      <w:marBottom w:val="0"/>
      <w:divBdr>
        <w:top w:val="none" w:sz="0" w:space="0" w:color="auto"/>
        <w:left w:val="none" w:sz="0" w:space="0" w:color="auto"/>
        <w:bottom w:val="none" w:sz="0" w:space="0" w:color="auto"/>
        <w:right w:val="none" w:sz="0" w:space="0" w:color="auto"/>
      </w:divBdr>
    </w:div>
    <w:div w:id="40594058">
      <w:bodyDiv w:val="1"/>
      <w:marLeft w:val="0"/>
      <w:marRight w:val="0"/>
      <w:marTop w:val="0"/>
      <w:marBottom w:val="0"/>
      <w:divBdr>
        <w:top w:val="none" w:sz="0" w:space="0" w:color="auto"/>
        <w:left w:val="none" w:sz="0" w:space="0" w:color="auto"/>
        <w:bottom w:val="none" w:sz="0" w:space="0" w:color="auto"/>
        <w:right w:val="none" w:sz="0" w:space="0" w:color="auto"/>
      </w:divBdr>
    </w:div>
    <w:div w:id="42408082">
      <w:bodyDiv w:val="1"/>
      <w:marLeft w:val="0"/>
      <w:marRight w:val="0"/>
      <w:marTop w:val="0"/>
      <w:marBottom w:val="0"/>
      <w:divBdr>
        <w:top w:val="none" w:sz="0" w:space="0" w:color="auto"/>
        <w:left w:val="none" w:sz="0" w:space="0" w:color="auto"/>
        <w:bottom w:val="none" w:sz="0" w:space="0" w:color="auto"/>
        <w:right w:val="none" w:sz="0" w:space="0" w:color="auto"/>
      </w:divBdr>
    </w:div>
    <w:div w:id="43062439">
      <w:bodyDiv w:val="1"/>
      <w:marLeft w:val="0"/>
      <w:marRight w:val="0"/>
      <w:marTop w:val="0"/>
      <w:marBottom w:val="0"/>
      <w:divBdr>
        <w:top w:val="none" w:sz="0" w:space="0" w:color="auto"/>
        <w:left w:val="none" w:sz="0" w:space="0" w:color="auto"/>
        <w:bottom w:val="none" w:sz="0" w:space="0" w:color="auto"/>
        <w:right w:val="none" w:sz="0" w:space="0" w:color="auto"/>
      </w:divBdr>
    </w:div>
    <w:div w:id="45493715">
      <w:bodyDiv w:val="1"/>
      <w:marLeft w:val="0"/>
      <w:marRight w:val="0"/>
      <w:marTop w:val="0"/>
      <w:marBottom w:val="0"/>
      <w:divBdr>
        <w:top w:val="none" w:sz="0" w:space="0" w:color="auto"/>
        <w:left w:val="none" w:sz="0" w:space="0" w:color="auto"/>
        <w:bottom w:val="none" w:sz="0" w:space="0" w:color="auto"/>
        <w:right w:val="none" w:sz="0" w:space="0" w:color="auto"/>
      </w:divBdr>
    </w:div>
    <w:div w:id="47847868">
      <w:bodyDiv w:val="1"/>
      <w:marLeft w:val="0"/>
      <w:marRight w:val="0"/>
      <w:marTop w:val="0"/>
      <w:marBottom w:val="0"/>
      <w:divBdr>
        <w:top w:val="none" w:sz="0" w:space="0" w:color="auto"/>
        <w:left w:val="none" w:sz="0" w:space="0" w:color="auto"/>
        <w:bottom w:val="none" w:sz="0" w:space="0" w:color="auto"/>
        <w:right w:val="none" w:sz="0" w:space="0" w:color="auto"/>
      </w:divBdr>
    </w:div>
    <w:div w:id="50228116">
      <w:bodyDiv w:val="1"/>
      <w:marLeft w:val="0"/>
      <w:marRight w:val="0"/>
      <w:marTop w:val="0"/>
      <w:marBottom w:val="0"/>
      <w:divBdr>
        <w:top w:val="none" w:sz="0" w:space="0" w:color="auto"/>
        <w:left w:val="none" w:sz="0" w:space="0" w:color="auto"/>
        <w:bottom w:val="none" w:sz="0" w:space="0" w:color="auto"/>
        <w:right w:val="none" w:sz="0" w:space="0" w:color="auto"/>
      </w:divBdr>
    </w:div>
    <w:div w:id="50421657">
      <w:bodyDiv w:val="1"/>
      <w:marLeft w:val="0"/>
      <w:marRight w:val="0"/>
      <w:marTop w:val="0"/>
      <w:marBottom w:val="0"/>
      <w:divBdr>
        <w:top w:val="none" w:sz="0" w:space="0" w:color="auto"/>
        <w:left w:val="none" w:sz="0" w:space="0" w:color="auto"/>
        <w:bottom w:val="none" w:sz="0" w:space="0" w:color="auto"/>
        <w:right w:val="none" w:sz="0" w:space="0" w:color="auto"/>
      </w:divBdr>
    </w:div>
    <w:div w:id="50661718">
      <w:bodyDiv w:val="1"/>
      <w:marLeft w:val="0"/>
      <w:marRight w:val="0"/>
      <w:marTop w:val="0"/>
      <w:marBottom w:val="0"/>
      <w:divBdr>
        <w:top w:val="none" w:sz="0" w:space="0" w:color="auto"/>
        <w:left w:val="none" w:sz="0" w:space="0" w:color="auto"/>
        <w:bottom w:val="none" w:sz="0" w:space="0" w:color="auto"/>
        <w:right w:val="none" w:sz="0" w:space="0" w:color="auto"/>
      </w:divBdr>
    </w:div>
    <w:div w:id="52893263">
      <w:bodyDiv w:val="1"/>
      <w:marLeft w:val="0"/>
      <w:marRight w:val="0"/>
      <w:marTop w:val="0"/>
      <w:marBottom w:val="0"/>
      <w:divBdr>
        <w:top w:val="none" w:sz="0" w:space="0" w:color="auto"/>
        <w:left w:val="none" w:sz="0" w:space="0" w:color="auto"/>
        <w:bottom w:val="none" w:sz="0" w:space="0" w:color="auto"/>
        <w:right w:val="none" w:sz="0" w:space="0" w:color="auto"/>
      </w:divBdr>
    </w:div>
    <w:div w:id="53089903">
      <w:bodyDiv w:val="1"/>
      <w:marLeft w:val="0"/>
      <w:marRight w:val="0"/>
      <w:marTop w:val="0"/>
      <w:marBottom w:val="0"/>
      <w:divBdr>
        <w:top w:val="none" w:sz="0" w:space="0" w:color="auto"/>
        <w:left w:val="none" w:sz="0" w:space="0" w:color="auto"/>
        <w:bottom w:val="none" w:sz="0" w:space="0" w:color="auto"/>
        <w:right w:val="none" w:sz="0" w:space="0" w:color="auto"/>
      </w:divBdr>
    </w:div>
    <w:div w:id="61636475">
      <w:bodyDiv w:val="1"/>
      <w:marLeft w:val="0"/>
      <w:marRight w:val="0"/>
      <w:marTop w:val="0"/>
      <w:marBottom w:val="0"/>
      <w:divBdr>
        <w:top w:val="none" w:sz="0" w:space="0" w:color="auto"/>
        <w:left w:val="none" w:sz="0" w:space="0" w:color="auto"/>
        <w:bottom w:val="none" w:sz="0" w:space="0" w:color="auto"/>
        <w:right w:val="none" w:sz="0" w:space="0" w:color="auto"/>
      </w:divBdr>
    </w:div>
    <w:div w:id="61874622">
      <w:bodyDiv w:val="1"/>
      <w:marLeft w:val="0"/>
      <w:marRight w:val="0"/>
      <w:marTop w:val="0"/>
      <w:marBottom w:val="0"/>
      <w:divBdr>
        <w:top w:val="none" w:sz="0" w:space="0" w:color="auto"/>
        <w:left w:val="none" w:sz="0" w:space="0" w:color="auto"/>
        <w:bottom w:val="none" w:sz="0" w:space="0" w:color="auto"/>
        <w:right w:val="none" w:sz="0" w:space="0" w:color="auto"/>
      </w:divBdr>
    </w:div>
    <w:div w:id="63258582">
      <w:bodyDiv w:val="1"/>
      <w:marLeft w:val="0"/>
      <w:marRight w:val="0"/>
      <w:marTop w:val="0"/>
      <w:marBottom w:val="0"/>
      <w:divBdr>
        <w:top w:val="none" w:sz="0" w:space="0" w:color="auto"/>
        <w:left w:val="none" w:sz="0" w:space="0" w:color="auto"/>
        <w:bottom w:val="none" w:sz="0" w:space="0" w:color="auto"/>
        <w:right w:val="none" w:sz="0" w:space="0" w:color="auto"/>
      </w:divBdr>
    </w:div>
    <w:div w:id="66463285">
      <w:bodyDiv w:val="1"/>
      <w:marLeft w:val="0"/>
      <w:marRight w:val="0"/>
      <w:marTop w:val="0"/>
      <w:marBottom w:val="0"/>
      <w:divBdr>
        <w:top w:val="none" w:sz="0" w:space="0" w:color="auto"/>
        <w:left w:val="none" w:sz="0" w:space="0" w:color="auto"/>
        <w:bottom w:val="none" w:sz="0" w:space="0" w:color="auto"/>
        <w:right w:val="none" w:sz="0" w:space="0" w:color="auto"/>
      </w:divBdr>
    </w:div>
    <w:div w:id="66533679">
      <w:bodyDiv w:val="1"/>
      <w:marLeft w:val="0"/>
      <w:marRight w:val="0"/>
      <w:marTop w:val="0"/>
      <w:marBottom w:val="0"/>
      <w:divBdr>
        <w:top w:val="none" w:sz="0" w:space="0" w:color="auto"/>
        <w:left w:val="none" w:sz="0" w:space="0" w:color="auto"/>
        <w:bottom w:val="none" w:sz="0" w:space="0" w:color="auto"/>
        <w:right w:val="none" w:sz="0" w:space="0" w:color="auto"/>
      </w:divBdr>
    </w:div>
    <w:div w:id="69469311">
      <w:bodyDiv w:val="1"/>
      <w:marLeft w:val="0"/>
      <w:marRight w:val="0"/>
      <w:marTop w:val="0"/>
      <w:marBottom w:val="0"/>
      <w:divBdr>
        <w:top w:val="none" w:sz="0" w:space="0" w:color="auto"/>
        <w:left w:val="none" w:sz="0" w:space="0" w:color="auto"/>
        <w:bottom w:val="none" w:sz="0" w:space="0" w:color="auto"/>
        <w:right w:val="none" w:sz="0" w:space="0" w:color="auto"/>
      </w:divBdr>
    </w:div>
    <w:div w:id="71121961">
      <w:bodyDiv w:val="1"/>
      <w:marLeft w:val="0"/>
      <w:marRight w:val="0"/>
      <w:marTop w:val="0"/>
      <w:marBottom w:val="0"/>
      <w:divBdr>
        <w:top w:val="none" w:sz="0" w:space="0" w:color="auto"/>
        <w:left w:val="none" w:sz="0" w:space="0" w:color="auto"/>
        <w:bottom w:val="none" w:sz="0" w:space="0" w:color="auto"/>
        <w:right w:val="none" w:sz="0" w:space="0" w:color="auto"/>
      </w:divBdr>
    </w:div>
    <w:div w:id="73863849">
      <w:bodyDiv w:val="1"/>
      <w:marLeft w:val="0"/>
      <w:marRight w:val="0"/>
      <w:marTop w:val="0"/>
      <w:marBottom w:val="0"/>
      <w:divBdr>
        <w:top w:val="none" w:sz="0" w:space="0" w:color="auto"/>
        <w:left w:val="none" w:sz="0" w:space="0" w:color="auto"/>
        <w:bottom w:val="none" w:sz="0" w:space="0" w:color="auto"/>
        <w:right w:val="none" w:sz="0" w:space="0" w:color="auto"/>
      </w:divBdr>
    </w:div>
    <w:div w:id="75369299">
      <w:bodyDiv w:val="1"/>
      <w:marLeft w:val="0"/>
      <w:marRight w:val="0"/>
      <w:marTop w:val="0"/>
      <w:marBottom w:val="0"/>
      <w:divBdr>
        <w:top w:val="none" w:sz="0" w:space="0" w:color="auto"/>
        <w:left w:val="none" w:sz="0" w:space="0" w:color="auto"/>
        <w:bottom w:val="none" w:sz="0" w:space="0" w:color="auto"/>
        <w:right w:val="none" w:sz="0" w:space="0" w:color="auto"/>
      </w:divBdr>
    </w:div>
    <w:div w:id="76171138">
      <w:bodyDiv w:val="1"/>
      <w:marLeft w:val="0"/>
      <w:marRight w:val="0"/>
      <w:marTop w:val="0"/>
      <w:marBottom w:val="0"/>
      <w:divBdr>
        <w:top w:val="none" w:sz="0" w:space="0" w:color="auto"/>
        <w:left w:val="none" w:sz="0" w:space="0" w:color="auto"/>
        <w:bottom w:val="none" w:sz="0" w:space="0" w:color="auto"/>
        <w:right w:val="none" w:sz="0" w:space="0" w:color="auto"/>
      </w:divBdr>
    </w:div>
    <w:div w:id="89353516">
      <w:bodyDiv w:val="1"/>
      <w:marLeft w:val="0"/>
      <w:marRight w:val="0"/>
      <w:marTop w:val="0"/>
      <w:marBottom w:val="0"/>
      <w:divBdr>
        <w:top w:val="none" w:sz="0" w:space="0" w:color="auto"/>
        <w:left w:val="none" w:sz="0" w:space="0" w:color="auto"/>
        <w:bottom w:val="none" w:sz="0" w:space="0" w:color="auto"/>
        <w:right w:val="none" w:sz="0" w:space="0" w:color="auto"/>
      </w:divBdr>
    </w:div>
    <w:div w:id="90052996">
      <w:bodyDiv w:val="1"/>
      <w:marLeft w:val="0"/>
      <w:marRight w:val="0"/>
      <w:marTop w:val="0"/>
      <w:marBottom w:val="0"/>
      <w:divBdr>
        <w:top w:val="none" w:sz="0" w:space="0" w:color="auto"/>
        <w:left w:val="none" w:sz="0" w:space="0" w:color="auto"/>
        <w:bottom w:val="none" w:sz="0" w:space="0" w:color="auto"/>
        <w:right w:val="none" w:sz="0" w:space="0" w:color="auto"/>
      </w:divBdr>
    </w:div>
    <w:div w:id="94907583">
      <w:bodyDiv w:val="1"/>
      <w:marLeft w:val="0"/>
      <w:marRight w:val="0"/>
      <w:marTop w:val="0"/>
      <w:marBottom w:val="0"/>
      <w:divBdr>
        <w:top w:val="none" w:sz="0" w:space="0" w:color="auto"/>
        <w:left w:val="none" w:sz="0" w:space="0" w:color="auto"/>
        <w:bottom w:val="none" w:sz="0" w:space="0" w:color="auto"/>
        <w:right w:val="none" w:sz="0" w:space="0" w:color="auto"/>
      </w:divBdr>
    </w:div>
    <w:div w:id="99303328">
      <w:bodyDiv w:val="1"/>
      <w:marLeft w:val="0"/>
      <w:marRight w:val="0"/>
      <w:marTop w:val="0"/>
      <w:marBottom w:val="0"/>
      <w:divBdr>
        <w:top w:val="none" w:sz="0" w:space="0" w:color="auto"/>
        <w:left w:val="none" w:sz="0" w:space="0" w:color="auto"/>
        <w:bottom w:val="none" w:sz="0" w:space="0" w:color="auto"/>
        <w:right w:val="none" w:sz="0" w:space="0" w:color="auto"/>
      </w:divBdr>
    </w:div>
    <w:div w:id="102727601">
      <w:bodyDiv w:val="1"/>
      <w:marLeft w:val="0"/>
      <w:marRight w:val="0"/>
      <w:marTop w:val="0"/>
      <w:marBottom w:val="0"/>
      <w:divBdr>
        <w:top w:val="none" w:sz="0" w:space="0" w:color="auto"/>
        <w:left w:val="none" w:sz="0" w:space="0" w:color="auto"/>
        <w:bottom w:val="none" w:sz="0" w:space="0" w:color="auto"/>
        <w:right w:val="none" w:sz="0" w:space="0" w:color="auto"/>
      </w:divBdr>
    </w:div>
    <w:div w:id="105934231">
      <w:bodyDiv w:val="1"/>
      <w:marLeft w:val="0"/>
      <w:marRight w:val="0"/>
      <w:marTop w:val="0"/>
      <w:marBottom w:val="0"/>
      <w:divBdr>
        <w:top w:val="none" w:sz="0" w:space="0" w:color="auto"/>
        <w:left w:val="none" w:sz="0" w:space="0" w:color="auto"/>
        <w:bottom w:val="none" w:sz="0" w:space="0" w:color="auto"/>
        <w:right w:val="none" w:sz="0" w:space="0" w:color="auto"/>
      </w:divBdr>
    </w:div>
    <w:div w:id="108596953">
      <w:bodyDiv w:val="1"/>
      <w:marLeft w:val="0"/>
      <w:marRight w:val="0"/>
      <w:marTop w:val="0"/>
      <w:marBottom w:val="0"/>
      <w:divBdr>
        <w:top w:val="none" w:sz="0" w:space="0" w:color="auto"/>
        <w:left w:val="none" w:sz="0" w:space="0" w:color="auto"/>
        <w:bottom w:val="none" w:sz="0" w:space="0" w:color="auto"/>
        <w:right w:val="none" w:sz="0" w:space="0" w:color="auto"/>
      </w:divBdr>
    </w:div>
    <w:div w:id="109934838">
      <w:bodyDiv w:val="1"/>
      <w:marLeft w:val="0"/>
      <w:marRight w:val="0"/>
      <w:marTop w:val="0"/>
      <w:marBottom w:val="0"/>
      <w:divBdr>
        <w:top w:val="none" w:sz="0" w:space="0" w:color="auto"/>
        <w:left w:val="none" w:sz="0" w:space="0" w:color="auto"/>
        <w:bottom w:val="none" w:sz="0" w:space="0" w:color="auto"/>
        <w:right w:val="none" w:sz="0" w:space="0" w:color="auto"/>
      </w:divBdr>
    </w:div>
    <w:div w:id="111479256">
      <w:bodyDiv w:val="1"/>
      <w:marLeft w:val="0"/>
      <w:marRight w:val="0"/>
      <w:marTop w:val="0"/>
      <w:marBottom w:val="0"/>
      <w:divBdr>
        <w:top w:val="none" w:sz="0" w:space="0" w:color="auto"/>
        <w:left w:val="none" w:sz="0" w:space="0" w:color="auto"/>
        <w:bottom w:val="none" w:sz="0" w:space="0" w:color="auto"/>
        <w:right w:val="none" w:sz="0" w:space="0" w:color="auto"/>
      </w:divBdr>
    </w:div>
    <w:div w:id="112098749">
      <w:bodyDiv w:val="1"/>
      <w:marLeft w:val="0"/>
      <w:marRight w:val="0"/>
      <w:marTop w:val="0"/>
      <w:marBottom w:val="0"/>
      <w:divBdr>
        <w:top w:val="none" w:sz="0" w:space="0" w:color="auto"/>
        <w:left w:val="none" w:sz="0" w:space="0" w:color="auto"/>
        <w:bottom w:val="none" w:sz="0" w:space="0" w:color="auto"/>
        <w:right w:val="none" w:sz="0" w:space="0" w:color="auto"/>
      </w:divBdr>
    </w:div>
    <w:div w:id="112137185">
      <w:bodyDiv w:val="1"/>
      <w:marLeft w:val="0"/>
      <w:marRight w:val="0"/>
      <w:marTop w:val="0"/>
      <w:marBottom w:val="0"/>
      <w:divBdr>
        <w:top w:val="none" w:sz="0" w:space="0" w:color="auto"/>
        <w:left w:val="none" w:sz="0" w:space="0" w:color="auto"/>
        <w:bottom w:val="none" w:sz="0" w:space="0" w:color="auto"/>
        <w:right w:val="none" w:sz="0" w:space="0" w:color="auto"/>
      </w:divBdr>
    </w:div>
    <w:div w:id="114254217">
      <w:bodyDiv w:val="1"/>
      <w:marLeft w:val="0"/>
      <w:marRight w:val="0"/>
      <w:marTop w:val="0"/>
      <w:marBottom w:val="0"/>
      <w:divBdr>
        <w:top w:val="none" w:sz="0" w:space="0" w:color="auto"/>
        <w:left w:val="none" w:sz="0" w:space="0" w:color="auto"/>
        <w:bottom w:val="none" w:sz="0" w:space="0" w:color="auto"/>
        <w:right w:val="none" w:sz="0" w:space="0" w:color="auto"/>
      </w:divBdr>
    </w:div>
    <w:div w:id="118228820">
      <w:bodyDiv w:val="1"/>
      <w:marLeft w:val="0"/>
      <w:marRight w:val="0"/>
      <w:marTop w:val="0"/>
      <w:marBottom w:val="0"/>
      <w:divBdr>
        <w:top w:val="none" w:sz="0" w:space="0" w:color="auto"/>
        <w:left w:val="none" w:sz="0" w:space="0" w:color="auto"/>
        <w:bottom w:val="none" w:sz="0" w:space="0" w:color="auto"/>
        <w:right w:val="none" w:sz="0" w:space="0" w:color="auto"/>
      </w:divBdr>
      <w:divsChild>
        <w:div w:id="605624845">
          <w:marLeft w:val="0"/>
          <w:marRight w:val="0"/>
          <w:marTop w:val="300"/>
          <w:marBottom w:val="0"/>
          <w:divBdr>
            <w:top w:val="none" w:sz="0" w:space="0" w:color="auto"/>
            <w:left w:val="none" w:sz="0" w:space="0" w:color="auto"/>
            <w:bottom w:val="none" w:sz="0" w:space="0" w:color="auto"/>
            <w:right w:val="none" w:sz="0" w:space="0" w:color="auto"/>
          </w:divBdr>
          <w:divsChild>
            <w:div w:id="1344744775">
              <w:marLeft w:val="466"/>
              <w:marRight w:val="0"/>
              <w:marTop w:val="0"/>
              <w:marBottom w:val="0"/>
              <w:divBdr>
                <w:top w:val="single" w:sz="6" w:space="0" w:color="1F3F4A"/>
                <w:left w:val="single" w:sz="6" w:space="0" w:color="1F3F4A"/>
                <w:bottom w:val="single" w:sz="6" w:space="0" w:color="1F3F4A"/>
                <w:right w:val="single" w:sz="6" w:space="0" w:color="1F3F4A"/>
              </w:divBdr>
              <w:divsChild>
                <w:div w:id="394667553">
                  <w:marLeft w:val="120"/>
                  <w:marRight w:val="120"/>
                  <w:marTop w:val="120"/>
                  <w:marBottom w:val="120"/>
                  <w:divBdr>
                    <w:top w:val="single" w:sz="6" w:space="13" w:color="CBCBCB"/>
                    <w:left w:val="single" w:sz="6" w:space="0" w:color="CBCBCB"/>
                    <w:bottom w:val="single" w:sz="6" w:space="0" w:color="CBCBCB"/>
                    <w:right w:val="single" w:sz="6" w:space="0" w:color="CBCBCB"/>
                  </w:divBdr>
                  <w:divsChild>
                    <w:div w:id="177014698">
                      <w:marLeft w:val="0"/>
                      <w:marRight w:val="0"/>
                      <w:marTop w:val="0"/>
                      <w:marBottom w:val="0"/>
                      <w:divBdr>
                        <w:top w:val="none" w:sz="0" w:space="0" w:color="auto"/>
                        <w:left w:val="none" w:sz="0" w:space="0" w:color="auto"/>
                        <w:bottom w:val="none" w:sz="0" w:space="0" w:color="auto"/>
                        <w:right w:val="none" w:sz="0" w:space="0" w:color="auto"/>
                      </w:divBdr>
                      <w:divsChild>
                        <w:div w:id="3556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11684">
      <w:bodyDiv w:val="1"/>
      <w:marLeft w:val="0"/>
      <w:marRight w:val="0"/>
      <w:marTop w:val="0"/>
      <w:marBottom w:val="0"/>
      <w:divBdr>
        <w:top w:val="none" w:sz="0" w:space="0" w:color="auto"/>
        <w:left w:val="none" w:sz="0" w:space="0" w:color="auto"/>
        <w:bottom w:val="none" w:sz="0" w:space="0" w:color="auto"/>
        <w:right w:val="none" w:sz="0" w:space="0" w:color="auto"/>
      </w:divBdr>
    </w:div>
    <w:div w:id="122619963">
      <w:bodyDiv w:val="1"/>
      <w:marLeft w:val="0"/>
      <w:marRight w:val="0"/>
      <w:marTop w:val="0"/>
      <w:marBottom w:val="0"/>
      <w:divBdr>
        <w:top w:val="none" w:sz="0" w:space="0" w:color="auto"/>
        <w:left w:val="none" w:sz="0" w:space="0" w:color="auto"/>
        <w:bottom w:val="none" w:sz="0" w:space="0" w:color="auto"/>
        <w:right w:val="none" w:sz="0" w:space="0" w:color="auto"/>
      </w:divBdr>
    </w:div>
    <w:div w:id="123928617">
      <w:bodyDiv w:val="1"/>
      <w:marLeft w:val="0"/>
      <w:marRight w:val="0"/>
      <w:marTop w:val="0"/>
      <w:marBottom w:val="0"/>
      <w:divBdr>
        <w:top w:val="none" w:sz="0" w:space="0" w:color="auto"/>
        <w:left w:val="none" w:sz="0" w:space="0" w:color="auto"/>
        <w:bottom w:val="none" w:sz="0" w:space="0" w:color="auto"/>
        <w:right w:val="none" w:sz="0" w:space="0" w:color="auto"/>
      </w:divBdr>
    </w:div>
    <w:div w:id="125127489">
      <w:bodyDiv w:val="1"/>
      <w:marLeft w:val="0"/>
      <w:marRight w:val="0"/>
      <w:marTop w:val="0"/>
      <w:marBottom w:val="0"/>
      <w:divBdr>
        <w:top w:val="none" w:sz="0" w:space="0" w:color="auto"/>
        <w:left w:val="none" w:sz="0" w:space="0" w:color="auto"/>
        <w:bottom w:val="none" w:sz="0" w:space="0" w:color="auto"/>
        <w:right w:val="none" w:sz="0" w:space="0" w:color="auto"/>
      </w:divBdr>
    </w:div>
    <w:div w:id="125203444">
      <w:bodyDiv w:val="1"/>
      <w:marLeft w:val="0"/>
      <w:marRight w:val="0"/>
      <w:marTop w:val="0"/>
      <w:marBottom w:val="0"/>
      <w:divBdr>
        <w:top w:val="none" w:sz="0" w:space="0" w:color="auto"/>
        <w:left w:val="none" w:sz="0" w:space="0" w:color="auto"/>
        <w:bottom w:val="none" w:sz="0" w:space="0" w:color="auto"/>
        <w:right w:val="none" w:sz="0" w:space="0" w:color="auto"/>
      </w:divBdr>
    </w:div>
    <w:div w:id="125854145">
      <w:bodyDiv w:val="1"/>
      <w:marLeft w:val="0"/>
      <w:marRight w:val="0"/>
      <w:marTop w:val="0"/>
      <w:marBottom w:val="0"/>
      <w:divBdr>
        <w:top w:val="none" w:sz="0" w:space="0" w:color="auto"/>
        <w:left w:val="none" w:sz="0" w:space="0" w:color="auto"/>
        <w:bottom w:val="none" w:sz="0" w:space="0" w:color="auto"/>
        <w:right w:val="none" w:sz="0" w:space="0" w:color="auto"/>
      </w:divBdr>
    </w:div>
    <w:div w:id="127171180">
      <w:bodyDiv w:val="1"/>
      <w:marLeft w:val="0"/>
      <w:marRight w:val="0"/>
      <w:marTop w:val="0"/>
      <w:marBottom w:val="0"/>
      <w:divBdr>
        <w:top w:val="none" w:sz="0" w:space="0" w:color="auto"/>
        <w:left w:val="none" w:sz="0" w:space="0" w:color="auto"/>
        <w:bottom w:val="none" w:sz="0" w:space="0" w:color="auto"/>
        <w:right w:val="none" w:sz="0" w:space="0" w:color="auto"/>
      </w:divBdr>
    </w:div>
    <w:div w:id="129396907">
      <w:bodyDiv w:val="1"/>
      <w:marLeft w:val="0"/>
      <w:marRight w:val="0"/>
      <w:marTop w:val="0"/>
      <w:marBottom w:val="0"/>
      <w:divBdr>
        <w:top w:val="none" w:sz="0" w:space="0" w:color="auto"/>
        <w:left w:val="none" w:sz="0" w:space="0" w:color="auto"/>
        <w:bottom w:val="none" w:sz="0" w:space="0" w:color="auto"/>
        <w:right w:val="none" w:sz="0" w:space="0" w:color="auto"/>
      </w:divBdr>
    </w:div>
    <w:div w:id="129981436">
      <w:bodyDiv w:val="1"/>
      <w:marLeft w:val="0"/>
      <w:marRight w:val="0"/>
      <w:marTop w:val="0"/>
      <w:marBottom w:val="0"/>
      <w:divBdr>
        <w:top w:val="none" w:sz="0" w:space="0" w:color="auto"/>
        <w:left w:val="none" w:sz="0" w:space="0" w:color="auto"/>
        <w:bottom w:val="none" w:sz="0" w:space="0" w:color="auto"/>
        <w:right w:val="none" w:sz="0" w:space="0" w:color="auto"/>
      </w:divBdr>
    </w:div>
    <w:div w:id="132720432">
      <w:bodyDiv w:val="1"/>
      <w:marLeft w:val="0"/>
      <w:marRight w:val="0"/>
      <w:marTop w:val="0"/>
      <w:marBottom w:val="0"/>
      <w:divBdr>
        <w:top w:val="none" w:sz="0" w:space="0" w:color="auto"/>
        <w:left w:val="none" w:sz="0" w:space="0" w:color="auto"/>
        <w:bottom w:val="none" w:sz="0" w:space="0" w:color="auto"/>
        <w:right w:val="none" w:sz="0" w:space="0" w:color="auto"/>
      </w:divBdr>
    </w:div>
    <w:div w:id="147212200">
      <w:bodyDiv w:val="1"/>
      <w:marLeft w:val="0"/>
      <w:marRight w:val="0"/>
      <w:marTop w:val="0"/>
      <w:marBottom w:val="0"/>
      <w:divBdr>
        <w:top w:val="none" w:sz="0" w:space="0" w:color="auto"/>
        <w:left w:val="none" w:sz="0" w:space="0" w:color="auto"/>
        <w:bottom w:val="none" w:sz="0" w:space="0" w:color="auto"/>
        <w:right w:val="none" w:sz="0" w:space="0" w:color="auto"/>
      </w:divBdr>
    </w:div>
    <w:div w:id="148983435">
      <w:bodyDiv w:val="1"/>
      <w:marLeft w:val="0"/>
      <w:marRight w:val="0"/>
      <w:marTop w:val="0"/>
      <w:marBottom w:val="0"/>
      <w:divBdr>
        <w:top w:val="none" w:sz="0" w:space="0" w:color="auto"/>
        <w:left w:val="none" w:sz="0" w:space="0" w:color="auto"/>
        <w:bottom w:val="none" w:sz="0" w:space="0" w:color="auto"/>
        <w:right w:val="none" w:sz="0" w:space="0" w:color="auto"/>
      </w:divBdr>
    </w:div>
    <w:div w:id="150879303">
      <w:bodyDiv w:val="1"/>
      <w:marLeft w:val="0"/>
      <w:marRight w:val="0"/>
      <w:marTop w:val="0"/>
      <w:marBottom w:val="0"/>
      <w:divBdr>
        <w:top w:val="none" w:sz="0" w:space="0" w:color="auto"/>
        <w:left w:val="none" w:sz="0" w:space="0" w:color="auto"/>
        <w:bottom w:val="none" w:sz="0" w:space="0" w:color="auto"/>
        <w:right w:val="none" w:sz="0" w:space="0" w:color="auto"/>
      </w:divBdr>
    </w:div>
    <w:div w:id="157888940">
      <w:bodyDiv w:val="1"/>
      <w:marLeft w:val="0"/>
      <w:marRight w:val="0"/>
      <w:marTop w:val="0"/>
      <w:marBottom w:val="0"/>
      <w:divBdr>
        <w:top w:val="none" w:sz="0" w:space="0" w:color="auto"/>
        <w:left w:val="none" w:sz="0" w:space="0" w:color="auto"/>
        <w:bottom w:val="none" w:sz="0" w:space="0" w:color="auto"/>
        <w:right w:val="none" w:sz="0" w:space="0" w:color="auto"/>
      </w:divBdr>
    </w:div>
    <w:div w:id="159081898">
      <w:bodyDiv w:val="1"/>
      <w:marLeft w:val="0"/>
      <w:marRight w:val="0"/>
      <w:marTop w:val="0"/>
      <w:marBottom w:val="0"/>
      <w:divBdr>
        <w:top w:val="none" w:sz="0" w:space="0" w:color="auto"/>
        <w:left w:val="none" w:sz="0" w:space="0" w:color="auto"/>
        <w:bottom w:val="none" w:sz="0" w:space="0" w:color="auto"/>
        <w:right w:val="none" w:sz="0" w:space="0" w:color="auto"/>
      </w:divBdr>
    </w:div>
    <w:div w:id="159589607">
      <w:bodyDiv w:val="1"/>
      <w:marLeft w:val="0"/>
      <w:marRight w:val="0"/>
      <w:marTop w:val="0"/>
      <w:marBottom w:val="0"/>
      <w:divBdr>
        <w:top w:val="none" w:sz="0" w:space="0" w:color="auto"/>
        <w:left w:val="none" w:sz="0" w:space="0" w:color="auto"/>
        <w:bottom w:val="none" w:sz="0" w:space="0" w:color="auto"/>
        <w:right w:val="none" w:sz="0" w:space="0" w:color="auto"/>
      </w:divBdr>
    </w:div>
    <w:div w:id="164824971">
      <w:bodyDiv w:val="1"/>
      <w:marLeft w:val="0"/>
      <w:marRight w:val="0"/>
      <w:marTop w:val="0"/>
      <w:marBottom w:val="0"/>
      <w:divBdr>
        <w:top w:val="none" w:sz="0" w:space="0" w:color="auto"/>
        <w:left w:val="none" w:sz="0" w:space="0" w:color="auto"/>
        <w:bottom w:val="none" w:sz="0" w:space="0" w:color="auto"/>
        <w:right w:val="none" w:sz="0" w:space="0" w:color="auto"/>
      </w:divBdr>
    </w:div>
    <w:div w:id="169877918">
      <w:bodyDiv w:val="1"/>
      <w:marLeft w:val="0"/>
      <w:marRight w:val="0"/>
      <w:marTop w:val="0"/>
      <w:marBottom w:val="0"/>
      <w:divBdr>
        <w:top w:val="none" w:sz="0" w:space="0" w:color="auto"/>
        <w:left w:val="none" w:sz="0" w:space="0" w:color="auto"/>
        <w:bottom w:val="none" w:sz="0" w:space="0" w:color="auto"/>
        <w:right w:val="none" w:sz="0" w:space="0" w:color="auto"/>
      </w:divBdr>
    </w:div>
    <w:div w:id="170143298">
      <w:bodyDiv w:val="1"/>
      <w:marLeft w:val="0"/>
      <w:marRight w:val="0"/>
      <w:marTop w:val="0"/>
      <w:marBottom w:val="0"/>
      <w:divBdr>
        <w:top w:val="none" w:sz="0" w:space="0" w:color="auto"/>
        <w:left w:val="none" w:sz="0" w:space="0" w:color="auto"/>
        <w:bottom w:val="none" w:sz="0" w:space="0" w:color="auto"/>
        <w:right w:val="none" w:sz="0" w:space="0" w:color="auto"/>
      </w:divBdr>
    </w:div>
    <w:div w:id="170221505">
      <w:bodyDiv w:val="1"/>
      <w:marLeft w:val="0"/>
      <w:marRight w:val="0"/>
      <w:marTop w:val="0"/>
      <w:marBottom w:val="0"/>
      <w:divBdr>
        <w:top w:val="none" w:sz="0" w:space="0" w:color="auto"/>
        <w:left w:val="none" w:sz="0" w:space="0" w:color="auto"/>
        <w:bottom w:val="none" w:sz="0" w:space="0" w:color="auto"/>
        <w:right w:val="none" w:sz="0" w:space="0" w:color="auto"/>
      </w:divBdr>
    </w:div>
    <w:div w:id="175971179">
      <w:bodyDiv w:val="1"/>
      <w:marLeft w:val="0"/>
      <w:marRight w:val="0"/>
      <w:marTop w:val="0"/>
      <w:marBottom w:val="0"/>
      <w:divBdr>
        <w:top w:val="none" w:sz="0" w:space="0" w:color="auto"/>
        <w:left w:val="none" w:sz="0" w:space="0" w:color="auto"/>
        <w:bottom w:val="none" w:sz="0" w:space="0" w:color="auto"/>
        <w:right w:val="none" w:sz="0" w:space="0" w:color="auto"/>
      </w:divBdr>
    </w:div>
    <w:div w:id="179927572">
      <w:bodyDiv w:val="1"/>
      <w:marLeft w:val="0"/>
      <w:marRight w:val="0"/>
      <w:marTop w:val="0"/>
      <w:marBottom w:val="0"/>
      <w:divBdr>
        <w:top w:val="none" w:sz="0" w:space="0" w:color="auto"/>
        <w:left w:val="none" w:sz="0" w:space="0" w:color="auto"/>
        <w:bottom w:val="none" w:sz="0" w:space="0" w:color="auto"/>
        <w:right w:val="none" w:sz="0" w:space="0" w:color="auto"/>
      </w:divBdr>
    </w:div>
    <w:div w:id="182548601">
      <w:bodyDiv w:val="1"/>
      <w:marLeft w:val="0"/>
      <w:marRight w:val="0"/>
      <w:marTop w:val="0"/>
      <w:marBottom w:val="0"/>
      <w:divBdr>
        <w:top w:val="none" w:sz="0" w:space="0" w:color="auto"/>
        <w:left w:val="none" w:sz="0" w:space="0" w:color="auto"/>
        <w:bottom w:val="none" w:sz="0" w:space="0" w:color="auto"/>
        <w:right w:val="none" w:sz="0" w:space="0" w:color="auto"/>
      </w:divBdr>
    </w:div>
    <w:div w:id="182942920">
      <w:bodyDiv w:val="1"/>
      <w:marLeft w:val="0"/>
      <w:marRight w:val="0"/>
      <w:marTop w:val="0"/>
      <w:marBottom w:val="0"/>
      <w:divBdr>
        <w:top w:val="none" w:sz="0" w:space="0" w:color="auto"/>
        <w:left w:val="none" w:sz="0" w:space="0" w:color="auto"/>
        <w:bottom w:val="none" w:sz="0" w:space="0" w:color="auto"/>
        <w:right w:val="none" w:sz="0" w:space="0" w:color="auto"/>
      </w:divBdr>
    </w:div>
    <w:div w:id="187331179">
      <w:bodyDiv w:val="1"/>
      <w:marLeft w:val="0"/>
      <w:marRight w:val="0"/>
      <w:marTop w:val="0"/>
      <w:marBottom w:val="0"/>
      <w:divBdr>
        <w:top w:val="none" w:sz="0" w:space="0" w:color="auto"/>
        <w:left w:val="none" w:sz="0" w:space="0" w:color="auto"/>
        <w:bottom w:val="none" w:sz="0" w:space="0" w:color="auto"/>
        <w:right w:val="none" w:sz="0" w:space="0" w:color="auto"/>
      </w:divBdr>
    </w:div>
    <w:div w:id="187717201">
      <w:bodyDiv w:val="1"/>
      <w:marLeft w:val="0"/>
      <w:marRight w:val="0"/>
      <w:marTop w:val="0"/>
      <w:marBottom w:val="0"/>
      <w:divBdr>
        <w:top w:val="none" w:sz="0" w:space="0" w:color="auto"/>
        <w:left w:val="none" w:sz="0" w:space="0" w:color="auto"/>
        <w:bottom w:val="none" w:sz="0" w:space="0" w:color="auto"/>
        <w:right w:val="none" w:sz="0" w:space="0" w:color="auto"/>
      </w:divBdr>
    </w:div>
    <w:div w:id="188833563">
      <w:bodyDiv w:val="1"/>
      <w:marLeft w:val="0"/>
      <w:marRight w:val="0"/>
      <w:marTop w:val="0"/>
      <w:marBottom w:val="0"/>
      <w:divBdr>
        <w:top w:val="none" w:sz="0" w:space="0" w:color="auto"/>
        <w:left w:val="none" w:sz="0" w:space="0" w:color="auto"/>
        <w:bottom w:val="none" w:sz="0" w:space="0" w:color="auto"/>
        <w:right w:val="none" w:sz="0" w:space="0" w:color="auto"/>
      </w:divBdr>
    </w:div>
    <w:div w:id="189729278">
      <w:bodyDiv w:val="1"/>
      <w:marLeft w:val="0"/>
      <w:marRight w:val="0"/>
      <w:marTop w:val="0"/>
      <w:marBottom w:val="0"/>
      <w:divBdr>
        <w:top w:val="none" w:sz="0" w:space="0" w:color="auto"/>
        <w:left w:val="none" w:sz="0" w:space="0" w:color="auto"/>
        <w:bottom w:val="none" w:sz="0" w:space="0" w:color="auto"/>
        <w:right w:val="none" w:sz="0" w:space="0" w:color="auto"/>
      </w:divBdr>
    </w:div>
    <w:div w:id="191462854">
      <w:bodyDiv w:val="1"/>
      <w:marLeft w:val="0"/>
      <w:marRight w:val="0"/>
      <w:marTop w:val="0"/>
      <w:marBottom w:val="0"/>
      <w:divBdr>
        <w:top w:val="none" w:sz="0" w:space="0" w:color="auto"/>
        <w:left w:val="none" w:sz="0" w:space="0" w:color="auto"/>
        <w:bottom w:val="none" w:sz="0" w:space="0" w:color="auto"/>
        <w:right w:val="none" w:sz="0" w:space="0" w:color="auto"/>
      </w:divBdr>
    </w:div>
    <w:div w:id="192109860">
      <w:bodyDiv w:val="1"/>
      <w:marLeft w:val="0"/>
      <w:marRight w:val="0"/>
      <w:marTop w:val="0"/>
      <w:marBottom w:val="0"/>
      <w:divBdr>
        <w:top w:val="none" w:sz="0" w:space="0" w:color="auto"/>
        <w:left w:val="none" w:sz="0" w:space="0" w:color="auto"/>
        <w:bottom w:val="none" w:sz="0" w:space="0" w:color="auto"/>
        <w:right w:val="none" w:sz="0" w:space="0" w:color="auto"/>
      </w:divBdr>
    </w:div>
    <w:div w:id="193424445">
      <w:bodyDiv w:val="1"/>
      <w:marLeft w:val="0"/>
      <w:marRight w:val="0"/>
      <w:marTop w:val="0"/>
      <w:marBottom w:val="0"/>
      <w:divBdr>
        <w:top w:val="none" w:sz="0" w:space="0" w:color="auto"/>
        <w:left w:val="none" w:sz="0" w:space="0" w:color="auto"/>
        <w:bottom w:val="none" w:sz="0" w:space="0" w:color="auto"/>
        <w:right w:val="none" w:sz="0" w:space="0" w:color="auto"/>
      </w:divBdr>
    </w:div>
    <w:div w:id="193929672">
      <w:bodyDiv w:val="1"/>
      <w:marLeft w:val="0"/>
      <w:marRight w:val="0"/>
      <w:marTop w:val="0"/>
      <w:marBottom w:val="0"/>
      <w:divBdr>
        <w:top w:val="none" w:sz="0" w:space="0" w:color="auto"/>
        <w:left w:val="none" w:sz="0" w:space="0" w:color="auto"/>
        <w:bottom w:val="none" w:sz="0" w:space="0" w:color="auto"/>
        <w:right w:val="none" w:sz="0" w:space="0" w:color="auto"/>
      </w:divBdr>
    </w:div>
    <w:div w:id="197205756">
      <w:bodyDiv w:val="1"/>
      <w:marLeft w:val="0"/>
      <w:marRight w:val="0"/>
      <w:marTop w:val="0"/>
      <w:marBottom w:val="0"/>
      <w:divBdr>
        <w:top w:val="none" w:sz="0" w:space="0" w:color="auto"/>
        <w:left w:val="none" w:sz="0" w:space="0" w:color="auto"/>
        <w:bottom w:val="none" w:sz="0" w:space="0" w:color="auto"/>
        <w:right w:val="none" w:sz="0" w:space="0" w:color="auto"/>
      </w:divBdr>
    </w:div>
    <w:div w:id="198475610">
      <w:bodyDiv w:val="1"/>
      <w:marLeft w:val="0"/>
      <w:marRight w:val="0"/>
      <w:marTop w:val="0"/>
      <w:marBottom w:val="0"/>
      <w:divBdr>
        <w:top w:val="none" w:sz="0" w:space="0" w:color="auto"/>
        <w:left w:val="none" w:sz="0" w:space="0" w:color="auto"/>
        <w:bottom w:val="none" w:sz="0" w:space="0" w:color="auto"/>
        <w:right w:val="none" w:sz="0" w:space="0" w:color="auto"/>
      </w:divBdr>
    </w:div>
    <w:div w:id="199323394">
      <w:bodyDiv w:val="1"/>
      <w:marLeft w:val="0"/>
      <w:marRight w:val="0"/>
      <w:marTop w:val="0"/>
      <w:marBottom w:val="0"/>
      <w:divBdr>
        <w:top w:val="none" w:sz="0" w:space="0" w:color="auto"/>
        <w:left w:val="none" w:sz="0" w:space="0" w:color="auto"/>
        <w:bottom w:val="none" w:sz="0" w:space="0" w:color="auto"/>
        <w:right w:val="none" w:sz="0" w:space="0" w:color="auto"/>
      </w:divBdr>
    </w:div>
    <w:div w:id="200367936">
      <w:bodyDiv w:val="1"/>
      <w:marLeft w:val="0"/>
      <w:marRight w:val="0"/>
      <w:marTop w:val="0"/>
      <w:marBottom w:val="0"/>
      <w:divBdr>
        <w:top w:val="none" w:sz="0" w:space="0" w:color="auto"/>
        <w:left w:val="none" w:sz="0" w:space="0" w:color="auto"/>
        <w:bottom w:val="none" w:sz="0" w:space="0" w:color="auto"/>
        <w:right w:val="none" w:sz="0" w:space="0" w:color="auto"/>
      </w:divBdr>
    </w:div>
    <w:div w:id="211426500">
      <w:bodyDiv w:val="1"/>
      <w:marLeft w:val="0"/>
      <w:marRight w:val="0"/>
      <w:marTop w:val="0"/>
      <w:marBottom w:val="0"/>
      <w:divBdr>
        <w:top w:val="none" w:sz="0" w:space="0" w:color="auto"/>
        <w:left w:val="none" w:sz="0" w:space="0" w:color="auto"/>
        <w:bottom w:val="none" w:sz="0" w:space="0" w:color="auto"/>
        <w:right w:val="none" w:sz="0" w:space="0" w:color="auto"/>
      </w:divBdr>
    </w:div>
    <w:div w:id="214198537">
      <w:bodyDiv w:val="1"/>
      <w:marLeft w:val="0"/>
      <w:marRight w:val="0"/>
      <w:marTop w:val="0"/>
      <w:marBottom w:val="0"/>
      <w:divBdr>
        <w:top w:val="none" w:sz="0" w:space="0" w:color="auto"/>
        <w:left w:val="none" w:sz="0" w:space="0" w:color="auto"/>
        <w:bottom w:val="none" w:sz="0" w:space="0" w:color="auto"/>
        <w:right w:val="none" w:sz="0" w:space="0" w:color="auto"/>
      </w:divBdr>
    </w:div>
    <w:div w:id="220211525">
      <w:bodyDiv w:val="1"/>
      <w:marLeft w:val="0"/>
      <w:marRight w:val="0"/>
      <w:marTop w:val="0"/>
      <w:marBottom w:val="0"/>
      <w:divBdr>
        <w:top w:val="none" w:sz="0" w:space="0" w:color="auto"/>
        <w:left w:val="none" w:sz="0" w:space="0" w:color="auto"/>
        <w:bottom w:val="none" w:sz="0" w:space="0" w:color="auto"/>
        <w:right w:val="none" w:sz="0" w:space="0" w:color="auto"/>
      </w:divBdr>
    </w:div>
    <w:div w:id="222372833">
      <w:bodyDiv w:val="1"/>
      <w:marLeft w:val="0"/>
      <w:marRight w:val="0"/>
      <w:marTop w:val="0"/>
      <w:marBottom w:val="0"/>
      <w:divBdr>
        <w:top w:val="none" w:sz="0" w:space="0" w:color="auto"/>
        <w:left w:val="none" w:sz="0" w:space="0" w:color="auto"/>
        <w:bottom w:val="none" w:sz="0" w:space="0" w:color="auto"/>
        <w:right w:val="none" w:sz="0" w:space="0" w:color="auto"/>
      </w:divBdr>
    </w:div>
    <w:div w:id="227957497">
      <w:bodyDiv w:val="1"/>
      <w:marLeft w:val="0"/>
      <w:marRight w:val="0"/>
      <w:marTop w:val="0"/>
      <w:marBottom w:val="0"/>
      <w:divBdr>
        <w:top w:val="none" w:sz="0" w:space="0" w:color="auto"/>
        <w:left w:val="none" w:sz="0" w:space="0" w:color="auto"/>
        <w:bottom w:val="none" w:sz="0" w:space="0" w:color="auto"/>
        <w:right w:val="none" w:sz="0" w:space="0" w:color="auto"/>
      </w:divBdr>
    </w:div>
    <w:div w:id="229391071">
      <w:bodyDiv w:val="1"/>
      <w:marLeft w:val="0"/>
      <w:marRight w:val="0"/>
      <w:marTop w:val="0"/>
      <w:marBottom w:val="0"/>
      <w:divBdr>
        <w:top w:val="none" w:sz="0" w:space="0" w:color="auto"/>
        <w:left w:val="none" w:sz="0" w:space="0" w:color="auto"/>
        <w:bottom w:val="none" w:sz="0" w:space="0" w:color="auto"/>
        <w:right w:val="none" w:sz="0" w:space="0" w:color="auto"/>
      </w:divBdr>
    </w:div>
    <w:div w:id="229853049">
      <w:bodyDiv w:val="1"/>
      <w:marLeft w:val="0"/>
      <w:marRight w:val="0"/>
      <w:marTop w:val="0"/>
      <w:marBottom w:val="0"/>
      <w:divBdr>
        <w:top w:val="none" w:sz="0" w:space="0" w:color="auto"/>
        <w:left w:val="none" w:sz="0" w:space="0" w:color="auto"/>
        <w:bottom w:val="none" w:sz="0" w:space="0" w:color="auto"/>
        <w:right w:val="none" w:sz="0" w:space="0" w:color="auto"/>
      </w:divBdr>
    </w:div>
    <w:div w:id="231239684">
      <w:bodyDiv w:val="1"/>
      <w:marLeft w:val="0"/>
      <w:marRight w:val="0"/>
      <w:marTop w:val="0"/>
      <w:marBottom w:val="0"/>
      <w:divBdr>
        <w:top w:val="none" w:sz="0" w:space="0" w:color="auto"/>
        <w:left w:val="none" w:sz="0" w:space="0" w:color="auto"/>
        <w:bottom w:val="none" w:sz="0" w:space="0" w:color="auto"/>
        <w:right w:val="none" w:sz="0" w:space="0" w:color="auto"/>
      </w:divBdr>
    </w:div>
    <w:div w:id="231816320">
      <w:bodyDiv w:val="1"/>
      <w:marLeft w:val="0"/>
      <w:marRight w:val="0"/>
      <w:marTop w:val="0"/>
      <w:marBottom w:val="0"/>
      <w:divBdr>
        <w:top w:val="none" w:sz="0" w:space="0" w:color="auto"/>
        <w:left w:val="none" w:sz="0" w:space="0" w:color="auto"/>
        <w:bottom w:val="none" w:sz="0" w:space="0" w:color="auto"/>
        <w:right w:val="none" w:sz="0" w:space="0" w:color="auto"/>
      </w:divBdr>
    </w:div>
    <w:div w:id="232664127">
      <w:bodyDiv w:val="1"/>
      <w:marLeft w:val="0"/>
      <w:marRight w:val="0"/>
      <w:marTop w:val="0"/>
      <w:marBottom w:val="0"/>
      <w:divBdr>
        <w:top w:val="none" w:sz="0" w:space="0" w:color="auto"/>
        <w:left w:val="none" w:sz="0" w:space="0" w:color="auto"/>
        <w:bottom w:val="none" w:sz="0" w:space="0" w:color="auto"/>
        <w:right w:val="none" w:sz="0" w:space="0" w:color="auto"/>
      </w:divBdr>
    </w:div>
    <w:div w:id="233053611">
      <w:bodyDiv w:val="1"/>
      <w:marLeft w:val="0"/>
      <w:marRight w:val="0"/>
      <w:marTop w:val="0"/>
      <w:marBottom w:val="0"/>
      <w:divBdr>
        <w:top w:val="none" w:sz="0" w:space="0" w:color="auto"/>
        <w:left w:val="none" w:sz="0" w:space="0" w:color="auto"/>
        <w:bottom w:val="none" w:sz="0" w:space="0" w:color="auto"/>
        <w:right w:val="none" w:sz="0" w:space="0" w:color="auto"/>
      </w:divBdr>
    </w:div>
    <w:div w:id="233122958">
      <w:bodyDiv w:val="1"/>
      <w:marLeft w:val="0"/>
      <w:marRight w:val="0"/>
      <w:marTop w:val="0"/>
      <w:marBottom w:val="0"/>
      <w:divBdr>
        <w:top w:val="none" w:sz="0" w:space="0" w:color="auto"/>
        <w:left w:val="none" w:sz="0" w:space="0" w:color="auto"/>
        <w:bottom w:val="none" w:sz="0" w:space="0" w:color="auto"/>
        <w:right w:val="none" w:sz="0" w:space="0" w:color="auto"/>
      </w:divBdr>
    </w:div>
    <w:div w:id="233246372">
      <w:bodyDiv w:val="1"/>
      <w:marLeft w:val="0"/>
      <w:marRight w:val="0"/>
      <w:marTop w:val="0"/>
      <w:marBottom w:val="0"/>
      <w:divBdr>
        <w:top w:val="none" w:sz="0" w:space="0" w:color="auto"/>
        <w:left w:val="none" w:sz="0" w:space="0" w:color="auto"/>
        <w:bottom w:val="none" w:sz="0" w:space="0" w:color="auto"/>
        <w:right w:val="none" w:sz="0" w:space="0" w:color="auto"/>
      </w:divBdr>
    </w:div>
    <w:div w:id="239486090">
      <w:bodyDiv w:val="1"/>
      <w:marLeft w:val="0"/>
      <w:marRight w:val="0"/>
      <w:marTop w:val="0"/>
      <w:marBottom w:val="0"/>
      <w:divBdr>
        <w:top w:val="none" w:sz="0" w:space="0" w:color="auto"/>
        <w:left w:val="none" w:sz="0" w:space="0" w:color="auto"/>
        <w:bottom w:val="none" w:sz="0" w:space="0" w:color="auto"/>
        <w:right w:val="none" w:sz="0" w:space="0" w:color="auto"/>
      </w:divBdr>
    </w:div>
    <w:div w:id="240409920">
      <w:bodyDiv w:val="1"/>
      <w:marLeft w:val="0"/>
      <w:marRight w:val="0"/>
      <w:marTop w:val="0"/>
      <w:marBottom w:val="0"/>
      <w:divBdr>
        <w:top w:val="none" w:sz="0" w:space="0" w:color="auto"/>
        <w:left w:val="none" w:sz="0" w:space="0" w:color="auto"/>
        <w:bottom w:val="none" w:sz="0" w:space="0" w:color="auto"/>
        <w:right w:val="none" w:sz="0" w:space="0" w:color="auto"/>
      </w:divBdr>
    </w:div>
    <w:div w:id="248078940">
      <w:bodyDiv w:val="1"/>
      <w:marLeft w:val="0"/>
      <w:marRight w:val="0"/>
      <w:marTop w:val="0"/>
      <w:marBottom w:val="0"/>
      <w:divBdr>
        <w:top w:val="none" w:sz="0" w:space="0" w:color="auto"/>
        <w:left w:val="none" w:sz="0" w:space="0" w:color="auto"/>
        <w:bottom w:val="none" w:sz="0" w:space="0" w:color="auto"/>
        <w:right w:val="none" w:sz="0" w:space="0" w:color="auto"/>
      </w:divBdr>
    </w:div>
    <w:div w:id="253978846">
      <w:bodyDiv w:val="1"/>
      <w:marLeft w:val="0"/>
      <w:marRight w:val="0"/>
      <w:marTop w:val="0"/>
      <w:marBottom w:val="0"/>
      <w:divBdr>
        <w:top w:val="none" w:sz="0" w:space="0" w:color="auto"/>
        <w:left w:val="none" w:sz="0" w:space="0" w:color="auto"/>
        <w:bottom w:val="none" w:sz="0" w:space="0" w:color="auto"/>
        <w:right w:val="none" w:sz="0" w:space="0" w:color="auto"/>
      </w:divBdr>
    </w:div>
    <w:div w:id="257639764">
      <w:bodyDiv w:val="1"/>
      <w:marLeft w:val="0"/>
      <w:marRight w:val="0"/>
      <w:marTop w:val="0"/>
      <w:marBottom w:val="0"/>
      <w:divBdr>
        <w:top w:val="none" w:sz="0" w:space="0" w:color="auto"/>
        <w:left w:val="none" w:sz="0" w:space="0" w:color="auto"/>
        <w:bottom w:val="none" w:sz="0" w:space="0" w:color="auto"/>
        <w:right w:val="none" w:sz="0" w:space="0" w:color="auto"/>
      </w:divBdr>
    </w:div>
    <w:div w:id="257643474">
      <w:bodyDiv w:val="1"/>
      <w:marLeft w:val="0"/>
      <w:marRight w:val="0"/>
      <w:marTop w:val="0"/>
      <w:marBottom w:val="0"/>
      <w:divBdr>
        <w:top w:val="none" w:sz="0" w:space="0" w:color="auto"/>
        <w:left w:val="none" w:sz="0" w:space="0" w:color="auto"/>
        <w:bottom w:val="none" w:sz="0" w:space="0" w:color="auto"/>
        <w:right w:val="none" w:sz="0" w:space="0" w:color="auto"/>
      </w:divBdr>
    </w:div>
    <w:div w:id="260456029">
      <w:bodyDiv w:val="1"/>
      <w:marLeft w:val="0"/>
      <w:marRight w:val="0"/>
      <w:marTop w:val="0"/>
      <w:marBottom w:val="0"/>
      <w:divBdr>
        <w:top w:val="none" w:sz="0" w:space="0" w:color="auto"/>
        <w:left w:val="none" w:sz="0" w:space="0" w:color="auto"/>
        <w:bottom w:val="none" w:sz="0" w:space="0" w:color="auto"/>
        <w:right w:val="none" w:sz="0" w:space="0" w:color="auto"/>
      </w:divBdr>
    </w:div>
    <w:div w:id="262303182">
      <w:bodyDiv w:val="1"/>
      <w:marLeft w:val="0"/>
      <w:marRight w:val="0"/>
      <w:marTop w:val="0"/>
      <w:marBottom w:val="0"/>
      <w:divBdr>
        <w:top w:val="none" w:sz="0" w:space="0" w:color="auto"/>
        <w:left w:val="none" w:sz="0" w:space="0" w:color="auto"/>
        <w:bottom w:val="none" w:sz="0" w:space="0" w:color="auto"/>
        <w:right w:val="none" w:sz="0" w:space="0" w:color="auto"/>
      </w:divBdr>
    </w:div>
    <w:div w:id="265237197">
      <w:bodyDiv w:val="1"/>
      <w:marLeft w:val="0"/>
      <w:marRight w:val="0"/>
      <w:marTop w:val="0"/>
      <w:marBottom w:val="0"/>
      <w:divBdr>
        <w:top w:val="none" w:sz="0" w:space="0" w:color="auto"/>
        <w:left w:val="none" w:sz="0" w:space="0" w:color="auto"/>
        <w:bottom w:val="none" w:sz="0" w:space="0" w:color="auto"/>
        <w:right w:val="none" w:sz="0" w:space="0" w:color="auto"/>
      </w:divBdr>
    </w:div>
    <w:div w:id="270480914">
      <w:bodyDiv w:val="1"/>
      <w:marLeft w:val="0"/>
      <w:marRight w:val="0"/>
      <w:marTop w:val="0"/>
      <w:marBottom w:val="0"/>
      <w:divBdr>
        <w:top w:val="none" w:sz="0" w:space="0" w:color="auto"/>
        <w:left w:val="none" w:sz="0" w:space="0" w:color="auto"/>
        <w:bottom w:val="none" w:sz="0" w:space="0" w:color="auto"/>
        <w:right w:val="none" w:sz="0" w:space="0" w:color="auto"/>
      </w:divBdr>
    </w:div>
    <w:div w:id="272439500">
      <w:bodyDiv w:val="1"/>
      <w:marLeft w:val="0"/>
      <w:marRight w:val="0"/>
      <w:marTop w:val="0"/>
      <w:marBottom w:val="0"/>
      <w:divBdr>
        <w:top w:val="none" w:sz="0" w:space="0" w:color="auto"/>
        <w:left w:val="none" w:sz="0" w:space="0" w:color="auto"/>
        <w:bottom w:val="none" w:sz="0" w:space="0" w:color="auto"/>
        <w:right w:val="none" w:sz="0" w:space="0" w:color="auto"/>
      </w:divBdr>
    </w:div>
    <w:div w:id="275021692">
      <w:bodyDiv w:val="1"/>
      <w:marLeft w:val="0"/>
      <w:marRight w:val="0"/>
      <w:marTop w:val="0"/>
      <w:marBottom w:val="0"/>
      <w:divBdr>
        <w:top w:val="none" w:sz="0" w:space="0" w:color="auto"/>
        <w:left w:val="none" w:sz="0" w:space="0" w:color="auto"/>
        <w:bottom w:val="none" w:sz="0" w:space="0" w:color="auto"/>
        <w:right w:val="none" w:sz="0" w:space="0" w:color="auto"/>
      </w:divBdr>
    </w:div>
    <w:div w:id="275451324">
      <w:bodyDiv w:val="1"/>
      <w:marLeft w:val="0"/>
      <w:marRight w:val="0"/>
      <w:marTop w:val="0"/>
      <w:marBottom w:val="0"/>
      <w:divBdr>
        <w:top w:val="none" w:sz="0" w:space="0" w:color="auto"/>
        <w:left w:val="none" w:sz="0" w:space="0" w:color="auto"/>
        <w:bottom w:val="none" w:sz="0" w:space="0" w:color="auto"/>
        <w:right w:val="none" w:sz="0" w:space="0" w:color="auto"/>
      </w:divBdr>
    </w:div>
    <w:div w:id="277686468">
      <w:bodyDiv w:val="1"/>
      <w:marLeft w:val="0"/>
      <w:marRight w:val="0"/>
      <w:marTop w:val="0"/>
      <w:marBottom w:val="0"/>
      <w:divBdr>
        <w:top w:val="none" w:sz="0" w:space="0" w:color="auto"/>
        <w:left w:val="none" w:sz="0" w:space="0" w:color="auto"/>
        <w:bottom w:val="none" w:sz="0" w:space="0" w:color="auto"/>
        <w:right w:val="none" w:sz="0" w:space="0" w:color="auto"/>
      </w:divBdr>
    </w:div>
    <w:div w:id="278414674">
      <w:bodyDiv w:val="1"/>
      <w:marLeft w:val="0"/>
      <w:marRight w:val="0"/>
      <w:marTop w:val="0"/>
      <w:marBottom w:val="0"/>
      <w:divBdr>
        <w:top w:val="none" w:sz="0" w:space="0" w:color="auto"/>
        <w:left w:val="none" w:sz="0" w:space="0" w:color="auto"/>
        <w:bottom w:val="none" w:sz="0" w:space="0" w:color="auto"/>
        <w:right w:val="none" w:sz="0" w:space="0" w:color="auto"/>
      </w:divBdr>
    </w:div>
    <w:div w:id="279386544">
      <w:bodyDiv w:val="1"/>
      <w:marLeft w:val="0"/>
      <w:marRight w:val="0"/>
      <w:marTop w:val="0"/>
      <w:marBottom w:val="0"/>
      <w:divBdr>
        <w:top w:val="none" w:sz="0" w:space="0" w:color="auto"/>
        <w:left w:val="none" w:sz="0" w:space="0" w:color="auto"/>
        <w:bottom w:val="none" w:sz="0" w:space="0" w:color="auto"/>
        <w:right w:val="none" w:sz="0" w:space="0" w:color="auto"/>
      </w:divBdr>
    </w:div>
    <w:div w:id="280309552">
      <w:bodyDiv w:val="1"/>
      <w:marLeft w:val="0"/>
      <w:marRight w:val="0"/>
      <w:marTop w:val="0"/>
      <w:marBottom w:val="0"/>
      <w:divBdr>
        <w:top w:val="none" w:sz="0" w:space="0" w:color="auto"/>
        <w:left w:val="none" w:sz="0" w:space="0" w:color="auto"/>
        <w:bottom w:val="none" w:sz="0" w:space="0" w:color="auto"/>
        <w:right w:val="none" w:sz="0" w:space="0" w:color="auto"/>
      </w:divBdr>
    </w:div>
    <w:div w:id="286739957">
      <w:bodyDiv w:val="1"/>
      <w:marLeft w:val="0"/>
      <w:marRight w:val="0"/>
      <w:marTop w:val="0"/>
      <w:marBottom w:val="0"/>
      <w:divBdr>
        <w:top w:val="none" w:sz="0" w:space="0" w:color="auto"/>
        <w:left w:val="none" w:sz="0" w:space="0" w:color="auto"/>
        <w:bottom w:val="none" w:sz="0" w:space="0" w:color="auto"/>
        <w:right w:val="none" w:sz="0" w:space="0" w:color="auto"/>
      </w:divBdr>
    </w:div>
    <w:div w:id="288558056">
      <w:bodyDiv w:val="1"/>
      <w:marLeft w:val="0"/>
      <w:marRight w:val="0"/>
      <w:marTop w:val="0"/>
      <w:marBottom w:val="0"/>
      <w:divBdr>
        <w:top w:val="none" w:sz="0" w:space="0" w:color="auto"/>
        <w:left w:val="none" w:sz="0" w:space="0" w:color="auto"/>
        <w:bottom w:val="none" w:sz="0" w:space="0" w:color="auto"/>
        <w:right w:val="none" w:sz="0" w:space="0" w:color="auto"/>
      </w:divBdr>
    </w:div>
    <w:div w:id="294995357">
      <w:bodyDiv w:val="1"/>
      <w:marLeft w:val="0"/>
      <w:marRight w:val="0"/>
      <w:marTop w:val="0"/>
      <w:marBottom w:val="0"/>
      <w:divBdr>
        <w:top w:val="none" w:sz="0" w:space="0" w:color="auto"/>
        <w:left w:val="none" w:sz="0" w:space="0" w:color="auto"/>
        <w:bottom w:val="none" w:sz="0" w:space="0" w:color="auto"/>
        <w:right w:val="none" w:sz="0" w:space="0" w:color="auto"/>
      </w:divBdr>
    </w:div>
    <w:div w:id="296958008">
      <w:bodyDiv w:val="1"/>
      <w:marLeft w:val="0"/>
      <w:marRight w:val="0"/>
      <w:marTop w:val="0"/>
      <w:marBottom w:val="0"/>
      <w:divBdr>
        <w:top w:val="none" w:sz="0" w:space="0" w:color="auto"/>
        <w:left w:val="none" w:sz="0" w:space="0" w:color="auto"/>
        <w:bottom w:val="none" w:sz="0" w:space="0" w:color="auto"/>
        <w:right w:val="none" w:sz="0" w:space="0" w:color="auto"/>
      </w:divBdr>
    </w:div>
    <w:div w:id="300501182">
      <w:bodyDiv w:val="1"/>
      <w:marLeft w:val="0"/>
      <w:marRight w:val="0"/>
      <w:marTop w:val="0"/>
      <w:marBottom w:val="0"/>
      <w:divBdr>
        <w:top w:val="none" w:sz="0" w:space="0" w:color="auto"/>
        <w:left w:val="none" w:sz="0" w:space="0" w:color="auto"/>
        <w:bottom w:val="none" w:sz="0" w:space="0" w:color="auto"/>
        <w:right w:val="none" w:sz="0" w:space="0" w:color="auto"/>
      </w:divBdr>
    </w:div>
    <w:div w:id="307590637">
      <w:bodyDiv w:val="1"/>
      <w:marLeft w:val="0"/>
      <w:marRight w:val="0"/>
      <w:marTop w:val="0"/>
      <w:marBottom w:val="0"/>
      <w:divBdr>
        <w:top w:val="none" w:sz="0" w:space="0" w:color="auto"/>
        <w:left w:val="none" w:sz="0" w:space="0" w:color="auto"/>
        <w:bottom w:val="none" w:sz="0" w:space="0" w:color="auto"/>
        <w:right w:val="none" w:sz="0" w:space="0" w:color="auto"/>
      </w:divBdr>
    </w:div>
    <w:div w:id="313803897">
      <w:bodyDiv w:val="1"/>
      <w:marLeft w:val="0"/>
      <w:marRight w:val="0"/>
      <w:marTop w:val="0"/>
      <w:marBottom w:val="0"/>
      <w:divBdr>
        <w:top w:val="none" w:sz="0" w:space="0" w:color="auto"/>
        <w:left w:val="none" w:sz="0" w:space="0" w:color="auto"/>
        <w:bottom w:val="none" w:sz="0" w:space="0" w:color="auto"/>
        <w:right w:val="none" w:sz="0" w:space="0" w:color="auto"/>
      </w:divBdr>
    </w:div>
    <w:div w:id="315453383">
      <w:bodyDiv w:val="1"/>
      <w:marLeft w:val="0"/>
      <w:marRight w:val="0"/>
      <w:marTop w:val="0"/>
      <w:marBottom w:val="0"/>
      <w:divBdr>
        <w:top w:val="none" w:sz="0" w:space="0" w:color="auto"/>
        <w:left w:val="none" w:sz="0" w:space="0" w:color="auto"/>
        <w:bottom w:val="none" w:sz="0" w:space="0" w:color="auto"/>
        <w:right w:val="none" w:sz="0" w:space="0" w:color="auto"/>
      </w:divBdr>
    </w:div>
    <w:div w:id="315456121">
      <w:bodyDiv w:val="1"/>
      <w:marLeft w:val="0"/>
      <w:marRight w:val="0"/>
      <w:marTop w:val="0"/>
      <w:marBottom w:val="0"/>
      <w:divBdr>
        <w:top w:val="none" w:sz="0" w:space="0" w:color="auto"/>
        <w:left w:val="none" w:sz="0" w:space="0" w:color="auto"/>
        <w:bottom w:val="none" w:sz="0" w:space="0" w:color="auto"/>
        <w:right w:val="none" w:sz="0" w:space="0" w:color="auto"/>
      </w:divBdr>
    </w:div>
    <w:div w:id="323123254">
      <w:bodyDiv w:val="1"/>
      <w:marLeft w:val="0"/>
      <w:marRight w:val="0"/>
      <w:marTop w:val="0"/>
      <w:marBottom w:val="0"/>
      <w:divBdr>
        <w:top w:val="none" w:sz="0" w:space="0" w:color="auto"/>
        <w:left w:val="none" w:sz="0" w:space="0" w:color="auto"/>
        <w:bottom w:val="none" w:sz="0" w:space="0" w:color="auto"/>
        <w:right w:val="none" w:sz="0" w:space="0" w:color="auto"/>
      </w:divBdr>
    </w:div>
    <w:div w:id="325132600">
      <w:bodyDiv w:val="1"/>
      <w:marLeft w:val="0"/>
      <w:marRight w:val="0"/>
      <w:marTop w:val="0"/>
      <w:marBottom w:val="0"/>
      <w:divBdr>
        <w:top w:val="none" w:sz="0" w:space="0" w:color="auto"/>
        <w:left w:val="none" w:sz="0" w:space="0" w:color="auto"/>
        <w:bottom w:val="none" w:sz="0" w:space="0" w:color="auto"/>
        <w:right w:val="none" w:sz="0" w:space="0" w:color="auto"/>
      </w:divBdr>
    </w:div>
    <w:div w:id="326129254">
      <w:bodyDiv w:val="1"/>
      <w:marLeft w:val="0"/>
      <w:marRight w:val="0"/>
      <w:marTop w:val="0"/>
      <w:marBottom w:val="0"/>
      <w:divBdr>
        <w:top w:val="none" w:sz="0" w:space="0" w:color="auto"/>
        <w:left w:val="none" w:sz="0" w:space="0" w:color="auto"/>
        <w:bottom w:val="none" w:sz="0" w:space="0" w:color="auto"/>
        <w:right w:val="none" w:sz="0" w:space="0" w:color="auto"/>
      </w:divBdr>
    </w:div>
    <w:div w:id="330836631">
      <w:bodyDiv w:val="1"/>
      <w:marLeft w:val="0"/>
      <w:marRight w:val="0"/>
      <w:marTop w:val="0"/>
      <w:marBottom w:val="0"/>
      <w:divBdr>
        <w:top w:val="none" w:sz="0" w:space="0" w:color="auto"/>
        <w:left w:val="none" w:sz="0" w:space="0" w:color="auto"/>
        <w:bottom w:val="none" w:sz="0" w:space="0" w:color="auto"/>
        <w:right w:val="none" w:sz="0" w:space="0" w:color="auto"/>
      </w:divBdr>
    </w:div>
    <w:div w:id="332221179">
      <w:bodyDiv w:val="1"/>
      <w:marLeft w:val="0"/>
      <w:marRight w:val="0"/>
      <w:marTop w:val="0"/>
      <w:marBottom w:val="0"/>
      <w:divBdr>
        <w:top w:val="none" w:sz="0" w:space="0" w:color="auto"/>
        <w:left w:val="none" w:sz="0" w:space="0" w:color="auto"/>
        <w:bottom w:val="none" w:sz="0" w:space="0" w:color="auto"/>
        <w:right w:val="none" w:sz="0" w:space="0" w:color="auto"/>
      </w:divBdr>
    </w:div>
    <w:div w:id="334844492">
      <w:bodyDiv w:val="1"/>
      <w:marLeft w:val="0"/>
      <w:marRight w:val="0"/>
      <w:marTop w:val="0"/>
      <w:marBottom w:val="0"/>
      <w:divBdr>
        <w:top w:val="none" w:sz="0" w:space="0" w:color="auto"/>
        <w:left w:val="none" w:sz="0" w:space="0" w:color="auto"/>
        <w:bottom w:val="none" w:sz="0" w:space="0" w:color="auto"/>
        <w:right w:val="none" w:sz="0" w:space="0" w:color="auto"/>
      </w:divBdr>
    </w:div>
    <w:div w:id="335689994">
      <w:bodyDiv w:val="1"/>
      <w:marLeft w:val="0"/>
      <w:marRight w:val="0"/>
      <w:marTop w:val="0"/>
      <w:marBottom w:val="0"/>
      <w:divBdr>
        <w:top w:val="none" w:sz="0" w:space="0" w:color="auto"/>
        <w:left w:val="none" w:sz="0" w:space="0" w:color="auto"/>
        <w:bottom w:val="none" w:sz="0" w:space="0" w:color="auto"/>
        <w:right w:val="none" w:sz="0" w:space="0" w:color="auto"/>
      </w:divBdr>
    </w:div>
    <w:div w:id="337199891">
      <w:bodyDiv w:val="1"/>
      <w:marLeft w:val="0"/>
      <w:marRight w:val="0"/>
      <w:marTop w:val="0"/>
      <w:marBottom w:val="0"/>
      <w:divBdr>
        <w:top w:val="none" w:sz="0" w:space="0" w:color="auto"/>
        <w:left w:val="none" w:sz="0" w:space="0" w:color="auto"/>
        <w:bottom w:val="none" w:sz="0" w:space="0" w:color="auto"/>
        <w:right w:val="none" w:sz="0" w:space="0" w:color="auto"/>
      </w:divBdr>
    </w:div>
    <w:div w:id="337274134">
      <w:bodyDiv w:val="1"/>
      <w:marLeft w:val="0"/>
      <w:marRight w:val="0"/>
      <w:marTop w:val="0"/>
      <w:marBottom w:val="0"/>
      <w:divBdr>
        <w:top w:val="none" w:sz="0" w:space="0" w:color="auto"/>
        <w:left w:val="none" w:sz="0" w:space="0" w:color="auto"/>
        <w:bottom w:val="none" w:sz="0" w:space="0" w:color="auto"/>
        <w:right w:val="none" w:sz="0" w:space="0" w:color="auto"/>
      </w:divBdr>
    </w:div>
    <w:div w:id="341780252">
      <w:bodyDiv w:val="1"/>
      <w:marLeft w:val="0"/>
      <w:marRight w:val="0"/>
      <w:marTop w:val="0"/>
      <w:marBottom w:val="0"/>
      <w:divBdr>
        <w:top w:val="none" w:sz="0" w:space="0" w:color="auto"/>
        <w:left w:val="none" w:sz="0" w:space="0" w:color="auto"/>
        <w:bottom w:val="none" w:sz="0" w:space="0" w:color="auto"/>
        <w:right w:val="none" w:sz="0" w:space="0" w:color="auto"/>
      </w:divBdr>
    </w:div>
    <w:div w:id="343481178">
      <w:bodyDiv w:val="1"/>
      <w:marLeft w:val="0"/>
      <w:marRight w:val="0"/>
      <w:marTop w:val="0"/>
      <w:marBottom w:val="0"/>
      <w:divBdr>
        <w:top w:val="none" w:sz="0" w:space="0" w:color="auto"/>
        <w:left w:val="none" w:sz="0" w:space="0" w:color="auto"/>
        <w:bottom w:val="none" w:sz="0" w:space="0" w:color="auto"/>
        <w:right w:val="none" w:sz="0" w:space="0" w:color="auto"/>
      </w:divBdr>
    </w:div>
    <w:div w:id="343823650">
      <w:bodyDiv w:val="1"/>
      <w:marLeft w:val="0"/>
      <w:marRight w:val="0"/>
      <w:marTop w:val="0"/>
      <w:marBottom w:val="0"/>
      <w:divBdr>
        <w:top w:val="none" w:sz="0" w:space="0" w:color="auto"/>
        <w:left w:val="none" w:sz="0" w:space="0" w:color="auto"/>
        <w:bottom w:val="none" w:sz="0" w:space="0" w:color="auto"/>
        <w:right w:val="none" w:sz="0" w:space="0" w:color="auto"/>
      </w:divBdr>
    </w:div>
    <w:div w:id="345788891">
      <w:bodyDiv w:val="1"/>
      <w:marLeft w:val="0"/>
      <w:marRight w:val="0"/>
      <w:marTop w:val="0"/>
      <w:marBottom w:val="0"/>
      <w:divBdr>
        <w:top w:val="none" w:sz="0" w:space="0" w:color="auto"/>
        <w:left w:val="none" w:sz="0" w:space="0" w:color="auto"/>
        <w:bottom w:val="none" w:sz="0" w:space="0" w:color="auto"/>
        <w:right w:val="none" w:sz="0" w:space="0" w:color="auto"/>
      </w:divBdr>
    </w:div>
    <w:div w:id="347801658">
      <w:bodyDiv w:val="1"/>
      <w:marLeft w:val="0"/>
      <w:marRight w:val="0"/>
      <w:marTop w:val="0"/>
      <w:marBottom w:val="0"/>
      <w:divBdr>
        <w:top w:val="none" w:sz="0" w:space="0" w:color="auto"/>
        <w:left w:val="none" w:sz="0" w:space="0" w:color="auto"/>
        <w:bottom w:val="none" w:sz="0" w:space="0" w:color="auto"/>
        <w:right w:val="none" w:sz="0" w:space="0" w:color="auto"/>
      </w:divBdr>
    </w:div>
    <w:div w:id="349451439">
      <w:bodyDiv w:val="1"/>
      <w:marLeft w:val="0"/>
      <w:marRight w:val="0"/>
      <w:marTop w:val="0"/>
      <w:marBottom w:val="0"/>
      <w:divBdr>
        <w:top w:val="none" w:sz="0" w:space="0" w:color="auto"/>
        <w:left w:val="none" w:sz="0" w:space="0" w:color="auto"/>
        <w:bottom w:val="none" w:sz="0" w:space="0" w:color="auto"/>
        <w:right w:val="none" w:sz="0" w:space="0" w:color="auto"/>
      </w:divBdr>
    </w:div>
    <w:div w:id="352387773">
      <w:bodyDiv w:val="1"/>
      <w:marLeft w:val="0"/>
      <w:marRight w:val="0"/>
      <w:marTop w:val="0"/>
      <w:marBottom w:val="0"/>
      <w:divBdr>
        <w:top w:val="none" w:sz="0" w:space="0" w:color="auto"/>
        <w:left w:val="none" w:sz="0" w:space="0" w:color="auto"/>
        <w:bottom w:val="none" w:sz="0" w:space="0" w:color="auto"/>
        <w:right w:val="none" w:sz="0" w:space="0" w:color="auto"/>
      </w:divBdr>
    </w:div>
    <w:div w:id="355929546">
      <w:bodyDiv w:val="1"/>
      <w:marLeft w:val="0"/>
      <w:marRight w:val="0"/>
      <w:marTop w:val="0"/>
      <w:marBottom w:val="0"/>
      <w:divBdr>
        <w:top w:val="none" w:sz="0" w:space="0" w:color="auto"/>
        <w:left w:val="none" w:sz="0" w:space="0" w:color="auto"/>
        <w:bottom w:val="none" w:sz="0" w:space="0" w:color="auto"/>
        <w:right w:val="none" w:sz="0" w:space="0" w:color="auto"/>
      </w:divBdr>
    </w:div>
    <w:div w:id="357045559">
      <w:bodyDiv w:val="1"/>
      <w:marLeft w:val="0"/>
      <w:marRight w:val="0"/>
      <w:marTop w:val="0"/>
      <w:marBottom w:val="0"/>
      <w:divBdr>
        <w:top w:val="none" w:sz="0" w:space="0" w:color="auto"/>
        <w:left w:val="none" w:sz="0" w:space="0" w:color="auto"/>
        <w:bottom w:val="none" w:sz="0" w:space="0" w:color="auto"/>
        <w:right w:val="none" w:sz="0" w:space="0" w:color="auto"/>
      </w:divBdr>
    </w:div>
    <w:div w:id="360327643">
      <w:bodyDiv w:val="1"/>
      <w:marLeft w:val="0"/>
      <w:marRight w:val="0"/>
      <w:marTop w:val="0"/>
      <w:marBottom w:val="0"/>
      <w:divBdr>
        <w:top w:val="none" w:sz="0" w:space="0" w:color="auto"/>
        <w:left w:val="none" w:sz="0" w:space="0" w:color="auto"/>
        <w:bottom w:val="none" w:sz="0" w:space="0" w:color="auto"/>
        <w:right w:val="none" w:sz="0" w:space="0" w:color="auto"/>
      </w:divBdr>
    </w:div>
    <w:div w:id="361244806">
      <w:bodyDiv w:val="1"/>
      <w:marLeft w:val="0"/>
      <w:marRight w:val="0"/>
      <w:marTop w:val="0"/>
      <w:marBottom w:val="0"/>
      <w:divBdr>
        <w:top w:val="none" w:sz="0" w:space="0" w:color="auto"/>
        <w:left w:val="none" w:sz="0" w:space="0" w:color="auto"/>
        <w:bottom w:val="none" w:sz="0" w:space="0" w:color="auto"/>
        <w:right w:val="none" w:sz="0" w:space="0" w:color="auto"/>
      </w:divBdr>
    </w:div>
    <w:div w:id="363991899">
      <w:bodyDiv w:val="1"/>
      <w:marLeft w:val="0"/>
      <w:marRight w:val="0"/>
      <w:marTop w:val="0"/>
      <w:marBottom w:val="0"/>
      <w:divBdr>
        <w:top w:val="none" w:sz="0" w:space="0" w:color="auto"/>
        <w:left w:val="none" w:sz="0" w:space="0" w:color="auto"/>
        <w:bottom w:val="none" w:sz="0" w:space="0" w:color="auto"/>
        <w:right w:val="none" w:sz="0" w:space="0" w:color="auto"/>
      </w:divBdr>
    </w:div>
    <w:div w:id="368729572">
      <w:bodyDiv w:val="1"/>
      <w:marLeft w:val="0"/>
      <w:marRight w:val="0"/>
      <w:marTop w:val="0"/>
      <w:marBottom w:val="0"/>
      <w:divBdr>
        <w:top w:val="none" w:sz="0" w:space="0" w:color="auto"/>
        <w:left w:val="none" w:sz="0" w:space="0" w:color="auto"/>
        <w:bottom w:val="none" w:sz="0" w:space="0" w:color="auto"/>
        <w:right w:val="none" w:sz="0" w:space="0" w:color="auto"/>
      </w:divBdr>
    </w:div>
    <w:div w:id="373697262">
      <w:bodyDiv w:val="1"/>
      <w:marLeft w:val="0"/>
      <w:marRight w:val="0"/>
      <w:marTop w:val="0"/>
      <w:marBottom w:val="0"/>
      <w:divBdr>
        <w:top w:val="none" w:sz="0" w:space="0" w:color="auto"/>
        <w:left w:val="none" w:sz="0" w:space="0" w:color="auto"/>
        <w:bottom w:val="none" w:sz="0" w:space="0" w:color="auto"/>
        <w:right w:val="none" w:sz="0" w:space="0" w:color="auto"/>
      </w:divBdr>
    </w:div>
    <w:div w:id="373890449">
      <w:bodyDiv w:val="1"/>
      <w:marLeft w:val="0"/>
      <w:marRight w:val="0"/>
      <w:marTop w:val="0"/>
      <w:marBottom w:val="0"/>
      <w:divBdr>
        <w:top w:val="none" w:sz="0" w:space="0" w:color="auto"/>
        <w:left w:val="none" w:sz="0" w:space="0" w:color="auto"/>
        <w:bottom w:val="none" w:sz="0" w:space="0" w:color="auto"/>
        <w:right w:val="none" w:sz="0" w:space="0" w:color="auto"/>
      </w:divBdr>
    </w:div>
    <w:div w:id="374424850">
      <w:bodyDiv w:val="1"/>
      <w:marLeft w:val="0"/>
      <w:marRight w:val="0"/>
      <w:marTop w:val="0"/>
      <w:marBottom w:val="0"/>
      <w:divBdr>
        <w:top w:val="none" w:sz="0" w:space="0" w:color="auto"/>
        <w:left w:val="none" w:sz="0" w:space="0" w:color="auto"/>
        <w:bottom w:val="none" w:sz="0" w:space="0" w:color="auto"/>
        <w:right w:val="none" w:sz="0" w:space="0" w:color="auto"/>
      </w:divBdr>
    </w:div>
    <w:div w:id="374696215">
      <w:bodyDiv w:val="1"/>
      <w:marLeft w:val="0"/>
      <w:marRight w:val="0"/>
      <w:marTop w:val="0"/>
      <w:marBottom w:val="0"/>
      <w:divBdr>
        <w:top w:val="none" w:sz="0" w:space="0" w:color="auto"/>
        <w:left w:val="none" w:sz="0" w:space="0" w:color="auto"/>
        <w:bottom w:val="none" w:sz="0" w:space="0" w:color="auto"/>
        <w:right w:val="none" w:sz="0" w:space="0" w:color="auto"/>
      </w:divBdr>
    </w:div>
    <w:div w:id="376514968">
      <w:bodyDiv w:val="1"/>
      <w:marLeft w:val="0"/>
      <w:marRight w:val="0"/>
      <w:marTop w:val="0"/>
      <w:marBottom w:val="0"/>
      <w:divBdr>
        <w:top w:val="none" w:sz="0" w:space="0" w:color="auto"/>
        <w:left w:val="none" w:sz="0" w:space="0" w:color="auto"/>
        <w:bottom w:val="none" w:sz="0" w:space="0" w:color="auto"/>
        <w:right w:val="none" w:sz="0" w:space="0" w:color="auto"/>
      </w:divBdr>
    </w:div>
    <w:div w:id="380136441">
      <w:bodyDiv w:val="1"/>
      <w:marLeft w:val="0"/>
      <w:marRight w:val="0"/>
      <w:marTop w:val="0"/>
      <w:marBottom w:val="0"/>
      <w:divBdr>
        <w:top w:val="none" w:sz="0" w:space="0" w:color="auto"/>
        <w:left w:val="none" w:sz="0" w:space="0" w:color="auto"/>
        <w:bottom w:val="none" w:sz="0" w:space="0" w:color="auto"/>
        <w:right w:val="none" w:sz="0" w:space="0" w:color="auto"/>
      </w:divBdr>
    </w:div>
    <w:div w:id="384449456">
      <w:bodyDiv w:val="1"/>
      <w:marLeft w:val="0"/>
      <w:marRight w:val="0"/>
      <w:marTop w:val="0"/>
      <w:marBottom w:val="0"/>
      <w:divBdr>
        <w:top w:val="none" w:sz="0" w:space="0" w:color="auto"/>
        <w:left w:val="none" w:sz="0" w:space="0" w:color="auto"/>
        <w:bottom w:val="none" w:sz="0" w:space="0" w:color="auto"/>
        <w:right w:val="none" w:sz="0" w:space="0" w:color="auto"/>
      </w:divBdr>
    </w:div>
    <w:div w:id="389813797">
      <w:bodyDiv w:val="1"/>
      <w:marLeft w:val="0"/>
      <w:marRight w:val="0"/>
      <w:marTop w:val="0"/>
      <w:marBottom w:val="0"/>
      <w:divBdr>
        <w:top w:val="none" w:sz="0" w:space="0" w:color="auto"/>
        <w:left w:val="none" w:sz="0" w:space="0" w:color="auto"/>
        <w:bottom w:val="none" w:sz="0" w:space="0" w:color="auto"/>
        <w:right w:val="none" w:sz="0" w:space="0" w:color="auto"/>
      </w:divBdr>
    </w:div>
    <w:div w:id="391851906">
      <w:bodyDiv w:val="1"/>
      <w:marLeft w:val="0"/>
      <w:marRight w:val="0"/>
      <w:marTop w:val="0"/>
      <w:marBottom w:val="0"/>
      <w:divBdr>
        <w:top w:val="none" w:sz="0" w:space="0" w:color="auto"/>
        <w:left w:val="none" w:sz="0" w:space="0" w:color="auto"/>
        <w:bottom w:val="none" w:sz="0" w:space="0" w:color="auto"/>
        <w:right w:val="none" w:sz="0" w:space="0" w:color="auto"/>
      </w:divBdr>
    </w:div>
    <w:div w:id="392967586">
      <w:bodyDiv w:val="1"/>
      <w:marLeft w:val="0"/>
      <w:marRight w:val="0"/>
      <w:marTop w:val="0"/>
      <w:marBottom w:val="0"/>
      <w:divBdr>
        <w:top w:val="none" w:sz="0" w:space="0" w:color="auto"/>
        <w:left w:val="none" w:sz="0" w:space="0" w:color="auto"/>
        <w:bottom w:val="none" w:sz="0" w:space="0" w:color="auto"/>
        <w:right w:val="none" w:sz="0" w:space="0" w:color="auto"/>
      </w:divBdr>
    </w:div>
    <w:div w:id="406458466">
      <w:bodyDiv w:val="1"/>
      <w:marLeft w:val="0"/>
      <w:marRight w:val="0"/>
      <w:marTop w:val="0"/>
      <w:marBottom w:val="0"/>
      <w:divBdr>
        <w:top w:val="none" w:sz="0" w:space="0" w:color="auto"/>
        <w:left w:val="none" w:sz="0" w:space="0" w:color="auto"/>
        <w:bottom w:val="none" w:sz="0" w:space="0" w:color="auto"/>
        <w:right w:val="none" w:sz="0" w:space="0" w:color="auto"/>
      </w:divBdr>
    </w:div>
    <w:div w:id="407654363">
      <w:bodyDiv w:val="1"/>
      <w:marLeft w:val="0"/>
      <w:marRight w:val="0"/>
      <w:marTop w:val="0"/>
      <w:marBottom w:val="0"/>
      <w:divBdr>
        <w:top w:val="none" w:sz="0" w:space="0" w:color="auto"/>
        <w:left w:val="none" w:sz="0" w:space="0" w:color="auto"/>
        <w:bottom w:val="none" w:sz="0" w:space="0" w:color="auto"/>
        <w:right w:val="none" w:sz="0" w:space="0" w:color="auto"/>
      </w:divBdr>
    </w:div>
    <w:div w:id="409743176">
      <w:bodyDiv w:val="1"/>
      <w:marLeft w:val="0"/>
      <w:marRight w:val="0"/>
      <w:marTop w:val="0"/>
      <w:marBottom w:val="0"/>
      <w:divBdr>
        <w:top w:val="none" w:sz="0" w:space="0" w:color="auto"/>
        <w:left w:val="none" w:sz="0" w:space="0" w:color="auto"/>
        <w:bottom w:val="none" w:sz="0" w:space="0" w:color="auto"/>
        <w:right w:val="none" w:sz="0" w:space="0" w:color="auto"/>
      </w:divBdr>
    </w:div>
    <w:div w:id="411510974">
      <w:bodyDiv w:val="1"/>
      <w:marLeft w:val="0"/>
      <w:marRight w:val="0"/>
      <w:marTop w:val="0"/>
      <w:marBottom w:val="0"/>
      <w:divBdr>
        <w:top w:val="none" w:sz="0" w:space="0" w:color="auto"/>
        <w:left w:val="none" w:sz="0" w:space="0" w:color="auto"/>
        <w:bottom w:val="none" w:sz="0" w:space="0" w:color="auto"/>
        <w:right w:val="none" w:sz="0" w:space="0" w:color="auto"/>
      </w:divBdr>
    </w:div>
    <w:div w:id="415827511">
      <w:bodyDiv w:val="1"/>
      <w:marLeft w:val="0"/>
      <w:marRight w:val="0"/>
      <w:marTop w:val="0"/>
      <w:marBottom w:val="0"/>
      <w:divBdr>
        <w:top w:val="none" w:sz="0" w:space="0" w:color="auto"/>
        <w:left w:val="none" w:sz="0" w:space="0" w:color="auto"/>
        <w:bottom w:val="none" w:sz="0" w:space="0" w:color="auto"/>
        <w:right w:val="none" w:sz="0" w:space="0" w:color="auto"/>
      </w:divBdr>
    </w:div>
    <w:div w:id="418992172">
      <w:bodyDiv w:val="1"/>
      <w:marLeft w:val="0"/>
      <w:marRight w:val="0"/>
      <w:marTop w:val="0"/>
      <w:marBottom w:val="0"/>
      <w:divBdr>
        <w:top w:val="none" w:sz="0" w:space="0" w:color="auto"/>
        <w:left w:val="none" w:sz="0" w:space="0" w:color="auto"/>
        <w:bottom w:val="none" w:sz="0" w:space="0" w:color="auto"/>
        <w:right w:val="none" w:sz="0" w:space="0" w:color="auto"/>
      </w:divBdr>
    </w:div>
    <w:div w:id="419954810">
      <w:bodyDiv w:val="1"/>
      <w:marLeft w:val="0"/>
      <w:marRight w:val="0"/>
      <w:marTop w:val="0"/>
      <w:marBottom w:val="0"/>
      <w:divBdr>
        <w:top w:val="none" w:sz="0" w:space="0" w:color="auto"/>
        <w:left w:val="none" w:sz="0" w:space="0" w:color="auto"/>
        <w:bottom w:val="none" w:sz="0" w:space="0" w:color="auto"/>
        <w:right w:val="none" w:sz="0" w:space="0" w:color="auto"/>
      </w:divBdr>
    </w:div>
    <w:div w:id="422382380">
      <w:bodyDiv w:val="1"/>
      <w:marLeft w:val="0"/>
      <w:marRight w:val="0"/>
      <w:marTop w:val="0"/>
      <w:marBottom w:val="0"/>
      <w:divBdr>
        <w:top w:val="none" w:sz="0" w:space="0" w:color="auto"/>
        <w:left w:val="none" w:sz="0" w:space="0" w:color="auto"/>
        <w:bottom w:val="none" w:sz="0" w:space="0" w:color="auto"/>
        <w:right w:val="none" w:sz="0" w:space="0" w:color="auto"/>
      </w:divBdr>
    </w:div>
    <w:div w:id="423454725">
      <w:bodyDiv w:val="1"/>
      <w:marLeft w:val="0"/>
      <w:marRight w:val="0"/>
      <w:marTop w:val="0"/>
      <w:marBottom w:val="0"/>
      <w:divBdr>
        <w:top w:val="none" w:sz="0" w:space="0" w:color="auto"/>
        <w:left w:val="none" w:sz="0" w:space="0" w:color="auto"/>
        <w:bottom w:val="none" w:sz="0" w:space="0" w:color="auto"/>
        <w:right w:val="none" w:sz="0" w:space="0" w:color="auto"/>
      </w:divBdr>
    </w:div>
    <w:div w:id="426849730">
      <w:bodyDiv w:val="1"/>
      <w:marLeft w:val="0"/>
      <w:marRight w:val="0"/>
      <w:marTop w:val="0"/>
      <w:marBottom w:val="0"/>
      <w:divBdr>
        <w:top w:val="none" w:sz="0" w:space="0" w:color="auto"/>
        <w:left w:val="none" w:sz="0" w:space="0" w:color="auto"/>
        <w:bottom w:val="none" w:sz="0" w:space="0" w:color="auto"/>
        <w:right w:val="none" w:sz="0" w:space="0" w:color="auto"/>
      </w:divBdr>
    </w:div>
    <w:div w:id="427430050">
      <w:bodyDiv w:val="1"/>
      <w:marLeft w:val="0"/>
      <w:marRight w:val="0"/>
      <w:marTop w:val="0"/>
      <w:marBottom w:val="0"/>
      <w:divBdr>
        <w:top w:val="none" w:sz="0" w:space="0" w:color="auto"/>
        <w:left w:val="none" w:sz="0" w:space="0" w:color="auto"/>
        <w:bottom w:val="none" w:sz="0" w:space="0" w:color="auto"/>
        <w:right w:val="none" w:sz="0" w:space="0" w:color="auto"/>
      </w:divBdr>
    </w:div>
    <w:div w:id="431320502">
      <w:bodyDiv w:val="1"/>
      <w:marLeft w:val="0"/>
      <w:marRight w:val="0"/>
      <w:marTop w:val="0"/>
      <w:marBottom w:val="0"/>
      <w:divBdr>
        <w:top w:val="none" w:sz="0" w:space="0" w:color="auto"/>
        <w:left w:val="none" w:sz="0" w:space="0" w:color="auto"/>
        <w:bottom w:val="none" w:sz="0" w:space="0" w:color="auto"/>
        <w:right w:val="none" w:sz="0" w:space="0" w:color="auto"/>
      </w:divBdr>
    </w:div>
    <w:div w:id="432946232">
      <w:bodyDiv w:val="1"/>
      <w:marLeft w:val="0"/>
      <w:marRight w:val="0"/>
      <w:marTop w:val="0"/>
      <w:marBottom w:val="0"/>
      <w:divBdr>
        <w:top w:val="none" w:sz="0" w:space="0" w:color="auto"/>
        <w:left w:val="none" w:sz="0" w:space="0" w:color="auto"/>
        <w:bottom w:val="none" w:sz="0" w:space="0" w:color="auto"/>
        <w:right w:val="none" w:sz="0" w:space="0" w:color="auto"/>
      </w:divBdr>
    </w:div>
    <w:div w:id="435097213">
      <w:bodyDiv w:val="1"/>
      <w:marLeft w:val="0"/>
      <w:marRight w:val="0"/>
      <w:marTop w:val="0"/>
      <w:marBottom w:val="0"/>
      <w:divBdr>
        <w:top w:val="none" w:sz="0" w:space="0" w:color="auto"/>
        <w:left w:val="none" w:sz="0" w:space="0" w:color="auto"/>
        <w:bottom w:val="none" w:sz="0" w:space="0" w:color="auto"/>
        <w:right w:val="none" w:sz="0" w:space="0" w:color="auto"/>
      </w:divBdr>
    </w:div>
    <w:div w:id="437678190">
      <w:bodyDiv w:val="1"/>
      <w:marLeft w:val="0"/>
      <w:marRight w:val="0"/>
      <w:marTop w:val="0"/>
      <w:marBottom w:val="0"/>
      <w:divBdr>
        <w:top w:val="none" w:sz="0" w:space="0" w:color="auto"/>
        <w:left w:val="none" w:sz="0" w:space="0" w:color="auto"/>
        <w:bottom w:val="none" w:sz="0" w:space="0" w:color="auto"/>
        <w:right w:val="none" w:sz="0" w:space="0" w:color="auto"/>
      </w:divBdr>
    </w:div>
    <w:div w:id="438108575">
      <w:bodyDiv w:val="1"/>
      <w:marLeft w:val="0"/>
      <w:marRight w:val="0"/>
      <w:marTop w:val="0"/>
      <w:marBottom w:val="0"/>
      <w:divBdr>
        <w:top w:val="none" w:sz="0" w:space="0" w:color="auto"/>
        <w:left w:val="none" w:sz="0" w:space="0" w:color="auto"/>
        <w:bottom w:val="none" w:sz="0" w:space="0" w:color="auto"/>
        <w:right w:val="none" w:sz="0" w:space="0" w:color="auto"/>
      </w:divBdr>
    </w:div>
    <w:div w:id="439182845">
      <w:bodyDiv w:val="1"/>
      <w:marLeft w:val="0"/>
      <w:marRight w:val="0"/>
      <w:marTop w:val="0"/>
      <w:marBottom w:val="0"/>
      <w:divBdr>
        <w:top w:val="none" w:sz="0" w:space="0" w:color="auto"/>
        <w:left w:val="none" w:sz="0" w:space="0" w:color="auto"/>
        <w:bottom w:val="none" w:sz="0" w:space="0" w:color="auto"/>
        <w:right w:val="none" w:sz="0" w:space="0" w:color="auto"/>
      </w:divBdr>
    </w:div>
    <w:div w:id="441654707">
      <w:bodyDiv w:val="1"/>
      <w:marLeft w:val="0"/>
      <w:marRight w:val="0"/>
      <w:marTop w:val="0"/>
      <w:marBottom w:val="0"/>
      <w:divBdr>
        <w:top w:val="none" w:sz="0" w:space="0" w:color="auto"/>
        <w:left w:val="none" w:sz="0" w:space="0" w:color="auto"/>
        <w:bottom w:val="none" w:sz="0" w:space="0" w:color="auto"/>
        <w:right w:val="none" w:sz="0" w:space="0" w:color="auto"/>
      </w:divBdr>
    </w:div>
    <w:div w:id="444622894">
      <w:bodyDiv w:val="1"/>
      <w:marLeft w:val="0"/>
      <w:marRight w:val="0"/>
      <w:marTop w:val="0"/>
      <w:marBottom w:val="0"/>
      <w:divBdr>
        <w:top w:val="none" w:sz="0" w:space="0" w:color="auto"/>
        <w:left w:val="none" w:sz="0" w:space="0" w:color="auto"/>
        <w:bottom w:val="none" w:sz="0" w:space="0" w:color="auto"/>
        <w:right w:val="none" w:sz="0" w:space="0" w:color="auto"/>
      </w:divBdr>
    </w:div>
    <w:div w:id="445003197">
      <w:bodyDiv w:val="1"/>
      <w:marLeft w:val="0"/>
      <w:marRight w:val="0"/>
      <w:marTop w:val="0"/>
      <w:marBottom w:val="0"/>
      <w:divBdr>
        <w:top w:val="none" w:sz="0" w:space="0" w:color="auto"/>
        <w:left w:val="none" w:sz="0" w:space="0" w:color="auto"/>
        <w:bottom w:val="none" w:sz="0" w:space="0" w:color="auto"/>
        <w:right w:val="none" w:sz="0" w:space="0" w:color="auto"/>
      </w:divBdr>
    </w:div>
    <w:div w:id="447890537">
      <w:bodyDiv w:val="1"/>
      <w:marLeft w:val="0"/>
      <w:marRight w:val="0"/>
      <w:marTop w:val="0"/>
      <w:marBottom w:val="0"/>
      <w:divBdr>
        <w:top w:val="none" w:sz="0" w:space="0" w:color="auto"/>
        <w:left w:val="none" w:sz="0" w:space="0" w:color="auto"/>
        <w:bottom w:val="none" w:sz="0" w:space="0" w:color="auto"/>
        <w:right w:val="none" w:sz="0" w:space="0" w:color="auto"/>
      </w:divBdr>
    </w:div>
    <w:div w:id="450825556">
      <w:bodyDiv w:val="1"/>
      <w:marLeft w:val="0"/>
      <w:marRight w:val="0"/>
      <w:marTop w:val="0"/>
      <w:marBottom w:val="0"/>
      <w:divBdr>
        <w:top w:val="none" w:sz="0" w:space="0" w:color="auto"/>
        <w:left w:val="none" w:sz="0" w:space="0" w:color="auto"/>
        <w:bottom w:val="none" w:sz="0" w:space="0" w:color="auto"/>
        <w:right w:val="none" w:sz="0" w:space="0" w:color="auto"/>
      </w:divBdr>
    </w:div>
    <w:div w:id="451293828">
      <w:bodyDiv w:val="1"/>
      <w:marLeft w:val="0"/>
      <w:marRight w:val="0"/>
      <w:marTop w:val="0"/>
      <w:marBottom w:val="0"/>
      <w:divBdr>
        <w:top w:val="none" w:sz="0" w:space="0" w:color="auto"/>
        <w:left w:val="none" w:sz="0" w:space="0" w:color="auto"/>
        <w:bottom w:val="none" w:sz="0" w:space="0" w:color="auto"/>
        <w:right w:val="none" w:sz="0" w:space="0" w:color="auto"/>
      </w:divBdr>
    </w:div>
    <w:div w:id="452670261">
      <w:bodyDiv w:val="1"/>
      <w:marLeft w:val="0"/>
      <w:marRight w:val="0"/>
      <w:marTop w:val="0"/>
      <w:marBottom w:val="0"/>
      <w:divBdr>
        <w:top w:val="none" w:sz="0" w:space="0" w:color="auto"/>
        <w:left w:val="none" w:sz="0" w:space="0" w:color="auto"/>
        <w:bottom w:val="none" w:sz="0" w:space="0" w:color="auto"/>
        <w:right w:val="none" w:sz="0" w:space="0" w:color="auto"/>
      </w:divBdr>
    </w:div>
    <w:div w:id="459147627">
      <w:bodyDiv w:val="1"/>
      <w:marLeft w:val="0"/>
      <w:marRight w:val="0"/>
      <w:marTop w:val="0"/>
      <w:marBottom w:val="0"/>
      <w:divBdr>
        <w:top w:val="none" w:sz="0" w:space="0" w:color="auto"/>
        <w:left w:val="none" w:sz="0" w:space="0" w:color="auto"/>
        <w:bottom w:val="none" w:sz="0" w:space="0" w:color="auto"/>
        <w:right w:val="none" w:sz="0" w:space="0" w:color="auto"/>
      </w:divBdr>
    </w:div>
    <w:div w:id="459808244">
      <w:bodyDiv w:val="1"/>
      <w:marLeft w:val="0"/>
      <w:marRight w:val="0"/>
      <w:marTop w:val="0"/>
      <w:marBottom w:val="0"/>
      <w:divBdr>
        <w:top w:val="none" w:sz="0" w:space="0" w:color="auto"/>
        <w:left w:val="none" w:sz="0" w:space="0" w:color="auto"/>
        <w:bottom w:val="none" w:sz="0" w:space="0" w:color="auto"/>
        <w:right w:val="none" w:sz="0" w:space="0" w:color="auto"/>
      </w:divBdr>
    </w:div>
    <w:div w:id="464735088">
      <w:bodyDiv w:val="1"/>
      <w:marLeft w:val="0"/>
      <w:marRight w:val="0"/>
      <w:marTop w:val="0"/>
      <w:marBottom w:val="0"/>
      <w:divBdr>
        <w:top w:val="none" w:sz="0" w:space="0" w:color="auto"/>
        <w:left w:val="none" w:sz="0" w:space="0" w:color="auto"/>
        <w:bottom w:val="none" w:sz="0" w:space="0" w:color="auto"/>
        <w:right w:val="none" w:sz="0" w:space="0" w:color="auto"/>
      </w:divBdr>
    </w:div>
    <w:div w:id="470490045">
      <w:bodyDiv w:val="1"/>
      <w:marLeft w:val="0"/>
      <w:marRight w:val="0"/>
      <w:marTop w:val="0"/>
      <w:marBottom w:val="0"/>
      <w:divBdr>
        <w:top w:val="none" w:sz="0" w:space="0" w:color="auto"/>
        <w:left w:val="none" w:sz="0" w:space="0" w:color="auto"/>
        <w:bottom w:val="none" w:sz="0" w:space="0" w:color="auto"/>
        <w:right w:val="none" w:sz="0" w:space="0" w:color="auto"/>
      </w:divBdr>
    </w:div>
    <w:div w:id="471866774">
      <w:bodyDiv w:val="1"/>
      <w:marLeft w:val="0"/>
      <w:marRight w:val="0"/>
      <w:marTop w:val="0"/>
      <w:marBottom w:val="0"/>
      <w:divBdr>
        <w:top w:val="none" w:sz="0" w:space="0" w:color="auto"/>
        <w:left w:val="none" w:sz="0" w:space="0" w:color="auto"/>
        <w:bottom w:val="none" w:sz="0" w:space="0" w:color="auto"/>
        <w:right w:val="none" w:sz="0" w:space="0" w:color="auto"/>
      </w:divBdr>
    </w:div>
    <w:div w:id="471873419">
      <w:bodyDiv w:val="1"/>
      <w:marLeft w:val="0"/>
      <w:marRight w:val="0"/>
      <w:marTop w:val="0"/>
      <w:marBottom w:val="0"/>
      <w:divBdr>
        <w:top w:val="none" w:sz="0" w:space="0" w:color="auto"/>
        <w:left w:val="none" w:sz="0" w:space="0" w:color="auto"/>
        <w:bottom w:val="none" w:sz="0" w:space="0" w:color="auto"/>
        <w:right w:val="none" w:sz="0" w:space="0" w:color="auto"/>
      </w:divBdr>
    </w:div>
    <w:div w:id="475924425">
      <w:bodyDiv w:val="1"/>
      <w:marLeft w:val="0"/>
      <w:marRight w:val="0"/>
      <w:marTop w:val="0"/>
      <w:marBottom w:val="0"/>
      <w:divBdr>
        <w:top w:val="none" w:sz="0" w:space="0" w:color="auto"/>
        <w:left w:val="none" w:sz="0" w:space="0" w:color="auto"/>
        <w:bottom w:val="none" w:sz="0" w:space="0" w:color="auto"/>
        <w:right w:val="none" w:sz="0" w:space="0" w:color="auto"/>
      </w:divBdr>
    </w:div>
    <w:div w:id="477963873">
      <w:bodyDiv w:val="1"/>
      <w:marLeft w:val="0"/>
      <w:marRight w:val="0"/>
      <w:marTop w:val="0"/>
      <w:marBottom w:val="0"/>
      <w:divBdr>
        <w:top w:val="none" w:sz="0" w:space="0" w:color="auto"/>
        <w:left w:val="none" w:sz="0" w:space="0" w:color="auto"/>
        <w:bottom w:val="none" w:sz="0" w:space="0" w:color="auto"/>
        <w:right w:val="none" w:sz="0" w:space="0" w:color="auto"/>
      </w:divBdr>
    </w:div>
    <w:div w:id="480003685">
      <w:bodyDiv w:val="1"/>
      <w:marLeft w:val="0"/>
      <w:marRight w:val="0"/>
      <w:marTop w:val="0"/>
      <w:marBottom w:val="0"/>
      <w:divBdr>
        <w:top w:val="none" w:sz="0" w:space="0" w:color="auto"/>
        <w:left w:val="none" w:sz="0" w:space="0" w:color="auto"/>
        <w:bottom w:val="none" w:sz="0" w:space="0" w:color="auto"/>
        <w:right w:val="none" w:sz="0" w:space="0" w:color="auto"/>
      </w:divBdr>
    </w:div>
    <w:div w:id="480778137">
      <w:bodyDiv w:val="1"/>
      <w:marLeft w:val="0"/>
      <w:marRight w:val="0"/>
      <w:marTop w:val="0"/>
      <w:marBottom w:val="0"/>
      <w:divBdr>
        <w:top w:val="none" w:sz="0" w:space="0" w:color="auto"/>
        <w:left w:val="none" w:sz="0" w:space="0" w:color="auto"/>
        <w:bottom w:val="none" w:sz="0" w:space="0" w:color="auto"/>
        <w:right w:val="none" w:sz="0" w:space="0" w:color="auto"/>
      </w:divBdr>
    </w:div>
    <w:div w:id="485707268">
      <w:bodyDiv w:val="1"/>
      <w:marLeft w:val="0"/>
      <w:marRight w:val="0"/>
      <w:marTop w:val="0"/>
      <w:marBottom w:val="0"/>
      <w:divBdr>
        <w:top w:val="none" w:sz="0" w:space="0" w:color="auto"/>
        <w:left w:val="none" w:sz="0" w:space="0" w:color="auto"/>
        <w:bottom w:val="none" w:sz="0" w:space="0" w:color="auto"/>
        <w:right w:val="none" w:sz="0" w:space="0" w:color="auto"/>
      </w:divBdr>
    </w:div>
    <w:div w:id="487981908">
      <w:bodyDiv w:val="1"/>
      <w:marLeft w:val="0"/>
      <w:marRight w:val="0"/>
      <w:marTop w:val="0"/>
      <w:marBottom w:val="0"/>
      <w:divBdr>
        <w:top w:val="none" w:sz="0" w:space="0" w:color="auto"/>
        <w:left w:val="none" w:sz="0" w:space="0" w:color="auto"/>
        <w:bottom w:val="none" w:sz="0" w:space="0" w:color="auto"/>
        <w:right w:val="none" w:sz="0" w:space="0" w:color="auto"/>
      </w:divBdr>
    </w:div>
    <w:div w:id="488132880">
      <w:bodyDiv w:val="1"/>
      <w:marLeft w:val="0"/>
      <w:marRight w:val="0"/>
      <w:marTop w:val="0"/>
      <w:marBottom w:val="0"/>
      <w:divBdr>
        <w:top w:val="none" w:sz="0" w:space="0" w:color="auto"/>
        <w:left w:val="none" w:sz="0" w:space="0" w:color="auto"/>
        <w:bottom w:val="none" w:sz="0" w:space="0" w:color="auto"/>
        <w:right w:val="none" w:sz="0" w:space="0" w:color="auto"/>
      </w:divBdr>
    </w:div>
    <w:div w:id="490754581">
      <w:bodyDiv w:val="1"/>
      <w:marLeft w:val="0"/>
      <w:marRight w:val="0"/>
      <w:marTop w:val="0"/>
      <w:marBottom w:val="0"/>
      <w:divBdr>
        <w:top w:val="none" w:sz="0" w:space="0" w:color="auto"/>
        <w:left w:val="none" w:sz="0" w:space="0" w:color="auto"/>
        <w:bottom w:val="none" w:sz="0" w:space="0" w:color="auto"/>
        <w:right w:val="none" w:sz="0" w:space="0" w:color="auto"/>
      </w:divBdr>
    </w:div>
    <w:div w:id="495610307">
      <w:bodyDiv w:val="1"/>
      <w:marLeft w:val="0"/>
      <w:marRight w:val="0"/>
      <w:marTop w:val="0"/>
      <w:marBottom w:val="0"/>
      <w:divBdr>
        <w:top w:val="none" w:sz="0" w:space="0" w:color="auto"/>
        <w:left w:val="none" w:sz="0" w:space="0" w:color="auto"/>
        <w:bottom w:val="none" w:sz="0" w:space="0" w:color="auto"/>
        <w:right w:val="none" w:sz="0" w:space="0" w:color="auto"/>
      </w:divBdr>
    </w:div>
    <w:div w:id="496581955">
      <w:bodyDiv w:val="1"/>
      <w:marLeft w:val="0"/>
      <w:marRight w:val="0"/>
      <w:marTop w:val="0"/>
      <w:marBottom w:val="0"/>
      <w:divBdr>
        <w:top w:val="none" w:sz="0" w:space="0" w:color="auto"/>
        <w:left w:val="none" w:sz="0" w:space="0" w:color="auto"/>
        <w:bottom w:val="none" w:sz="0" w:space="0" w:color="auto"/>
        <w:right w:val="none" w:sz="0" w:space="0" w:color="auto"/>
      </w:divBdr>
    </w:div>
    <w:div w:id="498010384">
      <w:bodyDiv w:val="1"/>
      <w:marLeft w:val="0"/>
      <w:marRight w:val="0"/>
      <w:marTop w:val="0"/>
      <w:marBottom w:val="0"/>
      <w:divBdr>
        <w:top w:val="none" w:sz="0" w:space="0" w:color="auto"/>
        <w:left w:val="none" w:sz="0" w:space="0" w:color="auto"/>
        <w:bottom w:val="none" w:sz="0" w:space="0" w:color="auto"/>
        <w:right w:val="none" w:sz="0" w:space="0" w:color="auto"/>
      </w:divBdr>
    </w:div>
    <w:div w:id="501511411">
      <w:bodyDiv w:val="1"/>
      <w:marLeft w:val="0"/>
      <w:marRight w:val="0"/>
      <w:marTop w:val="0"/>
      <w:marBottom w:val="0"/>
      <w:divBdr>
        <w:top w:val="none" w:sz="0" w:space="0" w:color="auto"/>
        <w:left w:val="none" w:sz="0" w:space="0" w:color="auto"/>
        <w:bottom w:val="none" w:sz="0" w:space="0" w:color="auto"/>
        <w:right w:val="none" w:sz="0" w:space="0" w:color="auto"/>
      </w:divBdr>
    </w:div>
    <w:div w:id="508644043">
      <w:bodyDiv w:val="1"/>
      <w:marLeft w:val="0"/>
      <w:marRight w:val="0"/>
      <w:marTop w:val="0"/>
      <w:marBottom w:val="0"/>
      <w:divBdr>
        <w:top w:val="none" w:sz="0" w:space="0" w:color="auto"/>
        <w:left w:val="none" w:sz="0" w:space="0" w:color="auto"/>
        <w:bottom w:val="none" w:sz="0" w:space="0" w:color="auto"/>
        <w:right w:val="none" w:sz="0" w:space="0" w:color="auto"/>
      </w:divBdr>
    </w:div>
    <w:div w:id="512767601">
      <w:bodyDiv w:val="1"/>
      <w:marLeft w:val="0"/>
      <w:marRight w:val="0"/>
      <w:marTop w:val="0"/>
      <w:marBottom w:val="0"/>
      <w:divBdr>
        <w:top w:val="none" w:sz="0" w:space="0" w:color="auto"/>
        <w:left w:val="none" w:sz="0" w:space="0" w:color="auto"/>
        <w:bottom w:val="none" w:sz="0" w:space="0" w:color="auto"/>
        <w:right w:val="none" w:sz="0" w:space="0" w:color="auto"/>
      </w:divBdr>
    </w:div>
    <w:div w:id="514223883">
      <w:bodyDiv w:val="1"/>
      <w:marLeft w:val="0"/>
      <w:marRight w:val="0"/>
      <w:marTop w:val="0"/>
      <w:marBottom w:val="0"/>
      <w:divBdr>
        <w:top w:val="none" w:sz="0" w:space="0" w:color="auto"/>
        <w:left w:val="none" w:sz="0" w:space="0" w:color="auto"/>
        <w:bottom w:val="none" w:sz="0" w:space="0" w:color="auto"/>
        <w:right w:val="none" w:sz="0" w:space="0" w:color="auto"/>
      </w:divBdr>
    </w:div>
    <w:div w:id="519201275">
      <w:bodyDiv w:val="1"/>
      <w:marLeft w:val="0"/>
      <w:marRight w:val="0"/>
      <w:marTop w:val="0"/>
      <w:marBottom w:val="0"/>
      <w:divBdr>
        <w:top w:val="none" w:sz="0" w:space="0" w:color="auto"/>
        <w:left w:val="none" w:sz="0" w:space="0" w:color="auto"/>
        <w:bottom w:val="none" w:sz="0" w:space="0" w:color="auto"/>
        <w:right w:val="none" w:sz="0" w:space="0" w:color="auto"/>
      </w:divBdr>
    </w:div>
    <w:div w:id="519703440">
      <w:bodyDiv w:val="1"/>
      <w:marLeft w:val="0"/>
      <w:marRight w:val="0"/>
      <w:marTop w:val="0"/>
      <w:marBottom w:val="0"/>
      <w:divBdr>
        <w:top w:val="none" w:sz="0" w:space="0" w:color="auto"/>
        <w:left w:val="none" w:sz="0" w:space="0" w:color="auto"/>
        <w:bottom w:val="none" w:sz="0" w:space="0" w:color="auto"/>
        <w:right w:val="none" w:sz="0" w:space="0" w:color="auto"/>
      </w:divBdr>
    </w:div>
    <w:div w:id="522522812">
      <w:bodyDiv w:val="1"/>
      <w:marLeft w:val="0"/>
      <w:marRight w:val="0"/>
      <w:marTop w:val="0"/>
      <w:marBottom w:val="0"/>
      <w:divBdr>
        <w:top w:val="none" w:sz="0" w:space="0" w:color="auto"/>
        <w:left w:val="none" w:sz="0" w:space="0" w:color="auto"/>
        <w:bottom w:val="none" w:sz="0" w:space="0" w:color="auto"/>
        <w:right w:val="none" w:sz="0" w:space="0" w:color="auto"/>
      </w:divBdr>
    </w:div>
    <w:div w:id="523978747">
      <w:bodyDiv w:val="1"/>
      <w:marLeft w:val="0"/>
      <w:marRight w:val="0"/>
      <w:marTop w:val="0"/>
      <w:marBottom w:val="0"/>
      <w:divBdr>
        <w:top w:val="none" w:sz="0" w:space="0" w:color="auto"/>
        <w:left w:val="none" w:sz="0" w:space="0" w:color="auto"/>
        <w:bottom w:val="none" w:sz="0" w:space="0" w:color="auto"/>
        <w:right w:val="none" w:sz="0" w:space="0" w:color="auto"/>
      </w:divBdr>
    </w:div>
    <w:div w:id="524753518">
      <w:bodyDiv w:val="1"/>
      <w:marLeft w:val="0"/>
      <w:marRight w:val="0"/>
      <w:marTop w:val="0"/>
      <w:marBottom w:val="0"/>
      <w:divBdr>
        <w:top w:val="none" w:sz="0" w:space="0" w:color="auto"/>
        <w:left w:val="none" w:sz="0" w:space="0" w:color="auto"/>
        <w:bottom w:val="none" w:sz="0" w:space="0" w:color="auto"/>
        <w:right w:val="none" w:sz="0" w:space="0" w:color="auto"/>
      </w:divBdr>
    </w:div>
    <w:div w:id="527597335">
      <w:bodyDiv w:val="1"/>
      <w:marLeft w:val="0"/>
      <w:marRight w:val="0"/>
      <w:marTop w:val="0"/>
      <w:marBottom w:val="0"/>
      <w:divBdr>
        <w:top w:val="none" w:sz="0" w:space="0" w:color="auto"/>
        <w:left w:val="none" w:sz="0" w:space="0" w:color="auto"/>
        <w:bottom w:val="none" w:sz="0" w:space="0" w:color="auto"/>
        <w:right w:val="none" w:sz="0" w:space="0" w:color="auto"/>
      </w:divBdr>
    </w:div>
    <w:div w:id="528765983">
      <w:bodyDiv w:val="1"/>
      <w:marLeft w:val="0"/>
      <w:marRight w:val="0"/>
      <w:marTop w:val="0"/>
      <w:marBottom w:val="0"/>
      <w:divBdr>
        <w:top w:val="none" w:sz="0" w:space="0" w:color="auto"/>
        <w:left w:val="none" w:sz="0" w:space="0" w:color="auto"/>
        <w:bottom w:val="none" w:sz="0" w:space="0" w:color="auto"/>
        <w:right w:val="none" w:sz="0" w:space="0" w:color="auto"/>
      </w:divBdr>
    </w:div>
    <w:div w:id="543520011">
      <w:bodyDiv w:val="1"/>
      <w:marLeft w:val="0"/>
      <w:marRight w:val="0"/>
      <w:marTop w:val="0"/>
      <w:marBottom w:val="0"/>
      <w:divBdr>
        <w:top w:val="none" w:sz="0" w:space="0" w:color="auto"/>
        <w:left w:val="none" w:sz="0" w:space="0" w:color="auto"/>
        <w:bottom w:val="none" w:sz="0" w:space="0" w:color="auto"/>
        <w:right w:val="none" w:sz="0" w:space="0" w:color="auto"/>
      </w:divBdr>
    </w:div>
    <w:div w:id="546642921">
      <w:bodyDiv w:val="1"/>
      <w:marLeft w:val="0"/>
      <w:marRight w:val="0"/>
      <w:marTop w:val="0"/>
      <w:marBottom w:val="0"/>
      <w:divBdr>
        <w:top w:val="none" w:sz="0" w:space="0" w:color="auto"/>
        <w:left w:val="none" w:sz="0" w:space="0" w:color="auto"/>
        <w:bottom w:val="none" w:sz="0" w:space="0" w:color="auto"/>
        <w:right w:val="none" w:sz="0" w:space="0" w:color="auto"/>
      </w:divBdr>
    </w:div>
    <w:div w:id="547495904">
      <w:bodyDiv w:val="1"/>
      <w:marLeft w:val="0"/>
      <w:marRight w:val="0"/>
      <w:marTop w:val="0"/>
      <w:marBottom w:val="0"/>
      <w:divBdr>
        <w:top w:val="none" w:sz="0" w:space="0" w:color="auto"/>
        <w:left w:val="none" w:sz="0" w:space="0" w:color="auto"/>
        <w:bottom w:val="none" w:sz="0" w:space="0" w:color="auto"/>
        <w:right w:val="none" w:sz="0" w:space="0" w:color="auto"/>
      </w:divBdr>
    </w:div>
    <w:div w:id="550533633">
      <w:bodyDiv w:val="1"/>
      <w:marLeft w:val="0"/>
      <w:marRight w:val="0"/>
      <w:marTop w:val="0"/>
      <w:marBottom w:val="0"/>
      <w:divBdr>
        <w:top w:val="none" w:sz="0" w:space="0" w:color="auto"/>
        <w:left w:val="none" w:sz="0" w:space="0" w:color="auto"/>
        <w:bottom w:val="none" w:sz="0" w:space="0" w:color="auto"/>
        <w:right w:val="none" w:sz="0" w:space="0" w:color="auto"/>
      </w:divBdr>
    </w:div>
    <w:div w:id="551186991">
      <w:bodyDiv w:val="1"/>
      <w:marLeft w:val="0"/>
      <w:marRight w:val="0"/>
      <w:marTop w:val="0"/>
      <w:marBottom w:val="0"/>
      <w:divBdr>
        <w:top w:val="none" w:sz="0" w:space="0" w:color="auto"/>
        <w:left w:val="none" w:sz="0" w:space="0" w:color="auto"/>
        <w:bottom w:val="none" w:sz="0" w:space="0" w:color="auto"/>
        <w:right w:val="none" w:sz="0" w:space="0" w:color="auto"/>
      </w:divBdr>
    </w:div>
    <w:div w:id="555434259">
      <w:bodyDiv w:val="1"/>
      <w:marLeft w:val="0"/>
      <w:marRight w:val="0"/>
      <w:marTop w:val="0"/>
      <w:marBottom w:val="0"/>
      <w:divBdr>
        <w:top w:val="none" w:sz="0" w:space="0" w:color="auto"/>
        <w:left w:val="none" w:sz="0" w:space="0" w:color="auto"/>
        <w:bottom w:val="none" w:sz="0" w:space="0" w:color="auto"/>
        <w:right w:val="none" w:sz="0" w:space="0" w:color="auto"/>
      </w:divBdr>
    </w:div>
    <w:div w:id="562182813">
      <w:bodyDiv w:val="1"/>
      <w:marLeft w:val="0"/>
      <w:marRight w:val="0"/>
      <w:marTop w:val="0"/>
      <w:marBottom w:val="0"/>
      <w:divBdr>
        <w:top w:val="none" w:sz="0" w:space="0" w:color="auto"/>
        <w:left w:val="none" w:sz="0" w:space="0" w:color="auto"/>
        <w:bottom w:val="none" w:sz="0" w:space="0" w:color="auto"/>
        <w:right w:val="none" w:sz="0" w:space="0" w:color="auto"/>
      </w:divBdr>
    </w:div>
    <w:div w:id="563104235">
      <w:bodyDiv w:val="1"/>
      <w:marLeft w:val="0"/>
      <w:marRight w:val="0"/>
      <w:marTop w:val="0"/>
      <w:marBottom w:val="0"/>
      <w:divBdr>
        <w:top w:val="none" w:sz="0" w:space="0" w:color="auto"/>
        <w:left w:val="none" w:sz="0" w:space="0" w:color="auto"/>
        <w:bottom w:val="none" w:sz="0" w:space="0" w:color="auto"/>
        <w:right w:val="none" w:sz="0" w:space="0" w:color="auto"/>
      </w:divBdr>
    </w:div>
    <w:div w:id="564023187">
      <w:bodyDiv w:val="1"/>
      <w:marLeft w:val="0"/>
      <w:marRight w:val="0"/>
      <w:marTop w:val="0"/>
      <w:marBottom w:val="0"/>
      <w:divBdr>
        <w:top w:val="none" w:sz="0" w:space="0" w:color="auto"/>
        <w:left w:val="none" w:sz="0" w:space="0" w:color="auto"/>
        <w:bottom w:val="none" w:sz="0" w:space="0" w:color="auto"/>
        <w:right w:val="none" w:sz="0" w:space="0" w:color="auto"/>
      </w:divBdr>
    </w:div>
    <w:div w:id="564293266">
      <w:bodyDiv w:val="1"/>
      <w:marLeft w:val="0"/>
      <w:marRight w:val="0"/>
      <w:marTop w:val="0"/>
      <w:marBottom w:val="0"/>
      <w:divBdr>
        <w:top w:val="none" w:sz="0" w:space="0" w:color="auto"/>
        <w:left w:val="none" w:sz="0" w:space="0" w:color="auto"/>
        <w:bottom w:val="none" w:sz="0" w:space="0" w:color="auto"/>
        <w:right w:val="none" w:sz="0" w:space="0" w:color="auto"/>
      </w:divBdr>
    </w:div>
    <w:div w:id="570702562">
      <w:bodyDiv w:val="1"/>
      <w:marLeft w:val="0"/>
      <w:marRight w:val="0"/>
      <w:marTop w:val="0"/>
      <w:marBottom w:val="0"/>
      <w:divBdr>
        <w:top w:val="none" w:sz="0" w:space="0" w:color="auto"/>
        <w:left w:val="none" w:sz="0" w:space="0" w:color="auto"/>
        <w:bottom w:val="none" w:sz="0" w:space="0" w:color="auto"/>
        <w:right w:val="none" w:sz="0" w:space="0" w:color="auto"/>
      </w:divBdr>
    </w:div>
    <w:div w:id="574554573">
      <w:bodyDiv w:val="1"/>
      <w:marLeft w:val="0"/>
      <w:marRight w:val="0"/>
      <w:marTop w:val="0"/>
      <w:marBottom w:val="0"/>
      <w:divBdr>
        <w:top w:val="none" w:sz="0" w:space="0" w:color="auto"/>
        <w:left w:val="none" w:sz="0" w:space="0" w:color="auto"/>
        <w:bottom w:val="none" w:sz="0" w:space="0" w:color="auto"/>
        <w:right w:val="none" w:sz="0" w:space="0" w:color="auto"/>
      </w:divBdr>
    </w:div>
    <w:div w:id="576475470">
      <w:bodyDiv w:val="1"/>
      <w:marLeft w:val="0"/>
      <w:marRight w:val="0"/>
      <w:marTop w:val="0"/>
      <w:marBottom w:val="0"/>
      <w:divBdr>
        <w:top w:val="none" w:sz="0" w:space="0" w:color="auto"/>
        <w:left w:val="none" w:sz="0" w:space="0" w:color="auto"/>
        <w:bottom w:val="none" w:sz="0" w:space="0" w:color="auto"/>
        <w:right w:val="none" w:sz="0" w:space="0" w:color="auto"/>
      </w:divBdr>
    </w:div>
    <w:div w:id="579024443">
      <w:bodyDiv w:val="1"/>
      <w:marLeft w:val="0"/>
      <w:marRight w:val="0"/>
      <w:marTop w:val="0"/>
      <w:marBottom w:val="0"/>
      <w:divBdr>
        <w:top w:val="none" w:sz="0" w:space="0" w:color="auto"/>
        <w:left w:val="none" w:sz="0" w:space="0" w:color="auto"/>
        <w:bottom w:val="none" w:sz="0" w:space="0" w:color="auto"/>
        <w:right w:val="none" w:sz="0" w:space="0" w:color="auto"/>
      </w:divBdr>
    </w:div>
    <w:div w:id="580724762">
      <w:bodyDiv w:val="1"/>
      <w:marLeft w:val="0"/>
      <w:marRight w:val="0"/>
      <w:marTop w:val="0"/>
      <w:marBottom w:val="0"/>
      <w:divBdr>
        <w:top w:val="none" w:sz="0" w:space="0" w:color="auto"/>
        <w:left w:val="none" w:sz="0" w:space="0" w:color="auto"/>
        <w:bottom w:val="none" w:sz="0" w:space="0" w:color="auto"/>
        <w:right w:val="none" w:sz="0" w:space="0" w:color="auto"/>
      </w:divBdr>
    </w:div>
    <w:div w:id="581530049">
      <w:bodyDiv w:val="1"/>
      <w:marLeft w:val="0"/>
      <w:marRight w:val="0"/>
      <w:marTop w:val="0"/>
      <w:marBottom w:val="0"/>
      <w:divBdr>
        <w:top w:val="none" w:sz="0" w:space="0" w:color="auto"/>
        <w:left w:val="none" w:sz="0" w:space="0" w:color="auto"/>
        <w:bottom w:val="none" w:sz="0" w:space="0" w:color="auto"/>
        <w:right w:val="none" w:sz="0" w:space="0" w:color="auto"/>
      </w:divBdr>
    </w:div>
    <w:div w:id="587033168">
      <w:bodyDiv w:val="1"/>
      <w:marLeft w:val="0"/>
      <w:marRight w:val="0"/>
      <w:marTop w:val="0"/>
      <w:marBottom w:val="0"/>
      <w:divBdr>
        <w:top w:val="none" w:sz="0" w:space="0" w:color="auto"/>
        <w:left w:val="none" w:sz="0" w:space="0" w:color="auto"/>
        <w:bottom w:val="none" w:sz="0" w:space="0" w:color="auto"/>
        <w:right w:val="none" w:sz="0" w:space="0" w:color="auto"/>
      </w:divBdr>
    </w:div>
    <w:div w:id="588198704">
      <w:bodyDiv w:val="1"/>
      <w:marLeft w:val="0"/>
      <w:marRight w:val="0"/>
      <w:marTop w:val="0"/>
      <w:marBottom w:val="0"/>
      <w:divBdr>
        <w:top w:val="none" w:sz="0" w:space="0" w:color="auto"/>
        <w:left w:val="none" w:sz="0" w:space="0" w:color="auto"/>
        <w:bottom w:val="none" w:sz="0" w:space="0" w:color="auto"/>
        <w:right w:val="none" w:sz="0" w:space="0" w:color="auto"/>
      </w:divBdr>
    </w:div>
    <w:div w:id="590045056">
      <w:bodyDiv w:val="1"/>
      <w:marLeft w:val="0"/>
      <w:marRight w:val="0"/>
      <w:marTop w:val="0"/>
      <w:marBottom w:val="0"/>
      <w:divBdr>
        <w:top w:val="none" w:sz="0" w:space="0" w:color="auto"/>
        <w:left w:val="none" w:sz="0" w:space="0" w:color="auto"/>
        <w:bottom w:val="none" w:sz="0" w:space="0" w:color="auto"/>
        <w:right w:val="none" w:sz="0" w:space="0" w:color="auto"/>
      </w:divBdr>
    </w:div>
    <w:div w:id="595215816">
      <w:bodyDiv w:val="1"/>
      <w:marLeft w:val="0"/>
      <w:marRight w:val="0"/>
      <w:marTop w:val="0"/>
      <w:marBottom w:val="0"/>
      <w:divBdr>
        <w:top w:val="none" w:sz="0" w:space="0" w:color="auto"/>
        <w:left w:val="none" w:sz="0" w:space="0" w:color="auto"/>
        <w:bottom w:val="none" w:sz="0" w:space="0" w:color="auto"/>
        <w:right w:val="none" w:sz="0" w:space="0" w:color="auto"/>
      </w:divBdr>
    </w:div>
    <w:div w:id="606540499">
      <w:bodyDiv w:val="1"/>
      <w:marLeft w:val="0"/>
      <w:marRight w:val="0"/>
      <w:marTop w:val="0"/>
      <w:marBottom w:val="0"/>
      <w:divBdr>
        <w:top w:val="none" w:sz="0" w:space="0" w:color="auto"/>
        <w:left w:val="none" w:sz="0" w:space="0" w:color="auto"/>
        <w:bottom w:val="none" w:sz="0" w:space="0" w:color="auto"/>
        <w:right w:val="none" w:sz="0" w:space="0" w:color="auto"/>
      </w:divBdr>
    </w:div>
    <w:div w:id="607196554">
      <w:bodyDiv w:val="1"/>
      <w:marLeft w:val="0"/>
      <w:marRight w:val="0"/>
      <w:marTop w:val="0"/>
      <w:marBottom w:val="0"/>
      <w:divBdr>
        <w:top w:val="none" w:sz="0" w:space="0" w:color="auto"/>
        <w:left w:val="none" w:sz="0" w:space="0" w:color="auto"/>
        <w:bottom w:val="none" w:sz="0" w:space="0" w:color="auto"/>
        <w:right w:val="none" w:sz="0" w:space="0" w:color="auto"/>
      </w:divBdr>
    </w:div>
    <w:div w:id="608389989">
      <w:bodyDiv w:val="1"/>
      <w:marLeft w:val="0"/>
      <w:marRight w:val="0"/>
      <w:marTop w:val="0"/>
      <w:marBottom w:val="0"/>
      <w:divBdr>
        <w:top w:val="none" w:sz="0" w:space="0" w:color="auto"/>
        <w:left w:val="none" w:sz="0" w:space="0" w:color="auto"/>
        <w:bottom w:val="none" w:sz="0" w:space="0" w:color="auto"/>
        <w:right w:val="none" w:sz="0" w:space="0" w:color="auto"/>
      </w:divBdr>
    </w:div>
    <w:div w:id="610476056">
      <w:bodyDiv w:val="1"/>
      <w:marLeft w:val="0"/>
      <w:marRight w:val="0"/>
      <w:marTop w:val="0"/>
      <w:marBottom w:val="0"/>
      <w:divBdr>
        <w:top w:val="none" w:sz="0" w:space="0" w:color="auto"/>
        <w:left w:val="none" w:sz="0" w:space="0" w:color="auto"/>
        <w:bottom w:val="none" w:sz="0" w:space="0" w:color="auto"/>
        <w:right w:val="none" w:sz="0" w:space="0" w:color="auto"/>
      </w:divBdr>
    </w:div>
    <w:div w:id="611135781">
      <w:bodyDiv w:val="1"/>
      <w:marLeft w:val="0"/>
      <w:marRight w:val="0"/>
      <w:marTop w:val="0"/>
      <w:marBottom w:val="0"/>
      <w:divBdr>
        <w:top w:val="none" w:sz="0" w:space="0" w:color="auto"/>
        <w:left w:val="none" w:sz="0" w:space="0" w:color="auto"/>
        <w:bottom w:val="none" w:sz="0" w:space="0" w:color="auto"/>
        <w:right w:val="none" w:sz="0" w:space="0" w:color="auto"/>
      </w:divBdr>
    </w:div>
    <w:div w:id="611278853">
      <w:bodyDiv w:val="1"/>
      <w:marLeft w:val="0"/>
      <w:marRight w:val="0"/>
      <w:marTop w:val="0"/>
      <w:marBottom w:val="0"/>
      <w:divBdr>
        <w:top w:val="none" w:sz="0" w:space="0" w:color="auto"/>
        <w:left w:val="none" w:sz="0" w:space="0" w:color="auto"/>
        <w:bottom w:val="none" w:sz="0" w:space="0" w:color="auto"/>
        <w:right w:val="none" w:sz="0" w:space="0" w:color="auto"/>
      </w:divBdr>
    </w:div>
    <w:div w:id="612636904">
      <w:bodyDiv w:val="1"/>
      <w:marLeft w:val="0"/>
      <w:marRight w:val="0"/>
      <w:marTop w:val="0"/>
      <w:marBottom w:val="0"/>
      <w:divBdr>
        <w:top w:val="none" w:sz="0" w:space="0" w:color="auto"/>
        <w:left w:val="none" w:sz="0" w:space="0" w:color="auto"/>
        <w:bottom w:val="none" w:sz="0" w:space="0" w:color="auto"/>
        <w:right w:val="none" w:sz="0" w:space="0" w:color="auto"/>
      </w:divBdr>
    </w:div>
    <w:div w:id="613948112">
      <w:bodyDiv w:val="1"/>
      <w:marLeft w:val="0"/>
      <w:marRight w:val="0"/>
      <w:marTop w:val="0"/>
      <w:marBottom w:val="0"/>
      <w:divBdr>
        <w:top w:val="none" w:sz="0" w:space="0" w:color="auto"/>
        <w:left w:val="none" w:sz="0" w:space="0" w:color="auto"/>
        <w:bottom w:val="none" w:sz="0" w:space="0" w:color="auto"/>
        <w:right w:val="none" w:sz="0" w:space="0" w:color="auto"/>
      </w:divBdr>
    </w:div>
    <w:div w:id="614363721">
      <w:bodyDiv w:val="1"/>
      <w:marLeft w:val="0"/>
      <w:marRight w:val="0"/>
      <w:marTop w:val="0"/>
      <w:marBottom w:val="0"/>
      <w:divBdr>
        <w:top w:val="none" w:sz="0" w:space="0" w:color="auto"/>
        <w:left w:val="none" w:sz="0" w:space="0" w:color="auto"/>
        <w:bottom w:val="none" w:sz="0" w:space="0" w:color="auto"/>
        <w:right w:val="none" w:sz="0" w:space="0" w:color="auto"/>
      </w:divBdr>
    </w:div>
    <w:div w:id="620112037">
      <w:bodyDiv w:val="1"/>
      <w:marLeft w:val="0"/>
      <w:marRight w:val="0"/>
      <w:marTop w:val="0"/>
      <w:marBottom w:val="0"/>
      <w:divBdr>
        <w:top w:val="none" w:sz="0" w:space="0" w:color="auto"/>
        <w:left w:val="none" w:sz="0" w:space="0" w:color="auto"/>
        <w:bottom w:val="none" w:sz="0" w:space="0" w:color="auto"/>
        <w:right w:val="none" w:sz="0" w:space="0" w:color="auto"/>
      </w:divBdr>
    </w:div>
    <w:div w:id="624895095">
      <w:bodyDiv w:val="1"/>
      <w:marLeft w:val="0"/>
      <w:marRight w:val="0"/>
      <w:marTop w:val="0"/>
      <w:marBottom w:val="0"/>
      <w:divBdr>
        <w:top w:val="none" w:sz="0" w:space="0" w:color="auto"/>
        <w:left w:val="none" w:sz="0" w:space="0" w:color="auto"/>
        <w:bottom w:val="none" w:sz="0" w:space="0" w:color="auto"/>
        <w:right w:val="none" w:sz="0" w:space="0" w:color="auto"/>
      </w:divBdr>
    </w:div>
    <w:div w:id="625433395">
      <w:bodyDiv w:val="1"/>
      <w:marLeft w:val="0"/>
      <w:marRight w:val="0"/>
      <w:marTop w:val="0"/>
      <w:marBottom w:val="0"/>
      <w:divBdr>
        <w:top w:val="none" w:sz="0" w:space="0" w:color="auto"/>
        <w:left w:val="none" w:sz="0" w:space="0" w:color="auto"/>
        <w:bottom w:val="none" w:sz="0" w:space="0" w:color="auto"/>
        <w:right w:val="none" w:sz="0" w:space="0" w:color="auto"/>
      </w:divBdr>
    </w:div>
    <w:div w:id="627510666">
      <w:bodyDiv w:val="1"/>
      <w:marLeft w:val="0"/>
      <w:marRight w:val="0"/>
      <w:marTop w:val="0"/>
      <w:marBottom w:val="0"/>
      <w:divBdr>
        <w:top w:val="none" w:sz="0" w:space="0" w:color="auto"/>
        <w:left w:val="none" w:sz="0" w:space="0" w:color="auto"/>
        <w:bottom w:val="none" w:sz="0" w:space="0" w:color="auto"/>
        <w:right w:val="none" w:sz="0" w:space="0" w:color="auto"/>
      </w:divBdr>
    </w:div>
    <w:div w:id="634264685">
      <w:bodyDiv w:val="1"/>
      <w:marLeft w:val="0"/>
      <w:marRight w:val="0"/>
      <w:marTop w:val="0"/>
      <w:marBottom w:val="0"/>
      <w:divBdr>
        <w:top w:val="none" w:sz="0" w:space="0" w:color="auto"/>
        <w:left w:val="none" w:sz="0" w:space="0" w:color="auto"/>
        <w:bottom w:val="none" w:sz="0" w:space="0" w:color="auto"/>
        <w:right w:val="none" w:sz="0" w:space="0" w:color="auto"/>
      </w:divBdr>
    </w:div>
    <w:div w:id="635378157">
      <w:bodyDiv w:val="1"/>
      <w:marLeft w:val="0"/>
      <w:marRight w:val="0"/>
      <w:marTop w:val="0"/>
      <w:marBottom w:val="0"/>
      <w:divBdr>
        <w:top w:val="none" w:sz="0" w:space="0" w:color="auto"/>
        <w:left w:val="none" w:sz="0" w:space="0" w:color="auto"/>
        <w:bottom w:val="none" w:sz="0" w:space="0" w:color="auto"/>
        <w:right w:val="none" w:sz="0" w:space="0" w:color="auto"/>
      </w:divBdr>
    </w:div>
    <w:div w:id="635910455">
      <w:bodyDiv w:val="1"/>
      <w:marLeft w:val="0"/>
      <w:marRight w:val="0"/>
      <w:marTop w:val="0"/>
      <w:marBottom w:val="0"/>
      <w:divBdr>
        <w:top w:val="none" w:sz="0" w:space="0" w:color="auto"/>
        <w:left w:val="none" w:sz="0" w:space="0" w:color="auto"/>
        <w:bottom w:val="none" w:sz="0" w:space="0" w:color="auto"/>
        <w:right w:val="none" w:sz="0" w:space="0" w:color="auto"/>
      </w:divBdr>
    </w:div>
    <w:div w:id="637297877">
      <w:bodyDiv w:val="1"/>
      <w:marLeft w:val="0"/>
      <w:marRight w:val="0"/>
      <w:marTop w:val="0"/>
      <w:marBottom w:val="0"/>
      <w:divBdr>
        <w:top w:val="none" w:sz="0" w:space="0" w:color="auto"/>
        <w:left w:val="none" w:sz="0" w:space="0" w:color="auto"/>
        <w:bottom w:val="none" w:sz="0" w:space="0" w:color="auto"/>
        <w:right w:val="none" w:sz="0" w:space="0" w:color="auto"/>
      </w:divBdr>
    </w:div>
    <w:div w:id="638075481">
      <w:bodyDiv w:val="1"/>
      <w:marLeft w:val="0"/>
      <w:marRight w:val="0"/>
      <w:marTop w:val="0"/>
      <w:marBottom w:val="0"/>
      <w:divBdr>
        <w:top w:val="none" w:sz="0" w:space="0" w:color="auto"/>
        <w:left w:val="none" w:sz="0" w:space="0" w:color="auto"/>
        <w:bottom w:val="none" w:sz="0" w:space="0" w:color="auto"/>
        <w:right w:val="none" w:sz="0" w:space="0" w:color="auto"/>
      </w:divBdr>
    </w:div>
    <w:div w:id="641349302">
      <w:bodyDiv w:val="1"/>
      <w:marLeft w:val="0"/>
      <w:marRight w:val="0"/>
      <w:marTop w:val="0"/>
      <w:marBottom w:val="0"/>
      <w:divBdr>
        <w:top w:val="none" w:sz="0" w:space="0" w:color="auto"/>
        <w:left w:val="none" w:sz="0" w:space="0" w:color="auto"/>
        <w:bottom w:val="none" w:sz="0" w:space="0" w:color="auto"/>
        <w:right w:val="none" w:sz="0" w:space="0" w:color="auto"/>
      </w:divBdr>
    </w:div>
    <w:div w:id="643778544">
      <w:bodyDiv w:val="1"/>
      <w:marLeft w:val="0"/>
      <w:marRight w:val="0"/>
      <w:marTop w:val="0"/>
      <w:marBottom w:val="0"/>
      <w:divBdr>
        <w:top w:val="none" w:sz="0" w:space="0" w:color="auto"/>
        <w:left w:val="none" w:sz="0" w:space="0" w:color="auto"/>
        <w:bottom w:val="none" w:sz="0" w:space="0" w:color="auto"/>
        <w:right w:val="none" w:sz="0" w:space="0" w:color="auto"/>
      </w:divBdr>
    </w:div>
    <w:div w:id="645007940">
      <w:bodyDiv w:val="1"/>
      <w:marLeft w:val="0"/>
      <w:marRight w:val="0"/>
      <w:marTop w:val="0"/>
      <w:marBottom w:val="0"/>
      <w:divBdr>
        <w:top w:val="none" w:sz="0" w:space="0" w:color="auto"/>
        <w:left w:val="none" w:sz="0" w:space="0" w:color="auto"/>
        <w:bottom w:val="none" w:sz="0" w:space="0" w:color="auto"/>
        <w:right w:val="none" w:sz="0" w:space="0" w:color="auto"/>
      </w:divBdr>
    </w:div>
    <w:div w:id="650137553">
      <w:bodyDiv w:val="1"/>
      <w:marLeft w:val="0"/>
      <w:marRight w:val="0"/>
      <w:marTop w:val="0"/>
      <w:marBottom w:val="0"/>
      <w:divBdr>
        <w:top w:val="none" w:sz="0" w:space="0" w:color="auto"/>
        <w:left w:val="none" w:sz="0" w:space="0" w:color="auto"/>
        <w:bottom w:val="none" w:sz="0" w:space="0" w:color="auto"/>
        <w:right w:val="none" w:sz="0" w:space="0" w:color="auto"/>
      </w:divBdr>
    </w:div>
    <w:div w:id="652491487">
      <w:bodyDiv w:val="1"/>
      <w:marLeft w:val="0"/>
      <w:marRight w:val="0"/>
      <w:marTop w:val="0"/>
      <w:marBottom w:val="0"/>
      <w:divBdr>
        <w:top w:val="none" w:sz="0" w:space="0" w:color="auto"/>
        <w:left w:val="none" w:sz="0" w:space="0" w:color="auto"/>
        <w:bottom w:val="none" w:sz="0" w:space="0" w:color="auto"/>
        <w:right w:val="none" w:sz="0" w:space="0" w:color="auto"/>
      </w:divBdr>
    </w:div>
    <w:div w:id="655576127">
      <w:bodyDiv w:val="1"/>
      <w:marLeft w:val="0"/>
      <w:marRight w:val="0"/>
      <w:marTop w:val="0"/>
      <w:marBottom w:val="0"/>
      <w:divBdr>
        <w:top w:val="none" w:sz="0" w:space="0" w:color="auto"/>
        <w:left w:val="none" w:sz="0" w:space="0" w:color="auto"/>
        <w:bottom w:val="none" w:sz="0" w:space="0" w:color="auto"/>
        <w:right w:val="none" w:sz="0" w:space="0" w:color="auto"/>
      </w:divBdr>
    </w:div>
    <w:div w:id="657998802">
      <w:bodyDiv w:val="1"/>
      <w:marLeft w:val="0"/>
      <w:marRight w:val="0"/>
      <w:marTop w:val="0"/>
      <w:marBottom w:val="0"/>
      <w:divBdr>
        <w:top w:val="none" w:sz="0" w:space="0" w:color="auto"/>
        <w:left w:val="none" w:sz="0" w:space="0" w:color="auto"/>
        <w:bottom w:val="none" w:sz="0" w:space="0" w:color="auto"/>
        <w:right w:val="none" w:sz="0" w:space="0" w:color="auto"/>
      </w:divBdr>
    </w:div>
    <w:div w:id="667177934">
      <w:bodyDiv w:val="1"/>
      <w:marLeft w:val="0"/>
      <w:marRight w:val="0"/>
      <w:marTop w:val="0"/>
      <w:marBottom w:val="0"/>
      <w:divBdr>
        <w:top w:val="none" w:sz="0" w:space="0" w:color="auto"/>
        <w:left w:val="none" w:sz="0" w:space="0" w:color="auto"/>
        <w:bottom w:val="none" w:sz="0" w:space="0" w:color="auto"/>
        <w:right w:val="none" w:sz="0" w:space="0" w:color="auto"/>
      </w:divBdr>
    </w:div>
    <w:div w:id="667901830">
      <w:bodyDiv w:val="1"/>
      <w:marLeft w:val="0"/>
      <w:marRight w:val="0"/>
      <w:marTop w:val="0"/>
      <w:marBottom w:val="0"/>
      <w:divBdr>
        <w:top w:val="none" w:sz="0" w:space="0" w:color="auto"/>
        <w:left w:val="none" w:sz="0" w:space="0" w:color="auto"/>
        <w:bottom w:val="none" w:sz="0" w:space="0" w:color="auto"/>
        <w:right w:val="none" w:sz="0" w:space="0" w:color="auto"/>
      </w:divBdr>
    </w:div>
    <w:div w:id="675619018">
      <w:bodyDiv w:val="1"/>
      <w:marLeft w:val="0"/>
      <w:marRight w:val="0"/>
      <w:marTop w:val="0"/>
      <w:marBottom w:val="0"/>
      <w:divBdr>
        <w:top w:val="none" w:sz="0" w:space="0" w:color="auto"/>
        <w:left w:val="none" w:sz="0" w:space="0" w:color="auto"/>
        <w:bottom w:val="none" w:sz="0" w:space="0" w:color="auto"/>
        <w:right w:val="none" w:sz="0" w:space="0" w:color="auto"/>
      </w:divBdr>
    </w:div>
    <w:div w:id="675959882">
      <w:bodyDiv w:val="1"/>
      <w:marLeft w:val="0"/>
      <w:marRight w:val="0"/>
      <w:marTop w:val="0"/>
      <w:marBottom w:val="0"/>
      <w:divBdr>
        <w:top w:val="none" w:sz="0" w:space="0" w:color="auto"/>
        <w:left w:val="none" w:sz="0" w:space="0" w:color="auto"/>
        <w:bottom w:val="none" w:sz="0" w:space="0" w:color="auto"/>
        <w:right w:val="none" w:sz="0" w:space="0" w:color="auto"/>
      </w:divBdr>
    </w:div>
    <w:div w:id="676469998">
      <w:bodyDiv w:val="1"/>
      <w:marLeft w:val="0"/>
      <w:marRight w:val="0"/>
      <w:marTop w:val="0"/>
      <w:marBottom w:val="0"/>
      <w:divBdr>
        <w:top w:val="none" w:sz="0" w:space="0" w:color="auto"/>
        <w:left w:val="none" w:sz="0" w:space="0" w:color="auto"/>
        <w:bottom w:val="none" w:sz="0" w:space="0" w:color="auto"/>
        <w:right w:val="none" w:sz="0" w:space="0" w:color="auto"/>
      </w:divBdr>
    </w:div>
    <w:div w:id="680158415">
      <w:bodyDiv w:val="1"/>
      <w:marLeft w:val="0"/>
      <w:marRight w:val="0"/>
      <w:marTop w:val="0"/>
      <w:marBottom w:val="0"/>
      <w:divBdr>
        <w:top w:val="none" w:sz="0" w:space="0" w:color="auto"/>
        <w:left w:val="none" w:sz="0" w:space="0" w:color="auto"/>
        <w:bottom w:val="none" w:sz="0" w:space="0" w:color="auto"/>
        <w:right w:val="none" w:sz="0" w:space="0" w:color="auto"/>
      </w:divBdr>
    </w:div>
    <w:div w:id="698044327">
      <w:bodyDiv w:val="1"/>
      <w:marLeft w:val="0"/>
      <w:marRight w:val="0"/>
      <w:marTop w:val="0"/>
      <w:marBottom w:val="0"/>
      <w:divBdr>
        <w:top w:val="none" w:sz="0" w:space="0" w:color="auto"/>
        <w:left w:val="none" w:sz="0" w:space="0" w:color="auto"/>
        <w:bottom w:val="none" w:sz="0" w:space="0" w:color="auto"/>
        <w:right w:val="none" w:sz="0" w:space="0" w:color="auto"/>
      </w:divBdr>
    </w:div>
    <w:div w:id="699478438">
      <w:bodyDiv w:val="1"/>
      <w:marLeft w:val="0"/>
      <w:marRight w:val="0"/>
      <w:marTop w:val="0"/>
      <w:marBottom w:val="0"/>
      <w:divBdr>
        <w:top w:val="none" w:sz="0" w:space="0" w:color="auto"/>
        <w:left w:val="none" w:sz="0" w:space="0" w:color="auto"/>
        <w:bottom w:val="none" w:sz="0" w:space="0" w:color="auto"/>
        <w:right w:val="none" w:sz="0" w:space="0" w:color="auto"/>
      </w:divBdr>
    </w:div>
    <w:div w:id="709694480">
      <w:bodyDiv w:val="1"/>
      <w:marLeft w:val="0"/>
      <w:marRight w:val="0"/>
      <w:marTop w:val="0"/>
      <w:marBottom w:val="0"/>
      <w:divBdr>
        <w:top w:val="none" w:sz="0" w:space="0" w:color="auto"/>
        <w:left w:val="none" w:sz="0" w:space="0" w:color="auto"/>
        <w:bottom w:val="none" w:sz="0" w:space="0" w:color="auto"/>
        <w:right w:val="none" w:sz="0" w:space="0" w:color="auto"/>
      </w:divBdr>
    </w:div>
    <w:div w:id="716785700">
      <w:bodyDiv w:val="1"/>
      <w:marLeft w:val="0"/>
      <w:marRight w:val="0"/>
      <w:marTop w:val="0"/>
      <w:marBottom w:val="0"/>
      <w:divBdr>
        <w:top w:val="none" w:sz="0" w:space="0" w:color="auto"/>
        <w:left w:val="none" w:sz="0" w:space="0" w:color="auto"/>
        <w:bottom w:val="none" w:sz="0" w:space="0" w:color="auto"/>
        <w:right w:val="none" w:sz="0" w:space="0" w:color="auto"/>
      </w:divBdr>
    </w:div>
    <w:div w:id="718674548">
      <w:bodyDiv w:val="1"/>
      <w:marLeft w:val="0"/>
      <w:marRight w:val="0"/>
      <w:marTop w:val="0"/>
      <w:marBottom w:val="0"/>
      <w:divBdr>
        <w:top w:val="none" w:sz="0" w:space="0" w:color="auto"/>
        <w:left w:val="none" w:sz="0" w:space="0" w:color="auto"/>
        <w:bottom w:val="none" w:sz="0" w:space="0" w:color="auto"/>
        <w:right w:val="none" w:sz="0" w:space="0" w:color="auto"/>
      </w:divBdr>
    </w:div>
    <w:div w:id="719404754">
      <w:bodyDiv w:val="1"/>
      <w:marLeft w:val="0"/>
      <w:marRight w:val="0"/>
      <w:marTop w:val="0"/>
      <w:marBottom w:val="0"/>
      <w:divBdr>
        <w:top w:val="none" w:sz="0" w:space="0" w:color="auto"/>
        <w:left w:val="none" w:sz="0" w:space="0" w:color="auto"/>
        <w:bottom w:val="none" w:sz="0" w:space="0" w:color="auto"/>
        <w:right w:val="none" w:sz="0" w:space="0" w:color="auto"/>
      </w:divBdr>
    </w:div>
    <w:div w:id="720638960">
      <w:bodyDiv w:val="1"/>
      <w:marLeft w:val="0"/>
      <w:marRight w:val="0"/>
      <w:marTop w:val="0"/>
      <w:marBottom w:val="0"/>
      <w:divBdr>
        <w:top w:val="none" w:sz="0" w:space="0" w:color="auto"/>
        <w:left w:val="none" w:sz="0" w:space="0" w:color="auto"/>
        <w:bottom w:val="none" w:sz="0" w:space="0" w:color="auto"/>
        <w:right w:val="none" w:sz="0" w:space="0" w:color="auto"/>
      </w:divBdr>
    </w:div>
    <w:div w:id="721095551">
      <w:bodyDiv w:val="1"/>
      <w:marLeft w:val="0"/>
      <w:marRight w:val="0"/>
      <w:marTop w:val="0"/>
      <w:marBottom w:val="0"/>
      <w:divBdr>
        <w:top w:val="none" w:sz="0" w:space="0" w:color="auto"/>
        <w:left w:val="none" w:sz="0" w:space="0" w:color="auto"/>
        <w:bottom w:val="none" w:sz="0" w:space="0" w:color="auto"/>
        <w:right w:val="none" w:sz="0" w:space="0" w:color="auto"/>
      </w:divBdr>
    </w:div>
    <w:div w:id="726609915">
      <w:bodyDiv w:val="1"/>
      <w:marLeft w:val="0"/>
      <w:marRight w:val="0"/>
      <w:marTop w:val="0"/>
      <w:marBottom w:val="0"/>
      <w:divBdr>
        <w:top w:val="none" w:sz="0" w:space="0" w:color="auto"/>
        <w:left w:val="none" w:sz="0" w:space="0" w:color="auto"/>
        <w:bottom w:val="none" w:sz="0" w:space="0" w:color="auto"/>
        <w:right w:val="none" w:sz="0" w:space="0" w:color="auto"/>
      </w:divBdr>
    </w:div>
    <w:div w:id="733430357">
      <w:bodyDiv w:val="1"/>
      <w:marLeft w:val="0"/>
      <w:marRight w:val="0"/>
      <w:marTop w:val="0"/>
      <w:marBottom w:val="0"/>
      <w:divBdr>
        <w:top w:val="none" w:sz="0" w:space="0" w:color="auto"/>
        <w:left w:val="none" w:sz="0" w:space="0" w:color="auto"/>
        <w:bottom w:val="none" w:sz="0" w:space="0" w:color="auto"/>
        <w:right w:val="none" w:sz="0" w:space="0" w:color="auto"/>
      </w:divBdr>
    </w:div>
    <w:div w:id="733432423">
      <w:bodyDiv w:val="1"/>
      <w:marLeft w:val="0"/>
      <w:marRight w:val="0"/>
      <w:marTop w:val="0"/>
      <w:marBottom w:val="0"/>
      <w:divBdr>
        <w:top w:val="none" w:sz="0" w:space="0" w:color="auto"/>
        <w:left w:val="none" w:sz="0" w:space="0" w:color="auto"/>
        <w:bottom w:val="none" w:sz="0" w:space="0" w:color="auto"/>
        <w:right w:val="none" w:sz="0" w:space="0" w:color="auto"/>
      </w:divBdr>
    </w:div>
    <w:div w:id="736169524">
      <w:bodyDiv w:val="1"/>
      <w:marLeft w:val="0"/>
      <w:marRight w:val="0"/>
      <w:marTop w:val="0"/>
      <w:marBottom w:val="0"/>
      <w:divBdr>
        <w:top w:val="none" w:sz="0" w:space="0" w:color="auto"/>
        <w:left w:val="none" w:sz="0" w:space="0" w:color="auto"/>
        <w:bottom w:val="none" w:sz="0" w:space="0" w:color="auto"/>
        <w:right w:val="none" w:sz="0" w:space="0" w:color="auto"/>
      </w:divBdr>
    </w:div>
    <w:div w:id="736972867">
      <w:bodyDiv w:val="1"/>
      <w:marLeft w:val="0"/>
      <w:marRight w:val="0"/>
      <w:marTop w:val="0"/>
      <w:marBottom w:val="0"/>
      <w:divBdr>
        <w:top w:val="none" w:sz="0" w:space="0" w:color="auto"/>
        <w:left w:val="none" w:sz="0" w:space="0" w:color="auto"/>
        <w:bottom w:val="none" w:sz="0" w:space="0" w:color="auto"/>
        <w:right w:val="none" w:sz="0" w:space="0" w:color="auto"/>
      </w:divBdr>
    </w:div>
    <w:div w:id="740298806">
      <w:bodyDiv w:val="1"/>
      <w:marLeft w:val="0"/>
      <w:marRight w:val="0"/>
      <w:marTop w:val="0"/>
      <w:marBottom w:val="0"/>
      <w:divBdr>
        <w:top w:val="none" w:sz="0" w:space="0" w:color="auto"/>
        <w:left w:val="none" w:sz="0" w:space="0" w:color="auto"/>
        <w:bottom w:val="none" w:sz="0" w:space="0" w:color="auto"/>
        <w:right w:val="none" w:sz="0" w:space="0" w:color="auto"/>
      </w:divBdr>
    </w:div>
    <w:div w:id="745103860">
      <w:bodyDiv w:val="1"/>
      <w:marLeft w:val="0"/>
      <w:marRight w:val="0"/>
      <w:marTop w:val="0"/>
      <w:marBottom w:val="0"/>
      <w:divBdr>
        <w:top w:val="none" w:sz="0" w:space="0" w:color="auto"/>
        <w:left w:val="none" w:sz="0" w:space="0" w:color="auto"/>
        <w:bottom w:val="none" w:sz="0" w:space="0" w:color="auto"/>
        <w:right w:val="none" w:sz="0" w:space="0" w:color="auto"/>
      </w:divBdr>
    </w:div>
    <w:div w:id="745997595">
      <w:bodyDiv w:val="1"/>
      <w:marLeft w:val="0"/>
      <w:marRight w:val="0"/>
      <w:marTop w:val="0"/>
      <w:marBottom w:val="0"/>
      <w:divBdr>
        <w:top w:val="none" w:sz="0" w:space="0" w:color="auto"/>
        <w:left w:val="none" w:sz="0" w:space="0" w:color="auto"/>
        <w:bottom w:val="none" w:sz="0" w:space="0" w:color="auto"/>
        <w:right w:val="none" w:sz="0" w:space="0" w:color="auto"/>
      </w:divBdr>
    </w:div>
    <w:div w:id="747577254">
      <w:bodyDiv w:val="1"/>
      <w:marLeft w:val="0"/>
      <w:marRight w:val="0"/>
      <w:marTop w:val="0"/>
      <w:marBottom w:val="0"/>
      <w:divBdr>
        <w:top w:val="none" w:sz="0" w:space="0" w:color="auto"/>
        <w:left w:val="none" w:sz="0" w:space="0" w:color="auto"/>
        <w:bottom w:val="none" w:sz="0" w:space="0" w:color="auto"/>
        <w:right w:val="none" w:sz="0" w:space="0" w:color="auto"/>
      </w:divBdr>
    </w:div>
    <w:div w:id="752623205">
      <w:bodyDiv w:val="1"/>
      <w:marLeft w:val="75"/>
      <w:marRight w:val="0"/>
      <w:marTop w:val="0"/>
      <w:marBottom w:val="0"/>
      <w:divBdr>
        <w:top w:val="none" w:sz="0" w:space="0" w:color="auto"/>
        <w:left w:val="none" w:sz="0" w:space="0" w:color="auto"/>
        <w:bottom w:val="none" w:sz="0" w:space="0" w:color="auto"/>
        <w:right w:val="none" w:sz="0" w:space="0" w:color="auto"/>
      </w:divBdr>
      <w:divsChild>
        <w:div w:id="2092850514">
          <w:marLeft w:val="0"/>
          <w:marRight w:val="0"/>
          <w:marTop w:val="0"/>
          <w:marBottom w:val="300"/>
          <w:divBdr>
            <w:top w:val="none" w:sz="0" w:space="0" w:color="auto"/>
            <w:left w:val="none" w:sz="0" w:space="0" w:color="auto"/>
            <w:bottom w:val="none" w:sz="0" w:space="0" w:color="auto"/>
            <w:right w:val="none" w:sz="0" w:space="0" w:color="auto"/>
          </w:divBdr>
          <w:divsChild>
            <w:div w:id="2102337818">
              <w:marLeft w:val="0"/>
              <w:marRight w:val="0"/>
              <w:marTop w:val="0"/>
              <w:marBottom w:val="0"/>
              <w:divBdr>
                <w:top w:val="none" w:sz="0" w:space="0" w:color="auto"/>
                <w:left w:val="none" w:sz="0" w:space="0" w:color="auto"/>
                <w:bottom w:val="none" w:sz="0" w:space="0" w:color="auto"/>
                <w:right w:val="none" w:sz="0" w:space="0" w:color="auto"/>
              </w:divBdr>
              <w:divsChild>
                <w:div w:id="2080252603">
                  <w:marLeft w:val="0"/>
                  <w:marRight w:val="0"/>
                  <w:marTop w:val="0"/>
                  <w:marBottom w:val="0"/>
                  <w:divBdr>
                    <w:top w:val="none" w:sz="0" w:space="0" w:color="auto"/>
                    <w:left w:val="none" w:sz="0" w:space="0" w:color="auto"/>
                    <w:bottom w:val="none" w:sz="0" w:space="0" w:color="auto"/>
                    <w:right w:val="none" w:sz="0" w:space="0" w:color="auto"/>
                  </w:divBdr>
                  <w:divsChild>
                    <w:div w:id="15280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521845">
      <w:bodyDiv w:val="1"/>
      <w:marLeft w:val="0"/>
      <w:marRight w:val="0"/>
      <w:marTop w:val="0"/>
      <w:marBottom w:val="0"/>
      <w:divBdr>
        <w:top w:val="none" w:sz="0" w:space="0" w:color="auto"/>
        <w:left w:val="none" w:sz="0" w:space="0" w:color="auto"/>
        <w:bottom w:val="none" w:sz="0" w:space="0" w:color="auto"/>
        <w:right w:val="none" w:sz="0" w:space="0" w:color="auto"/>
      </w:divBdr>
      <w:divsChild>
        <w:div w:id="1942834666">
          <w:marLeft w:val="0"/>
          <w:marRight w:val="0"/>
          <w:marTop w:val="0"/>
          <w:marBottom w:val="0"/>
          <w:divBdr>
            <w:top w:val="none" w:sz="0" w:space="0" w:color="auto"/>
            <w:left w:val="none" w:sz="0" w:space="0" w:color="auto"/>
            <w:bottom w:val="none" w:sz="0" w:space="0" w:color="auto"/>
            <w:right w:val="none" w:sz="0" w:space="0" w:color="auto"/>
          </w:divBdr>
          <w:divsChild>
            <w:div w:id="690842468">
              <w:marLeft w:val="0"/>
              <w:marRight w:val="0"/>
              <w:marTop w:val="0"/>
              <w:marBottom w:val="0"/>
              <w:divBdr>
                <w:top w:val="none" w:sz="0" w:space="0" w:color="auto"/>
                <w:left w:val="none" w:sz="0" w:space="0" w:color="auto"/>
                <w:bottom w:val="none" w:sz="0" w:space="0" w:color="auto"/>
                <w:right w:val="none" w:sz="0" w:space="0" w:color="auto"/>
              </w:divBdr>
              <w:divsChild>
                <w:div w:id="18435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1232">
      <w:bodyDiv w:val="1"/>
      <w:marLeft w:val="0"/>
      <w:marRight w:val="0"/>
      <w:marTop w:val="0"/>
      <w:marBottom w:val="0"/>
      <w:divBdr>
        <w:top w:val="none" w:sz="0" w:space="0" w:color="auto"/>
        <w:left w:val="none" w:sz="0" w:space="0" w:color="auto"/>
        <w:bottom w:val="none" w:sz="0" w:space="0" w:color="auto"/>
        <w:right w:val="none" w:sz="0" w:space="0" w:color="auto"/>
      </w:divBdr>
    </w:div>
    <w:div w:id="772092395">
      <w:bodyDiv w:val="1"/>
      <w:marLeft w:val="0"/>
      <w:marRight w:val="0"/>
      <w:marTop w:val="0"/>
      <w:marBottom w:val="0"/>
      <w:divBdr>
        <w:top w:val="none" w:sz="0" w:space="0" w:color="auto"/>
        <w:left w:val="none" w:sz="0" w:space="0" w:color="auto"/>
        <w:bottom w:val="none" w:sz="0" w:space="0" w:color="auto"/>
        <w:right w:val="none" w:sz="0" w:space="0" w:color="auto"/>
      </w:divBdr>
    </w:div>
    <w:div w:id="773087095">
      <w:bodyDiv w:val="1"/>
      <w:marLeft w:val="0"/>
      <w:marRight w:val="0"/>
      <w:marTop w:val="0"/>
      <w:marBottom w:val="0"/>
      <w:divBdr>
        <w:top w:val="none" w:sz="0" w:space="0" w:color="auto"/>
        <w:left w:val="none" w:sz="0" w:space="0" w:color="auto"/>
        <w:bottom w:val="none" w:sz="0" w:space="0" w:color="auto"/>
        <w:right w:val="none" w:sz="0" w:space="0" w:color="auto"/>
      </w:divBdr>
    </w:div>
    <w:div w:id="777068762">
      <w:bodyDiv w:val="1"/>
      <w:marLeft w:val="0"/>
      <w:marRight w:val="0"/>
      <w:marTop w:val="0"/>
      <w:marBottom w:val="0"/>
      <w:divBdr>
        <w:top w:val="none" w:sz="0" w:space="0" w:color="auto"/>
        <w:left w:val="none" w:sz="0" w:space="0" w:color="auto"/>
        <w:bottom w:val="none" w:sz="0" w:space="0" w:color="auto"/>
        <w:right w:val="none" w:sz="0" w:space="0" w:color="auto"/>
      </w:divBdr>
    </w:div>
    <w:div w:id="778721407">
      <w:bodyDiv w:val="1"/>
      <w:marLeft w:val="0"/>
      <w:marRight w:val="0"/>
      <w:marTop w:val="0"/>
      <w:marBottom w:val="0"/>
      <w:divBdr>
        <w:top w:val="none" w:sz="0" w:space="0" w:color="auto"/>
        <w:left w:val="none" w:sz="0" w:space="0" w:color="auto"/>
        <w:bottom w:val="none" w:sz="0" w:space="0" w:color="auto"/>
        <w:right w:val="none" w:sz="0" w:space="0" w:color="auto"/>
      </w:divBdr>
    </w:div>
    <w:div w:id="782455521">
      <w:bodyDiv w:val="1"/>
      <w:marLeft w:val="0"/>
      <w:marRight w:val="0"/>
      <w:marTop w:val="0"/>
      <w:marBottom w:val="0"/>
      <w:divBdr>
        <w:top w:val="none" w:sz="0" w:space="0" w:color="auto"/>
        <w:left w:val="none" w:sz="0" w:space="0" w:color="auto"/>
        <w:bottom w:val="none" w:sz="0" w:space="0" w:color="auto"/>
        <w:right w:val="none" w:sz="0" w:space="0" w:color="auto"/>
      </w:divBdr>
    </w:div>
    <w:div w:id="786242191">
      <w:bodyDiv w:val="1"/>
      <w:marLeft w:val="0"/>
      <w:marRight w:val="0"/>
      <w:marTop w:val="0"/>
      <w:marBottom w:val="0"/>
      <w:divBdr>
        <w:top w:val="none" w:sz="0" w:space="0" w:color="auto"/>
        <w:left w:val="none" w:sz="0" w:space="0" w:color="auto"/>
        <w:bottom w:val="none" w:sz="0" w:space="0" w:color="auto"/>
        <w:right w:val="none" w:sz="0" w:space="0" w:color="auto"/>
      </w:divBdr>
    </w:div>
    <w:div w:id="790131481">
      <w:bodyDiv w:val="1"/>
      <w:marLeft w:val="0"/>
      <w:marRight w:val="0"/>
      <w:marTop w:val="0"/>
      <w:marBottom w:val="0"/>
      <w:divBdr>
        <w:top w:val="none" w:sz="0" w:space="0" w:color="auto"/>
        <w:left w:val="none" w:sz="0" w:space="0" w:color="auto"/>
        <w:bottom w:val="none" w:sz="0" w:space="0" w:color="auto"/>
        <w:right w:val="none" w:sz="0" w:space="0" w:color="auto"/>
      </w:divBdr>
    </w:div>
    <w:div w:id="791246326">
      <w:bodyDiv w:val="1"/>
      <w:marLeft w:val="0"/>
      <w:marRight w:val="0"/>
      <w:marTop w:val="0"/>
      <w:marBottom w:val="0"/>
      <w:divBdr>
        <w:top w:val="none" w:sz="0" w:space="0" w:color="auto"/>
        <w:left w:val="none" w:sz="0" w:space="0" w:color="auto"/>
        <w:bottom w:val="none" w:sz="0" w:space="0" w:color="auto"/>
        <w:right w:val="none" w:sz="0" w:space="0" w:color="auto"/>
      </w:divBdr>
    </w:div>
    <w:div w:id="791748293">
      <w:bodyDiv w:val="1"/>
      <w:marLeft w:val="0"/>
      <w:marRight w:val="0"/>
      <w:marTop w:val="0"/>
      <w:marBottom w:val="0"/>
      <w:divBdr>
        <w:top w:val="none" w:sz="0" w:space="0" w:color="auto"/>
        <w:left w:val="none" w:sz="0" w:space="0" w:color="auto"/>
        <w:bottom w:val="none" w:sz="0" w:space="0" w:color="auto"/>
        <w:right w:val="none" w:sz="0" w:space="0" w:color="auto"/>
      </w:divBdr>
    </w:div>
    <w:div w:id="792866892">
      <w:bodyDiv w:val="1"/>
      <w:marLeft w:val="0"/>
      <w:marRight w:val="0"/>
      <w:marTop w:val="0"/>
      <w:marBottom w:val="0"/>
      <w:divBdr>
        <w:top w:val="none" w:sz="0" w:space="0" w:color="auto"/>
        <w:left w:val="none" w:sz="0" w:space="0" w:color="auto"/>
        <w:bottom w:val="none" w:sz="0" w:space="0" w:color="auto"/>
        <w:right w:val="none" w:sz="0" w:space="0" w:color="auto"/>
      </w:divBdr>
    </w:div>
    <w:div w:id="801850872">
      <w:bodyDiv w:val="1"/>
      <w:marLeft w:val="0"/>
      <w:marRight w:val="0"/>
      <w:marTop w:val="0"/>
      <w:marBottom w:val="0"/>
      <w:divBdr>
        <w:top w:val="none" w:sz="0" w:space="0" w:color="auto"/>
        <w:left w:val="none" w:sz="0" w:space="0" w:color="auto"/>
        <w:bottom w:val="none" w:sz="0" w:space="0" w:color="auto"/>
        <w:right w:val="none" w:sz="0" w:space="0" w:color="auto"/>
      </w:divBdr>
    </w:div>
    <w:div w:id="802305444">
      <w:bodyDiv w:val="1"/>
      <w:marLeft w:val="0"/>
      <w:marRight w:val="0"/>
      <w:marTop w:val="0"/>
      <w:marBottom w:val="0"/>
      <w:divBdr>
        <w:top w:val="none" w:sz="0" w:space="0" w:color="auto"/>
        <w:left w:val="none" w:sz="0" w:space="0" w:color="auto"/>
        <w:bottom w:val="none" w:sz="0" w:space="0" w:color="auto"/>
        <w:right w:val="none" w:sz="0" w:space="0" w:color="auto"/>
      </w:divBdr>
    </w:div>
    <w:div w:id="804355345">
      <w:bodyDiv w:val="1"/>
      <w:marLeft w:val="0"/>
      <w:marRight w:val="0"/>
      <w:marTop w:val="0"/>
      <w:marBottom w:val="0"/>
      <w:divBdr>
        <w:top w:val="none" w:sz="0" w:space="0" w:color="auto"/>
        <w:left w:val="none" w:sz="0" w:space="0" w:color="auto"/>
        <w:bottom w:val="none" w:sz="0" w:space="0" w:color="auto"/>
        <w:right w:val="none" w:sz="0" w:space="0" w:color="auto"/>
      </w:divBdr>
    </w:div>
    <w:div w:id="804932086">
      <w:bodyDiv w:val="1"/>
      <w:marLeft w:val="0"/>
      <w:marRight w:val="0"/>
      <w:marTop w:val="0"/>
      <w:marBottom w:val="0"/>
      <w:divBdr>
        <w:top w:val="none" w:sz="0" w:space="0" w:color="auto"/>
        <w:left w:val="none" w:sz="0" w:space="0" w:color="auto"/>
        <w:bottom w:val="none" w:sz="0" w:space="0" w:color="auto"/>
        <w:right w:val="none" w:sz="0" w:space="0" w:color="auto"/>
      </w:divBdr>
    </w:div>
    <w:div w:id="806896269">
      <w:bodyDiv w:val="1"/>
      <w:marLeft w:val="0"/>
      <w:marRight w:val="0"/>
      <w:marTop w:val="0"/>
      <w:marBottom w:val="0"/>
      <w:divBdr>
        <w:top w:val="none" w:sz="0" w:space="0" w:color="auto"/>
        <w:left w:val="none" w:sz="0" w:space="0" w:color="auto"/>
        <w:bottom w:val="none" w:sz="0" w:space="0" w:color="auto"/>
        <w:right w:val="none" w:sz="0" w:space="0" w:color="auto"/>
      </w:divBdr>
    </w:div>
    <w:div w:id="812255497">
      <w:bodyDiv w:val="1"/>
      <w:marLeft w:val="0"/>
      <w:marRight w:val="0"/>
      <w:marTop w:val="0"/>
      <w:marBottom w:val="0"/>
      <w:divBdr>
        <w:top w:val="none" w:sz="0" w:space="0" w:color="auto"/>
        <w:left w:val="none" w:sz="0" w:space="0" w:color="auto"/>
        <w:bottom w:val="none" w:sz="0" w:space="0" w:color="auto"/>
        <w:right w:val="none" w:sz="0" w:space="0" w:color="auto"/>
      </w:divBdr>
    </w:div>
    <w:div w:id="830635215">
      <w:bodyDiv w:val="1"/>
      <w:marLeft w:val="0"/>
      <w:marRight w:val="0"/>
      <w:marTop w:val="0"/>
      <w:marBottom w:val="0"/>
      <w:divBdr>
        <w:top w:val="none" w:sz="0" w:space="0" w:color="auto"/>
        <w:left w:val="none" w:sz="0" w:space="0" w:color="auto"/>
        <w:bottom w:val="none" w:sz="0" w:space="0" w:color="auto"/>
        <w:right w:val="none" w:sz="0" w:space="0" w:color="auto"/>
      </w:divBdr>
    </w:div>
    <w:div w:id="833648680">
      <w:bodyDiv w:val="1"/>
      <w:marLeft w:val="0"/>
      <w:marRight w:val="0"/>
      <w:marTop w:val="0"/>
      <w:marBottom w:val="0"/>
      <w:divBdr>
        <w:top w:val="none" w:sz="0" w:space="0" w:color="auto"/>
        <w:left w:val="none" w:sz="0" w:space="0" w:color="auto"/>
        <w:bottom w:val="none" w:sz="0" w:space="0" w:color="auto"/>
        <w:right w:val="none" w:sz="0" w:space="0" w:color="auto"/>
      </w:divBdr>
    </w:div>
    <w:div w:id="833884647">
      <w:bodyDiv w:val="1"/>
      <w:marLeft w:val="0"/>
      <w:marRight w:val="0"/>
      <w:marTop w:val="0"/>
      <w:marBottom w:val="0"/>
      <w:divBdr>
        <w:top w:val="none" w:sz="0" w:space="0" w:color="auto"/>
        <w:left w:val="none" w:sz="0" w:space="0" w:color="auto"/>
        <w:bottom w:val="none" w:sz="0" w:space="0" w:color="auto"/>
        <w:right w:val="none" w:sz="0" w:space="0" w:color="auto"/>
      </w:divBdr>
    </w:div>
    <w:div w:id="839346666">
      <w:bodyDiv w:val="1"/>
      <w:marLeft w:val="0"/>
      <w:marRight w:val="0"/>
      <w:marTop w:val="0"/>
      <w:marBottom w:val="0"/>
      <w:divBdr>
        <w:top w:val="none" w:sz="0" w:space="0" w:color="auto"/>
        <w:left w:val="none" w:sz="0" w:space="0" w:color="auto"/>
        <w:bottom w:val="none" w:sz="0" w:space="0" w:color="auto"/>
        <w:right w:val="none" w:sz="0" w:space="0" w:color="auto"/>
      </w:divBdr>
    </w:div>
    <w:div w:id="841236829">
      <w:bodyDiv w:val="1"/>
      <w:marLeft w:val="0"/>
      <w:marRight w:val="0"/>
      <w:marTop w:val="0"/>
      <w:marBottom w:val="0"/>
      <w:divBdr>
        <w:top w:val="none" w:sz="0" w:space="0" w:color="auto"/>
        <w:left w:val="none" w:sz="0" w:space="0" w:color="auto"/>
        <w:bottom w:val="none" w:sz="0" w:space="0" w:color="auto"/>
        <w:right w:val="none" w:sz="0" w:space="0" w:color="auto"/>
      </w:divBdr>
    </w:div>
    <w:div w:id="844174868">
      <w:bodyDiv w:val="1"/>
      <w:marLeft w:val="0"/>
      <w:marRight w:val="0"/>
      <w:marTop w:val="0"/>
      <w:marBottom w:val="0"/>
      <w:divBdr>
        <w:top w:val="none" w:sz="0" w:space="0" w:color="auto"/>
        <w:left w:val="none" w:sz="0" w:space="0" w:color="auto"/>
        <w:bottom w:val="none" w:sz="0" w:space="0" w:color="auto"/>
        <w:right w:val="none" w:sz="0" w:space="0" w:color="auto"/>
      </w:divBdr>
    </w:div>
    <w:div w:id="846361291">
      <w:bodyDiv w:val="1"/>
      <w:marLeft w:val="0"/>
      <w:marRight w:val="0"/>
      <w:marTop w:val="0"/>
      <w:marBottom w:val="0"/>
      <w:divBdr>
        <w:top w:val="none" w:sz="0" w:space="0" w:color="auto"/>
        <w:left w:val="none" w:sz="0" w:space="0" w:color="auto"/>
        <w:bottom w:val="none" w:sz="0" w:space="0" w:color="auto"/>
        <w:right w:val="none" w:sz="0" w:space="0" w:color="auto"/>
      </w:divBdr>
    </w:div>
    <w:div w:id="848256115">
      <w:bodyDiv w:val="1"/>
      <w:marLeft w:val="0"/>
      <w:marRight w:val="0"/>
      <w:marTop w:val="0"/>
      <w:marBottom w:val="0"/>
      <w:divBdr>
        <w:top w:val="none" w:sz="0" w:space="0" w:color="auto"/>
        <w:left w:val="none" w:sz="0" w:space="0" w:color="auto"/>
        <w:bottom w:val="none" w:sz="0" w:space="0" w:color="auto"/>
        <w:right w:val="none" w:sz="0" w:space="0" w:color="auto"/>
      </w:divBdr>
    </w:div>
    <w:div w:id="850754124">
      <w:bodyDiv w:val="1"/>
      <w:marLeft w:val="0"/>
      <w:marRight w:val="0"/>
      <w:marTop w:val="0"/>
      <w:marBottom w:val="0"/>
      <w:divBdr>
        <w:top w:val="none" w:sz="0" w:space="0" w:color="auto"/>
        <w:left w:val="none" w:sz="0" w:space="0" w:color="auto"/>
        <w:bottom w:val="none" w:sz="0" w:space="0" w:color="auto"/>
        <w:right w:val="none" w:sz="0" w:space="0" w:color="auto"/>
      </w:divBdr>
    </w:div>
    <w:div w:id="853147883">
      <w:bodyDiv w:val="1"/>
      <w:marLeft w:val="0"/>
      <w:marRight w:val="0"/>
      <w:marTop w:val="0"/>
      <w:marBottom w:val="0"/>
      <w:divBdr>
        <w:top w:val="none" w:sz="0" w:space="0" w:color="auto"/>
        <w:left w:val="none" w:sz="0" w:space="0" w:color="auto"/>
        <w:bottom w:val="none" w:sz="0" w:space="0" w:color="auto"/>
        <w:right w:val="none" w:sz="0" w:space="0" w:color="auto"/>
      </w:divBdr>
    </w:div>
    <w:div w:id="853347921">
      <w:bodyDiv w:val="1"/>
      <w:marLeft w:val="0"/>
      <w:marRight w:val="0"/>
      <w:marTop w:val="0"/>
      <w:marBottom w:val="0"/>
      <w:divBdr>
        <w:top w:val="none" w:sz="0" w:space="0" w:color="auto"/>
        <w:left w:val="none" w:sz="0" w:space="0" w:color="auto"/>
        <w:bottom w:val="none" w:sz="0" w:space="0" w:color="auto"/>
        <w:right w:val="none" w:sz="0" w:space="0" w:color="auto"/>
      </w:divBdr>
    </w:div>
    <w:div w:id="856621481">
      <w:bodyDiv w:val="1"/>
      <w:marLeft w:val="0"/>
      <w:marRight w:val="0"/>
      <w:marTop w:val="0"/>
      <w:marBottom w:val="0"/>
      <w:divBdr>
        <w:top w:val="none" w:sz="0" w:space="0" w:color="auto"/>
        <w:left w:val="none" w:sz="0" w:space="0" w:color="auto"/>
        <w:bottom w:val="none" w:sz="0" w:space="0" w:color="auto"/>
        <w:right w:val="none" w:sz="0" w:space="0" w:color="auto"/>
      </w:divBdr>
    </w:div>
    <w:div w:id="860818047">
      <w:bodyDiv w:val="1"/>
      <w:marLeft w:val="0"/>
      <w:marRight w:val="0"/>
      <w:marTop w:val="0"/>
      <w:marBottom w:val="0"/>
      <w:divBdr>
        <w:top w:val="none" w:sz="0" w:space="0" w:color="auto"/>
        <w:left w:val="none" w:sz="0" w:space="0" w:color="auto"/>
        <w:bottom w:val="none" w:sz="0" w:space="0" w:color="auto"/>
        <w:right w:val="none" w:sz="0" w:space="0" w:color="auto"/>
      </w:divBdr>
    </w:div>
    <w:div w:id="861405913">
      <w:bodyDiv w:val="1"/>
      <w:marLeft w:val="0"/>
      <w:marRight w:val="0"/>
      <w:marTop w:val="0"/>
      <w:marBottom w:val="0"/>
      <w:divBdr>
        <w:top w:val="none" w:sz="0" w:space="0" w:color="auto"/>
        <w:left w:val="none" w:sz="0" w:space="0" w:color="auto"/>
        <w:bottom w:val="none" w:sz="0" w:space="0" w:color="auto"/>
        <w:right w:val="none" w:sz="0" w:space="0" w:color="auto"/>
      </w:divBdr>
    </w:div>
    <w:div w:id="863441882">
      <w:bodyDiv w:val="1"/>
      <w:marLeft w:val="0"/>
      <w:marRight w:val="0"/>
      <w:marTop w:val="0"/>
      <w:marBottom w:val="0"/>
      <w:divBdr>
        <w:top w:val="none" w:sz="0" w:space="0" w:color="auto"/>
        <w:left w:val="none" w:sz="0" w:space="0" w:color="auto"/>
        <w:bottom w:val="none" w:sz="0" w:space="0" w:color="auto"/>
        <w:right w:val="none" w:sz="0" w:space="0" w:color="auto"/>
      </w:divBdr>
    </w:div>
    <w:div w:id="868908005">
      <w:bodyDiv w:val="1"/>
      <w:marLeft w:val="0"/>
      <w:marRight w:val="0"/>
      <w:marTop w:val="0"/>
      <w:marBottom w:val="0"/>
      <w:divBdr>
        <w:top w:val="none" w:sz="0" w:space="0" w:color="auto"/>
        <w:left w:val="none" w:sz="0" w:space="0" w:color="auto"/>
        <w:bottom w:val="none" w:sz="0" w:space="0" w:color="auto"/>
        <w:right w:val="none" w:sz="0" w:space="0" w:color="auto"/>
      </w:divBdr>
    </w:div>
    <w:div w:id="874075969">
      <w:bodyDiv w:val="1"/>
      <w:marLeft w:val="0"/>
      <w:marRight w:val="0"/>
      <w:marTop w:val="0"/>
      <w:marBottom w:val="0"/>
      <w:divBdr>
        <w:top w:val="none" w:sz="0" w:space="0" w:color="auto"/>
        <w:left w:val="none" w:sz="0" w:space="0" w:color="auto"/>
        <w:bottom w:val="none" w:sz="0" w:space="0" w:color="auto"/>
        <w:right w:val="none" w:sz="0" w:space="0" w:color="auto"/>
      </w:divBdr>
    </w:div>
    <w:div w:id="874778070">
      <w:bodyDiv w:val="1"/>
      <w:marLeft w:val="0"/>
      <w:marRight w:val="0"/>
      <w:marTop w:val="0"/>
      <w:marBottom w:val="0"/>
      <w:divBdr>
        <w:top w:val="none" w:sz="0" w:space="0" w:color="auto"/>
        <w:left w:val="none" w:sz="0" w:space="0" w:color="auto"/>
        <w:bottom w:val="none" w:sz="0" w:space="0" w:color="auto"/>
        <w:right w:val="none" w:sz="0" w:space="0" w:color="auto"/>
      </w:divBdr>
    </w:div>
    <w:div w:id="880635002">
      <w:bodyDiv w:val="1"/>
      <w:marLeft w:val="0"/>
      <w:marRight w:val="0"/>
      <w:marTop w:val="0"/>
      <w:marBottom w:val="0"/>
      <w:divBdr>
        <w:top w:val="none" w:sz="0" w:space="0" w:color="auto"/>
        <w:left w:val="none" w:sz="0" w:space="0" w:color="auto"/>
        <w:bottom w:val="none" w:sz="0" w:space="0" w:color="auto"/>
        <w:right w:val="none" w:sz="0" w:space="0" w:color="auto"/>
      </w:divBdr>
    </w:div>
    <w:div w:id="883563019">
      <w:bodyDiv w:val="1"/>
      <w:marLeft w:val="0"/>
      <w:marRight w:val="0"/>
      <w:marTop w:val="0"/>
      <w:marBottom w:val="0"/>
      <w:divBdr>
        <w:top w:val="none" w:sz="0" w:space="0" w:color="auto"/>
        <w:left w:val="none" w:sz="0" w:space="0" w:color="auto"/>
        <w:bottom w:val="none" w:sz="0" w:space="0" w:color="auto"/>
        <w:right w:val="none" w:sz="0" w:space="0" w:color="auto"/>
      </w:divBdr>
    </w:div>
    <w:div w:id="885486074">
      <w:bodyDiv w:val="1"/>
      <w:marLeft w:val="0"/>
      <w:marRight w:val="0"/>
      <w:marTop w:val="0"/>
      <w:marBottom w:val="0"/>
      <w:divBdr>
        <w:top w:val="none" w:sz="0" w:space="0" w:color="auto"/>
        <w:left w:val="none" w:sz="0" w:space="0" w:color="auto"/>
        <w:bottom w:val="none" w:sz="0" w:space="0" w:color="auto"/>
        <w:right w:val="none" w:sz="0" w:space="0" w:color="auto"/>
      </w:divBdr>
    </w:div>
    <w:div w:id="888300474">
      <w:bodyDiv w:val="1"/>
      <w:marLeft w:val="0"/>
      <w:marRight w:val="0"/>
      <w:marTop w:val="0"/>
      <w:marBottom w:val="0"/>
      <w:divBdr>
        <w:top w:val="none" w:sz="0" w:space="0" w:color="auto"/>
        <w:left w:val="none" w:sz="0" w:space="0" w:color="auto"/>
        <w:bottom w:val="none" w:sz="0" w:space="0" w:color="auto"/>
        <w:right w:val="none" w:sz="0" w:space="0" w:color="auto"/>
      </w:divBdr>
    </w:div>
    <w:div w:id="891304284">
      <w:bodyDiv w:val="1"/>
      <w:marLeft w:val="0"/>
      <w:marRight w:val="0"/>
      <w:marTop w:val="0"/>
      <w:marBottom w:val="0"/>
      <w:divBdr>
        <w:top w:val="none" w:sz="0" w:space="0" w:color="auto"/>
        <w:left w:val="none" w:sz="0" w:space="0" w:color="auto"/>
        <w:bottom w:val="none" w:sz="0" w:space="0" w:color="auto"/>
        <w:right w:val="none" w:sz="0" w:space="0" w:color="auto"/>
      </w:divBdr>
    </w:div>
    <w:div w:id="894925019">
      <w:bodyDiv w:val="1"/>
      <w:marLeft w:val="0"/>
      <w:marRight w:val="0"/>
      <w:marTop w:val="0"/>
      <w:marBottom w:val="0"/>
      <w:divBdr>
        <w:top w:val="none" w:sz="0" w:space="0" w:color="auto"/>
        <w:left w:val="none" w:sz="0" w:space="0" w:color="auto"/>
        <w:bottom w:val="none" w:sz="0" w:space="0" w:color="auto"/>
        <w:right w:val="none" w:sz="0" w:space="0" w:color="auto"/>
      </w:divBdr>
    </w:div>
    <w:div w:id="896281334">
      <w:bodyDiv w:val="1"/>
      <w:marLeft w:val="0"/>
      <w:marRight w:val="0"/>
      <w:marTop w:val="0"/>
      <w:marBottom w:val="0"/>
      <w:divBdr>
        <w:top w:val="none" w:sz="0" w:space="0" w:color="auto"/>
        <w:left w:val="none" w:sz="0" w:space="0" w:color="auto"/>
        <w:bottom w:val="none" w:sz="0" w:space="0" w:color="auto"/>
        <w:right w:val="none" w:sz="0" w:space="0" w:color="auto"/>
      </w:divBdr>
    </w:div>
    <w:div w:id="897547541">
      <w:bodyDiv w:val="1"/>
      <w:marLeft w:val="0"/>
      <w:marRight w:val="0"/>
      <w:marTop w:val="0"/>
      <w:marBottom w:val="0"/>
      <w:divBdr>
        <w:top w:val="none" w:sz="0" w:space="0" w:color="auto"/>
        <w:left w:val="none" w:sz="0" w:space="0" w:color="auto"/>
        <w:bottom w:val="none" w:sz="0" w:space="0" w:color="auto"/>
        <w:right w:val="none" w:sz="0" w:space="0" w:color="auto"/>
      </w:divBdr>
    </w:div>
    <w:div w:id="898172593">
      <w:bodyDiv w:val="1"/>
      <w:marLeft w:val="0"/>
      <w:marRight w:val="0"/>
      <w:marTop w:val="0"/>
      <w:marBottom w:val="0"/>
      <w:divBdr>
        <w:top w:val="none" w:sz="0" w:space="0" w:color="auto"/>
        <w:left w:val="none" w:sz="0" w:space="0" w:color="auto"/>
        <w:bottom w:val="none" w:sz="0" w:space="0" w:color="auto"/>
        <w:right w:val="none" w:sz="0" w:space="0" w:color="auto"/>
      </w:divBdr>
    </w:div>
    <w:div w:id="899486164">
      <w:bodyDiv w:val="1"/>
      <w:marLeft w:val="0"/>
      <w:marRight w:val="0"/>
      <w:marTop w:val="0"/>
      <w:marBottom w:val="0"/>
      <w:divBdr>
        <w:top w:val="none" w:sz="0" w:space="0" w:color="auto"/>
        <w:left w:val="none" w:sz="0" w:space="0" w:color="auto"/>
        <w:bottom w:val="none" w:sz="0" w:space="0" w:color="auto"/>
        <w:right w:val="none" w:sz="0" w:space="0" w:color="auto"/>
      </w:divBdr>
    </w:div>
    <w:div w:id="905839839">
      <w:bodyDiv w:val="1"/>
      <w:marLeft w:val="0"/>
      <w:marRight w:val="0"/>
      <w:marTop w:val="0"/>
      <w:marBottom w:val="0"/>
      <w:divBdr>
        <w:top w:val="none" w:sz="0" w:space="0" w:color="auto"/>
        <w:left w:val="none" w:sz="0" w:space="0" w:color="auto"/>
        <w:bottom w:val="none" w:sz="0" w:space="0" w:color="auto"/>
        <w:right w:val="none" w:sz="0" w:space="0" w:color="auto"/>
      </w:divBdr>
    </w:div>
    <w:div w:id="908492313">
      <w:bodyDiv w:val="1"/>
      <w:marLeft w:val="0"/>
      <w:marRight w:val="0"/>
      <w:marTop w:val="0"/>
      <w:marBottom w:val="0"/>
      <w:divBdr>
        <w:top w:val="none" w:sz="0" w:space="0" w:color="auto"/>
        <w:left w:val="none" w:sz="0" w:space="0" w:color="auto"/>
        <w:bottom w:val="none" w:sz="0" w:space="0" w:color="auto"/>
        <w:right w:val="none" w:sz="0" w:space="0" w:color="auto"/>
      </w:divBdr>
    </w:div>
    <w:div w:id="911156390">
      <w:bodyDiv w:val="1"/>
      <w:marLeft w:val="0"/>
      <w:marRight w:val="0"/>
      <w:marTop w:val="0"/>
      <w:marBottom w:val="0"/>
      <w:divBdr>
        <w:top w:val="none" w:sz="0" w:space="0" w:color="auto"/>
        <w:left w:val="none" w:sz="0" w:space="0" w:color="auto"/>
        <w:bottom w:val="none" w:sz="0" w:space="0" w:color="auto"/>
        <w:right w:val="none" w:sz="0" w:space="0" w:color="auto"/>
      </w:divBdr>
    </w:div>
    <w:div w:id="916521468">
      <w:bodyDiv w:val="1"/>
      <w:marLeft w:val="0"/>
      <w:marRight w:val="0"/>
      <w:marTop w:val="0"/>
      <w:marBottom w:val="0"/>
      <w:divBdr>
        <w:top w:val="none" w:sz="0" w:space="0" w:color="auto"/>
        <w:left w:val="none" w:sz="0" w:space="0" w:color="auto"/>
        <w:bottom w:val="none" w:sz="0" w:space="0" w:color="auto"/>
        <w:right w:val="none" w:sz="0" w:space="0" w:color="auto"/>
      </w:divBdr>
    </w:div>
    <w:div w:id="921136017">
      <w:bodyDiv w:val="1"/>
      <w:marLeft w:val="0"/>
      <w:marRight w:val="0"/>
      <w:marTop w:val="0"/>
      <w:marBottom w:val="0"/>
      <w:divBdr>
        <w:top w:val="none" w:sz="0" w:space="0" w:color="auto"/>
        <w:left w:val="none" w:sz="0" w:space="0" w:color="auto"/>
        <w:bottom w:val="none" w:sz="0" w:space="0" w:color="auto"/>
        <w:right w:val="none" w:sz="0" w:space="0" w:color="auto"/>
      </w:divBdr>
    </w:div>
    <w:div w:id="922026131">
      <w:bodyDiv w:val="1"/>
      <w:marLeft w:val="0"/>
      <w:marRight w:val="0"/>
      <w:marTop w:val="0"/>
      <w:marBottom w:val="0"/>
      <w:divBdr>
        <w:top w:val="none" w:sz="0" w:space="0" w:color="auto"/>
        <w:left w:val="none" w:sz="0" w:space="0" w:color="auto"/>
        <w:bottom w:val="none" w:sz="0" w:space="0" w:color="auto"/>
        <w:right w:val="none" w:sz="0" w:space="0" w:color="auto"/>
      </w:divBdr>
    </w:div>
    <w:div w:id="922835967">
      <w:bodyDiv w:val="1"/>
      <w:marLeft w:val="0"/>
      <w:marRight w:val="0"/>
      <w:marTop w:val="0"/>
      <w:marBottom w:val="0"/>
      <w:divBdr>
        <w:top w:val="none" w:sz="0" w:space="0" w:color="auto"/>
        <w:left w:val="none" w:sz="0" w:space="0" w:color="auto"/>
        <w:bottom w:val="none" w:sz="0" w:space="0" w:color="auto"/>
        <w:right w:val="none" w:sz="0" w:space="0" w:color="auto"/>
      </w:divBdr>
    </w:div>
    <w:div w:id="922908073">
      <w:bodyDiv w:val="1"/>
      <w:marLeft w:val="0"/>
      <w:marRight w:val="0"/>
      <w:marTop w:val="0"/>
      <w:marBottom w:val="0"/>
      <w:divBdr>
        <w:top w:val="none" w:sz="0" w:space="0" w:color="auto"/>
        <w:left w:val="none" w:sz="0" w:space="0" w:color="auto"/>
        <w:bottom w:val="none" w:sz="0" w:space="0" w:color="auto"/>
        <w:right w:val="none" w:sz="0" w:space="0" w:color="auto"/>
      </w:divBdr>
    </w:div>
    <w:div w:id="923803218">
      <w:bodyDiv w:val="1"/>
      <w:marLeft w:val="0"/>
      <w:marRight w:val="0"/>
      <w:marTop w:val="0"/>
      <w:marBottom w:val="0"/>
      <w:divBdr>
        <w:top w:val="none" w:sz="0" w:space="0" w:color="auto"/>
        <w:left w:val="none" w:sz="0" w:space="0" w:color="auto"/>
        <w:bottom w:val="none" w:sz="0" w:space="0" w:color="auto"/>
        <w:right w:val="none" w:sz="0" w:space="0" w:color="auto"/>
      </w:divBdr>
    </w:div>
    <w:div w:id="923951900">
      <w:bodyDiv w:val="1"/>
      <w:marLeft w:val="0"/>
      <w:marRight w:val="0"/>
      <w:marTop w:val="0"/>
      <w:marBottom w:val="0"/>
      <w:divBdr>
        <w:top w:val="none" w:sz="0" w:space="0" w:color="auto"/>
        <w:left w:val="none" w:sz="0" w:space="0" w:color="auto"/>
        <w:bottom w:val="none" w:sz="0" w:space="0" w:color="auto"/>
        <w:right w:val="none" w:sz="0" w:space="0" w:color="auto"/>
      </w:divBdr>
    </w:div>
    <w:div w:id="924529438">
      <w:bodyDiv w:val="1"/>
      <w:marLeft w:val="0"/>
      <w:marRight w:val="0"/>
      <w:marTop w:val="0"/>
      <w:marBottom w:val="0"/>
      <w:divBdr>
        <w:top w:val="none" w:sz="0" w:space="0" w:color="auto"/>
        <w:left w:val="none" w:sz="0" w:space="0" w:color="auto"/>
        <w:bottom w:val="none" w:sz="0" w:space="0" w:color="auto"/>
        <w:right w:val="none" w:sz="0" w:space="0" w:color="auto"/>
      </w:divBdr>
    </w:div>
    <w:div w:id="931664609">
      <w:bodyDiv w:val="1"/>
      <w:marLeft w:val="0"/>
      <w:marRight w:val="0"/>
      <w:marTop w:val="0"/>
      <w:marBottom w:val="0"/>
      <w:divBdr>
        <w:top w:val="none" w:sz="0" w:space="0" w:color="auto"/>
        <w:left w:val="none" w:sz="0" w:space="0" w:color="auto"/>
        <w:bottom w:val="none" w:sz="0" w:space="0" w:color="auto"/>
        <w:right w:val="none" w:sz="0" w:space="0" w:color="auto"/>
      </w:divBdr>
    </w:div>
    <w:div w:id="934561206">
      <w:bodyDiv w:val="1"/>
      <w:marLeft w:val="0"/>
      <w:marRight w:val="0"/>
      <w:marTop w:val="0"/>
      <w:marBottom w:val="0"/>
      <w:divBdr>
        <w:top w:val="none" w:sz="0" w:space="0" w:color="auto"/>
        <w:left w:val="none" w:sz="0" w:space="0" w:color="auto"/>
        <w:bottom w:val="none" w:sz="0" w:space="0" w:color="auto"/>
        <w:right w:val="none" w:sz="0" w:space="0" w:color="auto"/>
      </w:divBdr>
    </w:div>
    <w:div w:id="945847402">
      <w:bodyDiv w:val="1"/>
      <w:marLeft w:val="0"/>
      <w:marRight w:val="0"/>
      <w:marTop w:val="0"/>
      <w:marBottom w:val="0"/>
      <w:divBdr>
        <w:top w:val="none" w:sz="0" w:space="0" w:color="auto"/>
        <w:left w:val="none" w:sz="0" w:space="0" w:color="auto"/>
        <w:bottom w:val="none" w:sz="0" w:space="0" w:color="auto"/>
        <w:right w:val="none" w:sz="0" w:space="0" w:color="auto"/>
      </w:divBdr>
    </w:div>
    <w:div w:id="946734620">
      <w:bodyDiv w:val="1"/>
      <w:marLeft w:val="0"/>
      <w:marRight w:val="0"/>
      <w:marTop w:val="0"/>
      <w:marBottom w:val="0"/>
      <w:divBdr>
        <w:top w:val="none" w:sz="0" w:space="0" w:color="auto"/>
        <w:left w:val="none" w:sz="0" w:space="0" w:color="auto"/>
        <w:bottom w:val="none" w:sz="0" w:space="0" w:color="auto"/>
        <w:right w:val="none" w:sz="0" w:space="0" w:color="auto"/>
      </w:divBdr>
      <w:divsChild>
        <w:div w:id="477890897">
          <w:marLeft w:val="0"/>
          <w:marRight w:val="0"/>
          <w:marTop w:val="0"/>
          <w:marBottom w:val="90"/>
          <w:divBdr>
            <w:top w:val="none" w:sz="0" w:space="0" w:color="auto"/>
            <w:left w:val="none" w:sz="0" w:space="0" w:color="auto"/>
            <w:bottom w:val="none" w:sz="0" w:space="0" w:color="auto"/>
            <w:right w:val="none" w:sz="0" w:space="0" w:color="auto"/>
          </w:divBdr>
          <w:divsChild>
            <w:div w:id="1613246865">
              <w:marLeft w:val="0"/>
              <w:marRight w:val="0"/>
              <w:marTop w:val="0"/>
              <w:marBottom w:val="0"/>
              <w:divBdr>
                <w:top w:val="none" w:sz="0" w:space="0" w:color="auto"/>
                <w:left w:val="none" w:sz="0" w:space="0" w:color="auto"/>
                <w:bottom w:val="none" w:sz="0" w:space="0" w:color="auto"/>
                <w:right w:val="none" w:sz="0" w:space="0" w:color="auto"/>
              </w:divBdr>
            </w:div>
          </w:divsChild>
        </w:div>
        <w:div w:id="1570799303">
          <w:marLeft w:val="0"/>
          <w:marRight w:val="0"/>
          <w:marTop w:val="0"/>
          <w:marBottom w:val="0"/>
          <w:divBdr>
            <w:top w:val="none" w:sz="0" w:space="0" w:color="auto"/>
            <w:left w:val="none" w:sz="0" w:space="0" w:color="auto"/>
            <w:bottom w:val="none" w:sz="0" w:space="0" w:color="auto"/>
            <w:right w:val="none" w:sz="0" w:space="0" w:color="auto"/>
          </w:divBdr>
          <w:divsChild>
            <w:div w:id="807556935">
              <w:marLeft w:val="0"/>
              <w:marRight w:val="0"/>
              <w:marTop w:val="0"/>
              <w:marBottom w:val="0"/>
              <w:divBdr>
                <w:top w:val="none" w:sz="0" w:space="0" w:color="auto"/>
                <w:left w:val="none" w:sz="0" w:space="0" w:color="auto"/>
                <w:bottom w:val="none" w:sz="0" w:space="0" w:color="auto"/>
                <w:right w:val="none" w:sz="0" w:space="0" w:color="auto"/>
              </w:divBdr>
              <w:divsChild>
                <w:div w:id="19544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82553">
      <w:bodyDiv w:val="1"/>
      <w:marLeft w:val="0"/>
      <w:marRight w:val="0"/>
      <w:marTop w:val="0"/>
      <w:marBottom w:val="0"/>
      <w:divBdr>
        <w:top w:val="none" w:sz="0" w:space="0" w:color="auto"/>
        <w:left w:val="none" w:sz="0" w:space="0" w:color="auto"/>
        <w:bottom w:val="none" w:sz="0" w:space="0" w:color="auto"/>
        <w:right w:val="none" w:sz="0" w:space="0" w:color="auto"/>
      </w:divBdr>
    </w:div>
    <w:div w:id="957182514">
      <w:bodyDiv w:val="1"/>
      <w:marLeft w:val="0"/>
      <w:marRight w:val="0"/>
      <w:marTop w:val="0"/>
      <w:marBottom w:val="0"/>
      <w:divBdr>
        <w:top w:val="none" w:sz="0" w:space="0" w:color="auto"/>
        <w:left w:val="none" w:sz="0" w:space="0" w:color="auto"/>
        <w:bottom w:val="none" w:sz="0" w:space="0" w:color="auto"/>
        <w:right w:val="none" w:sz="0" w:space="0" w:color="auto"/>
      </w:divBdr>
    </w:div>
    <w:div w:id="958221901">
      <w:bodyDiv w:val="1"/>
      <w:marLeft w:val="0"/>
      <w:marRight w:val="0"/>
      <w:marTop w:val="0"/>
      <w:marBottom w:val="0"/>
      <w:divBdr>
        <w:top w:val="none" w:sz="0" w:space="0" w:color="auto"/>
        <w:left w:val="none" w:sz="0" w:space="0" w:color="auto"/>
        <w:bottom w:val="none" w:sz="0" w:space="0" w:color="auto"/>
        <w:right w:val="none" w:sz="0" w:space="0" w:color="auto"/>
      </w:divBdr>
    </w:div>
    <w:div w:id="958419359">
      <w:bodyDiv w:val="1"/>
      <w:marLeft w:val="0"/>
      <w:marRight w:val="0"/>
      <w:marTop w:val="0"/>
      <w:marBottom w:val="0"/>
      <w:divBdr>
        <w:top w:val="none" w:sz="0" w:space="0" w:color="auto"/>
        <w:left w:val="none" w:sz="0" w:space="0" w:color="auto"/>
        <w:bottom w:val="none" w:sz="0" w:space="0" w:color="auto"/>
        <w:right w:val="none" w:sz="0" w:space="0" w:color="auto"/>
      </w:divBdr>
    </w:div>
    <w:div w:id="963081675">
      <w:bodyDiv w:val="1"/>
      <w:marLeft w:val="0"/>
      <w:marRight w:val="0"/>
      <w:marTop w:val="0"/>
      <w:marBottom w:val="0"/>
      <w:divBdr>
        <w:top w:val="none" w:sz="0" w:space="0" w:color="auto"/>
        <w:left w:val="none" w:sz="0" w:space="0" w:color="auto"/>
        <w:bottom w:val="none" w:sz="0" w:space="0" w:color="auto"/>
        <w:right w:val="none" w:sz="0" w:space="0" w:color="auto"/>
      </w:divBdr>
    </w:div>
    <w:div w:id="963193108">
      <w:bodyDiv w:val="1"/>
      <w:marLeft w:val="0"/>
      <w:marRight w:val="0"/>
      <w:marTop w:val="0"/>
      <w:marBottom w:val="0"/>
      <w:divBdr>
        <w:top w:val="none" w:sz="0" w:space="0" w:color="auto"/>
        <w:left w:val="none" w:sz="0" w:space="0" w:color="auto"/>
        <w:bottom w:val="none" w:sz="0" w:space="0" w:color="auto"/>
        <w:right w:val="none" w:sz="0" w:space="0" w:color="auto"/>
      </w:divBdr>
    </w:div>
    <w:div w:id="966812951">
      <w:bodyDiv w:val="1"/>
      <w:marLeft w:val="0"/>
      <w:marRight w:val="0"/>
      <w:marTop w:val="0"/>
      <w:marBottom w:val="0"/>
      <w:divBdr>
        <w:top w:val="none" w:sz="0" w:space="0" w:color="auto"/>
        <w:left w:val="none" w:sz="0" w:space="0" w:color="auto"/>
        <w:bottom w:val="none" w:sz="0" w:space="0" w:color="auto"/>
        <w:right w:val="none" w:sz="0" w:space="0" w:color="auto"/>
      </w:divBdr>
    </w:div>
    <w:div w:id="969478543">
      <w:bodyDiv w:val="1"/>
      <w:marLeft w:val="0"/>
      <w:marRight w:val="0"/>
      <w:marTop w:val="0"/>
      <w:marBottom w:val="0"/>
      <w:divBdr>
        <w:top w:val="none" w:sz="0" w:space="0" w:color="auto"/>
        <w:left w:val="none" w:sz="0" w:space="0" w:color="auto"/>
        <w:bottom w:val="none" w:sz="0" w:space="0" w:color="auto"/>
        <w:right w:val="none" w:sz="0" w:space="0" w:color="auto"/>
      </w:divBdr>
    </w:div>
    <w:div w:id="974867020">
      <w:bodyDiv w:val="1"/>
      <w:marLeft w:val="0"/>
      <w:marRight w:val="0"/>
      <w:marTop w:val="0"/>
      <w:marBottom w:val="0"/>
      <w:divBdr>
        <w:top w:val="none" w:sz="0" w:space="0" w:color="auto"/>
        <w:left w:val="none" w:sz="0" w:space="0" w:color="auto"/>
        <w:bottom w:val="none" w:sz="0" w:space="0" w:color="auto"/>
        <w:right w:val="none" w:sz="0" w:space="0" w:color="auto"/>
      </w:divBdr>
    </w:div>
    <w:div w:id="975110301">
      <w:bodyDiv w:val="1"/>
      <w:marLeft w:val="0"/>
      <w:marRight w:val="0"/>
      <w:marTop w:val="0"/>
      <w:marBottom w:val="0"/>
      <w:divBdr>
        <w:top w:val="none" w:sz="0" w:space="0" w:color="auto"/>
        <w:left w:val="none" w:sz="0" w:space="0" w:color="auto"/>
        <w:bottom w:val="none" w:sz="0" w:space="0" w:color="auto"/>
        <w:right w:val="none" w:sz="0" w:space="0" w:color="auto"/>
      </w:divBdr>
    </w:div>
    <w:div w:id="979654022">
      <w:bodyDiv w:val="1"/>
      <w:marLeft w:val="0"/>
      <w:marRight w:val="0"/>
      <w:marTop w:val="0"/>
      <w:marBottom w:val="0"/>
      <w:divBdr>
        <w:top w:val="none" w:sz="0" w:space="0" w:color="auto"/>
        <w:left w:val="none" w:sz="0" w:space="0" w:color="auto"/>
        <w:bottom w:val="none" w:sz="0" w:space="0" w:color="auto"/>
        <w:right w:val="none" w:sz="0" w:space="0" w:color="auto"/>
      </w:divBdr>
    </w:div>
    <w:div w:id="981733336">
      <w:bodyDiv w:val="1"/>
      <w:marLeft w:val="0"/>
      <w:marRight w:val="0"/>
      <w:marTop w:val="0"/>
      <w:marBottom w:val="0"/>
      <w:divBdr>
        <w:top w:val="none" w:sz="0" w:space="0" w:color="auto"/>
        <w:left w:val="none" w:sz="0" w:space="0" w:color="auto"/>
        <w:bottom w:val="none" w:sz="0" w:space="0" w:color="auto"/>
        <w:right w:val="none" w:sz="0" w:space="0" w:color="auto"/>
      </w:divBdr>
    </w:div>
    <w:div w:id="984161726">
      <w:bodyDiv w:val="1"/>
      <w:marLeft w:val="0"/>
      <w:marRight w:val="0"/>
      <w:marTop w:val="0"/>
      <w:marBottom w:val="0"/>
      <w:divBdr>
        <w:top w:val="none" w:sz="0" w:space="0" w:color="auto"/>
        <w:left w:val="none" w:sz="0" w:space="0" w:color="auto"/>
        <w:bottom w:val="none" w:sz="0" w:space="0" w:color="auto"/>
        <w:right w:val="none" w:sz="0" w:space="0" w:color="auto"/>
      </w:divBdr>
    </w:div>
    <w:div w:id="984698500">
      <w:bodyDiv w:val="1"/>
      <w:marLeft w:val="0"/>
      <w:marRight w:val="0"/>
      <w:marTop w:val="0"/>
      <w:marBottom w:val="0"/>
      <w:divBdr>
        <w:top w:val="none" w:sz="0" w:space="0" w:color="auto"/>
        <w:left w:val="none" w:sz="0" w:space="0" w:color="auto"/>
        <w:bottom w:val="none" w:sz="0" w:space="0" w:color="auto"/>
        <w:right w:val="none" w:sz="0" w:space="0" w:color="auto"/>
      </w:divBdr>
    </w:div>
    <w:div w:id="984966304">
      <w:bodyDiv w:val="1"/>
      <w:marLeft w:val="0"/>
      <w:marRight w:val="0"/>
      <w:marTop w:val="0"/>
      <w:marBottom w:val="0"/>
      <w:divBdr>
        <w:top w:val="none" w:sz="0" w:space="0" w:color="auto"/>
        <w:left w:val="none" w:sz="0" w:space="0" w:color="auto"/>
        <w:bottom w:val="none" w:sz="0" w:space="0" w:color="auto"/>
        <w:right w:val="none" w:sz="0" w:space="0" w:color="auto"/>
      </w:divBdr>
    </w:div>
    <w:div w:id="984967230">
      <w:bodyDiv w:val="1"/>
      <w:marLeft w:val="0"/>
      <w:marRight w:val="0"/>
      <w:marTop w:val="0"/>
      <w:marBottom w:val="0"/>
      <w:divBdr>
        <w:top w:val="none" w:sz="0" w:space="0" w:color="auto"/>
        <w:left w:val="none" w:sz="0" w:space="0" w:color="auto"/>
        <w:bottom w:val="none" w:sz="0" w:space="0" w:color="auto"/>
        <w:right w:val="none" w:sz="0" w:space="0" w:color="auto"/>
      </w:divBdr>
    </w:div>
    <w:div w:id="987173833">
      <w:bodyDiv w:val="1"/>
      <w:marLeft w:val="0"/>
      <w:marRight w:val="0"/>
      <w:marTop w:val="0"/>
      <w:marBottom w:val="0"/>
      <w:divBdr>
        <w:top w:val="none" w:sz="0" w:space="0" w:color="auto"/>
        <w:left w:val="none" w:sz="0" w:space="0" w:color="auto"/>
        <w:bottom w:val="none" w:sz="0" w:space="0" w:color="auto"/>
        <w:right w:val="none" w:sz="0" w:space="0" w:color="auto"/>
      </w:divBdr>
    </w:div>
    <w:div w:id="991064782">
      <w:bodyDiv w:val="1"/>
      <w:marLeft w:val="0"/>
      <w:marRight w:val="0"/>
      <w:marTop w:val="0"/>
      <w:marBottom w:val="0"/>
      <w:divBdr>
        <w:top w:val="none" w:sz="0" w:space="0" w:color="auto"/>
        <w:left w:val="none" w:sz="0" w:space="0" w:color="auto"/>
        <w:bottom w:val="none" w:sz="0" w:space="0" w:color="auto"/>
        <w:right w:val="none" w:sz="0" w:space="0" w:color="auto"/>
      </w:divBdr>
    </w:div>
    <w:div w:id="992028931">
      <w:bodyDiv w:val="1"/>
      <w:marLeft w:val="0"/>
      <w:marRight w:val="0"/>
      <w:marTop w:val="0"/>
      <w:marBottom w:val="0"/>
      <w:divBdr>
        <w:top w:val="none" w:sz="0" w:space="0" w:color="auto"/>
        <w:left w:val="none" w:sz="0" w:space="0" w:color="auto"/>
        <w:bottom w:val="none" w:sz="0" w:space="0" w:color="auto"/>
        <w:right w:val="none" w:sz="0" w:space="0" w:color="auto"/>
      </w:divBdr>
    </w:div>
    <w:div w:id="998728204">
      <w:bodyDiv w:val="1"/>
      <w:marLeft w:val="0"/>
      <w:marRight w:val="0"/>
      <w:marTop w:val="0"/>
      <w:marBottom w:val="0"/>
      <w:divBdr>
        <w:top w:val="none" w:sz="0" w:space="0" w:color="auto"/>
        <w:left w:val="none" w:sz="0" w:space="0" w:color="auto"/>
        <w:bottom w:val="none" w:sz="0" w:space="0" w:color="auto"/>
        <w:right w:val="none" w:sz="0" w:space="0" w:color="auto"/>
      </w:divBdr>
    </w:div>
    <w:div w:id="1001347268">
      <w:bodyDiv w:val="1"/>
      <w:marLeft w:val="0"/>
      <w:marRight w:val="0"/>
      <w:marTop w:val="0"/>
      <w:marBottom w:val="0"/>
      <w:divBdr>
        <w:top w:val="none" w:sz="0" w:space="0" w:color="auto"/>
        <w:left w:val="none" w:sz="0" w:space="0" w:color="auto"/>
        <w:bottom w:val="none" w:sz="0" w:space="0" w:color="auto"/>
        <w:right w:val="none" w:sz="0" w:space="0" w:color="auto"/>
      </w:divBdr>
    </w:div>
    <w:div w:id="1001540099">
      <w:bodyDiv w:val="1"/>
      <w:marLeft w:val="0"/>
      <w:marRight w:val="0"/>
      <w:marTop w:val="0"/>
      <w:marBottom w:val="0"/>
      <w:divBdr>
        <w:top w:val="none" w:sz="0" w:space="0" w:color="auto"/>
        <w:left w:val="none" w:sz="0" w:space="0" w:color="auto"/>
        <w:bottom w:val="none" w:sz="0" w:space="0" w:color="auto"/>
        <w:right w:val="none" w:sz="0" w:space="0" w:color="auto"/>
      </w:divBdr>
    </w:div>
    <w:div w:id="1008018772">
      <w:bodyDiv w:val="1"/>
      <w:marLeft w:val="0"/>
      <w:marRight w:val="0"/>
      <w:marTop w:val="0"/>
      <w:marBottom w:val="0"/>
      <w:divBdr>
        <w:top w:val="none" w:sz="0" w:space="0" w:color="auto"/>
        <w:left w:val="none" w:sz="0" w:space="0" w:color="auto"/>
        <w:bottom w:val="none" w:sz="0" w:space="0" w:color="auto"/>
        <w:right w:val="none" w:sz="0" w:space="0" w:color="auto"/>
      </w:divBdr>
    </w:div>
    <w:div w:id="1013609292">
      <w:bodyDiv w:val="1"/>
      <w:marLeft w:val="0"/>
      <w:marRight w:val="0"/>
      <w:marTop w:val="0"/>
      <w:marBottom w:val="0"/>
      <w:divBdr>
        <w:top w:val="none" w:sz="0" w:space="0" w:color="auto"/>
        <w:left w:val="none" w:sz="0" w:space="0" w:color="auto"/>
        <w:bottom w:val="none" w:sz="0" w:space="0" w:color="auto"/>
        <w:right w:val="none" w:sz="0" w:space="0" w:color="auto"/>
      </w:divBdr>
    </w:div>
    <w:div w:id="1013651043">
      <w:bodyDiv w:val="1"/>
      <w:marLeft w:val="0"/>
      <w:marRight w:val="0"/>
      <w:marTop w:val="0"/>
      <w:marBottom w:val="0"/>
      <w:divBdr>
        <w:top w:val="none" w:sz="0" w:space="0" w:color="auto"/>
        <w:left w:val="none" w:sz="0" w:space="0" w:color="auto"/>
        <w:bottom w:val="none" w:sz="0" w:space="0" w:color="auto"/>
        <w:right w:val="none" w:sz="0" w:space="0" w:color="auto"/>
      </w:divBdr>
    </w:div>
    <w:div w:id="1016351698">
      <w:bodyDiv w:val="1"/>
      <w:marLeft w:val="0"/>
      <w:marRight w:val="0"/>
      <w:marTop w:val="0"/>
      <w:marBottom w:val="0"/>
      <w:divBdr>
        <w:top w:val="none" w:sz="0" w:space="0" w:color="auto"/>
        <w:left w:val="none" w:sz="0" w:space="0" w:color="auto"/>
        <w:bottom w:val="none" w:sz="0" w:space="0" w:color="auto"/>
        <w:right w:val="none" w:sz="0" w:space="0" w:color="auto"/>
      </w:divBdr>
    </w:div>
    <w:div w:id="1020207969">
      <w:bodyDiv w:val="1"/>
      <w:marLeft w:val="0"/>
      <w:marRight w:val="0"/>
      <w:marTop w:val="0"/>
      <w:marBottom w:val="0"/>
      <w:divBdr>
        <w:top w:val="none" w:sz="0" w:space="0" w:color="auto"/>
        <w:left w:val="none" w:sz="0" w:space="0" w:color="auto"/>
        <w:bottom w:val="none" w:sz="0" w:space="0" w:color="auto"/>
        <w:right w:val="none" w:sz="0" w:space="0" w:color="auto"/>
      </w:divBdr>
    </w:div>
    <w:div w:id="1023287040">
      <w:bodyDiv w:val="1"/>
      <w:marLeft w:val="0"/>
      <w:marRight w:val="0"/>
      <w:marTop w:val="0"/>
      <w:marBottom w:val="0"/>
      <w:divBdr>
        <w:top w:val="none" w:sz="0" w:space="0" w:color="auto"/>
        <w:left w:val="none" w:sz="0" w:space="0" w:color="auto"/>
        <w:bottom w:val="none" w:sz="0" w:space="0" w:color="auto"/>
        <w:right w:val="none" w:sz="0" w:space="0" w:color="auto"/>
      </w:divBdr>
    </w:div>
    <w:div w:id="1025061864">
      <w:bodyDiv w:val="1"/>
      <w:marLeft w:val="0"/>
      <w:marRight w:val="0"/>
      <w:marTop w:val="0"/>
      <w:marBottom w:val="0"/>
      <w:divBdr>
        <w:top w:val="none" w:sz="0" w:space="0" w:color="auto"/>
        <w:left w:val="none" w:sz="0" w:space="0" w:color="auto"/>
        <w:bottom w:val="none" w:sz="0" w:space="0" w:color="auto"/>
        <w:right w:val="none" w:sz="0" w:space="0" w:color="auto"/>
      </w:divBdr>
    </w:div>
    <w:div w:id="1028145130">
      <w:bodyDiv w:val="1"/>
      <w:marLeft w:val="0"/>
      <w:marRight w:val="0"/>
      <w:marTop w:val="0"/>
      <w:marBottom w:val="0"/>
      <w:divBdr>
        <w:top w:val="none" w:sz="0" w:space="0" w:color="auto"/>
        <w:left w:val="none" w:sz="0" w:space="0" w:color="auto"/>
        <w:bottom w:val="none" w:sz="0" w:space="0" w:color="auto"/>
        <w:right w:val="none" w:sz="0" w:space="0" w:color="auto"/>
      </w:divBdr>
    </w:div>
    <w:div w:id="1031540085">
      <w:bodyDiv w:val="1"/>
      <w:marLeft w:val="0"/>
      <w:marRight w:val="0"/>
      <w:marTop w:val="0"/>
      <w:marBottom w:val="0"/>
      <w:divBdr>
        <w:top w:val="none" w:sz="0" w:space="0" w:color="auto"/>
        <w:left w:val="none" w:sz="0" w:space="0" w:color="auto"/>
        <w:bottom w:val="none" w:sz="0" w:space="0" w:color="auto"/>
        <w:right w:val="none" w:sz="0" w:space="0" w:color="auto"/>
      </w:divBdr>
    </w:div>
    <w:div w:id="1035425586">
      <w:bodyDiv w:val="1"/>
      <w:marLeft w:val="0"/>
      <w:marRight w:val="0"/>
      <w:marTop w:val="0"/>
      <w:marBottom w:val="0"/>
      <w:divBdr>
        <w:top w:val="none" w:sz="0" w:space="0" w:color="auto"/>
        <w:left w:val="none" w:sz="0" w:space="0" w:color="auto"/>
        <w:bottom w:val="none" w:sz="0" w:space="0" w:color="auto"/>
        <w:right w:val="none" w:sz="0" w:space="0" w:color="auto"/>
      </w:divBdr>
    </w:div>
    <w:div w:id="1035469888">
      <w:bodyDiv w:val="1"/>
      <w:marLeft w:val="0"/>
      <w:marRight w:val="0"/>
      <w:marTop w:val="0"/>
      <w:marBottom w:val="0"/>
      <w:divBdr>
        <w:top w:val="none" w:sz="0" w:space="0" w:color="auto"/>
        <w:left w:val="none" w:sz="0" w:space="0" w:color="auto"/>
        <w:bottom w:val="none" w:sz="0" w:space="0" w:color="auto"/>
        <w:right w:val="none" w:sz="0" w:space="0" w:color="auto"/>
      </w:divBdr>
    </w:div>
    <w:div w:id="1037775229">
      <w:bodyDiv w:val="1"/>
      <w:marLeft w:val="0"/>
      <w:marRight w:val="0"/>
      <w:marTop w:val="0"/>
      <w:marBottom w:val="0"/>
      <w:divBdr>
        <w:top w:val="none" w:sz="0" w:space="0" w:color="auto"/>
        <w:left w:val="none" w:sz="0" w:space="0" w:color="auto"/>
        <w:bottom w:val="none" w:sz="0" w:space="0" w:color="auto"/>
        <w:right w:val="none" w:sz="0" w:space="0" w:color="auto"/>
      </w:divBdr>
    </w:div>
    <w:div w:id="1039204400">
      <w:bodyDiv w:val="1"/>
      <w:marLeft w:val="0"/>
      <w:marRight w:val="0"/>
      <w:marTop w:val="0"/>
      <w:marBottom w:val="0"/>
      <w:divBdr>
        <w:top w:val="none" w:sz="0" w:space="0" w:color="auto"/>
        <w:left w:val="none" w:sz="0" w:space="0" w:color="auto"/>
        <w:bottom w:val="none" w:sz="0" w:space="0" w:color="auto"/>
        <w:right w:val="none" w:sz="0" w:space="0" w:color="auto"/>
      </w:divBdr>
    </w:div>
    <w:div w:id="1039432441">
      <w:bodyDiv w:val="1"/>
      <w:marLeft w:val="0"/>
      <w:marRight w:val="0"/>
      <w:marTop w:val="0"/>
      <w:marBottom w:val="0"/>
      <w:divBdr>
        <w:top w:val="none" w:sz="0" w:space="0" w:color="auto"/>
        <w:left w:val="none" w:sz="0" w:space="0" w:color="auto"/>
        <w:bottom w:val="none" w:sz="0" w:space="0" w:color="auto"/>
        <w:right w:val="none" w:sz="0" w:space="0" w:color="auto"/>
      </w:divBdr>
    </w:div>
    <w:div w:id="1048452157">
      <w:bodyDiv w:val="1"/>
      <w:marLeft w:val="0"/>
      <w:marRight w:val="0"/>
      <w:marTop w:val="0"/>
      <w:marBottom w:val="0"/>
      <w:divBdr>
        <w:top w:val="none" w:sz="0" w:space="0" w:color="auto"/>
        <w:left w:val="none" w:sz="0" w:space="0" w:color="auto"/>
        <w:bottom w:val="none" w:sz="0" w:space="0" w:color="auto"/>
        <w:right w:val="none" w:sz="0" w:space="0" w:color="auto"/>
      </w:divBdr>
    </w:div>
    <w:div w:id="1051807984">
      <w:bodyDiv w:val="1"/>
      <w:marLeft w:val="0"/>
      <w:marRight w:val="0"/>
      <w:marTop w:val="0"/>
      <w:marBottom w:val="0"/>
      <w:divBdr>
        <w:top w:val="none" w:sz="0" w:space="0" w:color="auto"/>
        <w:left w:val="none" w:sz="0" w:space="0" w:color="auto"/>
        <w:bottom w:val="none" w:sz="0" w:space="0" w:color="auto"/>
        <w:right w:val="none" w:sz="0" w:space="0" w:color="auto"/>
      </w:divBdr>
    </w:div>
    <w:div w:id="1054542473">
      <w:bodyDiv w:val="1"/>
      <w:marLeft w:val="0"/>
      <w:marRight w:val="0"/>
      <w:marTop w:val="0"/>
      <w:marBottom w:val="0"/>
      <w:divBdr>
        <w:top w:val="none" w:sz="0" w:space="0" w:color="auto"/>
        <w:left w:val="none" w:sz="0" w:space="0" w:color="auto"/>
        <w:bottom w:val="none" w:sz="0" w:space="0" w:color="auto"/>
        <w:right w:val="none" w:sz="0" w:space="0" w:color="auto"/>
      </w:divBdr>
    </w:div>
    <w:div w:id="1056735002">
      <w:bodyDiv w:val="1"/>
      <w:marLeft w:val="0"/>
      <w:marRight w:val="0"/>
      <w:marTop w:val="0"/>
      <w:marBottom w:val="0"/>
      <w:divBdr>
        <w:top w:val="none" w:sz="0" w:space="0" w:color="auto"/>
        <w:left w:val="none" w:sz="0" w:space="0" w:color="auto"/>
        <w:bottom w:val="none" w:sz="0" w:space="0" w:color="auto"/>
        <w:right w:val="none" w:sz="0" w:space="0" w:color="auto"/>
      </w:divBdr>
    </w:div>
    <w:div w:id="1058824893">
      <w:bodyDiv w:val="1"/>
      <w:marLeft w:val="0"/>
      <w:marRight w:val="0"/>
      <w:marTop w:val="0"/>
      <w:marBottom w:val="0"/>
      <w:divBdr>
        <w:top w:val="none" w:sz="0" w:space="0" w:color="auto"/>
        <w:left w:val="none" w:sz="0" w:space="0" w:color="auto"/>
        <w:bottom w:val="none" w:sz="0" w:space="0" w:color="auto"/>
        <w:right w:val="none" w:sz="0" w:space="0" w:color="auto"/>
      </w:divBdr>
    </w:div>
    <w:div w:id="1064328126">
      <w:bodyDiv w:val="1"/>
      <w:marLeft w:val="0"/>
      <w:marRight w:val="0"/>
      <w:marTop w:val="0"/>
      <w:marBottom w:val="0"/>
      <w:divBdr>
        <w:top w:val="none" w:sz="0" w:space="0" w:color="auto"/>
        <w:left w:val="none" w:sz="0" w:space="0" w:color="auto"/>
        <w:bottom w:val="none" w:sz="0" w:space="0" w:color="auto"/>
        <w:right w:val="none" w:sz="0" w:space="0" w:color="auto"/>
      </w:divBdr>
    </w:div>
    <w:div w:id="1065567834">
      <w:bodyDiv w:val="1"/>
      <w:marLeft w:val="0"/>
      <w:marRight w:val="0"/>
      <w:marTop w:val="0"/>
      <w:marBottom w:val="0"/>
      <w:divBdr>
        <w:top w:val="none" w:sz="0" w:space="0" w:color="auto"/>
        <w:left w:val="none" w:sz="0" w:space="0" w:color="auto"/>
        <w:bottom w:val="none" w:sz="0" w:space="0" w:color="auto"/>
        <w:right w:val="none" w:sz="0" w:space="0" w:color="auto"/>
      </w:divBdr>
    </w:div>
    <w:div w:id="1070274793">
      <w:bodyDiv w:val="1"/>
      <w:marLeft w:val="0"/>
      <w:marRight w:val="0"/>
      <w:marTop w:val="0"/>
      <w:marBottom w:val="0"/>
      <w:divBdr>
        <w:top w:val="none" w:sz="0" w:space="0" w:color="auto"/>
        <w:left w:val="none" w:sz="0" w:space="0" w:color="auto"/>
        <w:bottom w:val="none" w:sz="0" w:space="0" w:color="auto"/>
        <w:right w:val="none" w:sz="0" w:space="0" w:color="auto"/>
      </w:divBdr>
    </w:div>
    <w:div w:id="1074207457">
      <w:bodyDiv w:val="1"/>
      <w:marLeft w:val="0"/>
      <w:marRight w:val="0"/>
      <w:marTop w:val="0"/>
      <w:marBottom w:val="0"/>
      <w:divBdr>
        <w:top w:val="none" w:sz="0" w:space="0" w:color="auto"/>
        <w:left w:val="none" w:sz="0" w:space="0" w:color="auto"/>
        <w:bottom w:val="none" w:sz="0" w:space="0" w:color="auto"/>
        <w:right w:val="none" w:sz="0" w:space="0" w:color="auto"/>
      </w:divBdr>
    </w:div>
    <w:div w:id="1076318179">
      <w:bodyDiv w:val="1"/>
      <w:marLeft w:val="0"/>
      <w:marRight w:val="0"/>
      <w:marTop w:val="0"/>
      <w:marBottom w:val="0"/>
      <w:divBdr>
        <w:top w:val="none" w:sz="0" w:space="0" w:color="auto"/>
        <w:left w:val="none" w:sz="0" w:space="0" w:color="auto"/>
        <w:bottom w:val="none" w:sz="0" w:space="0" w:color="auto"/>
        <w:right w:val="none" w:sz="0" w:space="0" w:color="auto"/>
      </w:divBdr>
    </w:div>
    <w:div w:id="1078791720">
      <w:bodyDiv w:val="1"/>
      <w:marLeft w:val="0"/>
      <w:marRight w:val="0"/>
      <w:marTop w:val="0"/>
      <w:marBottom w:val="0"/>
      <w:divBdr>
        <w:top w:val="none" w:sz="0" w:space="0" w:color="auto"/>
        <w:left w:val="none" w:sz="0" w:space="0" w:color="auto"/>
        <w:bottom w:val="none" w:sz="0" w:space="0" w:color="auto"/>
        <w:right w:val="none" w:sz="0" w:space="0" w:color="auto"/>
      </w:divBdr>
    </w:div>
    <w:div w:id="1081757969">
      <w:bodyDiv w:val="1"/>
      <w:marLeft w:val="0"/>
      <w:marRight w:val="0"/>
      <w:marTop w:val="0"/>
      <w:marBottom w:val="0"/>
      <w:divBdr>
        <w:top w:val="none" w:sz="0" w:space="0" w:color="auto"/>
        <w:left w:val="none" w:sz="0" w:space="0" w:color="auto"/>
        <w:bottom w:val="none" w:sz="0" w:space="0" w:color="auto"/>
        <w:right w:val="none" w:sz="0" w:space="0" w:color="auto"/>
      </w:divBdr>
    </w:div>
    <w:div w:id="1082214104">
      <w:bodyDiv w:val="1"/>
      <w:marLeft w:val="0"/>
      <w:marRight w:val="0"/>
      <w:marTop w:val="0"/>
      <w:marBottom w:val="0"/>
      <w:divBdr>
        <w:top w:val="none" w:sz="0" w:space="0" w:color="auto"/>
        <w:left w:val="none" w:sz="0" w:space="0" w:color="auto"/>
        <w:bottom w:val="none" w:sz="0" w:space="0" w:color="auto"/>
        <w:right w:val="none" w:sz="0" w:space="0" w:color="auto"/>
      </w:divBdr>
    </w:div>
    <w:div w:id="1085371856">
      <w:bodyDiv w:val="1"/>
      <w:marLeft w:val="0"/>
      <w:marRight w:val="0"/>
      <w:marTop w:val="0"/>
      <w:marBottom w:val="0"/>
      <w:divBdr>
        <w:top w:val="none" w:sz="0" w:space="0" w:color="auto"/>
        <w:left w:val="none" w:sz="0" w:space="0" w:color="auto"/>
        <w:bottom w:val="none" w:sz="0" w:space="0" w:color="auto"/>
        <w:right w:val="none" w:sz="0" w:space="0" w:color="auto"/>
      </w:divBdr>
    </w:div>
    <w:div w:id="1090925102">
      <w:bodyDiv w:val="1"/>
      <w:marLeft w:val="0"/>
      <w:marRight w:val="0"/>
      <w:marTop w:val="0"/>
      <w:marBottom w:val="0"/>
      <w:divBdr>
        <w:top w:val="none" w:sz="0" w:space="0" w:color="auto"/>
        <w:left w:val="none" w:sz="0" w:space="0" w:color="auto"/>
        <w:bottom w:val="none" w:sz="0" w:space="0" w:color="auto"/>
        <w:right w:val="none" w:sz="0" w:space="0" w:color="auto"/>
      </w:divBdr>
    </w:div>
    <w:div w:id="1092970839">
      <w:bodyDiv w:val="1"/>
      <w:marLeft w:val="0"/>
      <w:marRight w:val="0"/>
      <w:marTop w:val="0"/>
      <w:marBottom w:val="0"/>
      <w:divBdr>
        <w:top w:val="none" w:sz="0" w:space="0" w:color="auto"/>
        <w:left w:val="none" w:sz="0" w:space="0" w:color="auto"/>
        <w:bottom w:val="none" w:sz="0" w:space="0" w:color="auto"/>
        <w:right w:val="none" w:sz="0" w:space="0" w:color="auto"/>
      </w:divBdr>
    </w:div>
    <w:div w:id="1093743482">
      <w:bodyDiv w:val="1"/>
      <w:marLeft w:val="0"/>
      <w:marRight w:val="0"/>
      <w:marTop w:val="0"/>
      <w:marBottom w:val="0"/>
      <w:divBdr>
        <w:top w:val="none" w:sz="0" w:space="0" w:color="auto"/>
        <w:left w:val="none" w:sz="0" w:space="0" w:color="auto"/>
        <w:bottom w:val="none" w:sz="0" w:space="0" w:color="auto"/>
        <w:right w:val="none" w:sz="0" w:space="0" w:color="auto"/>
      </w:divBdr>
    </w:div>
    <w:div w:id="1097553233">
      <w:bodyDiv w:val="1"/>
      <w:marLeft w:val="0"/>
      <w:marRight w:val="0"/>
      <w:marTop w:val="0"/>
      <w:marBottom w:val="0"/>
      <w:divBdr>
        <w:top w:val="none" w:sz="0" w:space="0" w:color="auto"/>
        <w:left w:val="none" w:sz="0" w:space="0" w:color="auto"/>
        <w:bottom w:val="none" w:sz="0" w:space="0" w:color="auto"/>
        <w:right w:val="none" w:sz="0" w:space="0" w:color="auto"/>
      </w:divBdr>
    </w:div>
    <w:div w:id="1101216670">
      <w:bodyDiv w:val="1"/>
      <w:marLeft w:val="0"/>
      <w:marRight w:val="0"/>
      <w:marTop w:val="0"/>
      <w:marBottom w:val="0"/>
      <w:divBdr>
        <w:top w:val="none" w:sz="0" w:space="0" w:color="auto"/>
        <w:left w:val="none" w:sz="0" w:space="0" w:color="auto"/>
        <w:bottom w:val="none" w:sz="0" w:space="0" w:color="auto"/>
        <w:right w:val="none" w:sz="0" w:space="0" w:color="auto"/>
      </w:divBdr>
    </w:div>
    <w:div w:id="1106005360">
      <w:bodyDiv w:val="1"/>
      <w:marLeft w:val="0"/>
      <w:marRight w:val="0"/>
      <w:marTop w:val="0"/>
      <w:marBottom w:val="0"/>
      <w:divBdr>
        <w:top w:val="none" w:sz="0" w:space="0" w:color="auto"/>
        <w:left w:val="none" w:sz="0" w:space="0" w:color="auto"/>
        <w:bottom w:val="none" w:sz="0" w:space="0" w:color="auto"/>
        <w:right w:val="none" w:sz="0" w:space="0" w:color="auto"/>
      </w:divBdr>
      <w:divsChild>
        <w:div w:id="771628656">
          <w:marLeft w:val="0"/>
          <w:marRight w:val="0"/>
          <w:marTop w:val="0"/>
          <w:marBottom w:val="0"/>
          <w:divBdr>
            <w:top w:val="none" w:sz="0" w:space="0" w:color="auto"/>
            <w:left w:val="none" w:sz="0" w:space="0" w:color="auto"/>
            <w:bottom w:val="none" w:sz="0" w:space="0" w:color="auto"/>
            <w:right w:val="none" w:sz="0" w:space="0" w:color="auto"/>
          </w:divBdr>
        </w:div>
        <w:div w:id="1555308227">
          <w:marLeft w:val="0"/>
          <w:marRight w:val="0"/>
          <w:marTop w:val="0"/>
          <w:marBottom w:val="0"/>
          <w:divBdr>
            <w:top w:val="none" w:sz="0" w:space="0" w:color="auto"/>
            <w:left w:val="none" w:sz="0" w:space="0" w:color="auto"/>
            <w:bottom w:val="none" w:sz="0" w:space="0" w:color="auto"/>
            <w:right w:val="none" w:sz="0" w:space="0" w:color="auto"/>
          </w:divBdr>
        </w:div>
        <w:div w:id="1643458082">
          <w:blockQuote w:val="1"/>
          <w:marLeft w:val="600"/>
          <w:marRight w:val="0"/>
          <w:marTop w:val="0"/>
          <w:marBottom w:val="0"/>
          <w:divBdr>
            <w:top w:val="none" w:sz="0" w:space="0" w:color="auto"/>
            <w:left w:val="none" w:sz="0" w:space="0" w:color="auto"/>
            <w:bottom w:val="none" w:sz="0" w:space="0" w:color="auto"/>
            <w:right w:val="none" w:sz="0" w:space="0" w:color="auto"/>
          </w:divBdr>
          <w:divsChild>
            <w:div w:id="662003054">
              <w:marLeft w:val="0"/>
              <w:marRight w:val="0"/>
              <w:marTop w:val="0"/>
              <w:marBottom w:val="0"/>
              <w:divBdr>
                <w:top w:val="none" w:sz="0" w:space="0" w:color="auto"/>
                <w:left w:val="none" w:sz="0" w:space="0" w:color="auto"/>
                <w:bottom w:val="none" w:sz="0" w:space="0" w:color="auto"/>
                <w:right w:val="none" w:sz="0" w:space="0" w:color="auto"/>
              </w:divBdr>
            </w:div>
            <w:div w:id="829835478">
              <w:marLeft w:val="0"/>
              <w:marRight w:val="0"/>
              <w:marTop w:val="0"/>
              <w:marBottom w:val="0"/>
              <w:divBdr>
                <w:top w:val="none" w:sz="0" w:space="0" w:color="auto"/>
                <w:left w:val="none" w:sz="0" w:space="0" w:color="auto"/>
                <w:bottom w:val="none" w:sz="0" w:space="0" w:color="auto"/>
                <w:right w:val="none" w:sz="0" w:space="0" w:color="auto"/>
              </w:divBdr>
            </w:div>
            <w:div w:id="882326376">
              <w:marLeft w:val="0"/>
              <w:marRight w:val="0"/>
              <w:marTop w:val="0"/>
              <w:marBottom w:val="0"/>
              <w:divBdr>
                <w:top w:val="none" w:sz="0" w:space="0" w:color="auto"/>
                <w:left w:val="none" w:sz="0" w:space="0" w:color="auto"/>
                <w:bottom w:val="none" w:sz="0" w:space="0" w:color="auto"/>
                <w:right w:val="none" w:sz="0" w:space="0" w:color="auto"/>
              </w:divBdr>
            </w:div>
            <w:div w:id="16979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7212">
      <w:bodyDiv w:val="1"/>
      <w:marLeft w:val="0"/>
      <w:marRight w:val="0"/>
      <w:marTop w:val="0"/>
      <w:marBottom w:val="0"/>
      <w:divBdr>
        <w:top w:val="none" w:sz="0" w:space="0" w:color="auto"/>
        <w:left w:val="none" w:sz="0" w:space="0" w:color="auto"/>
        <w:bottom w:val="none" w:sz="0" w:space="0" w:color="auto"/>
        <w:right w:val="none" w:sz="0" w:space="0" w:color="auto"/>
      </w:divBdr>
    </w:div>
    <w:div w:id="1111123423">
      <w:bodyDiv w:val="1"/>
      <w:marLeft w:val="0"/>
      <w:marRight w:val="0"/>
      <w:marTop w:val="0"/>
      <w:marBottom w:val="0"/>
      <w:divBdr>
        <w:top w:val="none" w:sz="0" w:space="0" w:color="auto"/>
        <w:left w:val="none" w:sz="0" w:space="0" w:color="auto"/>
        <w:bottom w:val="none" w:sz="0" w:space="0" w:color="auto"/>
        <w:right w:val="none" w:sz="0" w:space="0" w:color="auto"/>
      </w:divBdr>
    </w:div>
    <w:div w:id="1116287945">
      <w:bodyDiv w:val="1"/>
      <w:marLeft w:val="0"/>
      <w:marRight w:val="0"/>
      <w:marTop w:val="0"/>
      <w:marBottom w:val="0"/>
      <w:divBdr>
        <w:top w:val="none" w:sz="0" w:space="0" w:color="auto"/>
        <w:left w:val="none" w:sz="0" w:space="0" w:color="auto"/>
        <w:bottom w:val="none" w:sz="0" w:space="0" w:color="auto"/>
        <w:right w:val="none" w:sz="0" w:space="0" w:color="auto"/>
      </w:divBdr>
    </w:div>
    <w:div w:id="1131173536">
      <w:bodyDiv w:val="1"/>
      <w:marLeft w:val="0"/>
      <w:marRight w:val="0"/>
      <w:marTop w:val="0"/>
      <w:marBottom w:val="0"/>
      <w:divBdr>
        <w:top w:val="none" w:sz="0" w:space="0" w:color="auto"/>
        <w:left w:val="none" w:sz="0" w:space="0" w:color="auto"/>
        <w:bottom w:val="none" w:sz="0" w:space="0" w:color="auto"/>
        <w:right w:val="none" w:sz="0" w:space="0" w:color="auto"/>
      </w:divBdr>
    </w:div>
    <w:div w:id="1138574343">
      <w:bodyDiv w:val="1"/>
      <w:marLeft w:val="0"/>
      <w:marRight w:val="0"/>
      <w:marTop w:val="0"/>
      <w:marBottom w:val="0"/>
      <w:divBdr>
        <w:top w:val="none" w:sz="0" w:space="0" w:color="auto"/>
        <w:left w:val="none" w:sz="0" w:space="0" w:color="auto"/>
        <w:bottom w:val="none" w:sz="0" w:space="0" w:color="auto"/>
        <w:right w:val="none" w:sz="0" w:space="0" w:color="auto"/>
      </w:divBdr>
    </w:div>
    <w:div w:id="1139032680">
      <w:bodyDiv w:val="1"/>
      <w:marLeft w:val="0"/>
      <w:marRight w:val="0"/>
      <w:marTop w:val="0"/>
      <w:marBottom w:val="0"/>
      <w:divBdr>
        <w:top w:val="none" w:sz="0" w:space="0" w:color="auto"/>
        <w:left w:val="none" w:sz="0" w:space="0" w:color="auto"/>
        <w:bottom w:val="none" w:sz="0" w:space="0" w:color="auto"/>
        <w:right w:val="none" w:sz="0" w:space="0" w:color="auto"/>
      </w:divBdr>
    </w:div>
    <w:div w:id="1147934245">
      <w:bodyDiv w:val="1"/>
      <w:marLeft w:val="0"/>
      <w:marRight w:val="0"/>
      <w:marTop w:val="0"/>
      <w:marBottom w:val="0"/>
      <w:divBdr>
        <w:top w:val="none" w:sz="0" w:space="0" w:color="auto"/>
        <w:left w:val="none" w:sz="0" w:space="0" w:color="auto"/>
        <w:bottom w:val="none" w:sz="0" w:space="0" w:color="auto"/>
        <w:right w:val="none" w:sz="0" w:space="0" w:color="auto"/>
      </w:divBdr>
    </w:div>
    <w:div w:id="1148207317">
      <w:bodyDiv w:val="1"/>
      <w:marLeft w:val="0"/>
      <w:marRight w:val="0"/>
      <w:marTop w:val="0"/>
      <w:marBottom w:val="0"/>
      <w:divBdr>
        <w:top w:val="none" w:sz="0" w:space="0" w:color="auto"/>
        <w:left w:val="none" w:sz="0" w:space="0" w:color="auto"/>
        <w:bottom w:val="none" w:sz="0" w:space="0" w:color="auto"/>
        <w:right w:val="none" w:sz="0" w:space="0" w:color="auto"/>
      </w:divBdr>
    </w:div>
    <w:div w:id="1148858998">
      <w:bodyDiv w:val="1"/>
      <w:marLeft w:val="0"/>
      <w:marRight w:val="0"/>
      <w:marTop w:val="0"/>
      <w:marBottom w:val="0"/>
      <w:divBdr>
        <w:top w:val="none" w:sz="0" w:space="0" w:color="auto"/>
        <w:left w:val="none" w:sz="0" w:space="0" w:color="auto"/>
        <w:bottom w:val="none" w:sz="0" w:space="0" w:color="auto"/>
        <w:right w:val="none" w:sz="0" w:space="0" w:color="auto"/>
      </w:divBdr>
    </w:div>
    <w:div w:id="1148859485">
      <w:bodyDiv w:val="1"/>
      <w:marLeft w:val="0"/>
      <w:marRight w:val="0"/>
      <w:marTop w:val="0"/>
      <w:marBottom w:val="0"/>
      <w:divBdr>
        <w:top w:val="none" w:sz="0" w:space="0" w:color="auto"/>
        <w:left w:val="none" w:sz="0" w:space="0" w:color="auto"/>
        <w:bottom w:val="none" w:sz="0" w:space="0" w:color="auto"/>
        <w:right w:val="none" w:sz="0" w:space="0" w:color="auto"/>
      </w:divBdr>
    </w:div>
    <w:div w:id="1150054238">
      <w:bodyDiv w:val="1"/>
      <w:marLeft w:val="0"/>
      <w:marRight w:val="0"/>
      <w:marTop w:val="0"/>
      <w:marBottom w:val="0"/>
      <w:divBdr>
        <w:top w:val="none" w:sz="0" w:space="0" w:color="auto"/>
        <w:left w:val="none" w:sz="0" w:space="0" w:color="auto"/>
        <w:bottom w:val="none" w:sz="0" w:space="0" w:color="auto"/>
        <w:right w:val="none" w:sz="0" w:space="0" w:color="auto"/>
      </w:divBdr>
    </w:div>
    <w:div w:id="1157192274">
      <w:bodyDiv w:val="1"/>
      <w:marLeft w:val="0"/>
      <w:marRight w:val="0"/>
      <w:marTop w:val="0"/>
      <w:marBottom w:val="0"/>
      <w:divBdr>
        <w:top w:val="none" w:sz="0" w:space="0" w:color="auto"/>
        <w:left w:val="none" w:sz="0" w:space="0" w:color="auto"/>
        <w:bottom w:val="none" w:sz="0" w:space="0" w:color="auto"/>
        <w:right w:val="none" w:sz="0" w:space="0" w:color="auto"/>
      </w:divBdr>
    </w:div>
    <w:div w:id="1157572050">
      <w:bodyDiv w:val="1"/>
      <w:marLeft w:val="0"/>
      <w:marRight w:val="0"/>
      <w:marTop w:val="0"/>
      <w:marBottom w:val="0"/>
      <w:divBdr>
        <w:top w:val="none" w:sz="0" w:space="0" w:color="auto"/>
        <w:left w:val="none" w:sz="0" w:space="0" w:color="auto"/>
        <w:bottom w:val="none" w:sz="0" w:space="0" w:color="auto"/>
        <w:right w:val="none" w:sz="0" w:space="0" w:color="auto"/>
      </w:divBdr>
    </w:div>
    <w:div w:id="1157578596">
      <w:bodyDiv w:val="1"/>
      <w:marLeft w:val="0"/>
      <w:marRight w:val="0"/>
      <w:marTop w:val="0"/>
      <w:marBottom w:val="0"/>
      <w:divBdr>
        <w:top w:val="none" w:sz="0" w:space="0" w:color="auto"/>
        <w:left w:val="none" w:sz="0" w:space="0" w:color="auto"/>
        <w:bottom w:val="none" w:sz="0" w:space="0" w:color="auto"/>
        <w:right w:val="none" w:sz="0" w:space="0" w:color="auto"/>
      </w:divBdr>
    </w:div>
    <w:div w:id="1163813160">
      <w:bodyDiv w:val="1"/>
      <w:marLeft w:val="0"/>
      <w:marRight w:val="0"/>
      <w:marTop w:val="0"/>
      <w:marBottom w:val="0"/>
      <w:divBdr>
        <w:top w:val="none" w:sz="0" w:space="0" w:color="auto"/>
        <w:left w:val="none" w:sz="0" w:space="0" w:color="auto"/>
        <w:bottom w:val="none" w:sz="0" w:space="0" w:color="auto"/>
        <w:right w:val="none" w:sz="0" w:space="0" w:color="auto"/>
      </w:divBdr>
    </w:div>
    <w:div w:id="1166289694">
      <w:bodyDiv w:val="1"/>
      <w:marLeft w:val="0"/>
      <w:marRight w:val="0"/>
      <w:marTop w:val="0"/>
      <w:marBottom w:val="0"/>
      <w:divBdr>
        <w:top w:val="none" w:sz="0" w:space="0" w:color="auto"/>
        <w:left w:val="none" w:sz="0" w:space="0" w:color="auto"/>
        <w:bottom w:val="none" w:sz="0" w:space="0" w:color="auto"/>
        <w:right w:val="none" w:sz="0" w:space="0" w:color="auto"/>
      </w:divBdr>
    </w:div>
    <w:div w:id="1166752453">
      <w:bodyDiv w:val="1"/>
      <w:marLeft w:val="0"/>
      <w:marRight w:val="0"/>
      <w:marTop w:val="0"/>
      <w:marBottom w:val="0"/>
      <w:divBdr>
        <w:top w:val="none" w:sz="0" w:space="0" w:color="auto"/>
        <w:left w:val="none" w:sz="0" w:space="0" w:color="auto"/>
        <w:bottom w:val="none" w:sz="0" w:space="0" w:color="auto"/>
        <w:right w:val="none" w:sz="0" w:space="0" w:color="auto"/>
      </w:divBdr>
    </w:div>
    <w:div w:id="1177580243">
      <w:bodyDiv w:val="1"/>
      <w:marLeft w:val="0"/>
      <w:marRight w:val="0"/>
      <w:marTop w:val="0"/>
      <w:marBottom w:val="0"/>
      <w:divBdr>
        <w:top w:val="none" w:sz="0" w:space="0" w:color="auto"/>
        <w:left w:val="none" w:sz="0" w:space="0" w:color="auto"/>
        <w:bottom w:val="none" w:sz="0" w:space="0" w:color="auto"/>
        <w:right w:val="none" w:sz="0" w:space="0" w:color="auto"/>
      </w:divBdr>
    </w:div>
    <w:div w:id="1180705735">
      <w:bodyDiv w:val="1"/>
      <w:marLeft w:val="0"/>
      <w:marRight w:val="0"/>
      <w:marTop w:val="0"/>
      <w:marBottom w:val="0"/>
      <w:divBdr>
        <w:top w:val="none" w:sz="0" w:space="0" w:color="auto"/>
        <w:left w:val="none" w:sz="0" w:space="0" w:color="auto"/>
        <w:bottom w:val="none" w:sz="0" w:space="0" w:color="auto"/>
        <w:right w:val="none" w:sz="0" w:space="0" w:color="auto"/>
      </w:divBdr>
    </w:div>
    <w:div w:id="1181160514">
      <w:bodyDiv w:val="1"/>
      <w:marLeft w:val="0"/>
      <w:marRight w:val="0"/>
      <w:marTop w:val="0"/>
      <w:marBottom w:val="0"/>
      <w:divBdr>
        <w:top w:val="none" w:sz="0" w:space="0" w:color="auto"/>
        <w:left w:val="none" w:sz="0" w:space="0" w:color="auto"/>
        <w:bottom w:val="none" w:sz="0" w:space="0" w:color="auto"/>
        <w:right w:val="none" w:sz="0" w:space="0" w:color="auto"/>
      </w:divBdr>
    </w:div>
    <w:div w:id="1188982167">
      <w:bodyDiv w:val="1"/>
      <w:marLeft w:val="0"/>
      <w:marRight w:val="0"/>
      <w:marTop w:val="0"/>
      <w:marBottom w:val="0"/>
      <w:divBdr>
        <w:top w:val="none" w:sz="0" w:space="0" w:color="auto"/>
        <w:left w:val="none" w:sz="0" w:space="0" w:color="auto"/>
        <w:bottom w:val="none" w:sz="0" w:space="0" w:color="auto"/>
        <w:right w:val="none" w:sz="0" w:space="0" w:color="auto"/>
      </w:divBdr>
    </w:div>
    <w:div w:id="1189950549">
      <w:bodyDiv w:val="1"/>
      <w:marLeft w:val="0"/>
      <w:marRight w:val="0"/>
      <w:marTop w:val="0"/>
      <w:marBottom w:val="0"/>
      <w:divBdr>
        <w:top w:val="none" w:sz="0" w:space="0" w:color="auto"/>
        <w:left w:val="none" w:sz="0" w:space="0" w:color="auto"/>
        <w:bottom w:val="none" w:sz="0" w:space="0" w:color="auto"/>
        <w:right w:val="none" w:sz="0" w:space="0" w:color="auto"/>
      </w:divBdr>
    </w:div>
    <w:div w:id="1193952986">
      <w:bodyDiv w:val="1"/>
      <w:marLeft w:val="0"/>
      <w:marRight w:val="0"/>
      <w:marTop w:val="0"/>
      <w:marBottom w:val="0"/>
      <w:divBdr>
        <w:top w:val="none" w:sz="0" w:space="0" w:color="auto"/>
        <w:left w:val="none" w:sz="0" w:space="0" w:color="auto"/>
        <w:bottom w:val="none" w:sz="0" w:space="0" w:color="auto"/>
        <w:right w:val="none" w:sz="0" w:space="0" w:color="auto"/>
      </w:divBdr>
    </w:div>
    <w:div w:id="1196504189">
      <w:bodyDiv w:val="1"/>
      <w:marLeft w:val="0"/>
      <w:marRight w:val="0"/>
      <w:marTop w:val="0"/>
      <w:marBottom w:val="0"/>
      <w:divBdr>
        <w:top w:val="none" w:sz="0" w:space="0" w:color="auto"/>
        <w:left w:val="none" w:sz="0" w:space="0" w:color="auto"/>
        <w:bottom w:val="none" w:sz="0" w:space="0" w:color="auto"/>
        <w:right w:val="none" w:sz="0" w:space="0" w:color="auto"/>
      </w:divBdr>
    </w:div>
    <w:div w:id="1207718220">
      <w:bodyDiv w:val="1"/>
      <w:marLeft w:val="0"/>
      <w:marRight w:val="0"/>
      <w:marTop w:val="0"/>
      <w:marBottom w:val="0"/>
      <w:divBdr>
        <w:top w:val="none" w:sz="0" w:space="0" w:color="auto"/>
        <w:left w:val="none" w:sz="0" w:space="0" w:color="auto"/>
        <w:bottom w:val="none" w:sz="0" w:space="0" w:color="auto"/>
        <w:right w:val="none" w:sz="0" w:space="0" w:color="auto"/>
      </w:divBdr>
    </w:div>
    <w:div w:id="1208881193">
      <w:bodyDiv w:val="1"/>
      <w:marLeft w:val="0"/>
      <w:marRight w:val="0"/>
      <w:marTop w:val="0"/>
      <w:marBottom w:val="0"/>
      <w:divBdr>
        <w:top w:val="none" w:sz="0" w:space="0" w:color="auto"/>
        <w:left w:val="none" w:sz="0" w:space="0" w:color="auto"/>
        <w:bottom w:val="none" w:sz="0" w:space="0" w:color="auto"/>
        <w:right w:val="none" w:sz="0" w:space="0" w:color="auto"/>
      </w:divBdr>
    </w:div>
    <w:div w:id="1210067845">
      <w:bodyDiv w:val="1"/>
      <w:marLeft w:val="0"/>
      <w:marRight w:val="0"/>
      <w:marTop w:val="0"/>
      <w:marBottom w:val="0"/>
      <w:divBdr>
        <w:top w:val="none" w:sz="0" w:space="0" w:color="auto"/>
        <w:left w:val="none" w:sz="0" w:space="0" w:color="auto"/>
        <w:bottom w:val="none" w:sz="0" w:space="0" w:color="auto"/>
        <w:right w:val="none" w:sz="0" w:space="0" w:color="auto"/>
      </w:divBdr>
    </w:div>
    <w:div w:id="1218513195">
      <w:bodyDiv w:val="1"/>
      <w:marLeft w:val="0"/>
      <w:marRight w:val="0"/>
      <w:marTop w:val="0"/>
      <w:marBottom w:val="0"/>
      <w:divBdr>
        <w:top w:val="none" w:sz="0" w:space="0" w:color="auto"/>
        <w:left w:val="none" w:sz="0" w:space="0" w:color="auto"/>
        <w:bottom w:val="none" w:sz="0" w:space="0" w:color="auto"/>
        <w:right w:val="none" w:sz="0" w:space="0" w:color="auto"/>
      </w:divBdr>
    </w:div>
    <w:div w:id="1219707653">
      <w:bodyDiv w:val="1"/>
      <w:marLeft w:val="0"/>
      <w:marRight w:val="0"/>
      <w:marTop w:val="0"/>
      <w:marBottom w:val="0"/>
      <w:divBdr>
        <w:top w:val="none" w:sz="0" w:space="0" w:color="auto"/>
        <w:left w:val="none" w:sz="0" w:space="0" w:color="auto"/>
        <w:bottom w:val="none" w:sz="0" w:space="0" w:color="auto"/>
        <w:right w:val="none" w:sz="0" w:space="0" w:color="auto"/>
      </w:divBdr>
    </w:div>
    <w:div w:id="1219904426">
      <w:bodyDiv w:val="1"/>
      <w:marLeft w:val="0"/>
      <w:marRight w:val="0"/>
      <w:marTop w:val="0"/>
      <w:marBottom w:val="0"/>
      <w:divBdr>
        <w:top w:val="none" w:sz="0" w:space="0" w:color="auto"/>
        <w:left w:val="none" w:sz="0" w:space="0" w:color="auto"/>
        <w:bottom w:val="none" w:sz="0" w:space="0" w:color="auto"/>
        <w:right w:val="none" w:sz="0" w:space="0" w:color="auto"/>
      </w:divBdr>
    </w:div>
    <w:div w:id="1222672044">
      <w:bodyDiv w:val="1"/>
      <w:marLeft w:val="0"/>
      <w:marRight w:val="0"/>
      <w:marTop w:val="0"/>
      <w:marBottom w:val="0"/>
      <w:divBdr>
        <w:top w:val="none" w:sz="0" w:space="0" w:color="auto"/>
        <w:left w:val="none" w:sz="0" w:space="0" w:color="auto"/>
        <w:bottom w:val="none" w:sz="0" w:space="0" w:color="auto"/>
        <w:right w:val="none" w:sz="0" w:space="0" w:color="auto"/>
      </w:divBdr>
    </w:div>
    <w:div w:id="1223102475">
      <w:bodyDiv w:val="1"/>
      <w:marLeft w:val="0"/>
      <w:marRight w:val="0"/>
      <w:marTop w:val="0"/>
      <w:marBottom w:val="0"/>
      <w:divBdr>
        <w:top w:val="none" w:sz="0" w:space="0" w:color="auto"/>
        <w:left w:val="none" w:sz="0" w:space="0" w:color="auto"/>
        <w:bottom w:val="none" w:sz="0" w:space="0" w:color="auto"/>
        <w:right w:val="none" w:sz="0" w:space="0" w:color="auto"/>
      </w:divBdr>
    </w:div>
    <w:div w:id="1223907726">
      <w:bodyDiv w:val="1"/>
      <w:marLeft w:val="0"/>
      <w:marRight w:val="0"/>
      <w:marTop w:val="0"/>
      <w:marBottom w:val="0"/>
      <w:divBdr>
        <w:top w:val="none" w:sz="0" w:space="0" w:color="auto"/>
        <w:left w:val="none" w:sz="0" w:space="0" w:color="auto"/>
        <w:bottom w:val="none" w:sz="0" w:space="0" w:color="auto"/>
        <w:right w:val="none" w:sz="0" w:space="0" w:color="auto"/>
      </w:divBdr>
    </w:div>
    <w:div w:id="1232274916">
      <w:bodyDiv w:val="1"/>
      <w:marLeft w:val="0"/>
      <w:marRight w:val="0"/>
      <w:marTop w:val="0"/>
      <w:marBottom w:val="0"/>
      <w:divBdr>
        <w:top w:val="none" w:sz="0" w:space="0" w:color="auto"/>
        <w:left w:val="none" w:sz="0" w:space="0" w:color="auto"/>
        <w:bottom w:val="none" w:sz="0" w:space="0" w:color="auto"/>
        <w:right w:val="none" w:sz="0" w:space="0" w:color="auto"/>
      </w:divBdr>
    </w:div>
    <w:div w:id="1236041332">
      <w:bodyDiv w:val="1"/>
      <w:marLeft w:val="0"/>
      <w:marRight w:val="0"/>
      <w:marTop w:val="0"/>
      <w:marBottom w:val="0"/>
      <w:divBdr>
        <w:top w:val="none" w:sz="0" w:space="0" w:color="auto"/>
        <w:left w:val="none" w:sz="0" w:space="0" w:color="auto"/>
        <w:bottom w:val="none" w:sz="0" w:space="0" w:color="auto"/>
        <w:right w:val="none" w:sz="0" w:space="0" w:color="auto"/>
      </w:divBdr>
    </w:div>
    <w:div w:id="1237516534">
      <w:bodyDiv w:val="1"/>
      <w:marLeft w:val="0"/>
      <w:marRight w:val="0"/>
      <w:marTop w:val="0"/>
      <w:marBottom w:val="0"/>
      <w:divBdr>
        <w:top w:val="none" w:sz="0" w:space="0" w:color="auto"/>
        <w:left w:val="none" w:sz="0" w:space="0" w:color="auto"/>
        <w:bottom w:val="none" w:sz="0" w:space="0" w:color="auto"/>
        <w:right w:val="none" w:sz="0" w:space="0" w:color="auto"/>
      </w:divBdr>
    </w:div>
    <w:div w:id="1241597939">
      <w:bodyDiv w:val="1"/>
      <w:marLeft w:val="0"/>
      <w:marRight w:val="0"/>
      <w:marTop w:val="0"/>
      <w:marBottom w:val="0"/>
      <w:divBdr>
        <w:top w:val="none" w:sz="0" w:space="0" w:color="auto"/>
        <w:left w:val="none" w:sz="0" w:space="0" w:color="auto"/>
        <w:bottom w:val="none" w:sz="0" w:space="0" w:color="auto"/>
        <w:right w:val="none" w:sz="0" w:space="0" w:color="auto"/>
      </w:divBdr>
    </w:div>
    <w:div w:id="1243639465">
      <w:bodyDiv w:val="1"/>
      <w:marLeft w:val="0"/>
      <w:marRight w:val="0"/>
      <w:marTop w:val="0"/>
      <w:marBottom w:val="0"/>
      <w:divBdr>
        <w:top w:val="none" w:sz="0" w:space="0" w:color="auto"/>
        <w:left w:val="none" w:sz="0" w:space="0" w:color="auto"/>
        <w:bottom w:val="none" w:sz="0" w:space="0" w:color="auto"/>
        <w:right w:val="none" w:sz="0" w:space="0" w:color="auto"/>
      </w:divBdr>
    </w:div>
    <w:div w:id="1246299424">
      <w:bodyDiv w:val="1"/>
      <w:marLeft w:val="0"/>
      <w:marRight w:val="0"/>
      <w:marTop w:val="0"/>
      <w:marBottom w:val="0"/>
      <w:divBdr>
        <w:top w:val="none" w:sz="0" w:space="0" w:color="auto"/>
        <w:left w:val="none" w:sz="0" w:space="0" w:color="auto"/>
        <w:bottom w:val="none" w:sz="0" w:space="0" w:color="auto"/>
        <w:right w:val="none" w:sz="0" w:space="0" w:color="auto"/>
      </w:divBdr>
    </w:div>
    <w:div w:id="1246770552">
      <w:bodyDiv w:val="1"/>
      <w:marLeft w:val="0"/>
      <w:marRight w:val="0"/>
      <w:marTop w:val="0"/>
      <w:marBottom w:val="0"/>
      <w:divBdr>
        <w:top w:val="none" w:sz="0" w:space="0" w:color="auto"/>
        <w:left w:val="none" w:sz="0" w:space="0" w:color="auto"/>
        <w:bottom w:val="none" w:sz="0" w:space="0" w:color="auto"/>
        <w:right w:val="none" w:sz="0" w:space="0" w:color="auto"/>
      </w:divBdr>
    </w:div>
    <w:div w:id="1255557476">
      <w:bodyDiv w:val="1"/>
      <w:marLeft w:val="0"/>
      <w:marRight w:val="0"/>
      <w:marTop w:val="0"/>
      <w:marBottom w:val="0"/>
      <w:divBdr>
        <w:top w:val="none" w:sz="0" w:space="0" w:color="auto"/>
        <w:left w:val="none" w:sz="0" w:space="0" w:color="auto"/>
        <w:bottom w:val="none" w:sz="0" w:space="0" w:color="auto"/>
        <w:right w:val="none" w:sz="0" w:space="0" w:color="auto"/>
      </w:divBdr>
    </w:div>
    <w:div w:id="1260525646">
      <w:bodyDiv w:val="1"/>
      <w:marLeft w:val="0"/>
      <w:marRight w:val="0"/>
      <w:marTop w:val="0"/>
      <w:marBottom w:val="0"/>
      <w:divBdr>
        <w:top w:val="none" w:sz="0" w:space="0" w:color="auto"/>
        <w:left w:val="none" w:sz="0" w:space="0" w:color="auto"/>
        <w:bottom w:val="none" w:sz="0" w:space="0" w:color="auto"/>
        <w:right w:val="none" w:sz="0" w:space="0" w:color="auto"/>
      </w:divBdr>
    </w:div>
    <w:div w:id="1260721487">
      <w:bodyDiv w:val="1"/>
      <w:marLeft w:val="0"/>
      <w:marRight w:val="0"/>
      <w:marTop w:val="0"/>
      <w:marBottom w:val="0"/>
      <w:divBdr>
        <w:top w:val="none" w:sz="0" w:space="0" w:color="auto"/>
        <w:left w:val="none" w:sz="0" w:space="0" w:color="auto"/>
        <w:bottom w:val="none" w:sz="0" w:space="0" w:color="auto"/>
        <w:right w:val="none" w:sz="0" w:space="0" w:color="auto"/>
      </w:divBdr>
    </w:div>
    <w:div w:id="1267738723">
      <w:bodyDiv w:val="1"/>
      <w:marLeft w:val="0"/>
      <w:marRight w:val="0"/>
      <w:marTop w:val="0"/>
      <w:marBottom w:val="0"/>
      <w:divBdr>
        <w:top w:val="none" w:sz="0" w:space="0" w:color="auto"/>
        <w:left w:val="none" w:sz="0" w:space="0" w:color="auto"/>
        <w:bottom w:val="none" w:sz="0" w:space="0" w:color="auto"/>
        <w:right w:val="none" w:sz="0" w:space="0" w:color="auto"/>
      </w:divBdr>
    </w:div>
    <w:div w:id="1276786865">
      <w:bodyDiv w:val="1"/>
      <w:marLeft w:val="0"/>
      <w:marRight w:val="0"/>
      <w:marTop w:val="0"/>
      <w:marBottom w:val="0"/>
      <w:divBdr>
        <w:top w:val="none" w:sz="0" w:space="0" w:color="auto"/>
        <w:left w:val="none" w:sz="0" w:space="0" w:color="auto"/>
        <w:bottom w:val="none" w:sz="0" w:space="0" w:color="auto"/>
        <w:right w:val="none" w:sz="0" w:space="0" w:color="auto"/>
      </w:divBdr>
    </w:div>
    <w:div w:id="1276794941">
      <w:bodyDiv w:val="1"/>
      <w:marLeft w:val="0"/>
      <w:marRight w:val="0"/>
      <w:marTop w:val="0"/>
      <w:marBottom w:val="0"/>
      <w:divBdr>
        <w:top w:val="none" w:sz="0" w:space="0" w:color="auto"/>
        <w:left w:val="none" w:sz="0" w:space="0" w:color="auto"/>
        <w:bottom w:val="none" w:sz="0" w:space="0" w:color="auto"/>
        <w:right w:val="none" w:sz="0" w:space="0" w:color="auto"/>
      </w:divBdr>
    </w:div>
    <w:div w:id="1281062866">
      <w:bodyDiv w:val="1"/>
      <w:marLeft w:val="0"/>
      <w:marRight w:val="0"/>
      <w:marTop w:val="0"/>
      <w:marBottom w:val="0"/>
      <w:divBdr>
        <w:top w:val="none" w:sz="0" w:space="0" w:color="auto"/>
        <w:left w:val="none" w:sz="0" w:space="0" w:color="auto"/>
        <w:bottom w:val="none" w:sz="0" w:space="0" w:color="auto"/>
        <w:right w:val="none" w:sz="0" w:space="0" w:color="auto"/>
      </w:divBdr>
    </w:div>
    <w:div w:id="1281110560">
      <w:bodyDiv w:val="1"/>
      <w:marLeft w:val="0"/>
      <w:marRight w:val="0"/>
      <w:marTop w:val="0"/>
      <w:marBottom w:val="0"/>
      <w:divBdr>
        <w:top w:val="none" w:sz="0" w:space="0" w:color="auto"/>
        <w:left w:val="none" w:sz="0" w:space="0" w:color="auto"/>
        <w:bottom w:val="none" w:sz="0" w:space="0" w:color="auto"/>
        <w:right w:val="none" w:sz="0" w:space="0" w:color="auto"/>
      </w:divBdr>
    </w:div>
    <w:div w:id="1284850009">
      <w:bodyDiv w:val="1"/>
      <w:marLeft w:val="0"/>
      <w:marRight w:val="0"/>
      <w:marTop w:val="0"/>
      <w:marBottom w:val="0"/>
      <w:divBdr>
        <w:top w:val="none" w:sz="0" w:space="0" w:color="auto"/>
        <w:left w:val="none" w:sz="0" w:space="0" w:color="auto"/>
        <w:bottom w:val="none" w:sz="0" w:space="0" w:color="auto"/>
        <w:right w:val="none" w:sz="0" w:space="0" w:color="auto"/>
      </w:divBdr>
    </w:div>
    <w:div w:id="1285431441">
      <w:bodyDiv w:val="1"/>
      <w:marLeft w:val="0"/>
      <w:marRight w:val="0"/>
      <w:marTop w:val="0"/>
      <w:marBottom w:val="0"/>
      <w:divBdr>
        <w:top w:val="none" w:sz="0" w:space="0" w:color="auto"/>
        <w:left w:val="none" w:sz="0" w:space="0" w:color="auto"/>
        <w:bottom w:val="none" w:sz="0" w:space="0" w:color="auto"/>
        <w:right w:val="none" w:sz="0" w:space="0" w:color="auto"/>
      </w:divBdr>
    </w:div>
    <w:div w:id="1285889261">
      <w:bodyDiv w:val="1"/>
      <w:marLeft w:val="0"/>
      <w:marRight w:val="0"/>
      <w:marTop w:val="0"/>
      <w:marBottom w:val="0"/>
      <w:divBdr>
        <w:top w:val="none" w:sz="0" w:space="0" w:color="auto"/>
        <w:left w:val="none" w:sz="0" w:space="0" w:color="auto"/>
        <w:bottom w:val="none" w:sz="0" w:space="0" w:color="auto"/>
        <w:right w:val="none" w:sz="0" w:space="0" w:color="auto"/>
      </w:divBdr>
    </w:div>
    <w:div w:id="1286739728">
      <w:bodyDiv w:val="1"/>
      <w:marLeft w:val="0"/>
      <w:marRight w:val="0"/>
      <w:marTop w:val="0"/>
      <w:marBottom w:val="0"/>
      <w:divBdr>
        <w:top w:val="none" w:sz="0" w:space="0" w:color="auto"/>
        <w:left w:val="none" w:sz="0" w:space="0" w:color="auto"/>
        <w:bottom w:val="none" w:sz="0" w:space="0" w:color="auto"/>
        <w:right w:val="none" w:sz="0" w:space="0" w:color="auto"/>
      </w:divBdr>
    </w:div>
    <w:div w:id="1287421720">
      <w:bodyDiv w:val="1"/>
      <w:marLeft w:val="0"/>
      <w:marRight w:val="0"/>
      <w:marTop w:val="0"/>
      <w:marBottom w:val="0"/>
      <w:divBdr>
        <w:top w:val="none" w:sz="0" w:space="0" w:color="auto"/>
        <w:left w:val="none" w:sz="0" w:space="0" w:color="auto"/>
        <w:bottom w:val="none" w:sz="0" w:space="0" w:color="auto"/>
        <w:right w:val="none" w:sz="0" w:space="0" w:color="auto"/>
      </w:divBdr>
    </w:div>
    <w:div w:id="1288857042">
      <w:bodyDiv w:val="1"/>
      <w:marLeft w:val="0"/>
      <w:marRight w:val="0"/>
      <w:marTop w:val="0"/>
      <w:marBottom w:val="0"/>
      <w:divBdr>
        <w:top w:val="none" w:sz="0" w:space="0" w:color="auto"/>
        <w:left w:val="none" w:sz="0" w:space="0" w:color="auto"/>
        <w:bottom w:val="none" w:sz="0" w:space="0" w:color="auto"/>
        <w:right w:val="none" w:sz="0" w:space="0" w:color="auto"/>
      </w:divBdr>
    </w:div>
    <w:div w:id="1293484057">
      <w:bodyDiv w:val="1"/>
      <w:marLeft w:val="0"/>
      <w:marRight w:val="0"/>
      <w:marTop w:val="0"/>
      <w:marBottom w:val="0"/>
      <w:divBdr>
        <w:top w:val="none" w:sz="0" w:space="0" w:color="auto"/>
        <w:left w:val="none" w:sz="0" w:space="0" w:color="auto"/>
        <w:bottom w:val="none" w:sz="0" w:space="0" w:color="auto"/>
        <w:right w:val="none" w:sz="0" w:space="0" w:color="auto"/>
      </w:divBdr>
    </w:div>
    <w:div w:id="1295407231">
      <w:bodyDiv w:val="1"/>
      <w:marLeft w:val="0"/>
      <w:marRight w:val="0"/>
      <w:marTop w:val="0"/>
      <w:marBottom w:val="0"/>
      <w:divBdr>
        <w:top w:val="none" w:sz="0" w:space="0" w:color="auto"/>
        <w:left w:val="none" w:sz="0" w:space="0" w:color="auto"/>
        <w:bottom w:val="none" w:sz="0" w:space="0" w:color="auto"/>
        <w:right w:val="none" w:sz="0" w:space="0" w:color="auto"/>
      </w:divBdr>
    </w:div>
    <w:div w:id="1296065153">
      <w:bodyDiv w:val="1"/>
      <w:marLeft w:val="0"/>
      <w:marRight w:val="0"/>
      <w:marTop w:val="0"/>
      <w:marBottom w:val="0"/>
      <w:divBdr>
        <w:top w:val="none" w:sz="0" w:space="0" w:color="auto"/>
        <w:left w:val="none" w:sz="0" w:space="0" w:color="auto"/>
        <w:bottom w:val="none" w:sz="0" w:space="0" w:color="auto"/>
        <w:right w:val="none" w:sz="0" w:space="0" w:color="auto"/>
      </w:divBdr>
    </w:div>
    <w:div w:id="1297678825">
      <w:bodyDiv w:val="1"/>
      <w:marLeft w:val="0"/>
      <w:marRight w:val="0"/>
      <w:marTop w:val="0"/>
      <w:marBottom w:val="0"/>
      <w:divBdr>
        <w:top w:val="none" w:sz="0" w:space="0" w:color="auto"/>
        <w:left w:val="none" w:sz="0" w:space="0" w:color="auto"/>
        <w:bottom w:val="none" w:sz="0" w:space="0" w:color="auto"/>
        <w:right w:val="none" w:sz="0" w:space="0" w:color="auto"/>
      </w:divBdr>
    </w:div>
    <w:div w:id="1298798802">
      <w:bodyDiv w:val="1"/>
      <w:marLeft w:val="0"/>
      <w:marRight w:val="0"/>
      <w:marTop w:val="0"/>
      <w:marBottom w:val="0"/>
      <w:divBdr>
        <w:top w:val="none" w:sz="0" w:space="0" w:color="auto"/>
        <w:left w:val="none" w:sz="0" w:space="0" w:color="auto"/>
        <w:bottom w:val="none" w:sz="0" w:space="0" w:color="auto"/>
        <w:right w:val="none" w:sz="0" w:space="0" w:color="auto"/>
      </w:divBdr>
    </w:div>
    <w:div w:id="1302425528">
      <w:bodyDiv w:val="1"/>
      <w:marLeft w:val="0"/>
      <w:marRight w:val="0"/>
      <w:marTop w:val="0"/>
      <w:marBottom w:val="0"/>
      <w:divBdr>
        <w:top w:val="none" w:sz="0" w:space="0" w:color="auto"/>
        <w:left w:val="none" w:sz="0" w:space="0" w:color="auto"/>
        <w:bottom w:val="none" w:sz="0" w:space="0" w:color="auto"/>
        <w:right w:val="none" w:sz="0" w:space="0" w:color="auto"/>
      </w:divBdr>
    </w:div>
    <w:div w:id="1304198290">
      <w:bodyDiv w:val="1"/>
      <w:marLeft w:val="0"/>
      <w:marRight w:val="0"/>
      <w:marTop w:val="0"/>
      <w:marBottom w:val="0"/>
      <w:divBdr>
        <w:top w:val="none" w:sz="0" w:space="0" w:color="auto"/>
        <w:left w:val="none" w:sz="0" w:space="0" w:color="auto"/>
        <w:bottom w:val="none" w:sz="0" w:space="0" w:color="auto"/>
        <w:right w:val="none" w:sz="0" w:space="0" w:color="auto"/>
      </w:divBdr>
    </w:div>
    <w:div w:id="1309048693">
      <w:bodyDiv w:val="1"/>
      <w:marLeft w:val="0"/>
      <w:marRight w:val="0"/>
      <w:marTop w:val="0"/>
      <w:marBottom w:val="0"/>
      <w:divBdr>
        <w:top w:val="none" w:sz="0" w:space="0" w:color="auto"/>
        <w:left w:val="none" w:sz="0" w:space="0" w:color="auto"/>
        <w:bottom w:val="none" w:sz="0" w:space="0" w:color="auto"/>
        <w:right w:val="none" w:sz="0" w:space="0" w:color="auto"/>
      </w:divBdr>
    </w:div>
    <w:div w:id="1315647974">
      <w:bodyDiv w:val="1"/>
      <w:marLeft w:val="0"/>
      <w:marRight w:val="0"/>
      <w:marTop w:val="0"/>
      <w:marBottom w:val="0"/>
      <w:divBdr>
        <w:top w:val="none" w:sz="0" w:space="0" w:color="auto"/>
        <w:left w:val="none" w:sz="0" w:space="0" w:color="auto"/>
        <w:bottom w:val="none" w:sz="0" w:space="0" w:color="auto"/>
        <w:right w:val="none" w:sz="0" w:space="0" w:color="auto"/>
      </w:divBdr>
    </w:div>
    <w:div w:id="1324117173">
      <w:bodyDiv w:val="1"/>
      <w:marLeft w:val="0"/>
      <w:marRight w:val="0"/>
      <w:marTop w:val="0"/>
      <w:marBottom w:val="0"/>
      <w:divBdr>
        <w:top w:val="none" w:sz="0" w:space="0" w:color="auto"/>
        <w:left w:val="none" w:sz="0" w:space="0" w:color="auto"/>
        <w:bottom w:val="none" w:sz="0" w:space="0" w:color="auto"/>
        <w:right w:val="none" w:sz="0" w:space="0" w:color="auto"/>
      </w:divBdr>
    </w:div>
    <w:div w:id="1326934216">
      <w:bodyDiv w:val="1"/>
      <w:marLeft w:val="0"/>
      <w:marRight w:val="0"/>
      <w:marTop w:val="0"/>
      <w:marBottom w:val="0"/>
      <w:divBdr>
        <w:top w:val="none" w:sz="0" w:space="0" w:color="auto"/>
        <w:left w:val="none" w:sz="0" w:space="0" w:color="auto"/>
        <w:bottom w:val="none" w:sz="0" w:space="0" w:color="auto"/>
        <w:right w:val="none" w:sz="0" w:space="0" w:color="auto"/>
      </w:divBdr>
    </w:div>
    <w:div w:id="1330017763">
      <w:bodyDiv w:val="1"/>
      <w:marLeft w:val="0"/>
      <w:marRight w:val="0"/>
      <w:marTop w:val="0"/>
      <w:marBottom w:val="0"/>
      <w:divBdr>
        <w:top w:val="none" w:sz="0" w:space="0" w:color="auto"/>
        <w:left w:val="none" w:sz="0" w:space="0" w:color="auto"/>
        <w:bottom w:val="none" w:sz="0" w:space="0" w:color="auto"/>
        <w:right w:val="none" w:sz="0" w:space="0" w:color="auto"/>
      </w:divBdr>
    </w:div>
    <w:div w:id="1333289796">
      <w:bodyDiv w:val="1"/>
      <w:marLeft w:val="0"/>
      <w:marRight w:val="0"/>
      <w:marTop w:val="0"/>
      <w:marBottom w:val="0"/>
      <w:divBdr>
        <w:top w:val="none" w:sz="0" w:space="0" w:color="auto"/>
        <w:left w:val="none" w:sz="0" w:space="0" w:color="auto"/>
        <w:bottom w:val="none" w:sz="0" w:space="0" w:color="auto"/>
        <w:right w:val="none" w:sz="0" w:space="0" w:color="auto"/>
      </w:divBdr>
    </w:div>
    <w:div w:id="1336613103">
      <w:bodyDiv w:val="1"/>
      <w:marLeft w:val="0"/>
      <w:marRight w:val="0"/>
      <w:marTop w:val="0"/>
      <w:marBottom w:val="0"/>
      <w:divBdr>
        <w:top w:val="none" w:sz="0" w:space="0" w:color="auto"/>
        <w:left w:val="none" w:sz="0" w:space="0" w:color="auto"/>
        <w:bottom w:val="none" w:sz="0" w:space="0" w:color="auto"/>
        <w:right w:val="none" w:sz="0" w:space="0" w:color="auto"/>
      </w:divBdr>
    </w:div>
    <w:div w:id="1337344663">
      <w:bodyDiv w:val="1"/>
      <w:marLeft w:val="0"/>
      <w:marRight w:val="0"/>
      <w:marTop w:val="0"/>
      <w:marBottom w:val="0"/>
      <w:divBdr>
        <w:top w:val="none" w:sz="0" w:space="0" w:color="auto"/>
        <w:left w:val="none" w:sz="0" w:space="0" w:color="auto"/>
        <w:bottom w:val="none" w:sz="0" w:space="0" w:color="auto"/>
        <w:right w:val="none" w:sz="0" w:space="0" w:color="auto"/>
      </w:divBdr>
    </w:div>
    <w:div w:id="1339430370">
      <w:bodyDiv w:val="1"/>
      <w:marLeft w:val="0"/>
      <w:marRight w:val="0"/>
      <w:marTop w:val="0"/>
      <w:marBottom w:val="0"/>
      <w:divBdr>
        <w:top w:val="none" w:sz="0" w:space="0" w:color="auto"/>
        <w:left w:val="none" w:sz="0" w:space="0" w:color="auto"/>
        <w:bottom w:val="none" w:sz="0" w:space="0" w:color="auto"/>
        <w:right w:val="none" w:sz="0" w:space="0" w:color="auto"/>
      </w:divBdr>
    </w:div>
    <w:div w:id="1342318860">
      <w:bodyDiv w:val="1"/>
      <w:marLeft w:val="0"/>
      <w:marRight w:val="0"/>
      <w:marTop w:val="0"/>
      <w:marBottom w:val="0"/>
      <w:divBdr>
        <w:top w:val="none" w:sz="0" w:space="0" w:color="auto"/>
        <w:left w:val="none" w:sz="0" w:space="0" w:color="auto"/>
        <w:bottom w:val="none" w:sz="0" w:space="0" w:color="auto"/>
        <w:right w:val="none" w:sz="0" w:space="0" w:color="auto"/>
      </w:divBdr>
    </w:div>
    <w:div w:id="1345858908">
      <w:bodyDiv w:val="1"/>
      <w:marLeft w:val="0"/>
      <w:marRight w:val="0"/>
      <w:marTop w:val="0"/>
      <w:marBottom w:val="0"/>
      <w:divBdr>
        <w:top w:val="none" w:sz="0" w:space="0" w:color="auto"/>
        <w:left w:val="none" w:sz="0" w:space="0" w:color="auto"/>
        <w:bottom w:val="none" w:sz="0" w:space="0" w:color="auto"/>
        <w:right w:val="none" w:sz="0" w:space="0" w:color="auto"/>
      </w:divBdr>
    </w:div>
    <w:div w:id="1345983649">
      <w:bodyDiv w:val="1"/>
      <w:marLeft w:val="0"/>
      <w:marRight w:val="0"/>
      <w:marTop w:val="0"/>
      <w:marBottom w:val="0"/>
      <w:divBdr>
        <w:top w:val="none" w:sz="0" w:space="0" w:color="auto"/>
        <w:left w:val="none" w:sz="0" w:space="0" w:color="auto"/>
        <w:bottom w:val="none" w:sz="0" w:space="0" w:color="auto"/>
        <w:right w:val="none" w:sz="0" w:space="0" w:color="auto"/>
      </w:divBdr>
    </w:div>
    <w:div w:id="1350375630">
      <w:bodyDiv w:val="1"/>
      <w:marLeft w:val="0"/>
      <w:marRight w:val="0"/>
      <w:marTop w:val="0"/>
      <w:marBottom w:val="0"/>
      <w:divBdr>
        <w:top w:val="none" w:sz="0" w:space="0" w:color="auto"/>
        <w:left w:val="none" w:sz="0" w:space="0" w:color="auto"/>
        <w:bottom w:val="none" w:sz="0" w:space="0" w:color="auto"/>
        <w:right w:val="none" w:sz="0" w:space="0" w:color="auto"/>
      </w:divBdr>
    </w:div>
    <w:div w:id="1351032050">
      <w:bodyDiv w:val="1"/>
      <w:marLeft w:val="0"/>
      <w:marRight w:val="0"/>
      <w:marTop w:val="0"/>
      <w:marBottom w:val="0"/>
      <w:divBdr>
        <w:top w:val="none" w:sz="0" w:space="0" w:color="auto"/>
        <w:left w:val="none" w:sz="0" w:space="0" w:color="auto"/>
        <w:bottom w:val="none" w:sz="0" w:space="0" w:color="auto"/>
        <w:right w:val="none" w:sz="0" w:space="0" w:color="auto"/>
      </w:divBdr>
    </w:div>
    <w:div w:id="1355690603">
      <w:bodyDiv w:val="1"/>
      <w:marLeft w:val="0"/>
      <w:marRight w:val="0"/>
      <w:marTop w:val="0"/>
      <w:marBottom w:val="0"/>
      <w:divBdr>
        <w:top w:val="none" w:sz="0" w:space="0" w:color="auto"/>
        <w:left w:val="none" w:sz="0" w:space="0" w:color="auto"/>
        <w:bottom w:val="none" w:sz="0" w:space="0" w:color="auto"/>
        <w:right w:val="none" w:sz="0" w:space="0" w:color="auto"/>
      </w:divBdr>
    </w:div>
    <w:div w:id="1360815084">
      <w:bodyDiv w:val="1"/>
      <w:marLeft w:val="0"/>
      <w:marRight w:val="0"/>
      <w:marTop w:val="0"/>
      <w:marBottom w:val="0"/>
      <w:divBdr>
        <w:top w:val="none" w:sz="0" w:space="0" w:color="auto"/>
        <w:left w:val="none" w:sz="0" w:space="0" w:color="auto"/>
        <w:bottom w:val="none" w:sz="0" w:space="0" w:color="auto"/>
        <w:right w:val="none" w:sz="0" w:space="0" w:color="auto"/>
      </w:divBdr>
    </w:div>
    <w:div w:id="1368067604">
      <w:bodyDiv w:val="1"/>
      <w:marLeft w:val="0"/>
      <w:marRight w:val="0"/>
      <w:marTop w:val="0"/>
      <w:marBottom w:val="0"/>
      <w:divBdr>
        <w:top w:val="none" w:sz="0" w:space="0" w:color="auto"/>
        <w:left w:val="none" w:sz="0" w:space="0" w:color="auto"/>
        <w:bottom w:val="none" w:sz="0" w:space="0" w:color="auto"/>
        <w:right w:val="none" w:sz="0" w:space="0" w:color="auto"/>
      </w:divBdr>
    </w:div>
    <w:div w:id="1368676000">
      <w:bodyDiv w:val="1"/>
      <w:marLeft w:val="0"/>
      <w:marRight w:val="0"/>
      <w:marTop w:val="0"/>
      <w:marBottom w:val="0"/>
      <w:divBdr>
        <w:top w:val="none" w:sz="0" w:space="0" w:color="auto"/>
        <w:left w:val="none" w:sz="0" w:space="0" w:color="auto"/>
        <w:bottom w:val="none" w:sz="0" w:space="0" w:color="auto"/>
        <w:right w:val="none" w:sz="0" w:space="0" w:color="auto"/>
      </w:divBdr>
    </w:div>
    <w:div w:id="1369718403">
      <w:bodyDiv w:val="1"/>
      <w:marLeft w:val="0"/>
      <w:marRight w:val="0"/>
      <w:marTop w:val="0"/>
      <w:marBottom w:val="0"/>
      <w:divBdr>
        <w:top w:val="none" w:sz="0" w:space="0" w:color="auto"/>
        <w:left w:val="none" w:sz="0" w:space="0" w:color="auto"/>
        <w:bottom w:val="none" w:sz="0" w:space="0" w:color="auto"/>
        <w:right w:val="none" w:sz="0" w:space="0" w:color="auto"/>
      </w:divBdr>
    </w:div>
    <w:div w:id="1390151110">
      <w:bodyDiv w:val="1"/>
      <w:marLeft w:val="0"/>
      <w:marRight w:val="0"/>
      <w:marTop w:val="0"/>
      <w:marBottom w:val="0"/>
      <w:divBdr>
        <w:top w:val="none" w:sz="0" w:space="0" w:color="auto"/>
        <w:left w:val="none" w:sz="0" w:space="0" w:color="auto"/>
        <w:bottom w:val="none" w:sz="0" w:space="0" w:color="auto"/>
        <w:right w:val="none" w:sz="0" w:space="0" w:color="auto"/>
      </w:divBdr>
    </w:div>
    <w:div w:id="1397898757">
      <w:bodyDiv w:val="1"/>
      <w:marLeft w:val="0"/>
      <w:marRight w:val="0"/>
      <w:marTop w:val="0"/>
      <w:marBottom w:val="0"/>
      <w:divBdr>
        <w:top w:val="none" w:sz="0" w:space="0" w:color="auto"/>
        <w:left w:val="none" w:sz="0" w:space="0" w:color="auto"/>
        <w:bottom w:val="none" w:sz="0" w:space="0" w:color="auto"/>
        <w:right w:val="none" w:sz="0" w:space="0" w:color="auto"/>
      </w:divBdr>
    </w:div>
    <w:div w:id="1400012194">
      <w:bodyDiv w:val="1"/>
      <w:marLeft w:val="0"/>
      <w:marRight w:val="0"/>
      <w:marTop w:val="0"/>
      <w:marBottom w:val="0"/>
      <w:divBdr>
        <w:top w:val="none" w:sz="0" w:space="0" w:color="auto"/>
        <w:left w:val="none" w:sz="0" w:space="0" w:color="auto"/>
        <w:bottom w:val="none" w:sz="0" w:space="0" w:color="auto"/>
        <w:right w:val="none" w:sz="0" w:space="0" w:color="auto"/>
      </w:divBdr>
    </w:div>
    <w:div w:id="1400055544">
      <w:bodyDiv w:val="1"/>
      <w:marLeft w:val="0"/>
      <w:marRight w:val="0"/>
      <w:marTop w:val="0"/>
      <w:marBottom w:val="0"/>
      <w:divBdr>
        <w:top w:val="none" w:sz="0" w:space="0" w:color="auto"/>
        <w:left w:val="none" w:sz="0" w:space="0" w:color="auto"/>
        <w:bottom w:val="none" w:sz="0" w:space="0" w:color="auto"/>
        <w:right w:val="none" w:sz="0" w:space="0" w:color="auto"/>
      </w:divBdr>
    </w:div>
    <w:div w:id="1406143405">
      <w:bodyDiv w:val="1"/>
      <w:marLeft w:val="0"/>
      <w:marRight w:val="0"/>
      <w:marTop w:val="0"/>
      <w:marBottom w:val="0"/>
      <w:divBdr>
        <w:top w:val="none" w:sz="0" w:space="0" w:color="auto"/>
        <w:left w:val="none" w:sz="0" w:space="0" w:color="auto"/>
        <w:bottom w:val="none" w:sz="0" w:space="0" w:color="auto"/>
        <w:right w:val="none" w:sz="0" w:space="0" w:color="auto"/>
      </w:divBdr>
    </w:div>
    <w:div w:id="1407608742">
      <w:bodyDiv w:val="1"/>
      <w:marLeft w:val="0"/>
      <w:marRight w:val="0"/>
      <w:marTop w:val="0"/>
      <w:marBottom w:val="0"/>
      <w:divBdr>
        <w:top w:val="none" w:sz="0" w:space="0" w:color="auto"/>
        <w:left w:val="none" w:sz="0" w:space="0" w:color="auto"/>
        <w:bottom w:val="none" w:sz="0" w:space="0" w:color="auto"/>
        <w:right w:val="none" w:sz="0" w:space="0" w:color="auto"/>
      </w:divBdr>
    </w:div>
    <w:div w:id="1410498129">
      <w:bodyDiv w:val="1"/>
      <w:marLeft w:val="0"/>
      <w:marRight w:val="0"/>
      <w:marTop w:val="0"/>
      <w:marBottom w:val="0"/>
      <w:divBdr>
        <w:top w:val="none" w:sz="0" w:space="0" w:color="auto"/>
        <w:left w:val="none" w:sz="0" w:space="0" w:color="auto"/>
        <w:bottom w:val="none" w:sz="0" w:space="0" w:color="auto"/>
        <w:right w:val="none" w:sz="0" w:space="0" w:color="auto"/>
      </w:divBdr>
    </w:div>
    <w:div w:id="1412195664">
      <w:bodyDiv w:val="1"/>
      <w:marLeft w:val="0"/>
      <w:marRight w:val="0"/>
      <w:marTop w:val="0"/>
      <w:marBottom w:val="0"/>
      <w:divBdr>
        <w:top w:val="none" w:sz="0" w:space="0" w:color="auto"/>
        <w:left w:val="none" w:sz="0" w:space="0" w:color="auto"/>
        <w:bottom w:val="none" w:sz="0" w:space="0" w:color="auto"/>
        <w:right w:val="none" w:sz="0" w:space="0" w:color="auto"/>
      </w:divBdr>
    </w:div>
    <w:div w:id="1414738762">
      <w:bodyDiv w:val="1"/>
      <w:marLeft w:val="0"/>
      <w:marRight w:val="0"/>
      <w:marTop w:val="0"/>
      <w:marBottom w:val="0"/>
      <w:divBdr>
        <w:top w:val="none" w:sz="0" w:space="0" w:color="auto"/>
        <w:left w:val="none" w:sz="0" w:space="0" w:color="auto"/>
        <w:bottom w:val="none" w:sz="0" w:space="0" w:color="auto"/>
        <w:right w:val="none" w:sz="0" w:space="0" w:color="auto"/>
      </w:divBdr>
    </w:div>
    <w:div w:id="1415931694">
      <w:bodyDiv w:val="1"/>
      <w:marLeft w:val="0"/>
      <w:marRight w:val="0"/>
      <w:marTop w:val="0"/>
      <w:marBottom w:val="0"/>
      <w:divBdr>
        <w:top w:val="none" w:sz="0" w:space="0" w:color="auto"/>
        <w:left w:val="none" w:sz="0" w:space="0" w:color="auto"/>
        <w:bottom w:val="none" w:sz="0" w:space="0" w:color="auto"/>
        <w:right w:val="none" w:sz="0" w:space="0" w:color="auto"/>
      </w:divBdr>
    </w:div>
    <w:div w:id="1416317413">
      <w:bodyDiv w:val="1"/>
      <w:marLeft w:val="0"/>
      <w:marRight w:val="0"/>
      <w:marTop w:val="0"/>
      <w:marBottom w:val="0"/>
      <w:divBdr>
        <w:top w:val="none" w:sz="0" w:space="0" w:color="auto"/>
        <w:left w:val="none" w:sz="0" w:space="0" w:color="auto"/>
        <w:bottom w:val="none" w:sz="0" w:space="0" w:color="auto"/>
        <w:right w:val="none" w:sz="0" w:space="0" w:color="auto"/>
      </w:divBdr>
    </w:div>
    <w:div w:id="1422796675">
      <w:bodyDiv w:val="1"/>
      <w:marLeft w:val="0"/>
      <w:marRight w:val="0"/>
      <w:marTop w:val="0"/>
      <w:marBottom w:val="0"/>
      <w:divBdr>
        <w:top w:val="none" w:sz="0" w:space="0" w:color="auto"/>
        <w:left w:val="none" w:sz="0" w:space="0" w:color="auto"/>
        <w:bottom w:val="none" w:sz="0" w:space="0" w:color="auto"/>
        <w:right w:val="none" w:sz="0" w:space="0" w:color="auto"/>
      </w:divBdr>
    </w:div>
    <w:div w:id="1423061716">
      <w:bodyDiv w:val="1"/>
      <w:marLeft w:val="0"/>
      <w:marRight w:val="0"/>
      <w:marTop w:val="0"/>
      <w:marBottom w:val="0"/>
      <w:divBdr>
        <w:top w:val="none" w:sz="0" w:space="0" w:color="auto"/>
        <w:left w:val="none" w:sz="0" w:space="0" w:color="auto"/>
        <w:bottom w:val="none" w:sz="0" w:space="0" w:color="auto"/>
        <w:right w:val="none" w:sz="0" w:space="0" w:color="auto"/>
      </w:divBdr>
    </w:div>
    <w:div w:id="1428039634">
      <w:bodyDiv w:val="1"/>
      <w:marLeft w:val="0"/>
      <w:marRight w:val="0"/>
      <w:marTop w:val="0"/>
      <w:marBottom w:val="0"/>
      <w:divBdr>
        <w:top w:val="none" w:sz="0" w:space="0" w:color="auto"/>
        <w:left w:val="none" w:sz="0" w:space="0" w:color="auto"/>
        <w:bottom w:val="none" w:sz="0" w:space="0" w:color="auto"/>
        <w:right w:val="none" w:sz="0" w:space="0" w:color="auto"/>
      </w:divBdr>
    </w:div>
    <w:div w:id="1430813256">
      <w:bodyDiv w:val="1"/>
      <w:marLeft w:val="0"/>
      <w:marRight w:val="0"/>
      <w:marTop w:val="0"/>
      <w:marBottom w:val="0"/>
      <w:divBdr>
        <w:top w:val="none" w:sz="0" w:space="0" w:color="auto"/>
        <w:left w:val="none" w:sz="0" w:space="0" w:color="auto"/>
        <w:bottom w:val="none" w:sz="0" w:space="0" w:color="auto"/>
        <w:right w:val="none" w:sz="0" w:space="0" w:color="auto"/>
      </w:divBdr>
    </w:div>
    <w:div w:id="1431125826">
      <w:bodyDiv w:val="1"/>
      <w:marLeft w:val="0"/>
      <w:marRight w:val="0"/>
      <w:marTop w:val="0"/>
      <w:marBottom w:val="0"/>
      <w:divBdr>
        <w:top w:val="none" w:sz="0" w:space="0" w:color="auto"/>
        <w:left w:val="none" w:sz="0" w:space="0" w:color="auto"/>
        <w:bottom w:val="none" w:sz="0" w:space="0" w:color="auto"/>
        <w:right w:val="none" w:sz="0" w:space="0" w:color="auto"/>
      </w:divBdr>
    </w:div>
    <w:div w:id="1431779464">
      <w:bodyDiv w:val="1"/>
      <w:marLeft w:val="0"/>
      <w:marRight w:val="0"/>
      <w:marTop w:val="0"/>
      <w:marBottom w:val="0"/>
      <w:divBdr>
        <w:top w:val="none" w:sz="0" w:space="0" w:color="auto"/>
        <w:left w:val="none" w:sz="0" w:space="0" w:color="auto"/>
        <w:bottom w:val="none" w:sz="0" w:space="0" w:color="auto"/>
        <w:right w:val="none" w:sz="0" w:space="0" w:color="auto"/>
      </w:divBdr>
    </w:div>
    <w:div w:id="1437361961">
      <w:bodyDiv w:val="1"/>
      <w:marLeft w:val="0"/>
      <w:marRight w:val="0"/>
      <w:marTop w:val="0"/>
      <w:marBottom w:val="0"/>
      <w:divBdr>
        <w:top w:val="none" w:sz="0" w:space="0" w:color="auto"/>
        <w:left w:val="none" w:sz="0" w:space="0" w:color="auto"/>
        <w:bottom w:val="none" w:sz="0" w:space="0" w:color="auto"/>
        <w:right w:val="none" w:sz="0" w:space="0" w:color="auto"/>
      </w:divBdr>
    </w:div>
    <w:div w:id="1438062251">
      <w:bodyDiv w:val="1"/>
      <w:marLeft w:val="0"/>
      <w:marRight w:val="0"/>
      <w:marTop w:val="0"/>
      <w:marBottom w:val="0"/>
      <w:divBdr>
        <w:top w:val="none" w:sz="0" w:space="0" w:color="auto"/>
        <w:left w:val="none" w:sz="0" w:space="0" w:color="auto"/>
        <w:bottom w:val="none" w:sz="0" w:space="0" w:color="auto"/>
        <w:right w:val="none" w:sz="0" w:space="0" w:color="auto"/>
      </w:divBdr>
    </w:div>
    <w:div w:id="1441604843">
      <w:bodyDiv w:val="1"/>
      <w:marLeft w:val="0"/>
      <w:marRight w:val="0"/>
      <w:marTop w:val="0"/>
      <w:marBottom w:val="0"/>
      <w:divBdr>
        <w:top w:val="none" w:sz="0" w:space="0" w:color="auto"/>
        <w:left w:val="none" w:sz="0" w:space="0" w:color="auto"/>
        <w:bottom w:val="none" w:sz="0" w:space="0" w:color="auto"/>
        <w:right w:val="none" w:sz="0" w:space="0" w:color="auto"/>
      </w:divBdr>
    </w:div>
    <w:div w:id="1444034138">
      <w:bodyDiv w:val="1"/>
      <w:marLeft w:val="0"/>
      <w:marRight w:val="0"/>
      <w:marTop w:val="0"/>
      <w:marBottom w:val="0"/>
      <w:divBdr>
        <w:top w:val="none" w:sz="0" w:space="0" w:color="auto"/>
        <w:left w:val="none" w:sz="0" w:space="0" w:color="auto"/>
        <w:bottom w:val="none" w:sz="0" w:space="0" w:color="auto"/>
        <w:right w:val="none" w:sz="0" w:space="0" w:color="auto"/>
      </w:divBdr>
    </w:div>
    <w:div w:id="1445462141">
      <w:bodyDiv w:val="1"/>
      <w:marLeft w:val="0"/>
      <w:marRight w:val="0"/>
      <w:marTop w:val="0"/>
      <w:marBottom w:val="0"/>
      <w:divBdr>
        <w:top w:val="none" w:sz="0" w:space="0" w:color="auto"/>
        <w:left w:val="none" w:sz="0" w:space="0" w:color="auto"/>
        <w:bottom w:val="none" w:sz="0" w:space="0" w:color="auto"/>
        <w:right w:val="none" w:sz="0" w:space="0" w:color="auto"/>
      </w:divBdr>
    </w:div>
    <w:div w:id="1445611572">
      <w:bodyDiv w:val="1"/>
      <w:marLeft w:val="0"/>
      <w:marRight w:val="0"/>
      <w:marTop w:val="0"/>
      <w:marBottom w:val="0"/>
      <w:divBdr>
        <w:top w:val="none" w:sz="0" w:space="0" w:color="auto"/>
        <w:left w:val="none" w:sz="0" w:space="0" w:color="auto"/>
        <w:bottom w:val="none" w:sz="0" w:space="0" w:color="auto"/>
        <w:right w:val="none" w:sz="0" w:space="0" w:color="auto"/>
      </w:divBdr>
    </w:div>
    <w:div w:id="1448544909">
      <w:bodyDiv w:val="1"/>
      <w:marLeft w:val="0"/>
      <w:marRight w:val="0"/>
      <w:marTop w:val="0"/>
      <w:marBottom w:val="0"/>
      <w:divBdr>
        <w:top w:val="none" w:sz="0" w:space="0" w:color="auto"/>
        <w:left w:val="none" w:sz="0" w:space="0" w:color="auto"/>
        <w:bottom w:val="none" w:sz="0" w:space="0" w:color="auto"/>
        <w:right w:val="none" w:sz="0" w:space="0" w:color="auto"/>
      </w:divBdr>
    </w:div>
    <w:div w:id="1455171257">
      <w:bodyDiv w:val="1"/>
      <w:marLeft w:val="0"/>
      <w:marRight w:val="0"/>
      <w:marTop w:val="0"/>
      <w:marBottom w:val="0"/>
      <w:divBdr>
        <w:top w:val="none" w:sz="0" w:space="0" w:color="auto"/>
        <w:left w:val="none" w:sz="0" w:space="0" w:color="auto"/>
        <w:bottom w:val="none" w:sz="0" w:space="0" w:color="auto"/>
        <w:right w:val="none" w:sz="0" w:space="0" w:color="auto"/>
      </w:divBdr>
    </w:div>
    <w:div w:id="1456677813">
      <w:bodyDiv w:val="1"/>
      <w:marLeft w:val="0"/>
      <w:marRight w:val="0"/>
      <w:marTop w:val="0"/>
      <w:marBottom w:val="0"/>
      <w:divBdr>
        <w:top w:val="none" w:sz="0" w:space="0" w:color="auto"/>
        <w:left w:val="none" w:sz="0" w:space="0" w:color="auto"/>
        <w:bottom w:val="none" w:sz="0" w:space="0" w:color="auto"/>
        <w:right w:val="none" w:sz="0" w:space="0" w:color="auto"/>
      </w:divBdr>
    </w:div>
    <w:div w:id="1463960722">
      <w:bodyDiv w:val="1"/>
      <w:marLeft w:val="0"/>
      <w:marRight w:val="0"/>
      <w:marTop w:val="0"/>
      <w:marBottom w:val="0"/>
      <w:divBdr>
        <w:top w:val="none" w:sz="0" w:space="0" w:color="auto"/>
        <w:left w:val="none" w:sz="0" w:space="0" w:color="auto"/>
        <w:bottom w:val="none" w:sz="0" w:space="0" w:color="auto"/>
        <w:right w:val="none" w:sz="0" w:space="0" w:color="auto"/>
      </w:divBdr>
    </w:div>
    <w:div w:id="1465267143">
      <w:bodyDiv w:val="1"/>
      <w:marLeft w:val="0"/>
      <w:marRight w:val="0"/>
      <w:marTop w:val="0"/>
      <w:marBottom w:val="0"/>
      <w:divBdr>
        <w:top w:val="none" w:sz="0" w:space="0" w:color="auto"/>
        <w:left w:val="none" w:sz="0" w:space="0" w:color="auto"/>
        <w:bottom w:val="none" w:sz="0" w:space="0" w:color="auto"/>
        <w:right w:val="none" w:sz="0" w:space="0" w:color="auto"/>
      </w:divBdr>
    </w:div>
    <w:div w:id="1467430006">
      <w:bodyDiv w:val="1"/>
      <w:marLeft w:val="0"/>
      <w:marRight w:val="0"/>
      <w:marTop w:val="0"/>
      <w:marBottom w:val="0"/>
      <w:divBdr>
        <w:top w:val="none" w:sz="0" w:space="0" w:color="auto"/>
        <w:left w:val="none" w:sz="0" w:space="0" w:color="auto"/>
        <w:bottom w:val="none" w:sz="0" w:space="0" w:color="auto"/>
        <w:right w:val="none" w:sz="0" w:space="0" w:color="auto"/>
      </w:divBdr>
    </w:div>
    <w:div w:id="1467891918">
      <w:bodyDiv w:val="1"/>
      <w:marLeft w:val="0"/>
      <w:marRight w:val="0"/>
      <w:marTop w:val="0"/>
      <w:marBottom w:val="0"/>
      <w:divBdr>
        <w:top w:val="none" w:sz="0" w:space="0" w:color="auto"/>
        <w:left w:val="none" w:sz="0" w:space="0" w:color="auto"/>
        <w:bottom w:val="none" w:sz="0" w:space="0" w:color="auto"/>
        <w:right w:val="none" w:sz="0" w:space="0" w:color="auto"/>
      </w:divBdr>
    </w:div>
    <w:div w:id="1474785280">
      <w:bodyDiv w:val="1"/>
      <w:marLeft w:val="0"/>
      <w:marRight w:val="0"/>
      <w:marTop w:val="0"/>
      <w:marBottom w:val="0"/>
      <w:divBdr>
        <w:top w:val="none" w:sz="0" w:space="0" w:color="auto"/>
        <w:left w:val="none" w:sz="0" w:space="0" w:color="auto"/>
        <w:bottom w:val="none" w:sz="0" w:space="0" w:color="auto"/>
        <w:right w:val="none" w:sz="0" w:space="0" w:color="auto"/>
      </w:divBdr>
    </w:div>
    <w:div w:id="1477186250">
      <w:bodyDiv w:val="1"/>
      <w:marLeft w:val="0"/>
      <w:marRight w:val="0"/>
      <w:marTop w:val="0"/>
      <w:marBottom w:val="0"/>
      <w:divBdr>
        <w:top w:val="none" w:sz="0" w:space="0" w:color="auto"/>
        <w:left w:val="none" w:sz="0" w:space="0" w:color="auto"/>
        <w:bottom w:val="none" w:sz="0" w:space="0" w:color="auto"/>
        <w:right w:val="none" w:sz="0" w:space="0" w:color="auto"/>
      </w:divBdr>
    </w:div>
    <w:div w:id="1486240053">
      <w:bodyDiv w:val="1"/>
      <w:marLeft w:val="0"/>
      <w:marRight w:val="0"/>
      <w:marTop w:val="0"/>
      <w:marBottom w:val="0"/>
      <w:divBdr>
        <w:top w:val="none" w:sz="0" w:space="0" w:color="auto"/>
        <w:left w:val="none" w:sz="0" w:space="0" w:color="auto"/>
        <w:bottom w:val="none" w:sz="0" w:space="0" w:color="auto"/>
        <w:right w:val="none" w:sz="0" w:space="0" w:color="auto"/>
      </w:divBdr>
    </w:div>
    <w:div w:id="1494685548">
      <w:bodyDiv w:val="1"/>
      <w:marLeft w:val="0"/>
      <w:marRight w:val="0"/>
      <w:marTop w:val="0"/>
      <w:marBottom w:val="0"/>
      <w:divBdr>
        <w:top w:val="none" w:sz="0" w:space="0" w:color="auto"/>
        <w:left w:val="none" w:sz="0" w:space="0" w:color="auto"/>
        <w:bottom w:val="none" w:sz="0" w:space="0" w:color="auto"/>
        <w:right w:val="none" w:sz="0" w:space="0" w:color="auto"/>
      </w:divBdr>
    </w:div>
    <w:div w:id="1495609300">
      <w:bodyDiv w:val="1"/>
      <w:marLeft w:val="0"/>
      <w:marRight w:val="0"/>
      <w:marTop w:val="0"/>
      <w:marBottom w:val="0"/>
      <w:divBdr>
        <w:top w:val="none" w:sz="0" w:space="0" w:color="auto"/>
        <w:left w:val="none" w:sz="0" w:space="0" w:color="auto"/>
        <w:bottom w:val="none" w:sz="0" w:space="0" w:color="auto"/>
        <w:right w:val="none" w:sz="0" w:space="0" w:color="auto"/>
      </w:divBdr>
    </w:div>
    <w:div w:id="1496459017">
      <w:bodyDiv w:val="1"/>
      <w:marLeft w:val="0"/>
      <w:marRight w:val="0"/>
      <w:marTop w:val="0"/>
      <w:marBottom w:val="0"/>
      <w:divBdr>
        <w:top w:val="none" w:sz="0" w:space="0" w:color="auto"/>
        <w:left w:val="none" w:sz="0" w:space="0" w:color="auto"/>
        <w:bottom w:val="none" w:sz="0" w:space="0" w:color="auto"/>
        <w:right w:val="none" w:sz="0" w:space="0" w:color="auto"/>
      </w:divBdr>
    </w:div>
    <w:div w:id="1498299697">
      <w:bodyDiv w:val="1"/>
      <w:marLeft w:val="0"/>
      <w:marRight w:val="0"/>
      <w:marTop w:val="0"/>
      <w:marBottom w:val="0"/>
      <w:divBdr>
        <w:top w:val="none" w:sz="0" w:space="0" w:color="auto"/>
        <w:left w:val="none" w:sz="0" w:space="0" w:color="auto"/>
        <w:bottom w:val="none" w:sz="0" w:space="0" w:color="auto"/>
        <w:right w:val="none" w:sz="0" w:space="0" w:color="auto"/>
      </w:divBdr>
    </w:div>
    <w:div w:id="1498301243">
      <w:bodyDiv w:val="1"/>
      <w:marLeft w:val="0"/>
      <w:marRight w:val="0"/>
      <w:marTop w:val="0"/>
      <w:marBottom w:val="0"/>
      <w:divBdr>
        <w:top w:val="none" w:sz="0" w:space="0" w:color="auto"/>
        <w:left w:val="none" w:sz="0" w:space="0" w:color="auto"/>
        <w:bottom w:val="none" w:sz="0" w:space="0" w:color="auto"/>
        <w:right w:val="none" w:sz="0" w:space="0" w:color="auto"/>
      </w:divBdr>
    </w:div>
    <w:div w:id="1500654777">
      <w:bodyDiv w:val="1"/>
      <w:marLeft w:val="0"/>
      <w:marRight w:val="0"/>
      <w:marTop w:val="0"/>
      <w:marBottom w:val="0"/>
      <w:divBdr>
        <w:top w:val="none" w:sz="0" w:space="0" w:color="auto"/>
        <w:left w:val="none" w:sz="0" w:space="0" w:color="auto"/>
        <w:bottom w:val="none" w:sz="0" w:space="0" w:color="auto"/>
        <w:right w:val="none" w:sz="0" w:space="0" w:color="auto"/>
      </w:divBdr>
    </w:div>
    <w:div w:id="1501654684">
      <w:bodyDiv w:val="1"/>
      <w:marLeft w:val="0"/>
      <w:marRight w:val="0"/>
      <w:marTop w:val="0"/>
      <w:marBottom w:val="0"/>
      <w:divBdr>
        <w:top w:val="none" w:sz="0" w:space="0" w:color="auto"/>
        <w:left w:val="none" w:sz="0" w:space="0" w:color="auto"/>
        <w:bottom w:val="none" w:sz="0" w:space="0" w:color="auto"/>
        <w:right w:val="none" w:sz="0" w:space="0" w:color="auto"/>
      </w:divBdr>
    </w:div>
    <w:div w:id="1501893059">
      <w:bodyDiv w:val="1"/>
      <w:marLeft w:val="0"/>
      <w:marRight w:val="0"/>
      <w:marTop w:val="0"/>
      <w:marBottom w:val="0"/>
      <w:divBdr>
        <w:top w:val="none" w:sz="0" w:space="0" w:color="auto"/>
        <w:left w:val="none" w:sz="0" w:space="0" w:color="auto"/>
        <w:bottom w:val="none" w:sz="0" w:space="0" w:color="auto"/>
        <w:right w:val="none" w:sz="0" w:space="0" w:color="auto"/>
      </w:divBdr>
    </w:div>
    <w:div w:id="1502742095">
      <w:bodyDiv w:val="1"/>
      <w:marLeft w:val="0"/>
      <w:marRight w:val="0"/>
      <w:marTop w:val="0"/>
      <w:marBottom w:val="0"/>
      <w:divBdr>
        <w:top w:val="none" w:sz="0" w:space="0" w:color="auto"/>
        <w:left w:val="none" w:sz="0" w:space="0" w:color="auto"/>
        <w:bottom w:val="none" w:sz="0" w:space="0" w:color="auto"/>
        <w:right w:val="none" w:sz="0" w:space="0" w:color="auto"/>
      </w:divBdr>
    </w:div>
    <w:div w:id="1506937169">
      <w:bodyDiv w:val="1"/>
      <w:marLeft w:val="0"/>
      <w:marRight w:val="0"/>
      <w:marTop w:val="0"/>
      <w:marBottom w:val="0"/>
      <w:divBdr>
        <w:top w:val="none" w:sz="0" w:space="0" w:color="auto"/>
        <w:left w:val="none" w:sz="0" w:space="0" w:color="auto"/>
        <w:bottom w:val="none" w:sz="0" w:space="0" w:color="auto"/>
        <w:right w:val="none" w:sz="0" w:space="0" w:color="auto"/>
      </w:divBdr>
    </w:div>
    <w:div w:id="1512255766">
      <w:bodyDiv w:val="1"/>
      <w:marLeft w:val="0"/>
      <w:marRight w:val="0"/>
      <w:marTop w:val="0"/>
      <w:marBottom w:val="0"/>
      <w:divBdr>
        <w:top w:val="none" w:sz="0" w:space="0" w:color="auto"/>
        <w:left w:val="none" w:sz="0" w:space="0" w:color="auto"/>
        <w:bottom w:val="none" w:sz="0" w:space="0" w:color="auto"/>
        <w:right w:val="none" w:sz="0" w:space="0" w:color="auto"/>
      </w:divBdr>
    </w:div>
    <w:div w:id="1522864212">
      <w:bodyDiv w:val="1"/>
      <w:marLeft w:val="0"/>
      <w:marRight w:val="0"/>
      <w:marTop w:val="0"/>
      <w:marBottom w:val="0"/>
      <w:divBdr>
        <w:top w:val="none" w:sz="0" w:space="0" w:color="auto"/>
        <w:left w:val="none" w:sz="0" w:space="0" w:color="auto"/>
        <w:bottom w:val="none" w:sz="0" w:space="0" w:color="auto"/>
        <w:right w:val="none" w:sz="0" w:space="0" w:color="auto"/>
      </w:divBdr>
    </w:div>
    <w:div w:id="1533836379">
      <w:bodyDiv w:val="1"/>
      <w:marLeft w:val="0"/>
      <w:marRight w:val="0"/>
      <w:marTop w:val="0"/>
      <w:marBottom w:val="0"/>
      <w:divBdr>
        <w:top w:val="none" w:sz="0" w:space="0" w:color="auto"/>
        <w:left w:val="none" w:sz="0" w:space="0" w:color="auto"/>
        <w:bottom w:val="none" w:sz="0" w:space="0" w:color="auto"/>
        <w:right w:val="none" w:sz="0" w:space="0" w:color="auto"/>
      </w:divBdr>
    </w:div>
    <w:div w:id="1538346782">
      <w:bodyDiv w:val="1"/>
      <w:marLeft w:val="0"/>
      <w:marRight w:val="0"/>
      <w:marTop w:val="0"/>
      <w:marBottom w:val="0"/>
      <w:divBdr>
        <w:top w:val="none" w:sz="0" w:space="0" w:color="auto"/>
        <w:left w:val="none" w:sz="0" w:space="0" w:color="auto"/>
        <w:bottom w:val="none" w:sz="0" w:space="0" w:color="auto"/>
        <w:right w:val="none" w:sz="0" w:space="0" w:color="auto"/>
      </w:divBdr>
    </w:div>
    <w:div w:id="1541169212">
      <w:bodyDiv w:val="1"/>
      <w:marLeft w:val="0"/>
      <w:marRight w:val="0"/>
      <w:marTop w:val="0"/>
      <w:marBottom w:val="0"/>
      <w:divBdr>
        <w:top w:val="none" w:sz="0" w:space="0" w:color="auto"/>
        <w:left w:val="none" w:sz="0" w:space="0" w:color="auto"/>
        <w:bottom w:val="none" w:sz="0" w:space="0" w:color="auto"/>
        <w:right w:val="none" w:sz="0" w:space="0" w:color="auto"/>
      </w:divBdr>
    </w:div>
    <w:div w:id="1548295834">
      <w:bodyDiv w:val="1"/>
      <w:marLeft w:val="0"/>
      <w:marRight w:val="0"/>
      <w:marTop w:val="0"/>
      <w:marBottom w:val="0"/>
      <w:divBdr>
        <w:top w:val="none" w:sz="0" w:space="0" w:color="auto"/>
        <w:left w:val="none" w:sz="0" w:space="0" w:color="auto"/>
        <w:bottom w:val="none" w:sz="0" w:space="0" w:color="auto"/>
        <w:right w:val="none" w:sz="0" w:space="0" w:color="auto"/>
      </w:divBdr>
    </w:div>
    <w:div w:id="1554778087">
      <w:bodyDiv w:val="1"/>
      <w:marLeft w:val="0"/>
      <w:marRight w:val="0"/>
      <w:marTop w:val="0"/>
      <w:marBottom w:val="0"/>
      <w:divBdr>
        <w:top w:val="none" w:sz="0" w:space="0" w:color="auto"/>
        <w:left w:val="none" w:sz="0" w:space="0" w:color="auto"/>
        <w:bottom w:val="none" w:sz="0" w:space="0" w:color="auto"/>
        <w:right w:val="none" w:sz="0" w:space="0" w:color="auto"/>
      </w:divBdr>
    </w:div>
    <w:div w:id="1559630140">
      <w:bodyDiv w:val="1"/>
      <w:marLeft w:val="0"/>
      <w:marRight w:val="0"/>
      <w:marTop w:val="0"/>
      <w:marBottom w:val="0"/>
      <w:divBdr>
        <w:top w:val="none" w:sz="0" w:space="0" w:color="auto"/>
        <w:left w:val="none" w:sz="0" w:space="0" w:color="auto"/>
        <w:bottom w:val="none" w:sz="0" w:space="0" w:color="auto"/>
        <w:right w:val="none" w:sz="0" w:space="0" w:color="auto"/>
      </w:divBdr>
    </w:div>
    <w:div w:id="1562247322">
      <w:bodyDiv w:val="1"/>
      <w:marLeft w:val="0"/>
      <w:marRight w:val="0"/>
      <w:marTop w:val="0"/>
      <w:marBottom w:val="0"/>
      <w:divBdr>
        <w:top w:val="none" w:sz="0" w:space="0" w:color="auto"/>
        <w:left w:val="none" w:sz="0" w:space="0" w:color="auto"/>
        <w:bottom w:val="none" w:sz="0" w:space="0" w:color="auto"/>
        <w:right w:val="none" w:sz="0" w:space="0" w:color="auto"/>
      </w:divBdr>
    </w:div>
    <w:div w:id="1565796343">
      <w:bodyDiv w:val="1"/>
      <w:marLeft w:val="0"/>
      <w:marRight w:val="0"/>
      <w:marTop w:val="0"/>
      <w:marBottom w:val="0"/>
      <w:divBdr>
        <w:top w:val="none" w:sz="0" w:space="0" w:color="auto"/>
        <w:left w:val="none" w:sz="0" w:space="0" w:color="auto"/>
        <w:bottom w:val="none" w:sz="0" w:space="0" w:color="auto"/>
        <w:right w:val="none" w:sz="0" w:space="0" w:color="auto"/>
      </w:divBdr>
    </w:div>
    <w:div w:id="1566263151">
      <w:bodyDiv w:val="1"/>
      <w:marLeft w:val="0"/>
      <w:marRight w:val="0"/>
      <w:marTop w:val="0"/>
      <w:marBottom w:val="0"/>
      <w:divBdr>
        <w:top w:val="none" w:sz="0" w:space="0" w:color="auto"/>
        <w:left w:val="none" w:sz="0" w:space="0" w:color="auto"/>
        <w:bottom w:val="none" w:sz="0" w:space="0" w:color="auto"/>
        <w:right w:val="none" w:sz="0" w:space="0" w:color="auto"/>
      </w:divBdr>
    </w:div>
    <w:div w:id="1566918560">
      <w:bodyDiv w:val="1"/>
      <w:marLeft w:val="0"/>
      <w:marRight w:val="0"/>
      <w:marTop w:val="0"/>
      <w:marBottom w:val="0"/>
      <w:divBdr>
        <w:top w:val="none" w:sz="0" w:space="0" w:color="auto"/>
        <w:left w:val="none" w:sz="0" w:space="0" w:color="auto"/>
        <w:bottom w:val="none" w:sz="0" w:space="0" w:color="auto"/>
        <w:right w:val="none" w:sz="0" w:space="0" w:color="auto"/>
      </w:divBdr>
    </w:div>
    <w:div w:id="1573853685">
      <w:bodyDiv w:val="1"/>
      <w:marLeft w:val="0"/>
      <w:marRight w:val="0"/>
      <w:marTop w:val="0"/>
      <w:marBottom w:val="0"/>
      <w:divBdr>
        <w:top w:val="none" w:sz="0" w:space="0" w:color="auto"/>
        <w:left w:val="none" w:sz="0" w:space="0" w:color="auto"/>
        <w:bottom w:val="none" w:sz="0" w:space="0" w:color="auto"/>
        <w:right w:val="none" w:sz="0" w:space="0" w:color="auto"/>
      </w:divBdr>
    </w:div>
    <w:div w:id="1577125392">
      <w:bodyDiv w:val="1"/>
      <w:marLeft w:val="0"/>
      <w:marRight w:val="0"/>
      <w:marTop w:val="0"/>
      <w:marBottom w:val="0"/>
      <w:divBdr>
        <w:top w:val="none" w:sz="0" w:space="0" w:color="auto"/>
        <w:left w:val="none" w:sz="0" w:space="0" w:color="auto"/>
        <w:bottom w:val="none" w:sz="0" w:space="0" w:color="auto"/>
        <w:right w:val="none" w:sz="0" w:space="0" w:color="auto"/>
      </w:divBdr>
    </w:div>
    <w:div w:id="1577323158">
      <w:bodyDiv w:val="1"/>
      <w:marLeft w:val="0"/>
      <w:marRight w:val="0"/>
      <w:marTop w:val="0"/>
      <w:marBottom w:val="0"/>
      <w:divBdr>
        <w:top w:val="none" w:sz="0" w:space="0" w:color="auto"/>
        <w:left w:val="none" w:sz="0" w:space="0" w:color="auto"/>
        <w:bottom w:val="none" w:sz="0" w:space="0" w:color="auto"/>
        <w:right w:val="none" w:sz="0" w:space="0" w:color="auto"/>
      </w:divBdr>
    </w:div>
    <w:div w:id="1586524685">
      <w:bodyDiv w:val="1"/>
      <w:marLeft w:val="0"/>
      <w:marRight w:val="0"/>
      <w:marTop w:val="0"/>
      <w:marBottom w:val="0"/>
      <w:divBdr>
        <w:top w:val="none" w:sz="0" w:space="0" w:color="auto"/>
        <w:left w:val="none" w:sz="0" w:space="0" w:color="auto"/>
        <w:bottom w:val="none" w:sz="0" w:space="0" w:color="auto"/>
        <w:right w:val="none" w:sz="0" w:space="0" w:color="auto"/>
      </w:divBdr>
    </w:div>
    <w:div w:id="1588998281">
      <w:bodyDiv w:val="1"/>
      <w:marLeft w:val="0"/>
      <w:marRight w:val="0"/>
      <w:marTop w:val="0"/>
      <w:marBottom w:val="0"/>
      <w:divBdr>
        <w:top w:val="none" w:sz="0" w:space="0" w:color="auto"/>
        <w:left w:val="none" w:sz="0" w:space="0" w:color="auto"/>
        <w:bottom w:val="none" w:sz="0" w:space="0" w:color="auto"/>
        <w:right w:val="none" w:sz="0" w:space="0" w:color="auto"/>
      </w:divBdr>
    </w:div>
    <w:div w:id="1598517151">
      <w:bodyDiv w:val="1"/>
      <w:marLeft w:val="0"/>
      <w:marRight w:val="0"/>
      <w:marTop w:val="0"/>
      <w:marBottom w:val="0"/>
      <w:divBdr>
        <w:top w:val="none" w:sz="0" w:space="0" w:color="auto"/>
        <w:left w:val="none" w:sz="0" w:space="0" w:color="auto"/>
        <w:bottom w:val="none" w:sz="0" w:space="0" w:color="auto"/>
        <w:right w:val="none" w:sz="0" w:space="0" w:color="auto"/>
      </w:divBdr>
    </w:div>
    <w:div w:id="1604530053">
      <w:bodyDiv w:val="1"/>
      <w:marLeft w:val="0"/>
      <w:marRight w:val="0"/>
      <w:marTop w:val="0"/>
      <w:marBottom w:val="0"/>
      <w:divBdr>
        <w:top w:val="none" w:sz="0" w:space="0" w:color="auto"/>
        <w:left w:val="none" w:sz="0" w:space="0" w:color="auto"/>
        <w:bottom w:val="none" w:sz="0" w:space="0" w:color="auto"/>
        <w:right w:val="none" w:sz="0" w:space="0" w:color="auto"/>
      </w:divBdr>
    </w:div>
    <w:div w:id="1605336509">
      <w:bodyDiv w:val="1"/>
      <w:marLeft w:val="0"/>
      <w:marRight w:val="0"/>
      <w:marTop w:val="0"/>
      <w:marBottom w:val="0"/>
      <w:divBdr>
        <w:top w:val="none" w:sz="0" w:space="0" w:color="auto"/>
        <w:left w:val="none" w:sz="0" w:space="0" w:color="auto"/>
        <w:bottom w:val="none" w:sz="0" w:space="0" w:color="auto"/>
        <w:right w:val="none" w:sz="0" w:space="0" w:color="auto"/>
      </w:divBdr>
    </w:div>
    <w:div w:id="1607543665">
      <w:bodyDiv w:val="1"/>
      <w:marLeft w:val="0"/>
      <w:marRight w:val="0"/>
      <w:marTop w:val="0"/>
      <w:marBottom w:val="0"/>
      <w:divBdr>
        <w:top w:val="none" w:sz="0" w:space="0" w:color="auto"/>
        <w:left w:val="none" w:sz="0" w:space="0" w:color="auto"/>
        <w:bottom w:val="none" w:sz="0" w:space="0" w:color="auto"/>
        <w:right w:val="none" w:sz="0" w:space="0" w:color="auto"/>
      </w:divBdr>
    </w:div>
    <w:div w:id="1608848914">
      <w:bodyDiv w:val="1"/>
      <w:marLeft w:val="0"/>
      <w:marRight w:val="0"/>
      <w:marTop w:val="0"/>
      <w:marBottom w:val="0"/>
      <w:divBdr>
        <w:top w:val="none" w:sz="0" w:space="0" w:color="auto"/>
        <w:left w:val="none" w:sz="0" w:space="0" w:color="auto"/>
        <w:bottom w:val="none" w:sz="0" w:space="0" w:color="auto"/>
        <w:right w:val="none" w:sz="0" w:space="0" w:color="auto"/>
      </w:divBdr>
    </w:div>
    <w:div w:id="1619097695">
      <w:bodyDiv w:val="1"/>
      <w:marLeft w:val="0"/>
      <w:marRight w:val="0"/>
      <w:marTop w:val="0"/>
      <w:marBottom w:val="0"/>
      <w:divBdr>
        <w:top w:val="none" w:sz="0" w:space="0" w:color="auto"/>
        <w:left w:val="none" w:sz="0" w:space="0" w:color="auto"/>
        <w:bottom w:val="none" w:sz="0" w:space="0" w:color="auto"/>
        <w:right w:val="none" w:sz="0" w:space="0" w:color="auto"/>
      </w:divBdr>
    </w:div>
    <w:div w:id="1620991798">
      <w:bodyDiv w:val="1"/>
      <w:marLeft w:val="0"/>
      <w:marRight w:val="0"/>
      <w:marTop w:val="0"/>
      <w:marBottom w:val="0"/>
      <w:divBdr>
        <w:top w:val="none" w:sz="0" w:space="0" w:color="auto"/>
        <w:left w:val="none" w:sz="0" w:space="0" w:color="auto"/>
        <w:bottom w:val="none" w:sz="0" w:space="0" w:color="auto"/>
        <w:right w:val="none" w:sz="0" w:space="0" w:color="auto"/>
      </w:divBdr>
    </w:div>
    <w:div w:id="1627003933">
      <w:bodyDiv w:val="1"/>
      <w:marLeft w:val="0"/>
      <w:marRight w:val="0"/>
      <w:marTop w:val="0"/>
      <w:marBottom w:val="0"/>
      <w:divBdr>
        <w:top w:val="none" w:sz="0" w:space="0" w:color="auto"/>
        <w:left w:val="none" w:sz="0" w:space="0" w:color="auto"/>
        <w:bottom w:val="none" w:sz="0" w:space="0" w:color="auto"/>
        <w:right w:val="none" w:sz="0" w:space="0" w:color="auto"/>
      </w:divBdr>
    </w:div>
    <w:div w:id="1630282844">
      <w:bodyDiv w:val="1"/>
      <w:marLeft w:val="0"/>
      <w:marRight w:val="0"/>
      <w:marTop w:val="0"/>
      <w:marBottom w:val="0"/>
      <w:divBdr>
        <w:top w:val="none" w:sz="0" w:space="0" w:color="auto"/>
        <w:left w:val="none" w:sz="0" w:space="0" w:color="auto"/>
        <w:bottom w:val="none" w:sz="0" w:space="0" w:color="auto"/>
        <w:right w:val="none" w:sz="0" w:space="0" w:color="auto"/>
      </w:divBdr>
    </w:div>
    <w:div w:id="1630696824">
      <w:bodyDiv w:val="1"/>
      <w:marLeft w:val="0"/>
      <w:marRight w:val="0"/>
      <w:marTop w:val="0"/>
      <w:marBottom w:val="0"/>
      <w:divBdr>
        <w:top w:val="none" w:sz="0" w:space="0" w:color="auto"/>
        <w:left w:val="none" w:sz="0" w:space="0" w:color="auto"/>
        <w:bottom w:val="none" w:sz="0" w:space="0" w:color="auto"/>
        <w:right w:val="none" w:sz="0" w:space="0" w:color="auto"/>
      </w:divBdr>
    </w:div>
    <w:div w:id="1630823514">
      <w:bodyDiv w:val="1"/>
      <w:marLeft w:val="0"/>
      <w:marRight w:val="0"/>
      <w:marTop w:val="0"/>
      <w:marBottom w:val="0"/>
      <w:divBdr>
        <w:top w:val="none" w:sz="0" w:space="0" w:color="auto"/>
        <w:left w:val="none" w:sz="0" w:space="0" w:color="auto"/>
        <w:bottom w:val="none" w:sz="0" w:space="0" w:color="auto"/>
        <w:right w:val="none" w:sz="0" w:space="0" w:color="auto"/>
      </w:divBdr>
    </w:div>
    <w:div w:id="1631007656">
      <w:bodyDiv w:val="1"/>
      <w:marLeft w:val="0"/>
      <w:marRight w:val="0"/>
      <w:marTop w:val="0"/>
      <w:marBottom w:val="0"/>
      <w:divBdr>
        <w:top w:val="none" w:sz="0" w:space="0" w:color="auto"/>
        <w:left w:val="none" w:sz="0" w:space="0" w:color="auto"/>
        <w:bottom w:val="none" w:sz="0" w:space="0" w:color="auto"/>
        <w:right w:val="none" w:sz="0" w:space="0" w:color="auto"/>
      </w:divBdr>
    </w:div>
    <w:div w:id="1636787232">
      <w:bodyDiv w:val="1"/>
      <w:marLeft w:val="0"/>
      <w:marRight w:val="0"/>
      <w:marTop w:val="0"/>
      <w:marBottom w:val="0"/>
      <w:divBdr>
        <w:top w:val="none" w:sz="0" w:space="0" w:color="auto"/>
        <w:left w:val="none" w:sz="0" w:space="0" w:color="auto"/>
        <w:bottom w:val="none" w:sz="0" w:space="0" w:color="auto"/>
        <w:right w:val="none" w:sz="0" w:space="0" w:color="auto"/>
      </w:divBdr>
    </w:div>
    <w:div w:id="1638027340">
      <w:bodyDiv w:val="1"/>
      <w:marLeft w:val="0"/>
      <w:marRight w:val="0"/>
      <w:marTop w:val="0"/>
      <w:marBottom w:val="0"/>
      <w:divBdr>
        <w:top w:val="none" w:sz="0" w:space="0" w:color="auto"/>
        <w:left w:val="none" w:sz="0" w:space="0" w:color="auto"/>
        <w:bottom w:val="none" w:sz="0" w:space="0" w:color="auto"/>
        <w:right w:val="none" w:sz="0" w:space="0" w:color="auto"/>
      </w:divBdr>
    </w:div>
    <w:div w:id="1645313439">
      <w:bodyDiv w:val="1"/>
      <w:marLeft w:val="0"/>
      <w:marRight w:val="0"/>
      <w:marTop w:val="0"/>
      <w:marBottom w:val="0"/>
      <w:divBdr>
        <w:top w:val="none" w:sz="0" w:space="0" w:color="auto"/>
        <w:left w:val="none" w:sz="0" w:space="0" w:color="auto"/>
        <w:bottom w:val="none" w:sz="0" w:space="0" w:color="auto"/>
        <w:right w:val="none" w:sz="0" w:space="0" w:color="auto"/>
      </w:divBdr>
    </w:div>
    <w:div w:id="1645357533">
      <w:bodyDiv w:val="1"/>
      <w:marLeft w:val="0"/>
      <w:marRight w:val="0"/>
      <w:marTop w:val="0"/>
      <w:marBottom w:val="0"/>
      <w:divBdr>
        <w:top w:val="none" w:sz="0" w:space="0" w:color="auto"/>
        <w:left w:val="none" w:sz="0" w:space="0" w:color="auto"/>
        <w:bottom w:val="none" w:sz="0" w:space="0" w:color="auto"/>
        <w:right w:val="none" w:sz="0" w:space="0" w:color="auto"/>
      </w:divBdr>
    </w:div>
    <w:div w:id="1646935964">
      <w:bodyDiv w:val="1"/>
      <w:marLeft w:val="0"/>
      <w:marRight w:val="0"/>
      <w:marTop w:val="0"/>
      <w:marBottom w:val="0"/>
      <w:divBdr>
        <w:top w:val="none" w:sz="0" w:space="0" w:color="auto"/>
        <w:left w:val="none" w:sz="0" w:space="0" w:color="auto"/>
        <w:bottom w:val="none" w:sz="0" w:space="0" w:color="auto"/>
        <w:right w:val="none" w:sz="0" w:space="0" w:color="auto"/>
      </w:divBdr>
    </w:div>
    <w:div w:id="1647589957">
      <w:bodyDiv w:val="1"/>
      <w:marLeft w:val="0"/>
      <w:marRight w:val="0"/>
      <w:marTop w:val="0"/>
      <w:marBottom w:val="0"/>
      <w:divBdr>
        <w:top w:val="none" w:sz="0" w:space="0" w:color="auto"/>
        <w:left w:val="none" w:sz="0" w:space="0" w:color="auto"/>
        <w:bottom w:val="none" w:sz="0" w:space="0" w:color="auto"/>
        <w:right w:val="none" w:sz="0" w:space="0" w:color="auto"/>
      </w:divBdr>
    </w:div>
    <w:div w:id="1652976268">
      <w:bodyDiv w:val="1"/>
      <w:marLeft w:val="0"/>
      <w:marRight w:val="0"/>
      <w:marTop w:val="0"/>
      <w:marBottom w:val="0"/>
      <w:divBdr>
        <w:top w:val="none" w:sz="0" w:space="0" w:color="auto"/>
        <w:left w:val="none" w:sz="0" w:space="0" w:color="auto"/>
        <w:bottom w:val="none" w:sz="0" w:space="0" w:color="auto"/>
        <w:right w:val="none" w:sz="0" w:space="0" w:color="auto"/>
      </w:divBdr>
    </w:div>
    <w:div w:id="1654598189">
      <w:bodyDiv w:val="1"/>
      <w:marLeft w:val="0"/>
      <w:marRight w:val="0"/>
      <w:marTop w:val="0"/>
      <w:marBottom w:val="0"/>
      <w:divBdr>
        <w:top w:val="none" w:sz="0" w:space="0" w:color="auto"/>
        <w:left w:val="none" w:sz="0" w:space="0" w:color="auto"/>
        <w:bottom w:val="none" w:sz="0" w:space="0" w:color="auto"/>
        <w:right w:val="none" w:sz="0" w:space="0" w:color="auto"/>
      </w:divBdr>
    </w:div>
    <w:div w:id="1655259814">
      <w:bodyDiv w:val="1"/>
      <w:marLeft w:val="0"/>
      <w:marRight w:val="0"/>
      <w:marTop w:val="0"/>
      <w:marBottom w:val="0"/>
      <w:divBdr>
        <w:top w:val="none" w:sz="0" w:space="0" w:color="auto"/>
        <w:left w:val="none" w:sz="0" w:space="0" w:color="auto"/>
        <w:bottom w:val="none" w:sz="0" w:space="0" w:color="auto"/>
        <w:right w:val="none" w:sz="0" w:space="0" w:color="auto"/>
      </w:divBdr>
    </w:div>
    <w:div w:id="1658262895">
      <w:bodyDiv w:val="1"/>
      <w:marLeft w:val="0"/>
      <w:marRight w:val="0"/>
      <w:marTop w:val="0"/>
      <w:marBottom w:val="0"/>
      <w:divBdr>
        <w:top w:val="none" w:sz="0" w:space="0" w:color="auto"/>
        <w:left w:val="none" w:sz="0" w:space="0" w:color="auto"/>
        <w:bottom w:val="none" w:sz="0" w:space="0" w:color="auto"/>
        <w:right w:val="none" w:sz="0" w:space="0" w:color="auto"/>
      </w:divBdr>
    </w:div>
    <w:div w:id="1661301995">
      <w:bodyDiv w:val="1"/>
      <w:marLeft w:val="0"/>
      <w:marRight w:val="0"/>
      <w:marTop w:val="0"/>
      <w:marBottom w:val="0"/>
      <w:divBdr>
        <w:top w:val="none" w:sz="0" w:space="0" w:color="auto"/>
        <w:left w:val="none" w:sz="0" w:space="0" w:color="auto"/>
        <w:bottom w:val="none" w:sz="0" w:space="0" w:color="auto"/>
        <w:right w:val="none" w:sz="0" w:space="0" w:color="auto"/>
      </w:divBdr>
    </w:div>
    <w:div w:id="1663772622">
      <w:bodyDiv w:val="1"/>
      <w:marLeft w:val="0"/>
      <w:marRight w:val="0"/>
      <w:marTop w:val="0"/>
      <w:marBottom w:val="0"/>
      <w:divBdr>
        <w:top w:val="none" w:sz="0" w:space="0" w:color="auto"/>
        <w:left w:val="none" w:sz="0" w:space="0" w:color="auto"/>
        <w:bottom w:val="none" w:sz="0" w:space="0" w:color="auto"/>
        <w:right w:val="none" w:sz="0" w:space="0" w:color="auto"/>
      </w:divBdr>
    </w:div>
    <w:div w:id="1664703015">
      <w:bodyDiv w:val="1"/>
      <w:marLeft w:val="0"/>
      <w:marRight w:val="0"/>
      <w:marTop w:val="0"/>
      <w:marBottom w:val="0"/>
      <w:divBdr>
        <w:top w:val="none" w:sz="0" w:space="0" w:color="auto"/>
        <w:left w:val="none" w:sz="0" w:space="0" w:color="auto"/>
        <w:bottom w:val="none" w:sz="0" w:space="0" w:color="auto"/>
        <w:right w:val="none" w:sz="0" w:space="0" w:color="auto"/>
      </w:divBdr>
    </w:div>
    <w:div w:id="1664821877">
      <w:bodyDiv w:val="1"/>
      <w:marLeft w:val="0"/>
      <w:marRight w:val="0"/>
      <w:marTop w:val="0"/>
      <w:marBottom w:val="0"/>
      <w:divBdr>
        <w:top w:val="none" w:sz="0" w:space="0" w:color="auto"/>
        <w:left w:val="none" w:sz="0" w:space="0" w:color="auto"/>
        <w:bottom w:val="none" w:sz="0" w:space="0" w:color="auto"/>
        <w:right w:val="none" w:sz="0" w:space="0" w:color="auto"/>
      </w:divBdr>
    </w:div>
    <w:div w:id="1665358987">
      <w:bodyDiv w:val="1"/>
      <w:marLeft w:val="0"/>
      <w:marRight w:val="0"/>
      <w:marTop w:val="0"/>
      <w:marBottom w:val="0"/>
      <w:divBdr>
        <w:top w:val="none" w:sz="0" w:space="0" w:color="auto"/>
        <w:left w:val="none" w:sz="0" w:space="0" w:color="auto"/>
        <w:bottom w:val="none" w:sz="0" w:space="0" w:color="auto"/>
        <w:right w:val="none" w:sz="0" w:space="0" w:color="auto"/>
      </w:divBdr>
    </w:div>
    <w:div w:id="1666587903">
      <w:bodyDiv w:val="1"/>
      <w:marLeft w:val="0"/>
      <w:marRight w:val="0"/>
      <w:marTop w:val="0"/>
      <w:marBottom w:val="0"/>
      <w:divBdr>
        <w:top w:val="none" w:sz="0" w:space="0" w:color="auto"/>
        <w:left w:val="none" w:sz="0" w:space="0" w:color="auto"/>
        <w:bottom w:val="none" w:sz="0" w:space="0" w:color="auto"/>
        <w:right w:val="none" w:sz="0" w:space="0" w:color="auto"/>
      </w:divBdr>
    </w:div>
    <w:div w:id="1667587468">
      <w:bodyDiv w:val="1"/>
      <w:marLeft w:val="0"/>
      <w:marRight w:val="0"/>
      <w:marTop w:val="0"/>
      <w:marBottom w:val="0"/>
      <w:divBdr>
        <w:top w:val="none" w:sz="0" w:space="0" w:color="auto"/>
        <w:left w:val="none" w:sz="0" w:space="0" w:color="auto"/>
        <w:bottom w:val="none" w:sz="0" w:space="0" w:color="auto"/>
        <w:right w:val="none" w:sz="0" w:space="0" w:color="auto"/>
      </w:divBdr>
    </w:div>
    <w:div w:id="1673873234">
      <w:bodyDiv w:val="1"/>
      <w:marLeft w:val="0"/>
      <w:marRight w:val="0"/>
      <w:marTop w:val="0"/>
      <w:marBottom w:val="0"/>
      <w:divBdr>
        <w:top w:val="none" w:sz="0" w:space="0" w:color="auto"/>
        <w:left w:val="none" w:sz="0" w:space="0" w:color="auto"/>
        <w:bottom w:val="none" w:sz="0" w:space="0" w:color="auto"/>
        <w:right w:val="none" w:sz="0" w:space="0" w:color="auto"/>
      </w:divBdr>
    </w:div>
    <w:div w:id="1674527194">
      <w:bodyDiv w:val="1"/>
      <w:marLeft w:val="0"/>
      <w:marRight w:val="0"/>
      <w:marTop w:val="0"/>
      <w:marBottom w:val="0"/>
      <w:divBdr>
        <w:top w:val="none" w:sz="0" w:space="0" w:color="auto"/>
        <w:left w:val="none" w:sz="0" w:space="0" w:color="auto"/>
        <w:bottom w:val="none" w:sz="0" w:space="0" w:color="auto"/>
        <w:right w:val="none" w:sz="0" w:space="0" w:color="auto"/>
      </w:divBdr>
    </w:div>
    <w:div w:id="1677656589">
      <w:bodyDiv w:val="1"/>
      <w:marLeft w:val="0"/>
      <w:marRight w:val="0"/>
      <w:marTop w:val="0"/>
      <w:marBottom w:val="0"/>
      <w:divBdr>
        <w:top w:val="none" w:sz="0" w:space="0" w:color="auto"/>
        <w:left w:val="none" w:sz="0" w:space="0" w:color="auto"/>
        <w:bottom w:val="none" w:sz="0" w:space="0" w:color="auto"/>
        <w:right w:val="none" w:sz="0" w:space="0" w:color="auto"/>
      </w:divBdr>
    </w:div>
    <w:div w:id="1681466509">
      <w:bodyDiv w:val="1"/>
      <w:marLeft w:val="0"/>
      <w:marRight w:val="0"/>
      <w:marTop w:val="0"/>
      <w:marBottom w:val="0"/>
      <w:divBdr>
        <w:top w:val="none" w:sz="0" w:space="0" w:color="auto"/>
        <w:left w:val="none" w:sz="0" w:space="0" w:color="auto"/>
        <w:bottom w:val="none" w:sz="0" w:space="0" w:color="auto"/>
        <w:right w:val="none" w:sz="0" w:space="0" w:color="auto"/>
      </w:divBdr>
    </w:div>
    <w:div w:id="1682900611">
      <w:bodyDiv w:val="1"/>
      <w:marLeft w:val="0"/>
      <w:marRight w:val="0"/>
      <w:marTop w:val="0"/>
      <w:marBottom w:val="0"/>
      <w:divBdr>
        <w:top w:val="none" w:sz="0" w:space="0" w:color="auto"/>
        <w:left w:val="none" w:sz="0" w:space="0" w:color="auto"/>
        <w:bottom w:val="none" w:sz="0" w:space="0" w:color="auto"/>
        <w:right w:val="none" w:sz="0" w:space="0" w:color="auto"/>
      </w:divBdr>
    </w:div>
    <w:div w:id="1683705272">
      <w:bodyDiv w:val="1"/>
      <w:marLeft w:val="0"/>
      <w:marRight w:val="0"/>
      <w:marTop w:val="0"/>
      <w:marBottom w:val="0"/>
      <w:divBdr>
        <w:top w:val="none" w:sz="0" w:space="0" w:color="auto"/>
        <w:left w:val="none" w:sz="0" w:space="0" w:color="auto"/>
        <w:bottom w:val="none" w:sz="0" w:space="0" w:color="auto"/>
        <w:right w:val="none" w:sz="0" w:space="0" w:color="auto"/>
      </w:divBdr>
    </w:div>
    <w:div w:id="1684548186">
      <w:bodyDiv w:val="1"/>
      <w:marLeft w:val="0"/>
      <w:marRight w:val="0"/>
      <w:marTop w:val="0"/>
      <w:marBottom w:val="0"/>
      <w:divBdr>
        <w:top w:val="none" w:sz="0" w:space="0" w:color="auto"/>
        <w:left w:val="none" w:sz="0" w:space="0" w:color="auto"/>
        <w:bottom w:val="none" w:sz="0" w:space="0" w:color="auto"/>
        <w:right w:val="none" w:sz="0" w:space="0" w:color="auto"/>
      </w:divBdr>
    </w:div>
    <w:div w:id="1685285531">
      <w:bodyDiv w:val="1"/>
      <w:marLeft w:val="0"/>
      <w:marRight w:val="0"/>
      <w:marTop w:val="0"/>
      <w:marBottom w:val="0"/>
      <w:divBdr>
        <w:top w:val="none" w:sz="0" w:space="0" w:color="auto"/>
        <w:left w:val="none" w:sz="0" w:space="0" w:color="auto"/>
        <w:bottom w:val="none" w:sz="0" w:space="0" w:color="auto"/>
        <w:right w:val="none" w:sz="0" w:space="0" w:color="auto"/>
      </w:divBdr>
    </w:div>
    <w:div w:id="1687051675">
      <w:bodyDiv w:val="1"/>
      <w:marLeft w:val="0"/>
      <w:marRight w:val="0"/>
      <w:marTop w:val="0"/>
      <w:marBottom w:val="0"/>
      <w:divBdr>
        <w:top w:val="none" w:sz="0" w:space="0" w:color="auto"/>
        <w:left w:val="none" w:sz="0" w:space="0" w:color="auto"/>
        <w:bottom w:val="none" w:sz="0" w:space="0" w:color="auto"/>
        <w:right w:val="none" w:sz="0" w:space="0" w:color="auto"/>
      </w:divBdr>
    </w:div>
    <w:div w:id="1693341912">
      <w:bodyDiv w:val="1"/>
      <w:marLeft w:val="0"/>
      <w:marRight w:val="0"/>
      <w:marTop w:val="0"/>
      <w:marBottom w:val="0"/>
      <w:divBdr>
        <w:top w:val="none" w:sz="0" w:space="0" w:color="auto"/>
        <w:left w:val="none" w:sz="0" w:space="0" w:color="auto"/>
        <w:bottom w:val="none" w:sz="0" w:space="0" w:color="auto"/>
        <w:right w:val="none" w:sz="0" w:space="0" w:color="auto"/>
      </w:divBdr>
    </w:div>
    <w:div w:id="1697267177">
      <w:bodyDiv w:val="1"/>
      <w:marLeft w:val="0"/>
      <w:marRight w:val="0"/>
      <w:marTop w:val="0"/>
      <w:marBottom w:val="0"/>
      <w:divBdr>
        <w:top w:val="none" w:sz="0" w:space="0" w:color="auto"/>
        <w:left w:val="none" w:sz="0" w:space="0" w:color="auto"/>
        <w:bottom w:val="none" w:sz="0" w:space="0" w:color="auto"/>
        <w:right w:val="none" w:sz="0" w:space="0" w:color="auto"/>
      </w:divBdr>
    </w:div>
    <w:div w:id="1701011828">
      <w:bodyDiv w:val="1"/>
      <w:marLeft w:val="0"/>
      <w:marRight w:val="0"/>
      <w:marTop w:val="0"/>
      <w:marBottom w:val="0"/>
      <w:divBdr>
        <w:top w:val="none" w:sz="0" w:space="0" w:color="auto"/>
        <w:left w:val="none" w:sz="0" w:space="0" w:color="auto"/>
        <w:bottom w:val="none" w:sz="0" w:space="0" w:color="auto"/>
        <w:right w:val="none" w:sz="0" w:space="0" w:color="auto"/>
      </w:divBdr>
    </w:div>
    <w:div w:id="1704406925">
      <w:bodyDiv w:val="1"/>
      <w:marLeft w:val="0"/>
      <w:marRight w:val="0"/>
      <w:marTop w:val="0"/>
      <w:marBottom w:val="0"/>
      <w:divBdr>
        <w:top w:val="none" w:sz="0" w:space="0" w:color="auto"/>
        <w:left w:val="none" w:sz="0" w:space="0" w:color="auto"/>
        <w:bottom w:val="none" w:sz="0" w:space="0" w:color="auto"/>
        <w:right w:val="none" w:sz="0" w:space="0" w:color="auto"/>
      </w:divBdr>
    </w:div>
    <w:div w:id="1706564501">
      <w:bodyDiv w:val="1"/>
      <w:marLeft w:val="0"/>
      <w:marRight w:val="0"/>
      <w:marTop w:val="0"/>
      <w:marBottom w:val="0"/>
      <w:divBdr>
        <w:top w:val="none" w:sz="0" w:space="0" w:color="auto"/>
        <w:left w:val="none" w:sz="0" w:space="0" w:color="auto"/>
        <w:bottom w:val="none" w:sz="0" w:space="0" w:color="auto"/>
        <w:right w:val="none" w:sz="0" w:space="0" w:color="auto"/>
      </w:divBdr>
    </w:div>
    <w:div w:id="1709524338">
      <w:bodyDiv w:val="1"/>
      <w:marLeft w:val="0"/>
      <w:marRight w:val="0"/>
      <w:marTop w:val="0"/>
      <w:marBottom w:val="0"/>
      <w:divBdr>
        <w:top w:val="none" w:sz="0" w:space="0" w:color="auto"/>
        <w:left w:val="none" w:sz="0" w:space="0" w:color="auto"/>
        <w:bottom w:val="none" w:sz="0" w:space="0" w:color="auto"/>
        <w:right w:val="none" w:sz="0" w:space="0" w:color="auto"/>
      </w:divBdr>
    </w:div>
    <w:div w:id="1718510468">
      <w:bodyDiv w:val="1"/>
      <w:marLeft w:val="0"/>
      <w:marRight w:val="0"/>
      <w:marTop w:val="0"/>
      <w:marBottom w:val="0"/>
      <w:divBdr>
        <w:top w:val="none" w:sz="0" w:space="0" w:color="auto"/>
        <w:left w:val="none" w:sz="0" w:space="0" w:color="auto"/>
        <w:bottom w:val="none" w:sz="0" w:space="0" w:color="auto"/>
        <w:right w:val="none" w:sz="0" w:space="0" w:color="auto"/>
      </w:divBdr>
    </w:div>
    <w:div w:id="1720084677">
      <w:bodyDiv w:val="1"/>
      <w:marLeft w:val="0"/>
      <w:marRight w:val="0"/>
      <w:marTop w:val="0"/>
      <w:marBottom w:val="0"/>
      <w:divBdr>
        <w:top w:val="none" w:sz="0" w:space="0" w:color="auto"/>
        <w:left w:val="none" w:sz="0" w:space="0" w:color="auto"/>
        <w:bottom w:val="none" w:sz="0" w:space="0" w:color="auto"/>
        <w:right w:val="none" w:sz="0" w:space="0" w:color="auto"/>
      </w:divBdr>
    </w:div>
    <w:div w:id="1720131556">
      <w:bodyDiv w:val="1"/>
      <w:marLeft w:val="0"/>
      <w:marRight w:val="0"/>
      <w:marTop w:val="0"/>
      <w:marBottom w:val="0"/>
      <w:divBdr>
        <w:top w:val="none" w:sz="0" w:space="0" w:color="auto"/>
        <w:left w:val="none" w:sz="0" w:space="0" w:color="auto"/>
        <w:bottom w:val="none" w:sz="0" w:space="0" w:color="auto"/>
        <w:right w:val="none" w:sz="0" w:space="0" w:color="auto"/>
      </w:divBdr>
    </w:div>
    <w:div w:id="1720739539">
      <w:bodyDiv w:val="1"/>
      <w:marLeft w:val="0"/>
      <w:marRight w:val="0"/>
      <w:marTop w:val="0"/>
      <w:marBottom w:val="0"/>
      <w:divBdr>
        <w:top w:val="none" w:sz="0" w:space="0" w:color="auto"/>
        <w:left w:val="none" w:sz="0" w:space="0" w:color="auto"/>
        <w:bottom w:val="none" w:sz="0" w:space="0" w:color="auto"/>
        <w:right w:val="none" w:sz="0" w:space="0" w:color="auto"/>
      </w:divBdr>
    </w:div>
    <w:div w:id="1722289292">
      <w:bodyDiv w:val="1"/>
      <w:marLeft w:val="0"/>
      <w:marRight w:val="0"/>
      <w:marTop w:val="0"/>
      <w:marBottom w:val="0"/>
      <w:divBdr>
        <w:top w:val="none" w:sz="0" w:space="0" w:color="auto"/>
        <w:left w:val="none" w:sz="0" w:space="0" w:color="auto"/>
        <w:bottom w:val="none" w:sz="0" w:space="0" w:color="auto"/>
        <w:right w:val="none" w:sz="0" w:space="0" w:color="auto"/>
      </w:divBdr>
    </w:div>
    <w:div w:id="1722631845">
      <w:bodyDiv w:val="1"/>
      <w:marLeft w:val="0"/>
      <w:marRight w:val="0"/>
      <w:marTop w:val="0"/>
      <w:marBottom w:val="0"/>
      <w:divBdr>
        <w:top w:val="none" w:sz="0" w:space="0" w:color="auto"/>
        <w:left w:val="none" w:sz="0" w:space="0" w:color="auto"/>
        <w:bottom w:val="none" w:sz="0" w:space="0" w:color="auto"/>
        <w:right w:val="none" w:sz="0" w:space="0" w:color="auto"/>
      </w:divBdr>
    </w:div>
    <w:div w:id="1729644641">
      <w:bodyDiv w:val="1"/>
      <w:marLeft w:val="0"/>
      <w:marRight w:val="0"/>
      <w:marTop w:val="0"/>
      <w:marBottom w:val="0"/>
      <w:divBdr>
        <w:top w:val="none" w:sz="0" w:space="0" w:color="auto"/>
        <w:left w:val="none" w:sz="0" w:space="0" w:color="auto"/>
        <w:bottom w:val="none" w:sz="0" w:space="0" w:color="auto"/>
        <w:right w:val="none" w:sz="0" w:space="0" w:color="auto"/>
      </w:divBdr>
    </w:div>
    <w:div w:id="1731416837">
      <w:bodyDiv w:val="1"/>
      <w:marLeft w:val="0"/>
      <w:marRight w:val="0"/>
      <w:marTop w:val="0"/>
      <w:marBottom w:val="0"/>
      <w:divBdr>
        <w:top w:val="none" w:sz="0" w:space="0" w:color="auto"/>
        <w:left w:val="none" w:sz="0" w:space="0" w:color="auto"/>
        <w:bottom w:val="none" w:sz="0" w:space="0" w:color="auto"/>
        <w:right w:val="none" w:sz="0" w:space="0" w:color="auto"/>
      </w:divBdr>
    </w:div>
    <w:div w:id="1732575262">
      <w:bodyDiv w:val="1"/>
      <w:marLeft w:val="0"/>
      <w:marRight w:val="0"/>
      <w:marTop w:val="0"/>
      <w:marBottom w:val="0"/>
      <w:divBdr>
        <w:top w:val="none" w:sz="0" w:space="0" w:color="auto"/>
        <w:left w:val="none" w:sz="0" w:space="0" w:color="auto"/>
        <w:bottom w:val="none" w:sz="0" w:space="0" w:color="auto"/>
        <w:right w:val="none" w:sz="0" w:space="0" w:color="auto"/>
      </w:divBdr>
    </w:div>
    <w:div w:id="1733307188">
      <w:bodyDiv w:val="1"/>
      <w:marLeft w:val="0"/>
      <w:marRight w:val="0"/>
      <w:marTop w:val="0"/>
      <w:marBottom w:val="0"/>
      <w:divBdr>
        <w:top w:val="none" w:sz="0" w:space="0" w:color="auto"/>
        <w:left w:val="none" w:sz="0" w:space="0" w:color="auto"/>
        <w:bottom w:val="none" w:sz="0" w:space="0" w:color="auto"/>
        <w:right w:val="none" w:sz="0" w:space="0" w:color="auto"/>
      </w:divBdr>
    </w:div>
    <w:div w:id="1733694791">
      <w:bodyDiv w:val="1"/>
      <w:marLeft w:val="0"/>
      <w:marRight w:val="0"/>
      <w:marTop w:val="0"/>
      <w:marBottom w:val="0"/>
      <w:divBdr>
        <w:top w:val="none" w:sz="0" w:space="0" w:color="auto"/>
        <w:left w:val="none" w:sz="0" w:space="0" w:color="auto"/>
        <w:bottom w:val="none" w:sz="0" w:space="0" w:color="auto"/>
        <w:right w:val="none" w:sz="0" w:space="0" w:color="auto"/>
      </w:divBdr>
    </w:div>
    <w:div w:id="1734543215">
      <w:bodyDiv w:val="1"/>
      <w:marLeft w:val="0"/>
      <w:marRight w:val="0"/>
      <w:marTop w:val="0"/>
      <w:marBottom w:val="0"/>
      <w:divBdr>
        <w:top w:val="none" w:sz="0" w:space="0" w:color="auto"/>
        <w:left w:val="none" w:sz="0" w:space="0" w:color="auto"/>
        <w:bottom w:val="none" w:sz="0" w:space="0" w:color="auto"/>
        <w:right w:val="none" w:sz="0" w:space="0" w:color="auto"/>
      </w:divBdr>
    </w:div>
    <w:div w:id="1748722859">
      <w:bodyDiv w:val="1"/>
      <w:marLeft w:val="0"/>
      <w:marRight w:val="0"/>
      <w:marTop w:val="0"/>
      <w:marBottom w:val="0"/>
      <w:divBdr>
        <w:top w:val="none" w:sz="0" w:space="0" w:color="auto"/>
        <w:left w:val="none" w:sz="0" w:space="0" w:color="auto"/>
        <w:bottom w:val="none" w:sz="0" w:space="0" w:color="auto"/>
        <w:right w:val="none" w:sz="0" w:space="0" w:color="auto"/>
      </w:divBdr>
    </w:div>
    <w:div w:id="1750955757">
      <w:bodyDiv w:val="1"/>
      <w:marLeft w:val="0"/>
      <w:marRight w:val="0"/>
      <w:marTop w:val="0"/>
      <w:marBottom w:val="0"/>
      <w:divBdr>
        <w:top w:val="none" w:sz="0" w:space="0" w:color="auto"/>
        <w:left w:val="none" w:sz="0" w:space="0" w:color="auto"/>
        <w:bottom w:val="none" w:sz="0" w:space="0" w:color="auto"/>
        <w:right w:val="none" w:sz="0" w:space="0" w:color="auto"/>
      </w:divBdr>
    </w:div>
    <w:div w:id="1755205660">
      <w:bodyDiv w:val="1"/>
      <w:marLeft w:val="0"/>
      <w:marRight w:val="0"/>
      <w:marTop w:val="0"/>
      <w:marBottom w:val="0"/>
      <w:divBdr>
        <w:top w:val="none" w:sz="0" w:space="0" w:color="auto"/>
        <w:left w:val="none" w:sz="0" w:space="0" w:color="auto"/>
        <w:bottom w:val="none" w:sz="0" w:space="0" w:color="auto"/>
        <w:right w:val="none" w:sz="0" w:space="0" w:color="auto"/>
      </w:divBdr>
    </w:div>
    <w:div w:id="1764182389">
      <w:bodyDiv w:val="1"/>
      <w:marLeft w:val="0"/>
      <w:marRight w:val="0"/>
      <w:marTop w:val="0"/>
      <w:marBottom w:val="0"/>
      <w:divBdr>
        <w:top w:val="none" w:sz="0" w:space="0" w:color="auto"/>
        <w:left w:val="none" w:sz="0" w:space="0" w:color="auto"/>
        <w:bottom w:val="none" w:sz="0" w:space="0" w:color="auto"/>
        <w:right w:val="none" w:sz="0" w:space="0" w:color="auto"/>
      </w:divBdr>
    </w:div>
    <w:div w:id="1767460388">
      <w:bodyDiv w:val="1"/>
      <w:marLeft w:val="0"/>
      <w:marRight w:val="0"/>
      <w:marTop w:val="0"/>
      <w:marBottom w:val="0"/>
      <w:divBdr>
        <w:top w:val="none" w:sz="0" w:space="0" w:color="auto"/>
        <w:left w:val="none" w:sz="0" w:space="0" w:color="auto"/>
        <w:bottom w:val="none" w:sz="0" w:space="0" w:color="auto"/>
        <w:right w:val="none" w:sz="0" w:space="0" w:color="auto"/>
      </w:divBdr>
    </w:div>
    <w:div w:id="1772386451">
      <w:bodyDiv w:val="1"/>
      <w:marLeft w:val="0"/>
      <w:marRight w:val="0"/>
      <w:marTop w:val="0"/>
      <w:marBottom w:val="0"/>
      <w:divBdr>
        <w:top w:val="none" w:sz="0" w:space="0" w:color="auto"/>
        <w:left w:val="none" w:sz="0" w:space="0" w:color="auto"/>
        <w:bottom w:val="none" w:sz="0" w:space="0" w:color="auto"/>
        <w:right w:val="none" w:sz="0" w:space="0" w:color="auto"/>
      </w:divBdr>
    </w:div>
    <w:div w:id="1775049828">
      <w:bodyDiv w:val="1"/>
      <w:marLeft w:val="0"/>
      <w:marRight w:val="0"/>
      <w:marTop w:val="0"/>
      <w:marBottom w:val="0"/>
      <w:divBdr>
        <w:top w:val="none" w:sz="0" w:space="0" w:color="auto"/>
        <w:left w:val="none" w:sz="0" w:space="0" w:color="auto"/>
        <w:bottom w:val="none" w:sz="0" w:space="0" w:color="auto"/>
        <w:right w:val="none" w:sz="0" w:space="0" w:color="auto"/>
      </w:divBdr>
    </w:div>
    <w:div w:id="1775322102">
      <w:bodyDiv w:val="1"/>
      <w:marLeft w:val="0"/>
      <w:marRight w:val="0"/>
      <w:marTop w:val="0"/>
      <w:marBottom w:val="0"/>
      <w:divBdr>
        <w:top w:val="none" w:sz="0" w:space="0" w:color="auto"/>
        <w:left w:val="none" w:sz="0" w:space="0" w:color="auto"/>
        <w:bottom w:val="none" w:sz="0" w:space="0" w:color="auto"/>
        <w:right w:val="none" w:sz="0" w:space="0" w:color="auto"/>
      </w:divBdr>
    </w:div>
    <w:div w:id="1777288456">
      <w:bodyDiv w:val="1"/>
      <w:marLeft w:val="0"/>
      <w:marRight w:val="0"/>
      <w:marTop w:val="0"/>
      <w:marBottom w:val="0"/>
      <w:divBdr>
        <w:top w:val="none" w:sz="0" w:space="0" w:color="auto"/>
        <w:left w:val="none" w:sz="0" w:space="0" w:color="auto"/>
        <w:bottom w:val="none" w:sz="0" w:space="0" w:color="auto"/>
        <w:right w:val="none" w:sz="0" w:space="0" w:color="auto"/>
      </w:divBdr>
    </w:div>
    <w:div w:id="1789422726">
      <w:bodyDiv w:val="1"/>
      <w:marLeft w:val="0"/>
      <w:marRight w:val="0"/>
      <w:marTop w:val="0"/>
      <w:marBottom w:val="0"/>
      <w:divBdr>
        <w:top w:val="none" w:sz="0" w:space="0" w:color="auto"/>
        <w:left w:val="none" w:sz="0" w:space="0" w:color="auto"/>
        <w:bottom w:val="none" w:sz="0" w:space="0" w:color="auto"/>
        <w:right w:val="none" w:sz="0" w:space="0" w:color="auto"/>
      </w:divBdr>
    </w:div>
    <w:div w:id="1789932007">
      <w:bodyDiv w:val="1"/>
      <w:marLeft w:val="0"/>
      <w:marRight w:val="0"/>
      <w:marTop w:val="0"/>
      <w:marBottom w:val="0"/>
      <w:divBdr>
        <w:top w:val="none" w:sz="0" w:space="0" w:color="auto"/>
        <w:left w:val="none" w:sz="0" w:space="0" w:color="auto"/>
        <w:bottom w:val="none" w:sz="0" w:space="0" w:color="auto"/>
        <w:right w:val="none" w:sz="0" w:space="0" w:color="auto"/>
      </w:divBdr>
    </w:div>
    <w:div w:id="1791972078">
      <w:bodyDiv w:val="1"/>
      <w:marLeft w:val="0"/>
      <w:marRight w:val="0"/>
      <w:marTop w:val="0"/>
      <w:marBottom w:val="0"/>
      <w:divBdr>
        <w:top w:val="none" w:sz="0" w:space="0" w:color="auto"/>
        <w:left w:val="none" w:sz="0" w:space="0" w:color="auto"/>
        <w:bottom w:val="none" w:sz="0" w:space="0" w:color="auto"/>
        <w:right w:val="none" w:sz="0" w:space="0" w:color="auto"/>
      </w:divBdr>
    </w:div>
    <w:div w:id="1797795620">
      <w:bodyDiv w:val="1"/>
      <w:marLeft w:val="0"/>
      <w:marRight w:val="0"/>
      <w:marTop w:val="0"/>
      <w:marBottom w:val="0"/>
      <w:divBdr>
        <w:top w:val="none" w:sz="0" w:space="0" w:color="auto"/>
        <w:left w:val="none" w:sz="0" w:space="0" w:color="auto"/>
        <w:bottom w:val="none" w:sz="0" w:space="0" w:color="auto"/>
        <w:right w:val="none" w:sz="0" w:space="0" w:color="auto"/>
      </w:divBdr>
    </w:div>
    <w:div w:id="1799566166">
      <w:bodyDiv w:val="1"/>
      <w:marLeft w:val="0"/>
      <w:marRight w:val="0"/>
      <w:marTop w:val="0"/>
      <w:marBottom w:val="0"/>
      <w:divBdr>
        <w:top w:val="none" w:sz="0" w:space="0" w:color="auto"/>
        <w:left w:val="none" w:sz="0" w:space="0" w:color="auto"/>
        <w:bottom w:val="none" w:sz="0" w:space="0" w:color="auto"/>
        <w:right w:val="none" w:sz="0" w:space="0" w:color="auto"/>
      </w:divBdr>
    </w:div>
    <w:div w:id="1802574571">
      <w:bodyDiv w:val="1"/>
      <w:marLeft w:val="0"/>
      <w:marRight w:val="0"/>
      <w:marTop w:val="0"/>
      <w:marBottom w:val="0"/>
      <w:divBdr>
        <w:top w:val="none" w:sz="0" w:space="0" w:color="auto"/>
        <w:left w:val="none" w:sz="0" w:space="0" w:color="auto"/>
        <w:bottom w:val="none" w:sz="0" w:space="0" w:color="auto"/>
        <w:right w:val="none" w:sz="0" w:space="0" w:color="auto"/>
      </w:divBdr>
    </w:div>
    <w:div w:id="1803033923">
      <w:bodyDiv w:val="1"/>
      <w:marLeft w:val="0"/>
      <w:marRight w:val="0"/>
      <w:marTop w:val="0"/>
      <w:marBottom w:val="0"/>
      <w:divBdr>
        <w:top w:val="none" w:sz="0" w:space="0" w:color="auto"/>
        <w:left w:val="none" w:sz="0" w:space="0" w:color="auto"/>
        <w:bottom w:val="none" w:sz="0" w:space="0" w:color="auto"/>
        <w:right w:val="none" w:sz="0" w:space="0" w:color="auto"/>
      </w:divBdr>
    </w:div>
    <w:div w:id="1808618434">
      <w:bodyDiv w:val="1"/>
      <w:marLeft w:val="0"/>
      <w:marRight w:val="0"/>
      <w:marTop w:val="0"/>
      <w:marBottom w:val="0"/>
      <w:divBdr>
        <w:top w:val="none" w:sz="0" w:space="0" w:color="auto"/>
        <w:left w:val="none" w:sz="0" w:space="0" w:color="auto"/>
        <w:bottom w:val="none" w:sz="0" w:space="0" w:color="auto"/>
        <w:right w:val="none" w:sz="0" w:space="0" w:color="auto"/>
      </w:divBdr>
    </w:div>
    <w:div w:id="1812093468">
      <w:bodyDiv w:val="1"/>
      <w:marLeft w:val="0"/>
      <w:marRight w:val="0"/>
      <w:marTop w:val="0"/>
      <w:marBottom w:val="0"/>
      <w:divBdr>
        <w:top w:val="none" w:sz="0" w:space="0" w:color="auto"/>
        <w:left w:val="none" w:sz="0" w:space="0" w:color="auto"/>
        <w:bottom w:val="none" w:sz="0" w:space="0" w:color="auto"/>
        <w:right w:val="none" w:sz="0" w:space="0" w:color="auto"/>
      </w:divBdr>
    </w:div>
    <w:div w:id="1814712504">
      <w:bodyDiv w:val="1"/>
      <w:marLeft w:val="0"/>
      <w:marRight w:val="0"/>
      <w:marTop w:val="0"/>
      <w:marBottom w:val="0"/>
      <w:divBdr>
        <w:top w:val="none" w:sz="0" w:space="0" w:color="auto"/>
        <w:left w:val="none" w:sz="0" w:space="0" w:color="auto"/>
        <w:bottom w:val="none" w:sz="0" w:space="0" w:color="auto"/>
        <w:right w:val="none" w:sz="0" w:space="0" w:color="auto"/>
      </w:divBdr>
    </w:div>
    <w:div w:id="1814759544">
      <w:bodyDiv w:val="1"/>
      <w:marLeft w:val="0"/>
      <w:marRight w:val="0"/>
      <w:marTop w:val="0"/>
      <w:marBottom w:val="0"/>
      <w:divBdr>
        <w:top w:val="none" w:sz="0" w:space="0" w:color="auto"/>
        <w:left w:val="none" w:sz="0" w:space="0" w:color="auto"/>
        <w:bottom w:val="none" w:sz="0" w:space="0" w:color="auto"/>
        <w:right w:val="none" w:sz="0" w:space="0" w:color="auto"/>
      </w:divBdr>
    </w:div>
    <w:div w:id="1816142031">
      <w:bodyDiv w:val="1"/>
      <w:marLeft w:val="0"/>
      <w:marRight w:val="0"/>
      <w:marTop w:val="0"/>
      <w:marBottom w:val="0"/>
      <w:divBdr>
        <w:top w:val="none" w:sz="0" w:space="0" w:color="auto"/>
        <w:left w:val="none" w:sz="0" w:space="0" w:color="auto"/>
        <w:bottom w:val="none" w:sz="0" w:space="0" w:color="auto"/>
        <w:right w:val="none" w:sz="0" w:space="0" w:color="auto"/>
      </w:divBdr>
    </w:div>
    <w:div w:id="1820923536">
      <w:bodyDiv w:val="1"/>
      <w:marLeft w:val="0"/>
      <w:marRight w:val="0"/>
      <w:marTop w:val="0"/>
      <w:marBottom w:val="0"/>
      <w:divBdr>
        <w:top w:val="none" w:sz="0" w:space="0" w:color="auto"/>
        <w:left w:val="none" w:sz="0" w:space="0" w:color="auto"/>
        <w:bottom w:val="none" w:sz="0" w:space="0" w:color="auto"/>
        <w:right w:val="none" w:sz="0" w:space="0" w:color="auto"/>
      </w:divBdr>
    </w:div>
    <w:div w:id="1821728537">
      <w:bodyDiv w:val="1"/>
      <w:marLeft w:val="0"/>
      <w:marRight w:val="0"/>
      <w:marTop w:val="0"/>
      <w:marBottom w:val="0"/>
      <w:divBdr>
        <w:top w:val="none" w:sz="0" w:space="0" w:color="auto"/>
        <w:left w:val="none" w:sz="0" w:space="0" w:color="auto"/>
        <w:bottom w:val="none" w:sz="0" w:space="0" w:color="auto"/>
        <w:right w:val="none" w:sz="0" w:space="0" w:color="auto"/>
      </w:divBdr>
    </w:div>
    <w:div w:id="1824656502">
      <w:bodyDiv w:val="1"/>
      <w:marLeft w:val="0"/>
      <w:marRight w:val="0"/>
      <w:marTop w:val="0"/>
      <w:marBottom w:val="0"/>
      <w:divBdr>
        <w:top w:val="none" w:sz="0" w:space="0" w:color="auto"/>
        <w:left w:val="none" w:sz="0" w:space="0" w:color="auto"/>
        <w:bottom w:val="none" w:sz="0" w:space="0" w:color="auto"/>
        <w:right w:val="none" w:sz="0" w:space="0" w:color="auto"/>
      </w:divBdr>
    </w:div>
    <w:div w:id="1825927013">
      <w:bodyDiv w:val="1"/>
      <w:marLeft w:val="0"/>
      <w:marRight w:val="0"/>
      <w:marTop w:val="0"/>
      <w:marBottom w:val="0"/>
      <w:divBdr>
        <w:top w:val="none" w:sz="0" w:space="0" w:color="auto"/>
        <w:left w:val="none" w:sz="0" w:space="0" w:color="auto"/>
        <w:bottom w:val="none" w:sz="0" w:space="0" w:color="auto"/>
        <w:right w:val="none" w:sz="0" w:space="0" w:color="auto"/>
      </w:divBdr>
    </w:div>
    <w:div w:id="1828932885">
      <w:bodyDiv w:val="1"/>
      <w:marLeft w:val="0"/>
      <w:marRight w:val="0"/>
      <w:marTop w:val="0"/>
      <w:marBottom w:val="0"/>
      <w:divBdr>
        <w:top w:val="none" w:sz="0" w:space="0" w:color="auto"/>
        <w:left w:val="none" w:sz="0" w:space="0" w:color="auto"/>
        <w:bottom w:val="none" w:sz="0" w:space="0" w:color="auto"/>
        <w:right w:val="none" w:sz="0" w:space="0" w:color="auto"/>
      </w:divBdr>
    </w:div>
    <w:div w:id="1830058589">
      <w:bodyDiv w:val="1"/>
      <w:marLeft w:val="0"/>
      <w:marRight w:val="0"/>
      <w:marTop w:val="0"/>
      <w:marBottom w:val="0"/>
      <w:divBdr>
        <w:top w:val="none" w:sz="0" w:space="0" w:color="auto"/>
        <w:left w:val="none" w:sz="0" w:space="0" w:color="auto"/>
        <w:bottom w:val="none" w:sz="0" w:space="0" w:color="auto"/>
        <w:right w:val="none" w:sz="0" w:space="0" w:color="auto"/>
      </w:divBdr>
    </w:div>
    <w:div w:id="1834449901">
      <w:bodyDiv w:val="1"/>
      <w:marLeft w:val="0"/>
      <w:marRight w:val="0"/>
      <w:marTop w:val="0"/>
      <w:marBottom w:val="0"/>
      <w:divBdr>
        <w:top w:val="none" w:sz="0" w:space="0" w:color="auto"/>
        <w:left w:val="none" w:sz="0" w:space="0" w:color="auto"/>
        <w:bottom w:val="none" w:sz="0" w:space="0" w:color="auto"/>
        <w:right w:val="none" w:sz="0" w:space="0" w:color="auto"/>
      </w:divBdr>
    </w:div>
    <w:div w:id="1837303424">
      <w:bodyDiv w:val="1"/>
      <w:marLeft w:val="0"/>
      <w:marRight w:val="0"/>
      <w:marTop w:val="0"/>
      <w:marBottom w:val="0"/>
      <w:divBdr>
        <w:top w:val="none" w:sz="0" w:space="0" w:color="auto"/>
        <w:left w:val="none" w:sz="0" w:space="0" w:color="auto"/>
        <w:bottom w:val="none" w:sz="0" w:space="0" w:color="auto"/>
        <w:right w:val="none" w:sz="0" w:space="0" w:color="auto"/>
      </w:divBdr>
    </w:div>
    <w:div w:id="1837574766">
      <w:bodyDiv w:val="1"/>
      <w:marLeft w:val="0"/>
      <w:marRight w:val="0"/>
      <w:marTop w:val="0"/>
      <w:marBottom w:val="0"/>
      <w:divBdr>
        <w:top w:val="none" w:sz="0" w:space="0" w:color="auto"/>
        <w:left w:val="none" w:sz="0" w:space="0" w:color="auto"/>
        <w:bottom w:val="none" w:sz="0" w:space="0" w:color="auto"/>
        <w:right w:val="none" w:sz="0" w:space="0" w:color="auto"/>
      </w:divBdr>
    </w:div>
    <w:div w:id="1839147588">
      <w:bodyDiv w:val="1"/>
      <w:marLeft w:val="0"/>
      <w:marRight w:val="0"/>
      <w:marTop w:val="0"/>
      <w:marBottom w:val="0"/>
      <w:divBdr>
        <w:top w:val="none" w:sz="0" w:space="0" w:color="auto"/>
        <w:left w:val="none" w:sz="0" w:space="0" w:color="auto"/>
        <w:bottom w:val="none" w:sz="0" w:space="0" w:color="auto"/>
        <w:right w:val="none" w:sz="0" w:space="0" w:color="auto"/>
      </w:divBdr>
    </w:div>
    <w:div w:id="1841118721">
      <w:bodyDiv w:val="1"/>
      <w:marLeft w:val="0"/>
      <w:marRight w:val="0"/>
      <w:marTop w:val="0"/>
      <w:marBottom w:val="0"/>
      <w:divBdr>
        <w:top w:val="none" w:sz="0" w:space="0" w:color="auto"/>
        <w:left w:val="none" w:sz="0" w:space="0" w:color="auto"/>
        <w:bottom w:val="none" w:sz="0" w:space="0" w:color="auto"/>
        <w:right w:val="none" w:sz="0" w:space="0" w:color="auto"/>
      </w:divBdr>
    </w:div>
    <w:div w:id="1845052859">
      <w:bodyDiv w:val="1"/>
      <w:marLeft w:val="0"/>
      <w:marRight w:val="0"/>
      <w:marTop w:val="0"/>
      <w:marBottom w:val="0"/>
      <w:divBdr>
        <w:top w:val="none" w:sz="0" w:space="0" w:color="auto"/>
        <w:left w:val="none" w:sz="0" w:space="0" w:color="auto"/>
        <w:bottom w:val="none" w:sz="0" w:space="0" w:color="auto"/>
        <w:right w:val="none" w:sz="0" w:space="0" w:color="auto"/>
      </w:divBdr>
    </w:div>
    <w:div w:id="1849103011">
      <w:bodyDiv w:val="1"/>
      <w:marLeft w:val="0"/>
      <w:marRight w:val="0"/>
      <w:marTop w:val="0"/>
      <w:marBottom w:val="0"/>
      <w:divBdr>
        <w:top w:val="none" w:sz="0" w:space="0" w:color="auto"/>
        <w:left w:val="none" w:sz="0" w:space="0" w:color="auto"/>
        <w:bottom w:val="none" w:sz="0" w:space="0" w:color="auto"/>
        <w:right w:val="none" w:sz="0" w:space="0" w:color="auto"/>
      </w:divBdr>
    </w:div>
    <w:div w:id="1849786310">
      <w:bodyDiv w:val="1"/>
      <w:marLeft w:val="0"/>
      <w:marRight w:val="0"/>
      <w:marTop w:val="0"/>
      <w:marBottom w:val="0"/>
      <w:divBdr>
        <w:top w:val="none" w:sz="0" w:space="0" w:color="auto"/>
        <w:left w:val="none" w:sz="0" w:space="0" w:color="auto"/>
        <w:bottom w:val="none" w:sz="0" w:space="0" w:color="auto"/>
        <w:right w:val="none" w:sz="0" w:space="0" w:color="auto"/>
      </w:divBdr>
    </w:div>
    <w:div w:id="1854565804">
      <w:bodyDiv w:val="1"/>
      <w:marLeft w:val="0"/>
      <w:marRight w:val="0"/>
      <w:marTop w:val="0"/>
      <w:marBottom w:val="0"/>
      <w:divBdr>
        <w:top w:val="none" w:sz="0" w:space="0" w:color="auto"/>
        <w:left w:val="none" w:sz="0" w:space="0" w:color="auto"/>
        <w:bottom w:val="none" w:sz="0" w:space="0" w:color="auto"/>
        <w:right w:val="none" w:sz="0" w:space="0" w:color="auto"/>
      </w:divBdr>
    </w:div>
    <w:div w:id="1855415054">
      <w:bodyDiv w:val="1"/>
      <w:marLeft w:val="0"/>
      <w:marRight w:val="0"/>
      <w:marTop w:val="0"/>
      <w:marBottom w:val="0"/>
      <w:divBdr>
        <w:top w:val="none" w:sz="0" w:space="0" w:color="auto"/>
        <w:left w:val="none" w:sz="0" w:space="0" w:color="auto"/>
        <w:bottom w:val="none" w:sz="0" w:space="0" w:color="auto"/>
        <w:right w:val="none" w:sz="0" w:space="0" w:color="auto"/>
      </w:divBdr>
    </w:div>
    <w:div w:id="1855806438">
      <w:bodyDiv w:val="1"/>
      <w:marLeft w:val="0"/>
      <w:marRight w:val="0"/>
      <w:marTop w:val="0"/>
      <w:marBottom w:val="0"/>
      <w:divBdr>
        <w:top w:val="none" w:sz="0" w:space="0" w:color="auto"/>
        <w:left w:val="none" w:sz="0" w:space="0" w:color="auto"/>
        <w:bottom w:val="none" w:sz="0" w:space="0" w:color="auto"/>
        <w:right w:val="none" w:sz="0" w:space="0" w:color="auto"/>
      </w:divBdr>
    </w:div>
    <w:div w:id="1861163401">
      <w:bodyDiv w:val="1"/>
      <w:marLeft w:val="0"/>
      <w:marRight w:val="0"/>
      <w:marTop w:val="0"/>
      <w:marBottom w:val="0"/>
      <w:divBdr>
        <w:top w:val="none" w:sz="0" w:space="0" w:color="auto"/>
        <w:left w:val="none" w:sz="0" w:space="0" w:color="auto"/>
        <w:bottom w:val="none" w:sz="0" w:space="0" w:color="auto"/>
        <w:right w:val="none" w:sz="0" w:space="0" w:color="auto"/>
      </w:divBdr>
    </w:div>
    <w:div w:id="1861236560">
      <w:bodyDiv w:val="1"/>
      <w:marLeft w:val="0"/>
      <w:marRight w:val="0"/>
      <w:marTop w:val="0"/>
      <w:marBottom w:val="0"/>
      <w:divBdr>
        <w:top w:val="none" w:sz="0" w:space="0" w:color="auto"/>
        <w:left w:val="none" w:sz="0" w:space="0" w:color="auto"/>
        <w:bottom w:val="none" w:sz="0" w:space="0" w:color="auto"/>
        <w:right w:val="none" w:sz="0" w:space="0" w:color="auto"/>
      </w:divBdr>
    </w:div>
    <w:div w:id="1865636072">
      <w:bodyDiv w:val="1"/>
      <w:marLeft w:val="0"/>
      <w:marRight w:val="0"/>
      <w:marTop w:val="0"/>
      <w:marBottom w:val="0"/>
      <w:divBdr>
        <w:top w:val="none" w:sz="0" w:space="0" w:color="auto"/>
        <w:left w:val="none" w:sz="0" w:space="0" w:color="auto"/>
        <w:bottom w:val="none" w:sz="0" w:space="0" w:color="auto"/>
        <w:right w:val="none" w:sz="0" w:space="0" w:color="auto"/>
      </w:divBdr>
    </w:div>
    <w:div w:id="1866674995">
      <w:bodyDiv w:val="1"/>
      <w:marLeft w:val="0"/>
      <w:marRight w:val="0"/>
      <w:marTop w:val="0"/>
      <w:marBottom w:val="0"/>
      <w:divBdr>
        <w:top w:val="none" w:sz="0" w:space="0" w:color="auto"/>
        <w:left w:val="none" w:sz="0" w:space="0" w:color="auto"/>
        <w:bottom w:val="none" w:sz="0" w:space="0" w:color="auto"/>
        <w:right w:val="none" w:sz="0" w:space="0" w:color="auto"/>
      </w:divBdr>
    </w:div>
    <w:div w:id="1866822232">
      <w:bodyDiv w:val="1"/>
      <w:marLeft w:val="0"/>
      <w:marRight w:val="0"/>
      <w:marTop w:val="0"/>
      <w:marBottom w:val="0"/>
      <w:divBdr>
        <w:top w:val="none" w:sz="0" w:space="0" w:color="auto"/>
        <w:left w:val="none" w:sz="0" w:space="0" w:color="auto"/>
        <w:bottom w:val="none" w:sz="0" w:space="0" w:color="auto"/>
        <w:right w:val="none" w:sz="0" w:space="0" w:color="auto"/>
      </w:divBdr>
    </w:div>
    <w:div w:id="1871913900">
      <w:bodyDiv w:val="1"/>
      <w:marLeft w:val="0"/>
      <w:marRight w:val="0"/>
      <w:marTop w:val="0"/>
      <w:marBottom w:val="0"/>
      <w:divBdr>
        <w:top w:val="none" w:sz="0" w:space="0" w:color="auto"/>
        <w:left w:val="none" w:sz="0" w:space="0" w:color="auto"/>
        <w:bottom w:val="none" w:sz="0" w:space="0" w:color="auto"/>
        <w:right w:val="none" w:sz="0" w:space="0" w:color="auto"/>
      </w:divBdr>
    </w:div>
    <w:div w:id="1874345244">
      <w:bodyDiv w:val="1"/>
      <w:marLeft w:val="0"/>
      <w:marRight w:val="0"/>
      <w:marTop w:val="0"/>
      <w:marBottom w:val="0"/>
      <w:divBdr>
        <w:top w:val="none" w:sz="0" w:space="0" w:color="auto"/>
        <w:left w:val="none" w:sz="0" w:space="0" w:color="auto"/>
        <w:bottom w:val="none" w:sz="0" w:space="0" w:color="auto"/>
        <w:right w:val="none" w:sz="0" w:space="0" w:color="auto"/>
      </w:divBdr>
    </w:div>
    <w:div w:id="1877230425">
      <w:bodyDiv w:val="1"/>
      <w:marLeft w:val="0"/>
      <w:marRight w:val="0"/>
      <w:marTop w:val="0"/>
      <w:marBottom w:val="0"/>
      <w:divBdr>
        <w:top w:val="none" w:sz="0" w:space="0" w:color="auto"/>
        <w:left w:val="none" w:sz="0" w:space="0" w:color="auto"/>
        <w:bottom w:val="none" w:sz="0" w:space="0" w:color="auto"/>
        <w:right w:val="none" w:sz="0" w:space="0" w:color="auto"/>
      </w:divBdr>
    </w:div>
    <w:div w:id="1877965917">
      <w:bodyDiv w:val="1"/>
      <w:marLeft w:val="0"/>
      <w:marRight w:val="0"/>
      <w:marTop w:val="0"/>
      <w:marBottom w:val="0"/>
      <w:divBdr>
        <w:top w:val="none" w:sz="0" w:space="0" w:color="auto"/>
        <w:left w:val="none" w:sz="0" w:space="0" w:color="auto"/>
        <w:bottom w:val="none" w:sz="0" w:space="0" w:color="auto"/>
        <w:right w:val="none" w:sz="0" w:space="0" w:color="auto"/>
      </w:divBdr>
    </w:div>
    <w:div w:id="1878347203">
      <w:bodyDiv w:val="1"/>
      <w:marLeft w:val="0"/>
      <w:marRight w:val="0"/>
      <w:marTop w:val="0"/>
      <w:marBottom w:val="0"/>
      <w:divBdr>
        <w:top w:val="none" w:sz="0" w:space="0" w:color="auto"/>
        <w:left w:val="none" w:sz="0" w:space="0" w:color="auto"/>
        <w:bottom w:val="none" w:sz="0" w:space="0" w:color="auto"/>
        <w:right w:val="none" w:sz="0" w:space="0" w:color="auto"/>
      </w:divBdr>
    </w:div>
    <w:div w:id="1882397680">
      <w:bodyDiv w:val="1"/>
      <w:marLeft w:val="0"/>
      <w:marRight w:val="0"/>
      <w:marTop w:val="0"/>
      <w:marBottom w:val="0"/>
      <w:divBdr>
        <w:top w:val="none" w:sz="0" w:space="0" w:color="auto"/>
        <w:left w:val="none" w:sz="0" w:space="0" w:color="auto"/>
        <w:bottom w:val="none" w:sz="0" w:space="0" w:color="auto"/>
        <w:right w:val="none" w:sz="0" w:space="0" w:color="auto"/>
      </w:divBdr>
    </w:div>
    <w:div w:id="1888947828">
      <w:bodyDiv w:val="1"/>
      <w:marLeft w:val="0"/>
      <w:marRight w:val="0"/>
      <w:marTop w:val="0"/>
      <w:marBottom w:val="0"/>
      <w:divBdr>
        <w:top w:val="none" w:sz="0" w:space="0" w:color="auto"/>
        <w:left w:val="none" w:sz="0" w:space="0" w:color="auto"/>
        <w:bottom w:val="none" w:sz="0" w:space="0" w:color="auto"/>
        <w:right w:val="none" w:sz="0" w:space="0" w:color="auto"/>
      </w:divBdr>
    </w:div>
    <w:div w:id="1890528282">
      <w:bodyDiv w:val="1"/>
      <w:marLeft w:val="0"/>
      <w:marRight w:val="0"/>
      <w:marTop w:val="0"/>
      <w:marBottom w:val="0"/>
      <w:divBdr>
        <w:top w:val="none" w:sz="0" w:space="0" w:color="auto"/>
        <w:left w:val="none" w:sz="0" w:space="0" w:color="auto"/>
        <w:bottom w:val="none" w:sz="0" w:space="0" w:color="auto"/>
        <w:right w:val="none" w:sz="0" w:space="0" w:color="auto"/>
      </w:divBdr>
    </w:div>
    <w:div w:id="1897542309">
      <w:bodyDiv w:val="1"/>
      <w:marLeft w:val="0"/>
      <w:marRight w:val="0"/>
      <w:marTop w:val="0"/>
      <w:marBottom w:val="0"/>
      <w:divBdr>
        <w:top w:val="none" w:sz="0" w:space="0" w:color="auto"/>
        <w:left w:val="none" w:sz="0" w:space="0" w:color="auto"/>
        <w:bottom w:val="none" w:sz="0" w:space="0" w:color="auto"/>
        <w:right w:val="none" w:sz="0" w:space="0" w:color="auto"/>
      </w:divBdr>
    </w:div>
    <w:div w:id="1898324032">
      <w:bodyDiv w:val="1"/>
      <w:marLeft w:val="0"/>
      <w:marRight w:val="0"/>
      <w:marTop w:val="0"/>
      <w:marBottom w:val="0"/>
      <w:divBdr>
        <w:top w:val="none" w:sz="0" w:space="0" w:color="auto"/>
        <w:left w:val="none" w:sz="0" w:space="0" w:color="auto"/>
        <w:bottom w:val="none" w:sz="0" w:space="0" w:color="auto"/>
        <w:right w:val="none" w:sz="0" w:space="0" w:color="auto"/>
      </w:divBdr>
    </w:div>
    <w:div w:id="1900746037">
      <w:bodyDiv w:val="1"/>
      <w:marLeft w:val="0"/>
      <w:marRight w:val="0"/>
      <w:marTop w:val="0"/>
      <w:marBottom w:val="0"/>
      <w:divBdr>
        <w:top w:val="none" w:sz="0" w:space="0" w:color="auto"/>
        <w:left w:val="none" w:sz="0" w:space="0" w:color="auto"/>
        <w:bottom w:val="none" w:sz="0" w:space="0" w:color="auto"/>
        <w:right w:val="none" w:sz="0" w:space="0" w:color="auto"/>
      </w:divBdr>
    </w:div>
    <w:div w:id="1900819757">
      <w:bodyDiv w:val="1"/>
      <w:marLeft w:val="0"/>
      <w:marRight w:val="0"/>
      <w:marTop w:val="0"/>
      <w:marBottom w:val="0"/>
      <w:divBdr>
        <w:top w:val="none" w:sz="0" w:space="0" w:color="auto"/>
        <w:left w:val="none" w:sz="0" w:space="0" w:color="auto"/>
        <w:bottom w:val="none" w:sz="0" w:space="0" w:color="auto"/>
        <w:right w:val="none" w:sz="0" w:space="0" w:color="auto"/>
      </w:divBdr>
    </w:div>
    <w:div w:id="1901285520">
      <w:bodyDiv w:val="1"/>
      <w:marLeft w:val="0"/>
      <w:marRight w:val="0"/>
      <w:marTop w:val="0"/>
      <w:marBottom w:val="0"/>
      <w:divBdr>
        <w:top w:val="none" w:sz="0" w:space="0" w:color="auto"/>
        <w:left w:val="none" w:sz="0" w:space="0" w:color="auto"/>
        <w:bottom w:val="none" w:sz="0" w:space="0" w:color="auto"/>
        <w:right w:val="none" w:sz="0" w:space="0" w:color="auto"/>
      </w:divBdr>
    </w:div>
    <w:div w:id="1902593203">
      <w:bodyDiv w:val="1"/>
      <w:marLeft w:val="0"/>
      <w:marRight w:val="0"/>
      <w:marTop w:val="0"/>
      <w:marBottom w:val="0"/>
      <w:divBdr>
        <w:top w:val="none" w:sz="0" w:space="0" w:color="auto"/>
        <w:left w:val="none" w:sz="0" w:space="0" w:color="auto"/>
        <w:bottom w:val="none" w:sz="0" w:space="0" w:color="auto"/>
        <w:right w:val="none" w:sz="0" w:space="0" w:color="auto"/>
      </w:divBdr>
    </w:div>
    <w:div w:id="1908302147">
      <w:bodyDiv w:val="1"/>
      <w:marLeft w:val="0"/>
      <w:marRight w:val="0"/>
      <w:marTop w:val="0"/>
      <w:marBottom w:val="0"/>
      <w:divBdr>
        <w:top w:val="none" w:sz="0" w:space="0" w:color="auto"/>
        <w:left w:val="none" w:sz="0" w:space="0" w:color="auto"/>
        <w:bottom w:val="none" w:sz="0" w:space="0" w:color="auto"/>
        <w:right w:val="none" w:sz="0" w:space="0" w:color="auto"/>
      </w:divBdr>
    </w:div>
    <w:div w:id="1908374108">
      <w:bodyDiv w:val="1"/>
      <w:marLeft w:val="0"/>
      <w:marRight w:val="0"/>
      <w:marTop w:val="0"/>
      <w:marBottom w:val="0"/>
      <w:divBdr>
        <w:top w:val="none" w:sz="0" w:space="0" w:color="auto"/>
        <w:left w:val="none" w:sz="0" w:space="0" w:color="auto"/>
        <w:bottom w:val="none" w:sz="0" w:space="0" w:color="auto"/>
        <w:right w:val="none" w:sz="0" w:space="0" w:color="auto"/>
      </w:divBdr>
    </w:div>
    <w:div w:id="1920672085">
      <w:bodyDiv w:val="1"/>
      <w:marLeft w:val="0"/>
      <w:marRight w:val="0"/>
      <w:marTop w:val="0"/>
      <w:marBottom w:val="0"/>
      <w:divBdr>
        <w:top w:val="none" w:sz="0" w:space="0" w:color="auto"/>
        <w:left w:val="none" w:sz="0" w:space="0" w:color="auto"/>
        <w:bottom w:val="none" w:sz="0" w:space="0" w:color="auto"/>
        <w:right w:val="none" w:sz="0" w:space="0" w:color="auto"/>
      </w:divBdr>
    </w:div>
    <w:div w:id="1924491888">
      <w:bodyDiv w:val="1"/>
      <w:marLeft w:val="0"/>
      <w:marRight w:val="0"/>
      <w:marTop w:val="0"/>
      <w:marBottom w:val="0"/>
      <w:divBdr>
        <w:top w:val="none" w:sz="0" w:space="0" w:color="auto"/>
        <w:left w:val="none" w:sz="0" w:space="0" w:color="auto"/>
        <w:bottom w:val="none" w:sz="0" w:space="0" w:color="auto"/>
        <w:right w:val="none" w:sz="0" w:space="0" w:color="auto"/>
      </w:divBdr>
    </w:div>
    <w:div w:id="1925409450">
      <w:bodyDiv w:val="1"/>
      <w:marLeft w:val="0"/>
      <w:marRight w:val="0"/>
      <w:marTop w:val="0"/>
      <w:marBottom w:val="0"/>
      <w:divBdr>
        <w:top w:val="none" w:sz="0" w:space="0" w:color="auto"/>
        <w:left w:val="none" w:sz="0" w:space="0" w:color="auto"/>
        <w:bottom w:val="none" w:sz="0" w:space="0" w:color="auto"/>
        <w:right w:val="none" w:sz="0" w:space="0" w:color="auto"/>
      </w:divBdr>
    </w:div>
    <w:div w:id="1927110251">
      <w:bodyDiv w:val="1"/>
      <w:marLeft w:val="0"/>
      <w:marRight w:val="0"/>
      <w:marTop w:val="0"/>
      <w:marBottom w:val="0"/>
      <w:divBdr>
        <w:top w:val="none" w:sz="0" w:space="0" w:color="auto"/>
        <w:left w:val="none" w:sz="0" w:space="0" w:color="auto"/>
        <w:bottom w:val="none" w:sz="0" w:space="0" w:color="auto"/>
        <w:right w:val="none" w:sz="0" w:space="0" w:color="auto"/>
      </w:divBdr>
    </w:div>
    <w:div w:id="1929731644">
      <w:bodyDiv w:val="1"/>
      <w:marLeft w:val="0"/>
      <w:marRight w:val="0"/>
      <w:marTop w:val="0"/>
      <w:marBottom w:val="0"/>
      <w:divBdr>
        <w:top w:val="none" w:sz="0" w:space="0" w:color="auto"/>
        <w:left w:val="none" w:sz="0" w:space="0" w:color="auto"/>
        <w:bottom w:val="none" w:sz="0" w:space="0" w:color="auto"/>
        <w:right w:val="none" w:sz="0" w:space="0" w:color="auto"/>
      </w:divBdr>
    </w:div>
    <w:div w:id="1930389147">
      <w:bodyDiv w:val="1"/>
      <w:marLeft w:val="0"/>
      <w:marRight w:val="0"/>
      <w:marTop w:val="0"/>
      <w:marBottom w:val="0"/>
      <w:divBdr>
        <w:top w:val="none" w:sz="0" w:space="0" w:color="auto"/>
        <w:left w:val="none" w:sz="0" w:space="0" w:color="auto"/>
        <w:bottom w:val="none" w:sz="0" w:space="0" w:color="auto"/>
        <w:right w:val="none" w:sz="0" w:space="0" w:color="auto"/>
      </w:divBdr>
    </w:div>
    <w:div w:id="1939630191">
      <w:bodyDiv w:val="1"/>
      <w:marLeft w:val="0"/>
      <w:marRight w:val="0"/>
      <w:marTop w:val="0"/>
      <w:marBottom w:val="0"/>
      <w:divBdr>
        <w:top w:val="none" w:sz="0" w:space="0" w:color="auto"/>
        <w:left w:val="none" w:sz="0" w:space="0" w:color="auto"/>
        <w:bottom w:val="none" w:sz="0" w:space="0" w:color="auto"/>
        <w:right w:val="none" w:sz="0" w:space="0" w:color="auto"/>
      </w:divBdr>
    </w:div>
    <w:div w:id="1944146395">
      <w:bodyDiv w:val="1"/>
      <w:marLeft w:val="0"/>
      <w:marRight w:val="0"/>
      <w:marTop w:val="0"/>
      <w:marBottom w:val="0"/>
      <w:divBdr>
        <w:top w:val="none" w:sz="0" w:space="0" w:color="auto"/>
        <w:left w:val="none" w:sz="0" w:space="0" w:color="auto"/>
        <w:bottom w:val="none" w:sz="0" w:space="0" w:color="auto"/>
        <w:right w:val="none" w:sz="0" w:space="0" w:color="auto"/>
      </w:divBdr>
    </w:div>
    <w:div w:id="1956400250">
      <w:bodyDiv w:val="1"/>
      <w:marLeft w:val="0"/>
      <w:marRight w:val="0"/>
      <w:marTop w:val="0"/>
      <w:marBottom w:val="0"/>
      <w:divBdr>
        <w:top w:val="none" w:sz="0" w:space="0" w:color="auto"/>
        <w:left w:val="none" w:sz="0" w:space="0" w:color="auto"/>
        <w:bottom w:val="none" w:sz="0" w:space="0" w:color="auto"/>
        <w:right w:val="none" w:sz="0" w:space="0" w:color="auto"/>
      </w:divBdr>
    </w:div>
    <w:div w:id="1960187760">
      <w:bodyDiv w:val="1"/>
      <w:marLeft w:val="0"/>
      <w:marRight w:val="0"/>
      <w:marTop w:val="0"/>
      <w:marBottom w:val="0"/>
      <w:divBdr>
        <w:top w:val="none" w:sz="0" w:space="0" w:color="auto"/>
        <w:left w:val="none" w:sz="0" w:space="0" w:color="auto"/>
        <w:bottom w:val="none" w:sz="0" w:space="0" w:color="auto"/>
        <w:right w:val="none" w:sz="0" w:space="0" w:color="auto"/>
      </w:divBdr>
    </w:div>
    <w:div w:id="1965184983">
      <w:bodyDiv w:val="1"/>
      <w:marLeft w:val="0"/>
      <w:marRight w:val="0"/>
      <w:marTop w:val="0"/>
      <w:marBottom w:val="0"/>
      <w:divBdr>
        <w:top w:val="none" w:sz="0" w:space="0" w:color="auto"/>
        <w:left w:val="none" w:sz="0" w:space="0" w:color="auto"/>
        <w:bottom w:val="none" w:sz="0" w:space="0" w:color="auto"/>
        <w:right w:val="none" w:sz="0" w:space="0" w:color="auto"/>
      </w:divBdr>
    </w:div>
    <w:div w:id="1970821484">
      <w:bodyDiv w:val="1"/>
      <w:marLeft w:val="0"/>
      <w:marRight w:val="0"/>
      <w:marTop w:val="0"/>
      <w:marBottom w:val="0"/>
      <w:divBdr>
        <w:top w:val="none" w:sz="0" w:space="0" w:color="auto"/>
        <w:left w:val="none" w:sz="0" w:space="0" w:color="auto"/>
        <w:bottom w:val="none" w:sz="0" w:space="0" w:color="auto"/>
        <w:right w:val="none" w:sz="0" w:space="0" w:color="auto"/>
      </w:divBdr>
    </w:div>
    <w:div w:id="1971203001">
      <w:bodyDiv w:val="1"/>
      <w:marLeft w:val="0"/>
      <w:marRight w:val="0"/>
      <w:marTop w:val="0"/>
      <w:marBottom w:val="0"/>
      <w:divBdr>
        <w:top w:val="none" w:sz="0" w:space="0" w:color="auto"/>
        <w:left w:val="none" w:sz="0" w:space="0" w:color="auto"/>
        <w:bottom w:val="none" w:sz="0" w:space="0" w:color="auto"/>
        <w:right w:val="none" w:sz="0" w:space="0" w:color="auto"/>
      </w:divBdr>
    </w:div>
    <w:div w:id="1974745851">
      <w:bodyDiv w:val="1"/>
      <w:marLeft w:val="0"/>
      <w:marRight w:val="0"/>
      <w:marTop w:val="0"/>
      <w:marBottom w:val="0"/>
      <w:divBdr>
        <w:top w:val="none" w:sz="0" w:space="0" w:color="auto"/>
        <w:left w:val="none" w:sz="0" w:space="0" w:color="auto"/>
        <w:bottom w:val="none" w:sz="0" w:space="0" w:color="auto"/>
        <w:right w:val="none" w:sz="0" w:space="0" w:color="auto"/>
      </w:divBdr>
    </w:div>
    <w:div w:id="1977954152">
      <w:bodyDiv w:val="1"/>
      <w:marLeft w:val="0"/>
      <w:marRight w:val="0"/>
      <w:marTop w:val="0"/>
      <w:marBottom w:val="0"/>
      <w:divBdr>
        <w:top w:val="none" w:sz="0" w:space="0" w:color="auto"/>
        <w:left w:val="none" w:sz="0" w:space="0" w:color="auto"/>
        <w:bottom w:val="none" w:sz="0" w:space="0" w:color="auto"/>
        <w:right w:val="none" w:sz="0" w:space="0" w:color="auto"/>
      </w:divBdr>
    </w:div>
    <w:div w:id="1978291210">
      <w:bodyDiv w:val="1"/>
      <w:marLeft w:val="0"/>
      <w:marRight w:val="0"/>
      <w:marTop w:val="0"/>
      <w:marBottom w:val="0"/>
      <w:divBdr>
        <w:top w:val="none" w:sz="0" w:space="0" w:color="auto"/>
        <w:left w:val="none" w:sz="0" w:space="0" w:color="auto"/>
        <w:bottom w:val="none" w:sz="0" w:space="0" w:color="auto"/>
        <w:right w:val="none" w:sz="0" w:space="0" w:color="auto"/>
      </w:divBdr>
    </w:div>
    <w:div w:id="1978294171">
      <w:bodyDiv w:val="1"/>
      <w:marLeft w:val="0"/>
      <w:marRight w:val="0"/>
      <w:marTop w:val="0"/>
      <w:marBottom w:val="0"/>
      <w:divBdr>
        <w:top w:val="none" w:sz="0" w:space="0" w:color="auto"/>
        <w:left w:val="none" w:sz="0" w:space="0" w:color="auto"/>
        <w:bottom w:val="none" w:sz="0" w:space="0" w:color="auto"/>
        <w:right w:val="none" w:sz="0" w:space="0" w:color="auto"/>
      </w:divBdr>
    </w:div>
    <w:div w:id="1980576890">
      <w:bodyDiv w:val="1"/>
      <w:marLeft w:val="0"/>
      <w:marRight w:val="0"/>
      <w:marTop w:val="0"/>
      <w:marBottom w:val="0"/>
      <w:divBdr>
        <w:top w:val="none" w:sz="0" w:space="0" w:color="auto"/>
        <w:left w:val="none" w:sz="0" w:space="0" w:color="auto"/>
        <w:bottom w:val="none" w:sz="0" w:space="0" w:color="auto"/>
        <w:right w:val="none" w:sz="0" w:space="0" w:color="auto"/>
      </w:divBdr>
    </w:div>
    <w:div w:id="1985039251">
      <w:bodyDiv w:val="1"/>
      <w:marLeft w:val="0"/>
      <w:marRight w:val="0"/>
      <w:marTop w:val="0"/>
      <w:marBottom w:val="0"/>
      <w:divBdr>
        <w:top w:val="none" w:sz="0" w:space="0" w:color="auto"/>
        <w:left w:val="none" w:sz="0" w:space="0" w:color="auto"/>
        <w:bottom w:val="none" w:sz="0" w:space="0" w:color="auto"/>
        <w:right w:val="none" w:sz="0" w:space="0" w:color="auto"/>
      </w:divBdr>
    </w:div>
    <w:div w:id="1986422474">
      <w:bodyDiv w:val="1"/>
      <w:marLeft w:val="0"/>
      <w:marRight w:val="0"/>
      <w:marTop w:val="0"/>
      <w:marBottom w:val="0"/>
      <w:divBdr>
        <w:top w:val="none" w:sz="0" w:space="0" w:color="auto"/>
        <w:left w:val="none" w:sz="0" w:space="0" w:color="auto"/>
        <w:bottom w:val="none" w:sz="0" w:space="0" w:color="auto"/>
        <w:right w:val="none" w:sz="0" w:space="0" w:color="auto"/>
      </w:divBdr>
    </w:div>
    <w:div w:id="1991783444">
      <w:bodyDiv w:val="1"/>
      <w:marLeft w:val="0"/>
      <w:marRight w:val="0"/>
      <w:marTop w:val="0"/>
      <w:marBottom w:val="0"/>
      <w:divBdr>
        <w:top w:val="none" w:sz="0" w:space="0" w:color="auto"/>
        <w:left w:val="none" w:sz="0" w:space="0" w:color="auto"/>
        <w:bottom w:val="none" w:sz="0" w:space="0" w:color="auto"/>
        <w:right w:val="none" w:sz="0" w:space="0" w:color="auto"/>
      </w:divBdr>
    </w:div>
    <w:div w:id="1992588649">
      <w:bodyDiv w:val="1"/>
      <w:marLeft w:val="0"/>
      <w:marRight w:val="0"/>
      <w:marTop w:val="0"/>
      <w:marBottom w:val="0"/>
      <w:divBdr>
        <w:top w:val="none" w:sz="0" w:space="0" w:color="auto"/>
        <w:left w:val="none" w:sz="0" w:space="0" w:color="auto"/>
        <w:bottom w:val="none" w:sz="0" w:space="0" w:color="auto"/>
        <w:right w:val="none" w:sz="0" w:space="0" w:color="auto"/>
      </w:divBdr>
    </w:div>
    <w:div w:id="1996182705">
      <w:bodyDiv w:val="1"/>
      <w:marLeft w:val="0"/>
      <w:marRight w:val="0"/>
      <w:marTop w:val="0"/>
      <w:marBottom w:val="0"/>
      <w:divBdr>
        <w:top w:val="none" w:sz="0" w:space="0" w:color="auto"/>
        <w:left w:val="none" w:sz="0" w:space="0" w:color="auto"/>
        <w:bottom w:val="none" w:sz="0" w:space="0" w:color="auto"/>
        <w:right w:val="none" w:sz="0" w:space="0" w:color="auto"/>
      </w:divBdr>
    </w:div>
    <w:div w:id="2002389440">
      <w:bodyDiv w:val="1"/>
      <w:marLeft w:val="0"/>
      <w:marRight w:val="0"/>
      <w:marTop w:val="0"/>
      <w:marBottom w:val="0"/>
      <w:divBdr>
        <w:top w:val="none" w:sz="0" w:space="0" w:color="auto"/>
        <w:left w:val="none" w:sz="0" w:space="0" w:color="auto"/>
        <w:bottom w:val="none" w:sz="0" w:space="0" w:color="auto"/>
        <w:right w:val="none" w:sz="0" w:space="0" w:color="auto"/>
      </w:divBdr>
    </w:div>
    <w:div w:id="2016229153">
      <w:bodyDiv w:val="1"/>
      <w:marLeft w:val="0"/>
      <w:marRight w:val="0"/>
      <w:marTop w:val="0"/>
      <w:marBottom w:val="0"/>
      <w:divBdr>
        <w:top w:val="none" w:sz="0" w:space="0" w:color="auto"/>
        <w:left w:val="none" w:sz="0" w:space="0" w:color="auto"/>
        <w:bottom w:val="none" w:sz="0" w:space="0" w:color="auto"/>
        <w:right w:val="none" w:sz="0" w:space="0" w:color="auto"/>
      </w:divBdr>
    </w:div>
    <w:div w:id="2017724663">
      <w:bodyDiv w:val="1"/>
      <w:marLeft w:val="0"/>
      <w:marRight w:val="0"/>
      <w:marTop w:val="0"/>
      <w:marBottom w:val="0"/>
      <w:divBdr>
        <w:top w:val="none" w:sz="0" w:space="0" w:color="auto"/>
        <w:left w:val="none" w:sz="0" w:space="0" w:color="auto"/>
        <w:bottom w:val="none" w:sz="0" w:space="0" w:color="auto"/>
        <w:right w:val="none" w:sz="0" w:space="0" w:color="auto"/>
      </w:divBdr>
    </w:div>
    <w:div w:id="2025210742">
      <w:bodyDiv w:val="1"/>
      <w:marLeft w:val="0"/>
      <w:marRight w:val="0"/>
      <w:marTop w:val="0"/>
      <w:marBottom w:val="0"/>
      <w:divBdr>
        <w:top w:val="none" w:sz="0" w:space="0" w:color="auto"/>
        <w:left w:val="none" w:sz="0" w:space="0" w:color="auto"/>
        <w:bottom w:val="none" w:sz="0" w:space="0" w:color="auto"/>
        <w:right w:val="none" w:sz="0" w:space="0" w:color="auto"/>
      </w:divBdr>
    </w:div>
    <w:div w:id="2027708516">
      <w:bodyDiv w:val="1"/>
      <w:marLeft w:val="0"/>
      <w:marRight w:val="0"/>
      <w:marTop w:val="0"/>
      <w:marBottom w:val="0"/>
      <w:divBdr>
        <w:top w:val="none" w:sz="0" w:space="0" w:color="auto"/>
        <w:left w:val="none" w:sz="0" w:space="0" w:color="auto"/>
        <w:bottom w:val="none" w:sz="0" w:space="0" w:color="auto"/>
        <w:right w:val="none" w:sz="0" w:space="0" w:color="auto"/>
      </w:divBdr>
    </w:div>
    <w:div w:id="2029520828">
      <w:bodyDiv w:val="1"/>
      <w:marLeft w:val="0"/>
      <w:marRight w:val="0"/>
      <w:marTop w:val="0"/>
      <w:marBottom w:val="0"/>
      <w:divBdr>
        <w:top w:val="none" w:sz="0" w:space="0" w:color="auto"/>
        <w:left w:val="none" w:sz="0" w:space="0" w:color="auto"/>
        <w:bottom w:val="none" w:sz="0" w:space="0" w:color="auto"/>
        <w:right w:val="none" w:sz="0" w:space="0" w:color="auto"/>
      </w:divBdr>
    </w:div>
    <w:div w:id="2033145535">
      <w:bodyDiv w:val="1"/>
      <w:marLeft w:val="0"/>
      <w:marRight w:val="0"/>
      <w:marTop w:val="0"/>
      <w:marBottom w:val="0"/>
      <w:divBdr>
        <w:top w:val="none" w:sz="0" w:space="0" w:color="auto"/>
        <w:left w:val="none" w:sz="0" w:space="0" w:color="auto"/>
        <w:bottom w:val="none" w:sz="0" w:space="0" w:color="auto"/>
        <w:right w:val="none" w:sz="0" w:space="0" w:color="auto"/>
      </w:divBdr>
    </w:div>
    <w:div w:id="2036230340">
      <w:bodyDiv w:val="1"/>
      <w:marLeft w:val="0"/>
      <w:marRight w:val="0"/>
      <w:marTop w:val="0"/>
      <w:marBottom w:val="0"/>
      <w:divBdr>
        <w:top w:val="none" w:sz="0" w:space="0" w:color="auto"/>
        <w:left w:val="none" w:sz="0" w:space="0" w:color="auto"/>
        <w:bottom w:val="none" w:sz="0" w:space="0" w:color="auto"/>
        <w:right w:val="none" w:sz="0" w:space="0" w:color="auto"/>
      </w:divBdr>
    </w:div>
    <w:div w:id="2040934560">
      <w:bodyDiv w:val="1"/>
      <w:marLeft w:val="0"/>
      <w:marRight w:val="0"/>
      <w:marTop w:val="0"/>
      <w:marBottom w:val="0"/>
      <w:divBdr>
        <w:top w:val="none" w:sz="0" w:space="0" w:color="auto"/>
        <w:left w:val="none" w:sz="0" w:space="0" w:color="auto"/>
        <w:bottom w:val="none" w:sz="0" w:space="0" w:color="auto"/>
        <w:right w:val="none" w:sz="0" w:space="0" w:color="auto"/>
      </w:divBdr>
    </w:div>
    <w:div w:id="2043360320">
      <w:bodyDiv w:val="1"/>
      <w:marLeft w:val="0"/>
      <w:marRight w:val="0"/>
      <w:marTop w:val="0"/>
      <w:marBottom w:val="0"/>
      <w:divBdr>
        <w:top w:val="none" w:sz="0" w:space="0" w:color="auto"/>
        <w:left w:val="none" w:sz="0" w:space="0" w:color="auto"/>
        <w:bottom w:val="none" w:sz="0" w:space="0" w:color="auto"/>
        <w:right w:val="none" w:sz="0" w:space="0" w:color="auto"/>
      </w:divBdr>
    </w:div>
    <w:div w:id="2047487620">
      <w:bodyDiv w:val="1"/>
      <w:marLeft w:val="0"/>
      <w:marRight w:val="0"/>
      <w:marTop w:val="0"/>
      <w:marBottom w:val="0"/>
      <w:divBdr>
        <w:top w:val="none" w:sz="0" w:space="0" w:color="auto"/>
        <w:left w:val="none" w:sz="0" w:space="0" w:color="auto"/>
        <w:bottom w:val="none" w:sz="0" w:space="0" w:color="auto"/>
        <w:right w:val="none" w:sz="0" w:space="0" w:color="auto"/>
      </w:divBdr>
    </w:div>
    <w:div w:id="2050298951">
      <w:bodyDiv w:val="1"/>
      <w:marLeft w:val="0"/>
      <w:marRight w:val="0"/>
      <w:marTop w:val="0"/>
      <w:marBottom w:val="0"/>
      <w:divBdr>
        <w:top w:val="none" w:sz="0" w:space="0" w:color="auto"/>
        <w:left w:val="none" w:sz="0" w:space="0" w:color="auto"/>
        <w:bottom w:val="none" w:sz="0" w:space="0" w:color="auto"/>
        <w:right w:val="none" w:sz="0" w:space="0" w:color="auto"/>
      </w:divBdr>
    </w:div>
    <w:div w:id="2050453453">
      <w:bodyDiv w:val="1"/>
      <w:marLeft w:val="0"/>
      <w:marRight w:val="0"/>
      <w:marTop w:val="0"/>
      <w:marBottom w:val="0"/>
      <w:divBdr>
        <w:top w:val="none" w:sz="0" w:space="0" w:color="auto"/>
        <w:left w:val="none" w:sz="0" w:space="0" w:color="auto"/>
        <w:bottom w:val="none" w:sz="0" w:space="0" w:color="auto"/>
        <w:right w:val="none" w:sz="0" w:space="0" w:color="auto"/>
      </w:divBdr>
    </w:div>
    <w:div w:id="2050759649">
      <w:bodyDiv w:val="1"/>
      <w:marLeft w:val="0"/>
      <w:marRight w:val="0"/>
      <w:marTop w:val="0"/>
      <w:marBottom w:val="0"/>
      <w:divBdr>
        <w:top w:val="none" w:sz="0" w:space="0" w:color="auto"/>
        <w:left w:val="none" w:sz="0" w:space="0" w:color="auto"/>
        <w:bottom w:val="none" w:sz="0" w:space="0" w:color="auto"/>
        <w:right w:val="none" w:sz="0" w:space="0" w:color="auto"/>
      </w:divBdr>
    </w:div>
    <w:div w:id="2056151365">
      <w:bodyDiv w:val="1"/>
      <w:marLeft w:val="0"/>
      <w:marRight w:val="0"/>
      <w:marTop w:val="0"/>
      <w:marBottom w:val="0"/>
      <w:divBdr>
        <w:top w:val="none" w:sz="0" w:space="0" w:color="auto"/>
        <w:left w:val="none" w:sz="0" w:space="0" w:color="auto"/>
        <w:bottom w:val="none" w:sz="0" w:space="0" w:color="auto"/>
        <w:right w:val="none" w:sz="0" w:space="0" w:color="auto"/>
      </w:divBdr>
    </w:div>
    <w:div w:id="2060548235">
      <w:bodyDiv w:val="1"/>
      <w:marLeft w:val="0"/>
      <w:marRight w:val="0"/>
      <w:marTop w:val="0"/>
      <w:marBottom w:val="0"/>
      <w:divBdr>
        <w:top w:val="none" w:sz="0" w:space="0" w:color="auto"/>
        <w:left w:val="none" w:sz="0" w:space="0" w:color="auto"/>
        <w:bottom w:val="none" w:sz="0" w:space="0" w:color="auto"/>
        <w:right w:val="none" w:sz="0" w:space="0" w:color="auto"/>
      </w:divBdr>
    </w:div>
    <w:div w:id="2062287222">
      <w:bodyDiv w:val="1"/>
      <w:marLeft w:val="0"/>
      <w:marRight w:val="0"/>
      <w:marTop w:val="0"/>
      <w:marBottom w:val="0"/>
      <w:divBdr>
        <w:top w:val="none" w:sz="0" w:space="0" w:color="auto"/>
        <w:left w:val="none" w:sz="0" w:space="0" w:color="auto"/>
        <w:bottom w:val="none" w:sz="0" w:space="0" w:color="auto"/>
        <w:right w:val="none" w:sz="0" w:space="0" w:color="auto"/>
      </w:divBdr>
    </w:div>
    <w:div w:id="2064982555">
      <w:bodyDiv w:val="1"/>
      <w:marLeft w:val="0"/>
      <w:marRight w:val="0"/>
      <w:marTop w:val="0"/>
      <w:marBottom w:val="0"/>
      <w:divBdr>
        <w:top w:val="none" w:sz="0" w:space="0" w:color="auto"/>
        <w:left w:val="none" w:sz="0" w:space="0" w:color="auto"/>
        <w:bottom w:val="none" w:sz="0" w:space="0" w:color="auto"/>
        <w:right w:val="none" w:sz="0" w:space="0" w:color="auto"/>
      </w:divBdr>
    </w:div>
    <w:div w:id="2067217904">
      <w:bodyDiv w:val="1"/>
      <w:marLeft w:val="0"/>
      <w:marRight w:val="0"/>
      <w:marTop w:val="0"/>
      <w:marBottom w:val="0"/>
      <w:divBdr>
        <w:top w:val="none" w:sz="0" w:space="0" w:color="auto"/>
        <w:left w:val="none" w:sz="0" w:space="0" w:color="auto"/>
        <w:bottom w:val="none" w:sz="0" w:space="0" w:color="auto"/>
        <w:right w:val="none" w:sz="0" w:space="0" w:color="auto"/>
      </w:divBdr>
    </w:div>
    <w:div w:id="2067949441">
      <w:bodyDiv w:val="1"/>
      <w:marLeft w:val="0"/>
      <w:marRight w:val="0"/>
      <w:marTop w:val="0"/>
      <w:marBottom w:val="0"/>
      <w:divBdr>
        <w:top w:val="none" w:sz="0" w:space="0" w:color="auto"/>
        <w:left w:val="none" w:sz="0" w:space="0" w:color="auto"/>
        <w:bottom w:val="none" w:sz="0" w:space="0" w:color="auto"/>
        <w:right w:val="none" w:sz="0" w:space="0" w:color="auto"/>
      </w:divBdr>
    </w:div>
    <w:div w:id="2068533799">
      <w:bodyDiv w:val="1"/>
      <w:marLeft w:val="0"/>
      <w:marRight w:val="0"/>
      <w:marTop w:val="0"/>
      <w:marBottom w:val="0"/>
      <w:divBdr>
        <w:top w:val="none" w:sz="0" w:space="0" w:color="auto"/>
        <w:left w:val="none" w:sz="0" w:space="0" w:color="auto"/>
        <w:bottom w:val="none" w:sz="0" w:space="0" w:color="auto"/>
        <w:right w:val="none" w:sz="0" w:space="0" w:color="auto"/>
      </w:divBdr>
    </w:div>
    <w:div w:id="2070687758">
      <w:bodyDiv w:val="1"/>
      <w:marLeft w:val="0"/>
      <w:marRight w:val="0"/>
      <w:marTop w:val="0"/>
      <w:marBottom w:val="0"/>
      <w:divBdr>
        <w:top w:val="none" w:sz="0" w:space="0" w:color="auto"/>
        <w:left w:val="none" w:sz="0" w:space="0" w:color="auto"/>
        <w:bottom w:val="none" w:sz="0" w:space="0" w:color="auto"/>
        <w:right w:val="none" w:sz="0" w:space="0" w:color="auto"/>
      </w:divBdr>
    </w:div>
    <w:div w:id="2085712519">
      <w:bodyDiv w:val="1"/>
      <w:marLeft w:val="0"/>
      <w:marRight w:val="0"/>
      <w:marTop w:val="0"/>
      <w:marBottom w:val="0"/>
      <w:divBdr>
        <w:top w:val="none" w:sz="0" w:space="0" w:color="auto"/>
        <w:left w:val="none" w:sz="0" w:space="0" w:color="auto"/>
        <w:bottom w:val="none" w:sz="0" w:space="0" w:color="auto"/>
        <w:right w:val="none" w:sz="0" w:space="0" w:color="auto"/>
      </w:divBdr>
    </w:div>
    <w:div w:id="2091193335">
      <w:bodyDiv w:val="1"/>
      <w:marLeft w:val="0"/>
      <w:marRight w:val="0"/>
      <w:marTop w:val="0"/>
      <w:marBottom w:val="0"/>
      <w:divBdr>
        <w:top w:val="none" w:sz="0" w:space="0" w:color="auto"/>
        <w:left w:val="none" w:sz="0" w:space="0" w:color="auto"/>
        <w:bottom w:val="none" w:sz="0" w:space="0" w:color="auto"/>
        <w:right w:val="none" w:sz="0" w:space="0" w:color="auto"/>
      </w:divBdr>
    </w:div>
    <w:div w:id="2093161698">
      <w:bodyDiv w:val="1"/>
      <w:marLeft w:val="0"/>
      <w:marRight w:val="0"/>
      <w:marTop w:val="0"/>
      <w:marBottom w:val="0"/>
      <w:divBdr>
        <w:top w:val="none" w:sz="0" w:space="0" w:color="auto"/>
        <w:left w:val="none" w:sz="0" w:space="0" w:color="auto"/>
        <w:bottom w:val="none" w:sz="0" w:space="0" w:color="auto"/>
        <w:right w:val="none" w:sz="0" w:space="0" w:color="auto"/>
      </w:divBdr>
    </w:div>
    <w:div w:id="2098332140">
      <w:bodyDiv w:val="1"/>
      <w:marLeft w:val="0"/>
      <w:marRight w:val="0"/>
      <w:marTop w:val="0"/>
      <w:marBottom w:val="0"/>
      <w:divBdr>
        <w:top w:val="none" w:sz="0" w:space="0" w:color="auto"/>
        <w:left w:val="none" w:sz="0" w:space="0" w:color="auto"/>
        <w:bottom w:val="none" w:sz="0" w:space="0" w:color="auto"/>
        <w:right w:val="none" w:sz="0" w:space="0" w:color="auto"/>
      </w:divBdr>
    </w:div>
    <w:div w:id="2104177511">
      <w:bodyDiv w:val="1"/>
      <w:marLeft w:val="0"/>
      <w:marRight w:val="0"/>
      <w:marTop w:val="0"/>
      <w:marBottom w:val="0"/>
      <w:divBdr>
        <w:top w:val="none" w:sz="0" w:space="0" w:color="auto"/>
        <w:left w:val="none" w:sz="0" w:space="0" w:color="auto"/>
        <w:bottom w:val="none" w:sz="0" w:space="0" w:color="auto"/>
        <w:right w:val="none" w:sz="0" w:space="0" w:color="auto"/>
      </w:divBdr>
    </w:div>
    <w:div w:id="2104449844">
      <w:bodyDiv w:val="1"/>
      <w:marLeft w:val="0"/>
      <w:marRight w:val="0"/>
      <w:marTop w:val="0"/>
      <w:marBottom w:val="0"/>
      <w:divBdr>
        <w:top w:val="none" w:sz="0" w:space="0" w:color="auto"/>
        <w:left w:val="none" w:sz="0" w:space="0" w:color="auto"/>
        <w:bottom w:val="none" w:sz="0" w:space="0" w:color="auto"/>
        <w:right w:val="none" w:sz="0" w:space="0" w:color="auto"/>
      </w:divBdr>
    </w:div>
    <w:div w:id="2105761144">
      <w:bodyDiv w:val="1"/>
      <w:marLeft w:val="0"/>
      <w:marRight w:val="0"/>
      <w:marTop w:val="0"/>
      <w:marBottom w:val="0"/>
      <w:divBdr>
        <w:top w:val="none" w:sz="0" w:space="0" w:color="auto"/>
        <w:left w:val="none" w:sz="0" w:space="0" w:color="auto"/>
        <w:bottom w:val="none" w:sz="0" w:space="0" w:color="auto"/>
        <w:right w:val="none" w:sz="0" w:space="0" w:color="auto"/>
      </w:divBdr>
    </w:div>
    <w:div w:id="2107576616">
      <w:bodyDiv w:val="1"/>
      <w:marLeft w:val="0"/>
      <w:marRight w:val="0"/>
      <w:marTop w:val="0"/>
      <w:marBottom w:val="0"/>
      <w:divBdr>
        <w:top w:val="none" w:sz="0" w:space="0" w:color="auto"/>
        <w:left w:val="none" w:sz="0" w:space="0" w:color="auto"/>
        <w:bottom w:val="none" w:sz="0" w:space="0" w:color="auto"/>
        <w:right w:val="none" w:sz="0" w:space="0" w:color="auto"/>
      </w:divBdr>
    </w:div>
    <w:div w:id="2108191884">
      <w:bodyDiv w:val="1"/>
      <w:marLeft w:val="0"/>
      <w:marRight w:val="0"/>
      <w:marTop w:val="0"/>
      <w:marBottom w:val="0"/>
      <w:divBdr>
        <w:top w:val="none" w:sz="0" w:space="0" w:color="auto"/>
        <w:left w:val="none" w:sz="0" w:space="0" w:color="auto"/>
        <w:bottom w:val="none" w:sz="0" w:space="0" w:color="auto"/>
        <w:right w:val="none" w:sz="0" w:space="0" w:color="auto"/>
      </w:divBdr>
    </w:div>
    <w:div w:id="2109766853">
      <w:bodyDiv w:val="1"/>
      <w:marLeft w:val="0"/>
      <w:marRight w:val="0"/>
      <w:marTop w:val="0"/>
      <w:marBottom w:val="0"/>
      <w:divBdr>
        <w:top w:val="none" w:sz="0" w:space="0" w:color="auto"/>
        <w:left w:val="none" w:sz="0" w:space="0" w:color="auto"/>
        <w:bottom w:val="none" w:sz="0" w:space="0" w:color="auto"/>
        <w:right w:val="none" w:sz="0" w:space="0" w:color="auto"/>
      </w:divBdr>
    </w:div>
    <w:div w:id="2116905313">
      <w:bodyDiv w:val="1"/>
      <w:marLeft w:val="0"/>
      <w:marRight w:val="0"/>
      <w:marTop w:val="0"/>
      <w:marBottom w:val="0"/>
      <w:divBdr>
        <w:top w:val="none" w:sz="0" w:space="0" w:color="auto"/>
        <w:left w:val="none" w:sz="0" w:space="0" w:color="auto"/>
        <w:bottom w:val="none" w:sz="0" w:space="0" w:color="auto"/>
        <w:right w:val="none" w:sz="0" w:space="0" w:color="auto"/>
      </w:divBdr>
    </w:div>
    <w:div w:id="2122913743">
      <w:bodyDiv w:val="1"/>
      <w:marLeft w:val="0"/>
      <w:marRight w:val="0"/>
      <w:marTop w:val="0"/>
      <w:marBottom w:val="0"/>
      <w:divBdr>
        <w:top w:val="none" w:sz="0" w:space="0" w:color="auto"/>
        <w:left w:val="none" w:sz="0" w:space="0" w:color="auto"/>
        <w:bottom w:val="none" w:sz="0" w:space="0" w:color="auto"/>
        <w:right w:val="none" w:sz="0" w:space="0" w:color="auto"/>
      </w:divBdr>
    </w:div>
    <w:div w:id="2123913821">
      <w:bodyDiv w:val="1"/>
      <w:marLeft w:val="0"/>
      <w:marRight w:val="0"/>
      <w:marTop w:val="0"/>
      <w:marBottom w:val="0"/>
      <w:divBdr>
        <w:top w:val="none" w:sz="0" w:space="0" w:color="auto"/>
        <w:left w:val="none" w:sz="0" w:space="0" w:color="auto"/>
        <w:bottom w:val="none" w:sz="0" w:space="0" w:color="auto"/>
        <w:right w:val="none" w:sz="0" w:space="0" w:color="auto"/>
      </w:divBdr>
    </w:div>
    <w:div w:id="2129228445">
      <w:bodyDiv w:val="1"/>
      <w:marLeft w:val="0"/>
      <w:marRight w:val="0"/>
      <w:marTop w:val="0"/>
      <w:marBottom w:val="0"/>
      <w:divBdr>
        <w:top w:val="none" w:sz="0" w:space="0" w:color="auto"/>
        <w:left w:val="none" w:sz="0" w:space="0" w:color="auto"/>
        <w:bottom w:val="none" w:sz="0" w:space="0" w:color="auto"/>
        <w:right w:val="none" w:sz="0" w:space="0" w:color="auto"/>
      </w:divBdr>
    </w:div>
    <w:div w:id="2131626063">
      <w:bodyDiv w:val="1"/>
      <w:marLeft w:val="0"/>
      <w:marRight w:val="0"/>
      <w:marTop w:val="0"/>
      <w:marBottom w:val="0"/>
      <w:divBdr>
        <w:top w:val="none" w:sz="0" w:space="0" w:color="auto"/>
        <w:left w:val="none" w:sz="0" w:space="0" w:color="auto"/>
        <w:bottom w:val="none" w:sz="0" w:space="0" w:color="auto"/>
        <w:right w:val="none" w:sz="0" w:space="0" w:color="auto"/>
      </w:divBdr>
    </w:div>
    <w:div w:id="2135169039">
      <w:bodyDiv w:val="1"/>
      <w:marLeft w:val="0"/>
      <w:marRight w:val="0"/>
      <w:marTop w:val="0"/>
      <w:marBottom w:val="0"/>
      <w:divBdr>
        <w:top w:val="none" w:sz="0" w:space="0" w:color="auto"/>
        <w:left w:val="none" w:sz="0" w:space="0" w:color="auto"/>
        <w:bottom w:val="none" w:sz="0" w:space="0" w:color="auto"/>
        <w:right w:val="none" w:sz="0" w:space="0" w:color="auto"/>
      </w:divBdr>
    </w:div>
    <w:div w:id="2135513392">
      <w:bodyDiv w:val="1"/>
      <w:marLeft w:val="0"/>
      <w:marRight w:val="0"/>
      <w:marTop w:val="0"/>
      <w:marBottom w:val="0"/>
      <w:divBdr>
        <w:top w:val="none" w:sz="0" w:space="0" w:color="auto"/>
        <w:left w:val="none" w:sz="0" w:space="0" w:color="auto"/>
        <w:bottom w:val="none" w:sz="0" w:space="0" w:color="auto"/>
        <w:right w:val="none" w:sz="0" w:space="0" w:color="auto"/>
      </w:divBdr>
    </w:div>
    <w:div w:id="2136942786">
      <w:bodyDiv w:val="1"/>
      <w:marLeft w:val="0"/>
      <w:marRight w:val="0"/>
      <w:marTop w:val="0"/>
      <w:marBottom w:val="0"/>
      <w:divBdr>
        <w:top w:val="none" w:sz="0" w:space="0" w:color="auto"/>
        <w:left w:val="none" w:sz="0" w:space="0" w:color="auto"/>
        <w:bottom w:val="none" w:sz="0" w:space="0" w:color="auto"/>
        <w:right w:val="none" w:sz="0" w:space="0" w:color="auto"/>
      </w:divBdr>
    </w:div>
    <w:div w:id="2137019559">
      <w:bodyDiv w:val="1"/>
      <w:marLeft w:val="0"/>
      <w:marRight w:val="0"/>
      <w:marTop w:val="0"/>
      <w:marBottom w:val="0"/>
      <w:divBdr>
        <w:top w:val="none" w:sz="0" w:space="0" w:color="auto"/>
        <w:left w:val="none" w:sz="0" w:space="0" w:color="auto"/>
        <w:bottom w:val="none" w:sz="0" w:space="0" w:color="auto"/>
        <w:right w:val="none" w:sz="0" w:space="0" w:color="auto"/>
      </w:divBdr>
    </w:div>
    <w:div w:id="2143037695">
      <w:bodyDiv w:val="1"/>
      <w:marLeft w:val="0"/>
      <w:marRight w:val="0"/>
      <w:marTop w:val="0"/>
      <w:marBottom w:val="0"/>
      <w:divBdr>
        <w:top w:val="none" w:sz="0" w:space="0" w:color="auto"/>
        <w:left w:val="none" w:sz="0" w:space="0" w:color="auto"/>
        <w:bottom w:val="none" w:sz="0" w:space="0" w:color="auto"/>
        <w:right w:val="none" w:sz="0" w:space="0" w:color="auto"/>
      </w:divBdr>
    </w:div>
    <w:div w:id="214430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34.png"/><Relationship Id="rId21" Type="http://schemas.openxmlformats.org/officeDocument/2006/relationships/footer" Target="footer4.xml"/><Relationship Id="rId42" Type="http://schemas.openxmlformats.org/officeDocument/2006/relationships/footer" Target="footer11.xml"/><Relationship Id="rId47" Type="http://schemas.openxmlformats.org/officeDocument/2006/relationships/chart" Target="charts/chart3.xml"/><Relationship Id="rId63" Type="http://schemas.openxmlformats.org/officeDocument/2006/relationships/header" Target="header18.xml"/><Relationship Id="rId68" Type="http://schemas.openxmlformats.org/officeDocument/2006/relationships/image" Target="media/image16.emf"/><Relationship Id="rId84" Type="http://schemas.openxmlformats.org/officeDocument/2006/relationships/image" Target="media/image23.emf"/><Relationship Id="rId89" Type="http://schemas.openxmlformats.org/officeDocument/2006/relationships/header" Target="header25.xml"/><Relationship Id="rId112" Type="http://schemas.openxmlformats.org/officeDocument/2006/relationships/chart" Target="charts/chart10.xml"/><Relationship Id="rId16" Type="http://schemas.openxmlformats.org/officeDocument/2006/relationships/header" Target="header2.xml"/><Relationship Id="rId107" Type="http://schemas.openxmlformats.org/officeDocument/2006/relationships/image" Target="media/image28.png"/><Relationship Id="rId11" Type="http://schemas.openxmlformats.org/officeDocument/2006/relationships/footer" Target="footer1.xml"/><Relationship Id="rId32" Type="http://schemas.openxmlformats.org/officeDocument/2006/relationships/image" Target="media/image9.emf"/><Relationship Id="rId37" Type="http://schemas.openxmlformats.org/officeDocument/2006/relationships/chart" Target="charts/chart2.xml"/><Relationship Id="rId53" Type="http://schemas.openxmlformats.org/officeDocument/2006/relationships/header" Target="header15.xml"/><Relationship Id="rId58" Type="http://schemas.openxmlformats.org/officeDocument/2006/relationships/header" Target="header17.xml"/><Relationship Id="rId74" Type="http://schemas.openxmlformats.org/officeDocument/2006/relationships/image" Target="media/image19.emf"/><Relationship Id="rId79" Type="http://schemas.openxmlformats.org/officeDocument/2006/relationships/image" Target="media/image22.emf"/><Relationship Id="rId102" Type="http://schemas.openxmlformats.org/officeDocument/2006/relationships/footer" Target="footer30.xml"/><Relationship Id="rId123" Type="http://schemas.openxmlformats.org/officeDocument/2006/relationships/footer" Target="footer33.xml"/><Relationship Id="rId5" Type="http://schemas.openxmlformats.org/officeDocument/2006/relationships/webSettings" Target="webSettings.xml"/><Relationship Id="rId90" Type="http://schemas.openxmlformats.org/officeDocument/2006/relationships/footer" Target="footer27.xml"/><Relationship Id="rId95" Type="http://schemas.openxmlformats.org/officeDocument/2006/relationships/chart" Target="charts/chart6.xml"/><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header" Target="header16.xml"/><Relationship Id="rId64" Type="http://schemas.openxmlformats.org/officeDocument/2006/relationships/footer" Target="footer19.xml"/><Relationship Id="rId69" Type="http://schemas.openxmlformats.org/officeDocument/2006/relationships/header" Target="header20.xml"/><Relationship Id="rId77" Type="http://schemas.openxmlformats.org/officeDocument/2006/relationships/header" Target="header21.xml"/><Relationship Id="rId100" Type="http://schemas.openxmlformats.org/officeDocument/2006/relationships/header" Target="header28.xml"/><Relationship Id="rId105" Type="http://schemas.openxmlformats.org/officeDocument/2006/relationships/footer" Target="footer32.xml"/><Relationship Id="rId113" Type="http://schemas.openxmlformats.org/officeDocument/2006/relationships/chart" Target="charts/chart11.xml"/><Relationship Id="rId118" Type="http://schemas.openxmlformats.org/officeDocument/2006/relationships/image" Target="media/image35.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image" Target="media/image17.emf"/><Relationship Id="rId80" Type="http://schemas.openxmlformats.org/officeDocument/2006/relationships/header" Target="header22.xml"/><Relationship Id="rId85" Type="http://schemas.openxmlformats.org/officeDocument/2006/relationships/header" Target="header24.xml"/><Relationship Id="rId93" Type="http://schemas.openxmlformats.org/officeDocument/2006/relationships/footer" Target="footer28.xml"/><Relationship Id="rId98" Type="http://schemas.openxmlformats.org/officeDocument/2006/relationships/footer" Target="footer29.xml"/><Relationship Id="rId121"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hyperlink" Target="mailto:contact@arc4.co.uk"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www.spareroom.com/" TargetMode="External"/><Relationship Id="rId38" Type="http://schemas.openxmlformats.org/officeDocument/2006/relationships/header" Target="header9.xml"/><Relationship Id="rId46" Type="http://schemas.openxmlformats.org/officeDocument/2006/relationships/footer" Target="footer13.xml"/><Relationship Id="rId59" Type="http://schemas.openxmlformats.org/officeDocument/2006/relationships/footer" Target="footer18.xml"/><Relationship Id="rId67" Type="http://schemas.openxmlformats.org/officeDocument/2006/relationships/footer" Target="footer20.xml"/><Relationship Id="rId103" Type="http://schemas.openxmlformats.org/officeDocument/2006/relationships/footer" Target="footer31.xml"/><Relationship Id="rId108" Type="http://schemas.openxmlformats.org/officeDocument/2006/relationships/chart" Target="charts/chart8.xml"/><Relationship Id="rId116" Type="http://schemas.openxmlformats.org/officeDocument/2006/relationships/image" Target="media/image33.png"/><Relationship Id="rId124" Type="http://schemas.openxmlformats.org/officeDocument/2006/relationships/header" Target="header32.xml"/><Relationship Id="rId20" Type="http://schemas.openxmlformats.org/officeDocument/2006/relationships/footer" Target="footer3.xml"/><Relationship Id="rId41" Type="http://schemas.openxmlformats.org/officeDocument/2006/relationships/header" Target="header10.xml"/><Relationship Id="rId54" Type="http://schemas.openxmlformats.org/officeDocument/2006/relationships/footer" Target="footer16.xml"/><Relationship Id="rId62" Type="http://schemas.openxmlformats.org/officeDocument/2006/relationships/image" Target="media/image14.emf"/><Relationship Id="rId70" Type="http://schemas.openxmlformats.org/officeDocument/2006/relationships/footer" Target="footer21.xml"/><Relationship Id="rId75" Type="http://schemas.openxmlformats.org/officeDocument/2006/relationships/image" Target="media/image20.emf"/><Relationship Id="rId83" Type="http://schemas.openxmlformats.org/officeDocument/2006/relationships/footer" Target="footer25.xml"/><Relationship Id="rId88" Type="http://schemas.openxmlformats.org/officeDocument/2006/relationships/image" Target="media/image25.png"/><Relationship Id="rId91" Type="http://schemas.openxmlformats.org/officeDocument/2006/relationships/image" Target="media/image26.emf"/><Relationship Id="rId96" Type="http://schemas.openxmlformats.org/officeDocument/2006/relationships/chart" Target="charts/chart7.xml"/><Relationship Id="rId11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image" Target="media/image7.jpeg"/><Relationship Id="rId36" Type="http://schemas.openxmlformats.org/officeDocument/2006/relationships/chart" Target="charts/chart1.xml"/><Relationship Id="rId49" Type="http://schemas.openxmlformats.org/officeDocument/2006/relationships/footer" Target="footer14.xml"/><Relationship Id="rId57" Type="http://schemas.openxmlformats.org/officeDocument/2006/relationships/footer" Target="footer17.xml"/><Relationship Id="rId106" Type="http://schemas.openxmlformats.org/officeDocument/2006/relationships/image" Target="media/image27.png"/><Relationship Id="rId114" Type="http://schemas.openxmlformats.org/officeDocument/2006/relationships/image" Target="media/image31.png"/><Relationship Id="rId119" Type="http://schemas.openxmlformats.org/officeDocument/2006/relationships/chart" Target="charts/chart12.xml"/><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footer" Target="footer12.xml"/><Relationship Id="rId52" Type="http://schemas.openxmlformats.org/officeDocument/2006/relationships/footer" Target="footer15.xml"/><Relationship Id="rId60" Type="http://schemas.openxmlformats.org/officeDocument/2006/relationships/image" Target="media/image12.emf"/><Relationship Id="rId65" Type="http://schemas.openxmlformats.org/officeDocument/2006/relationships/image" Target="media/image15.emf"/><Relationship Id="rId73" Type="http://schemas.openxmlformats.org/officeDocument/2006/relationships/image" Target="media/image18.emf"/><Relationship Id="rId78" Type="http://schemas.openxmlformats.org/officeDocument/2006/relationships/footer" Target="footer23.xml"/><Relationship Id="rId81" Type="http://schemas.openxmlformats.org/officeDocument/2006/relationships/footer" Target="footer24.xml"/><Relationship Id="rId86" Type="http://schemas.openxmlformats.org/officeDocument/2006/relationships/footer" Target="footer26.xml"/><Relationship Id="rId94" Type="http://schemas.openxmlformats.org/officeDocument/2006/relationships/chart" Target="charts/chart5.xml"/><Relationship Id="rId99" Type="http://schemas.openxmlformats.org/officeDocument/2006/relationships/hyperlink" Target="http://www.arc4.co.uk" TargetMode="External"/><Relationship Id="rId101" Type="http://schemas.openxmlformats.org/officeDocument/2006/relationships/header" Target="header29.xml"/><Relationship Id="rId122"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hyperlink" Target="http://www.arc4.co.uk/" TargetMode="External"/><Relationship Id="rId13" Type="http://schemas.openxmlformats.org/officeDocument/2006/relationships/hyperlink" Target="http://www.arc4.co.uk/" TargetMode="External"/><Relationship Id="rId18" Type="http://schemas.openxmlformats.org/officeDocument/2006/relationships/image" Target="media/image6.emf"/><Relationship Id="rId39" Type="http://schemas.openxmlformats.org/officeDocument/2006/relationships/footer" Target="footer10.xml"/><Relationship Id="rId109" Type="http://schemas.openxmlformats.org/officeDocument/2006/relationships/image" Target="media/image29.png"/><Relationship Id="rId34" Type="http://schemas.openxmlformats.org/officeDocument/2006/relationships/header" Target="header8.xml"/><Relationship Id="rId50" Type="http://schemas.openxmlformats.org/officeDocument/2006/relationships/chart" Target="charts/chart4.xml"/><Relationship Id="rId55" Type="http://schemas.openxmlformats.org/officeDocument/2006/relationships/image" Target="media/image11.jpeg"/><Relationship Id="rId76" Type="http://schemas.openxmlformats.org/officeDocument/2006/relationships/image" Target="media/image21.emf"/><Relationship Id="rId97" Type="http://schemas.openxmlformats.org/officeDocument/2006/relationships/header" Target="header27.xml"/><Relationship Id="rId104" Type="http://schemas.openxmlformats.org/officeDocument/2006/relationships/header" Target="header30.xml"/><Relationship Id="rId120" Type="http://schemas.openxmlformats.org/officeDocument/2006/relationships/image" Target="media/image36.png"/><Relationship Id="rId125" Type="http://schemas.openxmlformats.org/officeDocument/2006/relationships/footer" Target="footer34.xml"/><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eader" Target="header5.xml"/><Relationship Id="rId40" Type="http://schemas.openxmlformats.org/officeDocument/2006/relationships/image" Target="media/image10.png"/><Relationship Id="rId45" Type="http://schemas.openxmlformats.org/officeDocument/2006/relationships/header" Target="header12.xml"/><Relationship Id="rId66" Type="http://schemas.openxmlformats.org/officeDocument/2006/relationships/header" Target="header19.xml"/><Relationship Id="rId87" Type="http://schemas.openxmlformats.org/officeDocument/2006/relationships/image" Target="media/image24.png"/><Relationship Id="rId110" Type="http://schemas.openxmlformats.org/officeDocument/2006/relationships/image" Target="media/image30.png"/><Relationship Id="rId115" Type="http://schemas.openxmlformats.org/officeDocument/2006/relationships/image" Target="media/image32.png"/><Relationship Id="rId61" Type="http://schemas.openxmlformats.org/officeDocument/2006/relationships/image" Target="media/image13.emf"/><Relationship Id="rId82" Type="http://schemas.openxmlformats.org/officeDocument/2006/relationships/header" Target="header2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5.jpeg"/></Relationships>
</file>

<file path=word/_rels/footer11.xml.rels><?xml version="1.0" encoding="UTF-8" standalone="yes"?>
<Relationships xmlns="http://schemas.openxmlformats.org/package/2006/relationships"><Relationship Id="rId1" Type="http://schemas.openxmlformats.org/officeDocument/2006/relationships/image" Target="media/image5.jpeg"/></Relationships>
</file>

<file path=word/_rels/footer12.xml.rels><?xml version="1.0" encoding="UTF-8" standalone="yes"?>
<Relationships xmlns="http://schemas.openxmlformats.org/package/2006/relationships"><Relationship Id="rId1" Type="http://schemas.openxmlformats.org/officeDocument/2006/relationships/image" Target="media/image5.jpeg"/></Relationships>
</file>

<file path=word/_rels/footer13.xml.rels><?xml version="1.0" encoding="UTF-8" standalone="yes"?>
<Relationships xmlns="http://schemas.openxmlformats.org/package/2006/relationships"><Relationship Id="rId1" Type="http://schemas.openxmlformats.org/officeDocument/2006/relationships/image" Target="media/image5.jpeg"/></Relationships>
</file>

<file path=word/_rels/footer14.xml.rels><?xml version="1.0" encoding="UTF-8" standalone="yes"?>
<Relationships xmlns="http://schemas.openxmlformats.org/package/2006/relationships"><Relationship Id="rId1" Type="http://schemas.openxmlformats.org/officeDocument/2006/relationships/image" Target="media/image5.jpeg"/></Relationships>
</file>

<file path=word/_rels/footer15.xml.rels><?xml version="1.0" encoding="UTF-8" standalone="yes"?>
<Relationships xmlns="http://schemas.openxmlformats.org/package/2006/relationships"><Relationship Id="rId1" Type="http://schemas.openxmlformats.org/officeDocument/2006/relationships/image" Target="media/image5.jpeg"/></Relationships>
</file>

<file path=word/_rels/footer16.xml.rels><?xml version="1.0" encoding="UTF-8" standalone="yes"?>
<Relationships xmlns="http://schemas.openxmlformats.org/package/2006/relationships"><Relationship Id="rId1" Type="http://schemas.openxmlformats.org/officeDocument/2006/relationships/image" Target="media/image5.jpeg"/></Relationships>
</file>

<file path=word/_rels/footer17.xml.rels><?xml version="1.0" encoding="UTF-8" standalone="yes"?>
<Relationships xmlns="http://schemas.openxmlformats.org/package/2006/relationships"><Relationship Id="rId1" Type="http://schemas.openxmlformats.org/officeDocument/2006/relationships/image" Target="media/image5.jpeg"/></Relationships>
</file>

<file path=word/_rels/footer18.xml.rels><?xml version="1.0" encoding="UTF-8" standalone="yes"?>
<Relationships xmlns="http://schemas.openxmlformats.org/package/2006/relationships"><Relationship Id="rId1" Type="http://schemas.openxmlformats.org/officeDocument/2006/relationships/image" Target="media/image5.jpeg"/></Relationships>
</file>

<file path=word/_rels/footer19.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20.xml.rels><?xml version="1.0" encoding="UTF-8" standalone="yes"?>
<Relationships xmlns="http://schemas.openxmlformats.org/package/2006/relationships"><Relationship Id="rId1" Type="http://schemas.openxmlformats.org/officeDocument/2006/relationships/image" Target="media/image5.jpeg"/></Relationships>
</file>

<file path=word/_rels/footer21.xml.rels><?xml version="1.0" encoding="UTF-8" standalone="yes"?>
<Relationships xmlns="http://schemas.openxmlformats.org/package/2006/relationships"><Relationship Id="rId1" Type="http://schemas.openxmlformats.org/officeDocument/2006/relationships/image" Target="media/image5.jpeg"/></Relationships>
</file>

<file path=word/_rels/footer23.xml.rels><?xml version="1.0" encoding="UTF-8" standalone="yes"?>
<Relationships xmlns="http://schemas.openxmlformats.org/package/2006/relationships"><Relationship Id="rId1" Type="http://schemas.openxmlformats.org/officeDocument/2006/relationships/image" Target="media/image5.jpeg"/></Relationships>
</file>

<file path=word/_rels/footer24.xml.rels><?xml version="1.0" encoding="UTF-8" standalone="yes"?>
<Relationships xmlns="http://schemas.openxmlformats.org/package/2006/relationships"><Relationship Id="rId1" Type="http://schemas.openxmlformats.org/officeDocument/2006/relationships/image" Target="media/image5.jpeg"/></Relationships>
</file>

<file path=word/_rels/footer25.xml.rels><?xml version="1.0" encoding="UTF-8" standalone="yes"?>
<Relationships xmlns="http://schemas.openxmlformats.org/package/2006/relationships"><Relationship Id="rId1" Type="http://schemas.openxmlformats.org/officeDocument/2006/relationships/image" Target="media/image5.jpeg"/></Relationships>
</file>

<file path=word/_rels/footer26.xml.rels><?xml version="1.0" encoding="UTF-8" standalone="yes"?>
<Relationships xmlns="http://schemas.openxmlformats.org/package/2006/relationships"><Relationship Id="rId1" Type="http://schemas.openxmlformats.org/officeDocument/2006/relationships/image" Target="media/image5.jpeg"/></Relationships>
</file>

<file path=word/_rels/footer27.xml.rels><?xml version="1.0" encoding="UTF-8" standalone="yes"?>
<Relationships xmlns="http://schemas.openxmlformats.org/package/2006/relationships"><Relationship Id="rId1" Type="http://schemas.openxmlformats.org/officeDocument/2006/relationships/image" Target="media/image5.jpeg"/></Relationships>
</file>

<file path=word/_rels/footer28.xml.rels><?xml version="1.0" encoding="UTF-8" standalone="yes"?>
<Relationships xmlns="http://schemas.openxmlformats.org/package/2006/relationships"><Relationship Id="rId1" Type="http://schemas.openxmlformats.org/officeDocument/2006/relationships/image" Target="media/image5.jpeg"/></Relationships>
</file>

<file path=word/_rels/footer29.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31.xml.rels><?xml version="1.0" encoding="UTF-8" standalone="yes"?>
<Relationships xmlns="http://schemas.openxmlformats.org/package/2006/relationships"><Relationship Id="rId1" Type="http://schemas.openxmlformats.org/officeDocument/2006/relationships/image" Target="media/image5.jpeg"/></Relationships>
</file>

<file path=word/_rels/footer33.xml.rels><?xml version="1.0" encoding="UTF-8" standalone="yes"?>
<Relationships xmlns="http://schemas.openxmlformats.org/package/2006/relationships"><Relationship Id="rId1" Type="http://schemas.openxmlformats.org/officeDocument/2006/relationships/image" Target="media/image5.jpeg"/></Relationships>
</file>

<file path=word/_rels/footer3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www.greenwichstudentpad.co.uk/Accommodation" TargetMode="External"/><Relationship Id="rId3" Type="http://schemas.openxmlformats.org/officeDocument/2006/relationships/hyperlink" Target="https://www.thesac.org.uk/" TargetMode="External"/><Relationship Id="rId7" Type="http://schemas.openxmlformats.org/officeDocument/2006/relationships/hyperlink" Target="https://www.nationalcode.org/" TargetMode="External"/><Relationship Id="rId2" Type="http://schemas.openxmlformats.org/officeDocument/2006/relationships/hyperlink" Target="https://www.timeshighereducation.com/student/best-universities/student-experience-survey-2017-best-uk-universities-accommodation" TargetMode="External"/><Relationship Id="rId1" Type="http://schemas.openxmlformats.org/officeDocument/2006/relationships/hyperlink" Target="https://www.ons.gov.uk/peoplepopulationandcommunity/housing/adhocs/008207ct07732011censusnumberofstudentsinstudentonlyhouseholdnationaltolocalauthoritylevel" TargetMode="External"/><Relationship Id="rId6" Type="http://schemas.openxmlformats.org/officeDocument/2006/relationships/hyperlink" Target="http://studenthomes.london.ac.uk/" TargetMode="External"/><Relationship Id="rId5" Type="http://schemas.openxmlformats.org/officeDocument/2006/relationships/hyperlink" Target="https://www.nationalcode.org/" TargetMode="External"/><Relationship Id="rId4" Type="http://schemas.openxmlformats.org/officeDocument/2006/relationships/hyperlink" Target="https://www.gold.ac.uk/accommodation/halls/" TargetMode="External"/><Relationship Id="rId9" Type="http://schemas.openxmlformats.org/officeDocument/2006/relationships/hyperlink" Target="https://www.hesa.ac.uk/data-and-analysis/students/where-stud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ie%20Brand\Documents\ARC4\Styles\SHMA%20Template%20V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Volumes\USB%20DISK\ARC4\Current%20projects\Lewisham%20\COUNCIL%20TAX%20BY%20WAR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elen\Documents\my%20stuff\current%20client%20proposals\lewisham\Rental%20Tables%20for%20Lewisham%20-%20Ward%202018%20Based.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elen\Documents\my%20stuff\current%20client%20proposals\lewisham\Rental%20Tables%20for%20Lewisham%20-%20Ward%202018%20Based.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elen\Documents\my%20stuff\current%20client%20proposals\lewisham\Rental%20Tables%20for%20Lewisham%20-%20Ward%202018%20Based.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elen\Documents\my%20stuff\current%20client%20proposals\lewisham\Rental%20Tables%20for%20Lewisham%20-%20Ward%202018%20Based.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Volumes\USB%20DISK\ARC4\Current%20projects\Lewisham%20\COUNCIL%20TAX%20BY%20WAR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Users\jenniehainsworth\OneDrive\Documents\arc4\Lewisham%20SHMA\Lewisham%20secondary%20data%202018%2011%20July.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Users\amandatodd\Downloads\nomis_2018_08_28_153053.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mandatodd\Downloads\data-18.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d.docs.live.net/59d51e8e439bcd30/Documents/Arc4/Lewisham/Lewisham_TablesChart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59d51e8e439bcd30/Documents/Arc4/Lewisham/Lewisham_TablesChart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elen\Documents\my%20stuff\current%20client%20proposals\lewisham\Rental%20Tables%20for%20Lewisham%20-%20Ward%202018%20Based.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 by Ward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'final dwelling type size'!$K$22</c:f>
              <c:strCache>
                <c:ptCount val="1"/>
                <c:pt idx="0">
                  <c:v>Bungalow</c:v>
                </c:pt>
              </c:strCache>
            </c:strRef>
          </c:tx>
          <c:spPr>
            <a:solidFill>
              <a:schemeClr val="accent1"/>
            </a:solidFill>
            <a:ln>
              <a:noFill/>
            </a:ln>
            <a:effectLst/>
          </c:spPr>
          <c:invertIfNegative val="0"/>
          <c:cat>
            <c:strRef>
              <c:f>'final dwelling type size'!$J$23:$J$41</c:f>
              <c:strCache>
                <c:ptCount val="19"/>
                <c:pt idx="0">
                  <c:v>Bellingham</c:v>
                </c:pt>
                <c:pt idx="1">
                  <c:v>Blackheath</c:v>
                </c:pt>
                <c:pt idx="2">
                  <c:v>Brockley</c:v>
                </c:pt>
                <c:pt idx="3">
                  <c:v>Catford South</c:v>
                </c:pt>
                <c:pt idx="4">
                  <c:v>Crofton Park</c:v>
                </c:pt>
                <c:pt idx="5">
                  <c:v>Downham</c:v>
                </c:pt>
                <c:pt idx="6">
                  <c:v>Evelyn</c:v>
                </c:pt>
                <c:pt idx="7">
                  <c:v>Forest Hill</c:v>
                </c:pt>
                <c:pt idx="8">
                  <c:v>Grove Park</c:v>
                </c:pt>
                <c:pt idx="9">
                  <c:v>Ladywell</c:v>
                </c:pt>
                <c:pt idx="10">
                  <c:v>Lee Green</c:v>
                </c:pt>
                <c:pt idx="11">
                  <c:v>Lewisham Central</c:v>
                </c:pt>
                <c:pt idx="12">
                  <c:v>New Cross</c:v>
                </c:pt>
                <c:pt idx="13">
                  <c:v>Perry Vale</c:v>
                </c:pt>
                <c:pt idx="14">
                  <c:v>Rushey Green</c:v>
                </c:pt>
                <c:pt idx="15">
                  <c:v>Syndenham</c:v>
                </c:pt>
                <c:pt idx="16">
                  <c:v>Telegraph Hill</c:v>
                </c:pt>
                <c:pt idx="17">
                  <c:v>Whitefoot</c:v>
                </c:pt>
                <c:pt idx="18">
                  <c:v>LEWISHAM TOTAL</c:v>
                </c:pt>
              </c:strCache>
            </c:strRef>
          </c:cat>
          <c:val>
            <c:numRef>
              <c:f>'final dwelling type size'!$K$23:$K$41</c:f>
              <c:numCache>
                <c:formatCode>0.0</c:formatCode>
                <c:ptCount val="19"/>
                <c:pt idx="0">
                  <c:v>0</c:v>
                </c:pt>
                <c:pt idx="1">
                  <c:v>0</c:v>
                </c:pt>
                <c:pt idx="2">
                  <c:v>0</c:v>
                </c:pt>
                <c:pt idx="3">
                  <c:v>0.17361111111111099</c:v>
                </c:pt>
                <c:pt idx="4">
                  <c:v>0.16501650165016499</c:v>
                </c:pt>
                <c:pt idx="5">
                  <c:v>0</c:v>
                </c:pt>
                <c:pt idx="6">
                  <c:v>0.12755102040816299</c:v>
                </c:pt>
                <c:pt idx="7">
                  <c:v>0.77881619937694702</c:v>
                </c:pt>
                <c:pt idx="8">
                  <c:v>0.324149108589951</c:v>
                </c:pt>
                <c:pt idx="9">
                  <c:v>0.21413276231263401</c:v>
                </c:pt>
                <c:pt idx="10">
                  <c:v>0.162074554294976</c:v>
                </c:pt>
                <c:pt idx="11">
                  <c:v>0.105708245243129</c:v>
                </c:pt>
                <c:pt idx="12">
                  <c:v>0.144092219020173</c:v>
                </c:pt>
                <c:pt idx="13">
                  <c:v>0</c:v>
                </c:pt>
                <c:pt idx="14">
                  <c:v>0</c:v>
                </c:pt>
                <c:pt idx="15">
                  <c:v>0.44642857142857101</c:v>
                </c:pt>
                <c:pt idx="16">
                  <c:v>0.15625</c:v>
                </c:pt>
                <c:pt idx="17">
                  <c:v>2.5295109612141649</c:v>
                </c:pt>
                <c:pt idx="18">
                  <c:v>0.27782454958747299</c:v>
                </c:pt>
              </c:numCache>
            </c:numRef>
          </c:val>
          <c:extLst xmlns:c16r2="http://schemas.microsoft.com/office/drawing/2015/06/chart">
            <c:ext xmlns:c16="http://schemas.microsoft.com/office/drawing/2014/chart" uri="{C3380CC4-5D6E-409C-BE32-E72D297353CC}">
              <c16:uniqueId val="{00000000-5640-7440-A896-C8D8556ED9A9}"/>
            </c:ext>
          </c:extLst>
        </c:ser>
        <c:ser>
          <c:idx val="1"/>
          <c:order val="1"/>
          <c:tx>
            <c:strRef>
              <c:f>'final dwelling type size'!$L$22</c:f>
              <c:strCache>
                <c:ptCount val="1"/>
                <c:pt idx="0">
                  <c:v>Flats</c:v>
                </c:pt>
              </c:strCache>
            </c:strRef>
          </c:tx>
          <c:spPr>
            <a:solidFill>
              <a:schemeClr val="accent2"/>
            </a:solidFill>
            <a:ln>
              <a:noFill/>
            </a:ln>
            <a:effectLst/>
          </c:spPr>
          <c:invertIfNegative val="0"/>
          <c:cat>
            <c:strRef>
              <c:f>'final dwelling type size'!$J$23:$J$41</c:f>
              <c:strCache>
                <c:ptCount val="19"/>
                <c:pt idx="0">
                  <c:v>Bellingham</c:v>
                </c:pt>
                <c:pt idx="1">
                  <c:v>Blackheath</c:v>
                </c:pt>
                <c:pt idx="2">
                  <c:v>Brockley</c:v>
                </c:pt>
                <c:pt idx="3">
                  <c:v>Catford South</c:v>
                </c:pt>
                <c:pt idx="4">
                  <c:v>Crofton Park</c:v>
                </c:pt>
                <c:pt idx="5">
                  <c:v>Downham</c:v>
                </c:pt>
                <c:pt idx="6">
                  <c:v>Evelyn</c:v>
                </c:pt>
                <c:pt idx="7">
                  <c:v>Forest Hill</c:v>
                </c:pt>
                <c:pt idx="8">
                  <c:v>Grove Park</c:v>
                </c:pt>
                <c:pt idx="9">
                  <c:v>Ladywell</c:v>
                </c:pt>
                <c:pt idx="10">
                  <c:v>Lee Green</c:v>
                </c:pt>
                <c:pt idx="11">
                  <c:v>Lewisham Central</c:v>
                </c:pt>
                <c:pt idx="12">
                  <c:v>New Cross</c:v>
                </c:pt>
                <c:pt idx="13">
                  <c:v>Perry Vale</c:v>
                </c:pt>
                <c:pt idx="14">
                  <c:v>Rushey Green</c:v>
                </c:pt>
                <c:pt idx="15">
                  <c:v>Syndenham</c:v>
                </c:pt>
                <c:pt idx="16">
                  <c:v>Telegraph Hill</c:v>
                </c:pt>
                <c:pt idx="17">
                  <c:v>Whitefoot</c:v>
                </c:pt>
                <c:pt idx="18">
                  <c:v>LEWISHAM TOTAL</c:v>
                </c:pt>
              </c:strCache>
            </c:strRef>
          </c:cat>
          <c:val>
            <c:numRef>
              <c:f>'final dwelling type size'!$L$23:$L$41</c:f>
              <c:numCache>
                <c:formatCode>0.0</c:formatCode>
                <c:ptCount val="19"/>
                <c:pt idx="0">
                  <c:v>48.746081504702111</c:v>
                </c:pt>
                <c:pt idx="1">
                  <c:v>71.540880503144649</c:v>
                </c:pt>
                <c:pt idx="2">
                  <c:v>74.336283185840713</c:v>
                </c:pt>
                <c:pt idx="3">
                  <c:v>32.291666666666529</c:v>
                </c:pt>
                <c:pt idx="4">
                  <c:v>43.234323432343217</c:v>
                </c:pt>
                <c:pt idx="5">
                  <c:v>22.347266881028929</c:v>
                </c:pt>
                <c:pt idx="6">
                  <c:v>84.948979591836732</c:v>
                </c:pt>
                <c:pt idx="7">
                  <c:v>65.264797507788145</c:v>
                </c:pt>
                <c:pt idx="8">
                  <c:v>36.952998379254453</c:v>
                </c:pt>
                <c:pt idx="9">
                  <c:v>44.539614561027832</c:v>
                </c:pt>
                <c:pt idx="10">
                  <c:v>47.64991896272285</c:v>
                </c:pt>
                <c:pt idx="11">
                  <c:v>76.427061310782207</c:v>
                </c:pt>
                <c:pt idx="12">
                  <c:v>75.50432276657061</c:v>
                </c:pt>
                <c:pt idx="13">
                  <c:v>57.293233082706763</c:v>
                </c:pt>
                <c:pt idx="14">
                  <c:v>63.244047619047457</c:v>
                </c:pt>
                <c:pt idx="15">
                  <c:v>64.285714285714306</c:v>
                </c:pt>
                <c:pt idx="16">
                  <c:v>67.1875</c:v>
                </c:pt>
                <c:pt idx="17">
                  <c:v>34.73861720067454</c:v>
                </c:pt>
                <c:pt idx="18">
                  <c:v>57.896952348880298</c:v>
                </c:pt>
              </c:numCache>
            </c:numRef>
          </c:val>
          <c:extLst xmlns:c16r2="http://schemas.microsoft.com/office/drawing/2015/06/chart">
            <c:ext xmlns:c16="http://schemas.microsoft.com/office/drawing/2014/chart" uri="{C3380CC4-5D6E-409C-BE32-E72D297353CC}">
              <c16:uniqueId val="{00000001-5640-7440-A896-C8D8556ED9A9}"/>
            </c:ext>
          </c:extLst>
        </c:ser>
        <c:ser>
          <c:idx val="2"/>
          <c:order val="2"/>
          <c:tx>
            <c:strRef>
              <c:f>'final dwelling type size'!$M$22</c:f>
              <c:strCache>
                <c:ptCount val="1"/>
                <c:pt idx="0">
                  <c:v>Terraced</c:v>
                </c:pt>
              </c:strCache>
            </c:strRef>
          </c:tx>
          <c:spPr>
            <a:solidFill>
              <a:schemeClr val="accent3"/>
            </a:solidFill>
            <a:ln>
              <a:noFill/>
            </a:ln>
            <a:effectLst/>
          </c:spPr>
          <c:invertIfNegative val="0"/>
          <c:cat>
            <c:strRef>
              <c:f>'final dwelling type size'!$J$23:$J$41</c:f>
              <c:strCache>
                <c:ptCount val="19"/>
                <c:pt idx="0">
                  <c:v>Bellingham</c:v>
                </c:pt>
                <c:pt idx="1">
                  <c:v>Blackheath</c:v>
                </c:pt>
                <c:pt idx="2">
                  <c:v>Brockley</c:v>
                </c:pt>
                <c:pt idx="3">
                  <c:v>Catford South</c:v>
                </c:pt>
                <c:pt idx="4">
                  <c:v>Crofton Park</c:v>
                </c:pt>
                <c:pt idx="5">
                  <c:v>Downham</c:v>
                </c:pt>
                <c:pt idx="6">
                  <c:v>Evelyn</c:v>
                </c:pt>
                <c:pt idx="7">
                  <c:v>Forest Hill</c:v>
                </c:pt>
                <c:pt idx="8">
                  <c:v>Grove Park</c:v>
                </c:pt>
                <c:pt idx="9">
                  <c:v>Ladywell</c:v>
                </c:pt>
                <c:pt idx="10">
                  <c:v>Lee Green</c:v>
                </c:pt>
                <c:pt idx="11">
                  <c:v>Lewisham Central</c:v>
                </c:pt>
                <c:pt idx="12">
                  <c:v>New Cross</c:v>
                </c:pt>
                <c:pt idx="13">
                  <c:v>Perry Vale</c:v>
                </c:pt>
                <c:pt idx="14">
                  <c:v>Rushey Green</c:v>
                </c:pt>
                <c:pt idx="15">
                  <c:v>Syndenham</c:v>
                </c:pt>
                <c:pt idx="16">
                  <c:v>Telegraph Hill</c:v>
                </c:pt>
                <c:pt idx="17">
                  <c:v>Whitefoot</c:v>
                </c:pt>
                <c:pt idx="18">
                  <c:v>LEWISHAM TOTAL</c:v>
                </c:pt>
              </c:strCache>
            </c:strRef>
          </c:cat>
          <c:val>
            <c:numRef>
              <c:f>'final dwelling type size'!$M$23:$M$41</c:f>
              <c:numCache>
                <c:formatCode>0.0</c:formatCode>
                <c:ptCount val="19"/>
                <c:pt idx="0">
                  <c:v>40.125391849529798</c:v>
                </c:pt>
                <c:pt idx="1">
                  <c:v>18.867924528301891</c:v>
                </c:pt>
                <c:pt idx="2">
                  <c:v>22.629582806573879</c:v>
                </c:pt>
                <c:pt idx="3">
                  <c:v>49.131944444444443</c:v>
                </c:pt>
                <c:pt idx="4">
                  <c:v>48.18481848184809</c:v>
                </c:pt>
                <c:pt idx="5">
                  <c:v>70.257234726688083</c:v>
                </c:pt>
                <c:pt idx="6">
                  <c:v>14.54081632653061</c:v>
                </c:pt>
                <c:pt idx="7">
                  <c:v>16.97819314641745</c:v>
                </c:pt>
                <c:pt idx="8">
                  <c:v>38.897893030794137</c:v>
                </c:pt>
                <c:pt idx="9">
                  <c:v>44.539614561027832</c:v>
                </c:pt>
                <c:pt idx="10">
                  <c:v>40.356564019448861</c:v>
                </c:pt>
                <c:pt idx="11">
                  <c:v>20.61310782241015</c:v>
                </c:pt>
                <c:pt idx="12">
                  <c:v>23.631123919308362</c:v>
                </c:pt>
                <c:pt idx="13">
                  <c:v>32.932330827067673</c:v>
                </c:pt>
                <c:pt idx="14">
                  <c:v>30.654761904761902</c:v>
                </c:pt>
                <c:pt idx="15">
                  <c:v>27.827380952380949</c:v>
                </c:pt>
                <c:pt idx="16">
                  <c:v>27.968749999999911</c:v>
                </c:pt>
                <c:pt idx="17">
                  <c:v>47.892074198988198</c:v>
                </c:pt>
                <c:pt idx="18">
                  <c:v>33.010607846438802</c:v>
                </c:pt>
              </c:numCache>
            </c:numRef>
          </c:val>
          <c:extLst xmlns:c16r2="http://schemas.microsoft.com/office/drawing/2015/06/chart">
            <c:ext xmlns:c16="http://schemas.microsoft.com/office/drawing/2014/chart" uri="{C3380CC4-5D6E-409C-BE32-E72D297353CC}">
              <c16:uniqueId val="{00000002-5640-7440-A896-C8D8556ED9A9}"/>
            </c:ext>
          </c:extLst>
        </c:ser>
        <c:ser>
          <c:idx val="3"/>
          <c:order val="3"/>
          <c:tx>
            <c:strRef>
              <c:f>'final dwelling type size'!$N$22</c:f>
              <c:strCache>
                <c:ptCount val="1"/>
                <c:pt idx="0">
                  <c:v>Semi-detached</c:v>
                </c:pt>
              </c:strCache>
            </c:strRef>
          </c:tx>
          <c:spPr>
            <a:solidFill>
              <a:schemeClr val="accent4"/>
            </a:solidFill>
            <a:ln>
              <a:noFill/>
            </a:ln>
            <a:effectLst/>
          </c:spPr>
          <c:invertIfNegative val="0"/>
          <c:cat>
            <c:strRef>
              <c:f>'final dwelling type size'!$J$23:$J$41</c:f>
              <c:strCache>
                <c:ptCount val="19"/>
                <c:pt idx="0">
                  <c:v>Bellingham</c:v>
                </c:pt>
                <c:pt idx="1">
                  <c:v>Blackheath</c:v>
                </c:pt>
                <c:pt idx="2">
                  <c:v>Brockley</c:v>
                </c:pt>
                <c:pt idx="3">
                  <c:v>Catford South</c:v>
                </c:pt>
                <c:pt idx="4">
                  <c:v>Crofton Park</c:v>
                </c:pt>
                <c:pt idx="5">
                  <c:v>Downham</c:v>
                </c:pt>
                <c:pt idx="6">
                  <c:v>Evelyn</c:v>
                </c:pt>
                <c:pt idx="7">
                  <c:v>Forest Hill</c:v>
                </c:pt>
                <c:pt idx="8">
                  <c:v>Grove Park</c:v>
                </c:pt>
                <c:pt idx="9">
                  <c:v>Ladywell</c:v>
                </c:pt>
                <c:pt idx="10">
                  <c:v>Lee Green</c:v>
                </c:pt>
                <c:pt idx="11">
                  <c:v>Lewisham Central</c:v>
                </c:pt>
                <c:pt idx="12">
                  <c:v>New Cross</c:v>
                </c:pt>
                <c:pt idx="13">
                  <c:v>Perry Vale</c:v>
                </c:pt>
                <c:pt idx="14">
                  <c:v>Rushey Green</c:v>
                </c:pt>
                <c:pt idx="15">
                  <c:v>Syndenham</c:v>
                </c:pt>
                <c:pt idx="16">
                  <c:v>Telegraph Hill</c:v>
                </c:pt>
                <c:pt idx="17">
                  <c:v>Whitefoot</c:v>
                </c:pt>
                <c:pt idx="18">
                  <c:v>LEWISHAM TOTAL</c:v>
                </c:pt>
              </c:strCache>
            </c:strRef>
          </c:cat>
          <c:val>
            <c:numRef>
              <c:f>'final dwelling type size'!$N$23:$N$41</c:f>
              <c:numCache>
                <c:formatCode>0.0</c:formatCode>
                <c:ptCount val="19"/>
                <c:pt idx="0">
                  <c:v>10.81504702194357</c:v>
                </c:pt>
                <c:pt idx="1">
                  <c:v>6.6037735849056602</c:v>
                </c:pt>
                <c:pt idx="2">
                  <c:v>2.9077117572692801</c:v>
                </c:pt>
                <c:pt idx="3">
                  <c:v>18.229166666666661</c:v>
                </c:pt>
                <c:pt idx="4">
                  <c:v>7.9207920792079207</c:v>
                </c:pt>
                <c:pt idx="5">
                  <c:v>6.7524115755626957</c:v>
                </c:pt>
                <c:pt idx="6">
                  <c:v>0.38265306122449</c:v>
                </c:pt>
                <c:pt idx="7">
                  <c:v>12.14953271028037</c:v>
                </c:pt>
                <c:pt idx="8">
                  <c:v>20.7455429497568</c:v>
                </c:pt>
                <c:pt idx="9">
                  <c:v>10.27837259100642</c:v>
                </c:pt>
                <c:pt idx="10">
                  <c:v>10.210696920583469</c:v>
                </c:pt>
                <c:pt idx="11">
                  <c:v>2.4312896405919662</c:v>
                </c:pt>
                <c:pt idx="12">
                  <c:v>0.72046109510086398</c:v>
                </c:pt>
                <c:pt idx="13">
                  <c:v>7.8195488721804436</c:v>
                </c:pt>
                <c:pt idx="14">
                  <c:v>5.357142857142847</c:v>
                </c:pt>
                <c:pt idx="15">
                  <c:v>6.1011904761904736</c:v>
                </c:pt>
                <c:pt idx="16">
                  <c:v>4.6874999999999947</c:v>
                </c:pt>
                <c:pt idx="17">
                  <c:v>14.502529510961219</c:v>
                </c:pt>
                <c:pt idx="18">
                  <c:v>7.762249536959084</c:v>
                </c:pt>
              </c:numCache>
            </c:numRef>
          </c:val>
          <c:extLst xmlns:c16r2="http://schemas.microsoft.com/office/drawing/2015/06/chart">
            <c:ext xmlns:c16="http://schemas.microsoft.com/office/drawing/2014/chart" uri="{C3380CC4-5D6E-409C-BE32-E72D297353CC}">
              <c16:uniqueId val="{00000003-5640-7440-A896-C8D8556ED9A9}"/>
            </c:ext>
          </c:extLst>
        </c:ser>
        <c:ser>
          <c:idx val="4"/>
          <c:order val="4"/>
          <c:tx>
            <c:strRef>
              <c:f>'final dwelling type size'!$O$22</c:f>
              <c:strCache>
                <c:ptCount val="1"/>
                <c:pt idx="0">
                  <c:v>Detached</c:v>
                </c:pt>
              </c:strCache>
            </c:strRef>
          </c:tx>
          <c:spPr>
            <a:solidFill>
              <a:schemeClr val="accent5"/>
            </a:solidFill>
            <a:ln>
              <a:noFill/>
            </a:ln>
            <a:effectLst/>
          </c:spPr>
          <c:invertIfNegative val="0"/>
          <c:cat>
            <c:strRef>
              <c:f>'final dwelling type size'!$J$23:$J$41</c:f>
              <c:strCache>
                <c:ptCount val="19"/>
                <c:pt idx="0">
                  <c:v>Bellingham</c:v>
                </c:pt>
                <c:pt idx="1">
                  <c:v>Blackheath</c:v>
                </c:pt>
                <c:pt idx="2">
                  <c:v>Brockley</c:v>
                </c:pt>
                <c:pt idx="3">
                  <c:v>Catford South</c:v>
                </c:pt>
                <c:pt idx="4">
                  <c:v>Crofton Park</c:v>
                </c:pt>
                <c:pt idx="5">
                  <c:v>Downham</c:v>
                </c:pt>
                <c:pt idx="6">
                  <c:v>Evelyn</c:v>
                </c:pt>
                <c:pt idx="7">
                  <c:v>Forest Hill</c:v>
                </c:pt>
                <c:pt idx="8">
                  <c:v>Grove Park</c:v>
                </c:pt>
                <c:pt idx="9">
                  <c:v>Ladywell</c:v>
                </c:pt>
                <c:pt idx="10">
                  <c:v>Lee Green</c:v>
                </c:pt>
                <c:pt idx="11">
                  <c:v>Lewisham Central</c:v>
                </c:pt>
                <c:pt idx="12">
                  <c:v>New Cross</c:v>
                </c:pt>
                <c:pt idx="13">
                  <c:v>Perry Vale</c:v>
                </c:pt>
                <c:pt idx="14">
                  <c:v>Rushey Green</c:v>
                </c:pt>
                <c:pt idx="15">
                  <c:v>Syndenham</c:v>
                </c:pt>
                <c:pt idx="16">
                  <c:v>Telegraph Hill</c:v>
                </c:pt>
                <c:pt idx="17">
                  <c:v>Whitefoot</c:v>
                </c:pt>
                <c:pt idx="18">
                  <c:v>LEWISHAM TOTAL</c:v>
                </c:pt>
              </c:strCache>
            </c:strRef>
          </c:cat>
          <c:val>
            <c:numRef>
              <c:f>'final dwelling type size'!$O$23:$O$41</c:f>
              <c:numCache>
                <c:formatCode>0.0</c:formatCode>
                <c:ptCount val="19"/>
                <c:pt idx="0">
                  <c:v>0.31347962382445099</c:v>
                </c:pt>
                <c:pt idx="1">
                  <c:v>2.9874213836478001</c:v>
                </c:pt>
                <c:pt idx="2">
                  <c:v>0.126422250316056</c:v>
                </c:pt>
                <c:pt idx="3">
                  <c:v>0.17361111111111099</c:v>
                </c:pt>
                <c:pt idx="4">
                  <c:v>0.49504950495049499</c:v>
                </c:pt>
                <c:pt idx="5">
                  <c:v>0.64308681672025703</c:v>
                </c:pt>
                <c:pt idx="6">
                  <c:v>0</c:v>
                </c:pt>
                <c:pt idx="7">
                  <c:v>4.8286604361370706</c:v>
                </c:pt>
                <c:pt idx="8">
                  <c:v>3.0794165316045379</c:v>
                </c:pt>
                <c:pt idx="9">
                  <c:v>0.42826552462526801</c:v>
                </c:pt>
                <c:pt idx="10">
                  <c:v>1.620745542949757</c:v>
                </c:pt>
                <c:pt idx="11">
                  <c:v>0.42283298097251598</c:v>
                </c:pt>
                <c:pt idx="12">
                  <c:v>0</c:v>
                </c:pt>
                <c:pt idx="13">
                  <c:v>1.9548872180451129</c:v>
                </c:pt>
                <c:pt idx="14">
                  <c:v>0.74404761904761896</c:v>
                </c:pt>
                <c:pt idx="15">
                  <c:v>1.339285714285714</c:v>
                </c:pt>
                <c:pt idx="16">
                  <c:v>0</c:v>
                </c:pt>
                <c:pt idx="17">
                  <c:v>0.337268128161889</c:v>
                </c:pt>
                <c:pt idx="18">
                  <c:v>1.052365718134366</c:v>
                </c:pt>
              </c:numCache>
            </c:numRef>
          </c:val>
          <c:extLst xmlns:c16r2="http://schemas.microsoft.com/office/drawing/2015/06/chart">
            <c:ext xmlns:c16="http://schemas.microsoft.com/office/drawing/2014/chart" uri="{C3380CC4-5D6E-409C-BE32-E72D297353CC}">
              <c16:uniqueId val="{00000004-5640-7440-A896-C8D8556ED9A9}"/>
            </c:ext>
          </c:extLst>
        </c:ser>
        <c:dLbls>
          <c:showLegendKey val="0"/>
          <c:showVal val="0"/>
          <c:showCatName val="0"/>
          <c:showSerName val="0"/>
          <c:showPercent val="0"/>
          <c:showBubbleSize val="0"/>
        </c:dLbls>
        <c:gapWidth val="150"/>
        <c:overlap val="100"/>
        <c:axId val="379401728"/>
        <c:axId val="693107640"/>
      </c:barChart>
      <c:catAx>
        <c:axId val="37940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107640"/>
        <c:crosses val="autoZero"/>
        <c:auto val="1"/>
        <c:lblAlgn val="ctr"/>
        <c:lblOffset val="100"/>
        <c:noMultiLvlLbl val="0"/>
      </c:catAx>
      <c:valAx>
        <c:axId val="6931076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40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Rent levels and change 2010-2017</a:t>
            </a:r>
          </a:p>
        </c:rich>
      </c:tx>
      <c:layout>
        <c:manualLayout>
          <c:xMode val="edge"/>
          <c:yMode val="edge"/>
          <c:x val="0.24838188976377953"/>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'[Rental Tables for Lewisham - Ward 2018 Based.xlsx]Sheet1'!$O$1140</c:f>
              <c:strCache>
                <c:ptCount val="1"/>
                <c:pt idx="0">
                  <c:v>Apartments</c:v>
                </c:pt>
              </c:strCache>
            </c:strRef>
          </c:tx>
          <c:spPr>
            <a:ln w="28575" cap="rnd">
              <a:solidFill>
                <a:schemeClr val="accent1"/>
              </a:solidFill>
              <a:round/>
            </a:ln>
            <a:effectLst/>
          </c:spPr>
          <c:marker>
            <c:symbol val="none"/>
          </c:marker>
          <c:cat>
            <c:numRef>
              <c:f>'[Rental Tables for Lewisham - Ward 2018 Based.xlsx]Sheet1'!$P$1139:$W$1139</c:f>
              <c:numCache>
                <c:formatCode>General</c:formatCode>
                <c:ptCount val="8"/>
                <c:pt idx="0">
                  <c:v>2010</c:v>
                </c:pt>
                <c:pt idx="1">
                  <c:v>2011</c:v>
                </c:pt>
                <c:pt idx="2">
                  <c:v>2012</c:v>
                </c:pt>
                <c:pt idx="3">
                  <c:v>2013</c:v>
                </c:pt>
                <c:pt idx="4">
                  <c:v>2014</c:v>
                </c:pt>
                <c:pt idx="5">
                  <c:v>2015</c:v>
                </c:pt>
                <c:pt idx="6">
                  <c:v>2016</c:v>
                </c:pt>
                <c:pt idx="7">
                  <c:v>2017</c:v>
                </c:pt>
              </c:numCache>
            </c:numRef>
          </c:cat>
          <c:val>
            <c:numRef>
              <c:f>'[Rental Tables for Lewisham - Ward 2018 Based.xlsx]Sheet1'!$P$1140:$W$1140</c:f>
              <c:numCache>
                <c:formatCode>###0.0</c:formatCode>
                <c:ptCount val="8"/>
                <c:pt idx="0">
                  <c:v>849</c:v>
                </c:pt>
                <c:pt idx="1">
                  <c:v>901</c:v>
                </c:pt>
                <c:pt idx="2">
                  <c:v>975</c:v>
                </c:pt>
                <c:pt idx="3">
                  <c:v>1049</c:v>
                </c:pt>
                <c:pt idx="4">
                  <c:v>1101</c:v>
                </c:pt>
                <c:pt idx="5">
                  <c:v>1200</c:v>
                </c:pt>
                <c:pt idx="6">
                  <c:v>1248</c:v>
                </c:pt>
                <c:pt idx="7">
                  <c:v>1200</c:v>
                </c:pt>
              </c:numCache>
            </c:numRef>
          </c:val>
          <c:smooth val="0"/>
          <c:extLst xmlns:c16r2="http://schemas.microsoft.com/office/drawing/2015/06/chart">
            <c:ext xmlns:c16="http://schemas.microsoft.com/office/drawing/2014/chart" uri="{C3380CC4-5D6E-409C-BE32-E72D297353CC}">
              <c16:uniqueId val="{00000000-E160-4B44-84E6-86CBE53F4851}"/>
            </c:ext>
          </c:extLst>
        </c:ser>
        <c:ser>
          <c:idx val="1"/>
          <c:order val="1"/>
          <c:tx>
            <c:strRef>
              <c:f>'[Rental Tables for Lewisham - Ward 2018 Based.xlsx]Sheet1'!$O$1141</c:f>
              <c:strCache>
                <c:ptCount val="1"/>
                <c:pt idx="0">
                  <c:v>Houses</c:v>
                </c:pt>
              </c:strCache>
            </c:strRef>
          </c:tx>
          <c:spPr>
            <a:ln w="28575" cap="rnd">
              <a:solidFill>
                <a:schemeClr val="accent2"/>
              </a:solidFill>
              <a:round/>
            </a:ln>
            <a:effectLst/>
          </c:spPr>
          <c:marker>
            <c:symbol val="none"/>
          </c:marker>
          <c:cat>
            <c:numRef>
              <c:f>'[Rental Tables for Lewisham - Ward 2018 Based.xlsx]Sheet1'!$P$1139:$W$1139</c:f>
              <c:numCache>
                <c:formatCode>General</c:formatCode>
                <c:ptCount val="8"/>
                <c:pt idx="0">
                  <c:v>2010</c:v>
                </c:pt>
                <c:pt idx="1">
                  <c:v>2011</c:v>
                </c:pt>
                <c:pt idx="2">
                  <c:v>2012</c:v>
                </c:pt>
                <c:pt idx="3">
                  <c:v>2013</c:v>
                </c:pt>
                <c:pt idx="4">
                  <c:v>2014</c:v>
                </c:pt>
                <c:pt idx="5">
                  <c:v>2015</c:v>
                </c:pt>
                <c:pt idx="6">
                  <c:v>2016</c:v>
                </c:pt>
                <c:pt idx="7">
                  <c:v>2017</c:v>
                </c:pt>
              </c:numCache>
            </c:numRef>
          </c:cat>
          <c:val>
            <c:numRef>
              <c:f>'[Rental Tables for Lewisham - Ward 2018 Based.xlsx]Sheet1'!$P$1141:$W$1141</c:f>
              <c:numCache>
                <c:formatCode>###0.0</c:formatCode>
                <c:ptCount val="8"/>
                <c:pt idx="0">
                  <c:v>1248</c:v>
                </c:pt>
                <c:pt idx="1">
                  <c:v>1296</c:v>
                </c:pt>
                <c:pt idx="2">
                  <c:v>1348</c:v>
                </c:pt>
                <c:pt idx="3">
                  <c:v>1352</c:v>
                </c:pt>
                <c:pt idx="4">
                  <c:v>1400</c:v>
                </c:pt>
                <c:pt idx="5">
                  <c:v>1499</c:v>
                </c:pt>
                <c:pt idx="6">
                  <c:v>1551</c:v>
                </c:pt>
                <c:pt idx="7">
                  <c:v>1452</c:v>
                </c:pt>
              </c:numCache>
            </c:numRef>
          </c:val>
          <c:smooth val="0"/>
          <c:extLst xmlns:c16r2="http://schemas.microsoft.com/office/drawing/2015/06/chart">
            <c:ext xmlns:c16="http://schemas.microsoft.com/office/drawing/2014/chart" uri="{C3380CC4-5D6E-409C-BE32-E72D297353CC}">
              <c16:uniqueId val="{00000001-E160-4B44-84E6-86CBE53F4851}"/>
            </c:ext>
          </c:extLst>
        </c:ser>
        <c:ser>
          <c:idx val="2"/>
          <c:order val="2"/>
          <c:tx>
            <c:strRef>
              <c:f>'[Rental Tables for Lewisham - Ward 2018 Based.xlsx]Sheet1'!$O$1142</c:f>
              <c:strCache>
                <c:ptCount val="1"/>
                <c:pt idx="0">
                  <c:v>Lewisham</c:v>
                </c:pt>
              </c:strCache>
            </c:strRef>
          </c:tx>
          <c:spPr>
            <a:ln w="28575" cap="rnd">
              <a:solidFill>
                <a:schemeClr val="accent3"/>
              </a:solidFill>
              <a:round/>
            </a:ln>
            <a:effectLst/>
          </c:spPr>
          <c:marker>
            <c:symbol val="none"/>
          </c:marker>
          <c:cat>
            <c:numRef>
              <c:f>'[Rental Tables for Lewisham - Ward 2018 Based.xlsx]Sheet1'!$P$1139:$W$1139</c:f>
              <c:numCache>
                <c:formatCode>General</c:formatCode>
                <c:ptCount val="8"/>
                <c:pt idx="0">
                  <c:v>2010</c:v>
                </c:pt>
                <c:pt idx="1">
                  <c:v>2011</c:v>
                </c:pt>
                <c:pt idx="2">
                  <c:v>2012</c:v>
                </c:pt>
                <c:pt idx="3">
                  <c:v>2013</c:v>
                </c:pt>
                <c:pt idx="4">
                  <c:v>2014</c:v>
                </c:pt>
                <c:pt idx="5">
                  <c:v>2015</c:v>
                </c:pt>
                <c:pt idx="6">
                  <c:v>2016</c:v>
                </c:pt>
                <c:pt idx="7">
                  <c:v>2017</c:v>
                </c:pt>
              </c:numCache>
            </c:numRef>
          </c:cat>
          <c:val>
            <c:numRef>
              <c:f>'[Rental Tables for Lewisham - Ward 2018 Based.xlsx]Sheet1'!$P$1142:$W$1142</c:f>
              <c:numCache>
                <c:formatCode>###0.0</c:formatCode>
                <c:ptCount val="8"/>
                <c:pt idx="0">
                  <c:v>906</c:v>
                </c:pt>
                <c:pt idx="1">
                  <c:v>997</c:v>
                </c:pt>
                <c:pt idx="2">
                  <c:v>1049</c:v>
                </c:pt>
                <c:pt idx="3">
                  <c:v>1101</c:v>
                </c:pt>
                <c:pt idx="4">
                  <c:v>1148</c:v>
                </c:pt>
                <c:pt idx="5">
                  <c:v>1248</c:v>
                </c:pt>
                <c:pt idx="6">
                  <c:v>1300</c:v>
                </c:pt>
                <c:pt idx="7">
                  <c:v>1248</c:v>
                </c:pt>
              </c:numCache>
            </c:numRef>
          </c:val>
          <c:smooth val="0"/>
          <c:extLst xmlns:c16r2="http://schemas.microsoft.com/office/drawing/2015/06/chart">
            <c:ext xmlns:c16="http://schemas.microsoft.com/office/drawing/2014/chart" uri="{C3380CC4-5D6E-409C-BE32-E72D297353CC}">
              <c16:uniqueId val="{00000002-E160-4B44-84E6-86CBE53F4851}"/>
            </c:ext>
          </c:extLst>
        </c:ser>
        <c:dLbls>
          <c:showLegendKey val="0"/>
          <c:showVal val="0"/>
          <c:showCatName val="0"/>
          <c:showSerName val="0"/>
          <c:showPercent val="0"/>
          <c:showBubbleSize val="0"/>
        </c:dLbls>
        <c:smooth val="0"/>
        <c:axId val="439521872"/>
        <c:axId val="439522264"/>
      </c:lineChart>
      <c:catAx>
        <c:axId val="43952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522264"/>
        <c:crosses val="autoZero"/>
        <c:auto val="1"/>
        <c:lblAlgn val="ctr"/>
        <c:lblOffset val="100"/>
        <c:noMultiLvlLbl val="0"/>
      </c:catAx>
      <c:valAx>
        <c:axId val="439522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52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Rent change by property type 2015-2017</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'[Rental Tables for Lewisham - Ward 2018 Based.xlsx]Sheet1'!$AB$1113</c:f>
              <c:strCache>
                <c:ptCount val="1"/>
                <c:pt idx="0">
                  <c:v>apartments</c:v>
                </c:pt>
              </c:strCache>
            </c:strRef>
          </c:tx>
          <c:spPr>
            <a:solidFill>
              <a:schemeClr val="accent1"/>
            </a:solidFill>
            <a:ln>
              <a:noFill/>
            </a:ln>
            <a:effectLst/>
          </c:spPr>
          <c:invertIfNegative val="0"/>
          <c:cat>
            <c:strRef>
              <c:f>'[Rental Tables for Lewisham - Ward 2018 Based.xlsx]Sheet1'!$AA$1114:$AA$1132</c:f>
              <c:strCache>
                <c:ptCount val="19"/>
                <c:pt idx="0">
                  <c:v>Bellingham</c:v>
                </c:pt>
                <c:pt idx="1">
                  <c:v>Blackheath</c:v>
                </c:pt>
                <c:pt idx="2">
                  <c:v>Brockley</c:v>
                </c:pt>
                <c:pt idx="3">
                  <c:v>Catford South</c:v>
                </c:pt>
                <c:pt idx="4">
                  <c:v>Crofton Park</c:v>
                </c:pt>
                <c:pt idx="5">
                  <c:v>Downham</c:v>
                </c:pt>
                <c:pt idx="6">
                  <c:v>Evelyn</c:v>
                </c:pt>
                <c:pt idx="7">
                  <c:v>Forest Hill</c:v>
                </c:pt>
                <c:pt idx="8">
                  <c:v>Grove Park</c:v>
                </c:pt>
                <c:pt idx="9">
                  <c:v>Ladywell</c:v>
                </c:pt>
                <c:pt idx="10">
                  <c:v>Lee Green</c:v>
                </c:pt>
                <c:pt idx="11">
                  <c:v>Lewisham Central</c:v>
                </c:pt>
                <c:pt idx="12">
                  <c:v>New Cross</c:v>
                </c:pt>
                <c:pt idx="13">
                  <c:v>Perry Vale</c:v>
                </c:pt>
                <c:pt idx="14">
                  <c:v>Rushey Green</c:v>
                </c:pt>
                <c:pt idx="15">
                  <c:v>Sydenham</c:v>
                </c:pt>
                <c:pt idx="16">
                  <c:v>Telegraph Hill</c:v>
                </c:pt>
                <c:pt idx="17">
                  <c:v>Whitefoot</c:v>
                </c:pt>
                <c:pt idx="18">
                  <c:v>Lewisham</c:v>
                </c:pt>
              </c:strCache>
            </c:strRef>
          </c:cat>
          <c:val>
            <c:numRef>
              <c:f>'[Rental Tables for Lewisham - Ward 2018 Based.xlsx]Sheet1'!$AB$1114:$AB$1132</c:f>
              <c:numCache>
                <c:formatCode>General</c:formatCode>
                <c:ptCount val="19"/>
                <c:pt idx="0">
                  <c:v>5</c:v>
                </c:pt>
                <c:pt idx="1">
                  <c:v>0</c:v>
                </c:pt>
                <c:pt idx="2">
                  <c:v>-3.7</c:v>
                </c:pt>
                <c:pt idx="3">
                  <c:v>-4.3</c:v>
                </c:pt>
                <c:pt idx="4">
                  <c:v>1.4</c:v>
                </c:pt>
                <c:pt idx="5">
                  <c:v>18.5</c:v>
                </c:pt>
                <c:pt idx="6">
                  <c:v>-2.1</c:v>
                </c:pt>
                <c:pt idx="7">
                  <c:v>4.2</c:v>
                </c:pt>
                <c:pt idx="8">
                  <c:v>-4.7</c:v>
                </c:pt>
                <c:pt idx="9">
                  <c:v>2.1</c:v>
                </c:pt>
                <c:pt idx="10">
                  <c:v>4.5</c:v>
                </c:pt>
                <c:pt idx="11">
                  <c:v>2.9</c:v>
                </c:pt>
                <c:pt idx="12">
                  <c:v>0.5</c:v>
                </c:pt>
                <c:pt idx="13">
                  <c:v>0</c:v>
                </c:pt>
                <c:pt idx="14">
                  <c:v>-9.1</c:v>
                </c:pt>
                <c:pt idx="15">
                  <c:v>-2.2999999999999998</c:v>
                </c:pt>
                <c:pt idx="16">
                  <c:v>-5.8</c:v>
                </c:pt>
                <c:pt idx="17">
                  <c:v>-7.6</c:v>
                </c:pt>
                <c:pt idx="18">
                  <c:v>0</c:v>
                </c:pt>
              </c:numCache>
            </c:numRef>
          </c:val>
          <c:extLst xmlns:c16r2="http://schemas.microsoft.com/office/drawing/2015/06/chart">
            <c:ext xmlns:c16="http://schemas.microsoft.com/office/drawing/2014/chart" uri="{C3380CC4-5D6E-409C-BE32-E72D297353CC}">
              <c16:uniqueId val="{00000000-2F62-4945-A427-1ED6026F9E20}"/>
            </c:ext>
          </c:extLst>
        </c:ser>
        <c:ser>
          <c:idx val="1"/>
          <c:order val="1"/>
          <c:tx>
            <c:strRef>
              <c:f>'[Rental Tables for Lewisham - Ward 2018 Based.xlsx]Sheet1'!$AC$1113</c:f>
              <c:strCache>
                <c:ptCount val="1"/>
                <c:pt idx="0">
                  <c:v>houses</c:v>
                </c:pt>
              </c:strCache>
            </c:strRef>
          </c:tx>
          <c:spPr>
            <a:solidFill>
              <a:schemeClr val="accent2"/>
            </a:solidFill>
            <a:ln>
              <a:noFill/>
            </a:ln>
            <a:effectLst/>
          </c:spPr>
          <c:invertIfNegative val="0"/>
          <c:cat>
            <c:strRef>
              <c:f>'[Rental Tables for Lewisham - Ward 2018 Based.xlsx]Sheet1'!$AA$1114:$AA$1132</c:f>
              <c:strCache>
                <c:ptCount val="19"/>
                <c:pt idx="0">
                  <c:v>Bellingham</c:v>
                </c:pt>
                <c:pt idx="1">
                  <c:v>Blackheath</c:v>
                </c:pt>
                <c:pt idx="2">
                  <c:v>Brockley</c:v>
                </c:pt>
                <c:pt idx="3">
                  <c:v>Catford South</c:v>
                </c:pt>
                <c:pt idx="4">
                  <c:v>Crofton Park</c:v>
                </c:pt>
                <c:pt idx="5">
                  <c:v>Downham</c:v>
                </c:pt>
                <c:pt idx="6">
                  <c:v>Evelyn</c:v>
                </c:pt>
                <c:pt idx="7">
                  <c:v>Forest Hill</c:v>
                </c:pt>
                <c:pt idx="8">
                  <c:v>Grove Park</c:v>
                </c:pt>
                <c:pt idx="9">
                  <c:v>Ladywell</c:v>
                </c:pt>
                <c:pt idx="10">
                  <c:v>Lee Green</c:v>
                </c:pt>
                <c:pt idx="11">
                  <c:v>Lewisham Central</c:v>
                </c:pt>
                <c:pt idx="12">
                  <c:v>New Cross</c:v>
                </c:pt>
                <c:pt idx="13">
                  <c:v>Perry Vale</c:v>
                </c:pt>
                <c:pt idx="14">
                  <c:v>Rushey Green</c:v>
                </c:pt>
                <c:pt idx="15">
                  <c:v>Sydenham</c:v>
                </c:pt>
                <c:pt idx="16">
                  <c:v>Telegraph Hill</c:v>
                </c:pt>
                <c:pt idx="17">
                  <c:v>Whitefoot</c:v>
                </c:pt>
                <c:pt idx="18">
                  <c:v>Lewisham</c:v>
                </c:pt>
              </c:strCache>
            </c:strRef>
          </c:cat>
          <c:val>
            <c:numRef>
              <c:f>'[Rental Tables for Lewisham - Ward 2018 Based.xlsx]Sheet1'!$AC$1114:$AC$1132</c:f>
              <c:numCache>
                <c:formatCode>General</c:formatCode>
                <c:ptCount val="19"/>
                <c:pt idx="0">
                  <c:v>-1.8</c:v>
                </c:pt>
                <c:pt idx="1">
                  <c:v>-3.1</c:v>
                </c:pt>
                <c:pt idx="2">
                  <c:v>5.5</c:v>
                </c:pt>
                <c:pt idx="3">
                  <c:v>-4.9000000000000004</c:v>
                </c:pt>
                <c:pt idx="4">
                  <c:v>15.4</c:v>
                </c:pt>
                <c:pt idx="5">
                  <c:v>4.2</c:v>
                </c:pt>
                <c:pt idx="6">
                  <c:v>-48.5</c:v>
                </c:pt>
                <c:pt idx="7">
                  <c:v>-8.9</c:v>
                </c:pt>
                <c:pt idx="8">
                  <c:v>5.6</c:v>
                </c:pt>
                <c:pt idx="9">
                  <c:v>4.9000000000000004</c:v>
                </c:pt>
                <c:pt idx="10">
                  <c:v>-6.3</c:v>
                </c:pt>
                <c:pt idx="11">
                  <c:v>0.9</c:v>
                </c:pt>
                <c:pt idx="12">
                  <c:v>6.8</c:v>
                </c:pt>
                <c:pt idx="13">
                  <c:v>5.0999999999999996</c:v>
                </c:pt>
                <c:pt idx="14">
                  <c:v>0</c:v>
                </c:pt>
                <c:pt idx="15">
                  <c:v>15.1</c:v>
                </c:pt>
                <c:pt idx="16">
                  <c:v>-35.700000000000003</c:v>
                </c:pt>
                <c:pt idx="17">
                  <c:v>-6.9</c:v>
                </c:pt>
                <c:pt idx="18">
                  <c:v>-3.1</c:v>
                </c:pt>
              </c:numCache>
            </c:numRef>
          </c:val>
          <c:extLst xmlns:c16r2="http://schemas.microsoft.com/office/drawing/2015/06/chart">
            <c:ext xmlns:c16="http://schemas.microsoft.com/office/drawing/2014/chart" uri="{C3380CC4-5D6E-409C-BE32-E72D297353CC}">
              <c16:uniqueId val="{00000001-2F62-4945-A427-1ED6026F9E20}"/>
            </c:ext>
          </c:extLst>
        </c:ser>
        <c:dLbls>
          <c:showLegendKey val="0"/>
          <c:showVal val="0"/>
          <c:showCatName val="0"/>
          <c:showSerName val="0"/>
          <c:showPercent val="0"/>
          <c:showBubbleSize val="0"/>
        </c:dLbls>
        <c:gapWidth val="219"/>
        <c:overlap val="-27"/>
        <c:axId val="439523048"/>
        <c:axId val="439519520"/>
      </c:barChart>
      <c:catAx>
        <c:axId val="43952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519520"/>
        <c:crosses val="autoZero"/>
        <c:auto val="1"/>
        <c:lblAlgn val="ctr"/>
        <c:lblOffset val="100"/>
        <c:noMultiLvlLbl val="0"/>
      </c:catAx>
      <c:valAx>
        <c:axId val="43951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523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The percentage of units that come onto the market within LHA levels  by bed size</a:t>
            </a:r>
            <a:endParaRPr lang="en-GB" sz="1400">
              <a:effectLst/>
            </a:endParaRPr>
          </a:p>
        </c:rich>
      </c:tx>
      <c:layout>
        <c:manualLayout>
          <c:xMode val="edge"/>
          <c:yMode val="edge"/>
          <c:x val="0.1286944444444444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'[Rental Tables for Lewisham - Ward 2018 Based.xlsx]Sheet1'!$S$2485</c:f>
              <c:strCache>
                <c:ptCount val="1"/>
                <c:pt idx="0">
                  <c:v>0</c:v>
                </c:pt>
              </c:strCache>
            </c:strRef>
          </c:tx>
          <c:spPr>
            <a:ln w="28575" cap="rnd">
              <a:solidFill>
                <a:schemeClr val="accent1"/>
              </a:solidFill>
              <a:round/>
            </a:ln>
            <a:effectLst/>
          </c:spPr>
          <c:marker>
            <c:symbol val="none"/>
          </c:marker>
          <c:cat>
            <c:strRef>
              <c:f>'[Rental Tables for Lewisham - Ward 2018 Based.xlsx]Sheet1'!$T$2484:$W$2484</c:f>
              <c:strCache>
                <c:ptCount val="4"/>
                <c:pt idx="0">
                  <c:v>2015</c:v>
                </c:pt>
                <c:pt idx="1">
                  <c:v>2016</c:v>
                </c:pt>
                <c:pt idx="2">
                  <c:v>2017</c:v>
                </c:pt>
                <c:pt idx="3">
                  <c:v>2015-2017</c:v>
                </c:pt>
              </c:strCache>
            </c:strRef>
          </c:cat>
          <c:val>
            <c:numRef>
              <c:f>'[Rental Tables for Lewisham - Ward 2018 Based.xlsx]Sheet1'!$T$2485:$W$2485</c:f>
              <c:numCache>
                <c:formatCode>General</c:formatCode>
                <c:ptCount val="4"/>
                <c:pt idx="0">
                  <c:v>1.4</c:v>
                </c:pt>
                <c:pt idx="1">
                  <c:v>1.7</c:v>
                </c:pt>
                <c:pt idx="2">
                  <c:v>0.4</c:v>
                </c:pt>
                <c:pt idx="3">
                  <c:v>1.2</c:v>
                </c:pt>
              </c:numCache>
            </c:numRef>
          </c:val>
          <c:smooth val="0"/>
          <c:extLst xmlns:c16r2="http://schemas.microsoft.com/office/drawing/2015/06/chart">
            <c:ext xmlns:c16="http://schemas.microsoft.com/office/drawing/2014/chart" uri="{C3380CC4-5D6E-409C-BE32-E72D297353CC}">
              <c16:uniqueId val="{00000000-5552-4046-90A4-AF6F641F320C}"/>
            </c:ext>
          </c:extLst>
        </c:ser>
        <c:ser>
          <c:idx val="1"/>
          <c:order val="1"/>
          <c:tx>
            <c:strRef>
              <c:f>'[Rental Tables for Lewisham - Ward 2018 Based.xlsx]Sheet1'!$S$2486</c:f>
              <c:strCache>
                <c:ptCount val="1"/>
                <c:pt idx="0">
                  <c:v>1</c:v>
                </c:pt>
              </c:strCache>
            </c:strRef>
          </c:tx>
          <c:spPr>
            <a:ln w="28575" cap="rnd">
              <a:solidFill>
                <a:schemeClr val="accent2"/>
              </a:solidFill>
              <a:round/>
            </a:ln>
            <a:effectLst/>
          </c:spPr>
          <c:marker>
            <c:symbol val="none"/>
          </c:marker>
          <c:cat>
            <c:strRef>
              <c:f>'[Rental Tables for Lewisham - Ward 2018 Based.xlsx]Sheet1'!$T$2484:$W$2484</c:f>
              <c:strCache>
                <c:ptCount val="4"/>
                <c:pt idx="0">
                  <c:v>2015</c:v>
                </c:pt>
                <c:pt idx="1">
                  <c:v>2016</c:v>
                </c:pt>
                <c:pt idx="2">
                  <c:v>2017</c:v>
                </c:pt>
                <c:pt idx="3">
                  <c:v>2015-2017</c:v>
                </c:pt>
              </c:strCache>
            </c:strRef>
          </c:cat>
          <c:val>
            <c:numRef>
              <c:f>'[Rental Tables for Lewisham - Ward 2018 Based.xlsx]Sheet1'!$T$2486:$W$2486</c:f>
              <c:numCache>
                <c:formatCode>General</c:formatCode>
                <c:ptCount val="4"/>
                <c:pt idx="0">
                  <c:v>17.600000000000001</c:v>
                </c:pt>
                <c:pt idx="1">
                  <c:v>17.600000000000001</c:v>
                </c:pt>
                <c:pt idx="2">
                  <c:v>21.7</c:v>
                </c:pt>
                <c:pt idx="3">
                  <c:v>18.899999999999999</c:v>
                </c:pt>
              </c:numCache>
            </c:numRef>
          </c:val>
          <c:smooth val="0"/>
          <c:extLst xmlns:c16r2="http://schemas.microsoft.com/office/drawing/2015/06/chart">
            <c:ext xmlns:c16="http://schemas.microsoft.com/office/drawing/2014/chart" uri="{C3380CC4-5D6E-409C-BE32-E72D297353CC}">
              <c16:uniqueId val="{00000001-5552-4046-90A4-AF6F641F320C}"/>
            </c:ext>
          </c:extLst>
        </c:ser>
        <c:ser>
          <c:idx val="2"/>
          <c:order val="2"/>
          <c:tx>
            <c:strRef>
              <c:f>'[Rental Tables for Lewisham - Ward 2018 Based.xlsx]Sheet1'!$S$2487</c:f>
              <c:strCache>
                <c:ptCount val="1"/>
                <c:pt idx="0">
                  <c:v>2</c:v>
                </c:pt>
              </c:strCache>
            </c:strRef>
          </c:tx>
          <c:spPr>
            <a:ln w="28575" cap="rnd">
              <a:solidFill>
                <a:schemeClr val="accent3"/>
              </a:solidFill>
              <a:round/>
            </a:ln>
            <a:effectLst/>
          </c:spPr>
          <c:marker>
            <c:symbol val="none"/>
          </c:marker>
          <c:cat>
            <c:strRef>
              <c:f>'[Rental Tables for Lewisham - Ward 2018 Based.xlsx]Sheet1'!$T$2484:$W$2484</c:f>
              <c:strCache>
                <c:ptCount val="4"/>
                <c:pt idx="0">
                  <c:v>2015</c:v>
                </c:pt>
                <c:pt idx="1">
                  <c:v>2016</c:v>
                </c:pt>
                <c:pt idx="2">
                  <c:v>2017</c:v>
                </c:pt>
                <c:pt idx="3">
                  <c:v>2015-2017</c:v>
                </c:pt>
              </c:strCache>
            </c:strRef>
          </c:cat>
          <c:val>
            <c:numRef>
              <c:f>'[Rental Tables for Lewisham - Ward 2018 Based.xlsx]Sheet1'!$T$2487:$W$2487</c:f>
              <c:numCache>
                <c:formatCode>General</c:formatCode>
                <c:ptCount val="4"/>
                <c:pt idx="0">
                  <c:v>26.5</c:v>
                </c:pt>
                <c:pt idx="1">
                  <c:v>25.7</c:v>
                </c:pt>
                <c:pt idx="2">
                  <c:v>21.2</c:v>
                </c:pt>
                <c:pt idx="3">
                  <c:v>20.3</c:v>
                </c:pt>
              </c:numCache>
            </c:numRef>
          </c:val>
          <c:smooth val="0"/>
          <c:extLst xmlns:c16r2="http://schemas.microsoft.com/office/drawing/2015/06/chart">
            <c:ext xmlns:c16="http://schemas.microsoft.com/office/drawing/2014/chart" uri="{C3380CC4-5D6E-409C-BE32-E72D297353CC}">
              <c16:uniqueId val="{00000002-5552-4046-90A4-AF6F641F320C}"/>
            </c:ext>
          </c:extLst>
        </c:ser>
        <c:ser>
          <c:idx val="3"/>
          <c:order val="3"/>
          <c:tx>
            <c:strRef>
              <c:f>'[Rental Tables for Lewisham - Ward 2018 Based.xlsx]Sheet1'!$S$2488</c:f>
              <c:strCache>
                <c:ptCount val="1"/>
                <c:pt idx="0">
                  <c:v>3</c:v>
                </c:pt>
              </c:strCache>
            </c:strRef>
          </c:tx>
          <c:spPr>
            <a:ln w="28575" cap="rnd">
              <a:solidFill>
                <a:schemeClr val="accent4"/>
              </a:solidFill>
              <a:round/>
            </a:ln>
            <a:effectLst/>
          </c:spPr>
          <c:marker>
            <c:symbol val="none"/>
          </c:marker>
          <c:cat>
            <c:strRef>
              <c:f>'[Rental Tables for Lewisham - Ward 2018 Based.xlsx]Sheet1'!$T$2484:$W$2484</c:f>
              <c:strCache>
                <c:ptCount val="4"/>
                <c:pt idx="0">
                  <c:v>2015</c:v>
                </c:pt>
                <c:pt idx="1">
                  <c:v>2016</c:v>
                </c:pt>
                <c:pt idx="2">
                  <c:v>2017</c:v>
                </c:pt>
                <c:pt idx="3">
                  <c:v>2015-2017</c:v>
                </c:pt>
              </c:strCache>
            </c:strRef>
          </c:cat>
          <c:val>
            <c:numRef>
              <c:f>'[Rental Tables for Lewisham - Ward 2018 Based.xlsx]Sheet1'!$T$2488:$W$2488</c:f>
              <c:numCache>
                <c:formatCode>General</c:formatCode>
                <c:ptCount val="4"/>
                <c:pt idx="0">
                  <c:v>1.6</c:v>
                </c:pt>
                <c:pt idx="1">
                  <c:v>2.5</c:v>
                </c:pt>
                <c:pt idx="2">
                  <c:v>1.1000000000000001</c:v>
                </c:pt>
                <c:pt idx="3">
                  <c:v>1.8</c:v>
                </c:pt>
              </c:numCache>
            </c:numRef>
          </c:val>
          <c:smooth val="0"/>
          <c:extLst xmlns:c16r2="http://schemas.microsoft.com/office/drawing/2015/06/chart">
            <c:ext xmlns:c16="http://schemas.microsoft.com/office/drawing/2014/chart" uri="{C3380CC4-5D6E-409C-BE32-E72D297353CC}">
              <c16:uniqueId val="{00000003-5552-4046-90A4-AF6F641F320C}"/>
            </c:ext>
          </c:extLst>
        </c:ser>
        <c:ser>
          <c:idx val="4"/>
          <c:order val="4"/>
          <c:tx>
            <c:strRef>
              <c:f>'[Rental Tables for Lewisham - Ward 2018 Based.xlsx]Sheet1'!$S$2489</c:f>
              <c:strCache>
                <c:ptCount val="1"/>
                <c:pt idx="0">
                  <c:v>4+</c:v>
                </c:pt>
              </c:strCache>
            </c:strRef>
          </c:tx>
          <c:spPr>
            <a:ln w="28575" cap="rnd">
              <a:solidFill>
                <a:schemeClr val="accent5"/>
              </a:solidFill>
              <a:round/>
            </a:ln>
            <a:effectLst/>
          </c:spPr>
          <c:marker>
            <c:symbol val="none"/>
          </c:marker>
          <c:cat>
            <c:strRef>
              <c:f>'[Rental Tables for Lewisham - Ward 2018 Based.xlsx]Sheet1'!$T$2484:$W$2484</c:f>
              <c:strCache>
                <c:ptCount val="4"/>
                <c:pt idx="0">
                  <c:v>2015</c:v>
                </c:pt>
                <c:pt idx="1">
                  <c:v>2016</c:v>
                </c:pt>
                <c:pt idx="2">
                  <c:v>2017</c:v>
                </c:pt>
                <c:pt idx="3">
                  <c:v>2015-2017</c:v>
                </c:pt>
              </c:strCache>
            </c:strRef>
          </c:cat>
          <c:val>
            <c:numRef>
              <c:f>'[Rental Tables for Lewisham - Ward 2018 Based.xlsx]Sheet1'!$T$2489:$W$2489</c:f>
              <c:numCache>
                <c:formatCode>General</c:formatCode>
                <c:ptCount val="4"/>
                <c:pt idx="0">
                  <c:v>7</c:v>
                </c:pt>
                <c:pt idx="1">
                  <c:v>6.7</c:v>
                </c:pt>
                <c:pt idx="2">
                  <c:v>7.1</c:v>
                </c:pt>
                <c:pt idx="3">
                  <c:v>6.9</c:v>
                </c:pt>
              </c:numCache>
            </c:numRef>
          </c:val>
          <c:smooth val="0"/>
          <c:extLst xmlns:c16r2="http://schemas.microsoft.com/office/drawing/2015/06/chart">
            <c:ext xmlns:c16="http://schemas.microsoft.com/office/drawing/2014/chart" uri="{C3380CC4-5D6E-409C-BE32-E72D297353CC}">
              <c16:uniqueId val="{00000004-5552-4046-90A4-AF6F641F320C}"/>
            </c:ext>
          </c:extLst>
        </c:ser>
        <c:ser>
          <c:idx val="5"/>
          <c:order val="5"/>
          <c:tx>
            <c:strRef>
              <c:f>'[Rental Tables for Lewisham - Ward 2018 Based.xlsx]Sheet1'!$S$2490</c:f>
              <c:strCache>
                <c:ptCount val="1"/>
                <c:pt idx="0">
                  <c:v>Lewisham</c:v>
                </c:pt>
              </c:strCache>
            </c:strRef>
          </c:tx>
          <c:spPr>
            <a:ln w="28575" cap="rnd">
              <a:solidFill>
                <a:schemeClr val="accent6"/>
              </a:solidFill>
              <a:round/>
            </a:ln>
            <a:effectLst/>
          </c:spPr>
          <c:marker>
            <c:symbol val="none"/>
          </c:marker>
          <c:cat>
            <c:strRef>
              <c:f>'[Rental Tables for Lewisham - Ward 2018 Based.xlsx]Sheet1'!$T$2484:$W$2484</c:f>
              <c:strCache>
                <c:ptCount val="4"/>
                <c:pt idx="0">
                  <c:v>2015</c:v>
                </c:pt>
                <c:pt idx="1">
                  <c:v>2016</c:v>
                </c:pt>
                <c:pt idx="2">
                  <c:v>2017</c:v>
                </c:pt>
                <c:pt idx="3">
                  <c:v>2015-2017</c:v>
                </c:pt>
              </c:strCache>
            </c:strRef>
          </c:cat>
          <c:val>
            <c:numRef>
              <c:f>'[Rental Tables for Lewisham - Ward 2018 Based.xlsx]Sheet1'!$T$2490:$W$2490</c:f>
              <c:numCache>
                <c:formatCode>General</c:formatCode>
                <c:ptCount val="4"/>
                <c:pt idx="0">
                  <c:v>16.899999999999999</c:v>
                </c:pt>
                <c:pt idx="1">
                  <c:v>13.2</c:v>
                </c:pt>
                <c:pt idx="2">
                  <c:v>15.8</c:v>
                </c:pt>
                <c:pt idx="3">
                  <c:v>15</c:v>
                </c:pt>
              </c:numCache>
            </c:numRef>
          </c:val>
          <c:smooth val="0"/>
          <c:extLst xmlns:c16r2="http://schemas.microsoft.com/office/drawing/2015/06/chart">
            <c:ext xmlns:c16="http://schemas.microsoft.com/office/drawing/2014/chart" uri="{C3380CC4-5D6E-409C-BE32-E72D297353CC}">
              <c16:uniqueId val="{00000005-5552-4046-90A4-AF6F641F320C}"/>
            </c:ext>
          </c:extLst>
        </c:ser>
        <c:dLbls>
          <c:showLegendKey val="0"/>
          <c:showVal val="0"/>
          <c:showCatName val="0"/>
          <c:showSerName val="0"/>
          <c:showPercent val="0"/>
          <c:showBubbleSize val="0"/>
        </c:dLbls>
        <c:smooth val="0"/>
        <c:axId val="378990320"/>
        <c:axId val="448502832"/>
      </c:lineChart>
      <c:catAx>
        <c:axId val="37899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502832"/>
        <c:crosses val="autoZero"/>
        <c:auto val="1"/>
        <c:lblAlgn val="ctr"/>
        <c:lblOffset val="100"/>
        <c:noMultiLvlLbl val="0"/>
      </c:catAx>
      <c:valAx>
        <c:axId val="44850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99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The time to let property by size 2015-2017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'[Rental Tables for Lewisham - Ward 2018 Based.xlsx]Sheet1'!$V$8252</c:f>
              <c:strCache>
                <c:ptCount val="1"/>
                <c:pt idx="0">
                  <c:v>2015.0</c:v>
                </c:pt>
              </c:strCache>
            </c:strRef>
          </c:tx>
          <c:spPr>
            <a:solidFill>
              <a:schemeClr val="accent1"/>
            </a:solidFill>
            <a:ln>
              <a:noFill/>
            </a:ln>
            <a:effectLst/>
          </c:spPr>
          <c:invertIfNegative val="0"/>
          <c:cat>
            <c:strRef>
              <c:f>'[Rental Tables for Lewisham - Ward 2018 Based.xlsx]Sheet1'!$U$8253:$U$8257</c:f>
              <c:strCache>
                <c:ptCount val="5"/>
                <c:pt idx="0">
                  <c:v>0.0</c:v>
                </c:pt>
                <c:pt idx="1">
                  <c:v>1.0</c:v>
                </c:pt>
                <c:pt idx="2">
                  <c:v>2.0</c:v>
                </c:pt>
                <c:pt idx="3">
                  <c:v>3.0</c:v>
                </c:pt>
                <c:pt idx="4">
                  <c:v>4+</c:v>
                </c:pt>
              </c:strCache>
            </c:strRef>
          </c:cat>
          <c:val>
            <c:numRef>
              <c:f>'[Rental Tables for Lewisham - Ward 2018 Based.xlsx]Sheet1'!$V$8253:$V$8257</c:f>
              <c:numCache>
                <c:formatCode>###0.0</c:formatCode>
                <c:ptCount val="5"/>
                <c:pt idx="0">
                  <c:v>9</c:v>
                </c:pt>
                <c:pt idx="1">
                  <c:v>9</c:v>
                </c:pt>
                <c:pt idx="2">
                  <c:v>9</c:v>
                </c:pt>
                <c:pt idx="3">
                  <c:v>9</c:v>
                </c:pt>
                <c:pt idx="4">
                  <c:v>9</c:v>
                </c:pt>
              </c:numCache>
            </c:numRef>
          </c:val>
          <c:extLst xmlns:c16r2="http://schemas.microsoft.com/office/drawing/2015/06/chart">
            <c:ext xmlns:c16="http://schemas.microsoft.com/office/drawing/2014/chart" uri="{C3380CC4-5D6E-409C-BE32-E72D297353CC}">
              <c16:uniqueId val="{00000000-C42B-2249-9DCB-8700E23D7667}"/>
            </c:ext>
          </c:extLst>
        </c:ser>
        <c:ser>
          <c:idx val="1"/>
          <c:order val="1"/>
          <c:tx>
            <c:strRef>
              <c:f>'[Rental Tables for Lewisham - Ward 2018 Based.xlsx]Sheet1'!$W$8252</c:f>
              <c:strCache>
                <c:ptCount val="1"/>
                <c:pt idx="0">
                  <c:v>2016.0</c:v>
                </c:pt>
              </c:strCache>
            </c:strRef>
          </c:tx>
          <c:spPr>
            <a:solidFill>
              <a:schemeClr val="accent2"/>
            </a:solidFill>
            <a:ln>
              <a:noFill/>
            </a:ln>
            <a:effectLst/>
          </c:spPr>
          <c:invertIfNegative val="0"/>
          <c:cat>
            <c:strRef>
              <c:f>'[Rental Tables for Lewisham - Ward 2018 Based.xlsx]Sheet1'!$U$8253:$U$8257</c:f>
              <c:strCache>
                <c:ptCount val="5"/>
                <c:pt idx="0">
                  <c:v>0.0</c:v>
                </c:pt>
                <c:pt idx="1">
                  <c:v>1.0</c:v>
                </c:pt>
                <c:pt idx="2">
                  <c:v>2.0</c:v>
                </c:pt>
                <c:pt idx="3">
                  <c:v>3.0</c:v>
                </c:pt>
                <c:pt idx="4">
                  <c:v>4+</c:v>
                </c:pt>
              </c:strCache>
            </c:strRef>
          </c:cat>
          <c:val>
            <c:numRef>
              <c:f>'[Rental Tables for Lewisham - Ward 2018 Based.xlsx]Sheet1'!$W$8253:$W$8257</c:f>
              <c:numCache>
                <c:formatCode>###0.0</c:formatCode>
                <c:ptCount val="5"/>
                <c:pt idx="0">
                  <c:v>9</c:v>
                </c:pt>
                <c:pt idx="1">
                  <c:v>9</c:v>
                </c:pt>
                <c:pt idx="2">
                  <c:v>9</c:v>
                </c:pt>
                <c:pt idx="3">
                  <c:v>9</c:v>
                </c:pt>
                <c:pt idx="4">
                  <c:v>10</c:v>
                </c:pt>
              </c:numCache>
            </c:numRef>
          </c:val>
          <c:extLst xmlns:c16r2="http://schemas.microsoft.com/office/drawing/2015/06/chart">
            <c:ext xmlns:c16="http://schemas.microsoft.com/office/drawing/2014/chart" uri="{C3380CC4-5D6E-409C-BE32-E72D297353CC}">
              <c16:uniqueId val="{00000001-C42B-2249-9DCB-8700E23D7667}"/>
            </c:ext>
          </c:extLst>
        </c:ser>
        <c:ser>
          <c:idx val="2"/>
          <c:order val="2"/>
          <c:tx>
            <c:strRef>
              <c:f>'[Rental Tables for Lewisham - Ward 2018 Based.xlsx]Sheet1'!$X$8252</c:f>
              <c:strCache>
                <c:ptCount val="1"/>
                <c:pt idx="0">
                  <c:v>2017.0</c:v>
                </c:pt>
              </c:strCache>
            </c:strRef>
          </c:tx>
          <c:spPr>
            <a:solidFill>
              <a:schemeClr val="accent3"/>
            </a:solidFill>
            <a:ln>
              <a:noFill/>
            </a:ln>
            <a:effectLst/>
          </c:spPr>
          <c:invertIfNegative val="0"/>
          <c:cat>
            <c:strRef>
              <c:f>'[Rental Tables for Lewisham - Ward 2018 Based.xlsx]Sheet1'!$U$8253:$U$8257</c:f>
              <c:strCache>
                <c:ptCount val="5"/>
                <c:pt idx="0">
                  <c:v>0.0</c:v>
                </c:pt>
                <c:pt idx="1">
                  <c:v>1.0</c:v>
                </c:pt>
                <c:pt idx="2">
                  <c:v>2.0</c:v>
                </c:pt>
                <c:pt idx="3">
                  <c:v>3.0</c:v>
                </c:pt>
                <c:pt idx="4">
                  <c:v>4+</c:v>
                </c:pt>
              </c:strCache>
            </c:strRef>
          </c:cat>
          <c:val>
            <c:numRef>
              <c:f>'[Rental Tables for Lewisham - Ward 2018 Based.xlsx]Sheet1'!$X$8253:$X$8257</c:f>
              <c:numCache>
                <c:formatCode>###0.0</c:formatCode>
                <c:ptCount val="5"/>
                <c:pt idx="0">
                  <c:v>8</c:v>
                </c:pt>
                <c:pt idx="1">
                  <c:v>9</c:v>
                </c:pt>
                <c:pt idx="2">
                  <c:v>9</c:v>
                </c:pt>
                <c:pt idx="3">
                  <c:v>9</c:v>
                </c:pt>
                <c:pt idx="4">
                  <c:v>9</c:v>
                </c:pt>
              </c:numCache>
            </c:numRef>
          </c:val>
          <c:extLst xmlns:c16r2="http://schemas.microsoft.com/office/drawing/2015/06/chart">
            <c:ext xmlns:c16="http://schemas.microsoft.com/office/drawing/2014/chart" uri="{C3380CC4-5D6E-409C-BE32-E72D297353CC}">
              <c16:uniqueId val="{00000002-C42B-2249-9DCB-8700E23D7667}"/>
            </c:ext>
          </c:extLst>
        </c:ser>
        <c:dLbls>
          <c:showLegendKey val="0"/>
          <c:showVal val="0"/>
          <c:showCatName val="0"/>
          <c:showSerName val="0"/>
          <c:showPercent val="0"/>
          <c:showBubbleSize val="0"/>
        </c:dLbls>
        <c:gapWidth val="219"/>
        <c:overlap val="-27"/>
        <c:axId val="448502440"/>
        <c:axId val="448500872"/>
      </c:barChart>
      <c:catAx>
        <c:axId val="448502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500872"/>
        <c:crosses val="autoZero"/>
        <c:auto val="1"/>
        <c:lblAlgn val="ctr"/>
        <c:lblOffset val="100"/>
        <c:noMultiLvlLbl val="0"/>
      </c:catAx>
      <c:valAx>
        <c:axId val="448500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502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Bedrooms</a:t>
            </a:r>
            <a:r>
              <a:rPr lang="en-US" baseline="0"/>
              <a:t> by Ward</a:t>
            </a:r>
            <a:endParaRPr lang="en-US"/>
          </a:p>
        </c:rich>
      </c:tx>
      <c:layout>
        <c:manualLayout>
          <c:xMode val="edge"/>
          <c:yMode val="edge"/>
          <c:x val="0.39571340424552198"/>
          <c:y val="2.071005917159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'final dwelling type size'!$B$22</c:f>
              <c:strCache>
                <c:ptCount val="1"/>
                <c:pt idx="0">
                  <c:v>1 bedroom</c:v>
                </c:pt>
              </c:strCache>
            </c:strRef>
          </c:tx>
          <c:spPr>
            <a:solidFill>
              <a:schemeClr val="accent1"/>
            </a:solidFill>
            <a:ln>
              <a:noFill/>
            </a:ln>
            <a:effectLst/>
          </c:spPr>
          <c:invertIfNegative val="0"/>
          <c:cat>
            <c:strRef>
              <c:f>'final dwelling type size'!$A$23:$A$41</c:f>
              <c:strCache>
                <c:ptCount val="19"/>
                <c:pt idx="0">
                  <c:v>Bellingham</c:v>
                </c:pt>
                <c:pt idx="1">
                  <c:v>Blackheath</c:v>
                </c:pt>
                <c:pt idx="2">
                  <c:v>Brockley</c:v>
                </c:pt>
                <c:pt idx="3">
                  <c:v>Catford South</c:v>
                </c:pt>
                <c:pt idx="4">
                  <c:v>Crofton Park</c:v>
                </c:pt>
                <c:pt idx="5">
                  <c:v>Downham</c:v>
                </c:pt>
                <c:pt idx="6">
                  <c:v>Evelyn</c:v>
                </c:pt>
                <c:pt idx="7">
                  <c:v>Forest Hill</c:v>
                </c:pt>
                <c:pt idx="8">
                  <c:v>Grove Park</c:v>
                </c:pt>
                <c:pt idx="9">
                  <c:v>Ladywell</c:v>
                </c:pt>
                <c:pt idx="10">
                  <c:v>Lee Green</c:v>
                </c:pt>
                <c:pt idx="11">
                  <c:v>Lewisham Central</c:v>
                </c:pt>
                <c:pt idx="12">
                  <c:v>New Cross</c:v>
                </c:pt>
                <c:pt idx="13">
                  <c:v>Perry Vale</c:v>
                </c:pt>
                <c:pt idx="14">
                  <c:v>Rushey Green</c:v>
                </c:pt>
                <c:pt idx="15">
                  <c:v>Syndenham</c:v>
                </c:pt>
                <c:pt idx="16">
                  <c:v>Telegraph Hill</c:v>
                </c:pt>
                <c:pt idx="17">
                  <c:v>Whitefoot</c:v>
                </c:pt>
                <c:pt idx="18">
                  <c:v>LEWISHAM TOTAL</c:v>
                </c:pt>
              </c:strCache>
            </c:strRef>
          </c:cat>
          <c:val>
            <c:numRef>
              <c:f>'final dwelling type size'!$B$23:$B$41</c:f>
              <c:numCache>
                <c:formatCode>0.0</c:formatCode>
                <c:ptCount val="19"/>
                <c:pt idx="0">
                  <c:v>22.72727272727273</c:v>
                </c:pt>
                <c:pt idx="1">
                  <c:v>25.786163522012579</c:v>
                </c:pt>
                <c:pt idx="2">
                  <c:v>36.0303413400759</c:v>
                </c:pt>
                <c:pt idx="3">
                  <c:v>17.0138888888889</c:v>
                </c:pt>
                <c:pt idx="4">
                  <c:v>18.64686468646865</c:v>
                </c:pt>
                <c:pt idx="5">
                  <c:v>12.37942122186495</c:v>
                </c:pt>
                <c:pt idx="6">
                  <c:v>34.438775510204081</c:v>
                </c:pt>
                <c:pt idx="7">
                  <c:v>24.766355140186921</c:v>
                </c:pt>
                <c:pt idx="8">
                  <c:v>18.314424635332252</c:v>
                </c:pt>
                <c:pt idx="9">
                  <c:v>19.271948608137041</c:v>
                </c:pt>
                <c:pt idx="10">
                  <c:v>21.55591572123177</c:v>
                </c:pt>
                <c:pt idx="11">
                  <c:v>39.112050739957731</c:v>
                </c:pt>
                <c:pt idx="12">
                  <c:v>38.904899135446541</c:v>
                </c:pt>
                <c:pt idx="13">
                  <c:v>25.563909774436091</c:v>
                </c:pt>
                <c:pt idx="14">
                  <c:v>36.30952380952381</c:v>
                </c:pt>
                <c:pt idx="15">
                  <c:v>24.107142857142851</c:v>
                </c:pt>
                <c:pt idx="16">
                  <c:v>29.6875</c:v>
                </c:pt>
                <c:pt idx="17">
                  <c:v>13.65935919055649</c:v>
                </c:pt>
                <c:pt idx="18">
                  <c:v>26.38491328506483</c:v>
                </c:pt>
              </c:numCache>
            </c:numRef>
          </c:val>
          <c:extLst xmlns:c16r2="http://schemas.microsoft.com/office/drawing/2015/06/chart">
            <c:ext xmlns:c16="http://schemas.microsoft.com/office/drawing/2014/chart" uri="{C3380CC4-5D6E-409C-BE32-E72D297353CC}">
              <c16:uniqueId val="{00000000-B365-6342-BB8B-377FCA9FFA6E}"/>
            </c:ext>
          </c:extLst>
        </c:ser>
        <c:ser>
          <c:idx val="1"/>
          <c:order val="1"/>
          <c:tx>
            <c:strRef>
              <c:f>'final dwelling type size'!$C$22</c:f>
              <c:strCache>
                <c:ptCount val="1"/>
                <c:pt idx="0">
                  <c:v>2 bedrooms</c:v>
                </c:pt>
              </c:strCache>
            </c:strRef>
          </c:tx>
          <c:spPr>
            <a:solidFill>
              <a:schemeClr val="accent2"/>
            </a:solidFill>
            <a:ln>
              <a:noFill/>
            </a:ln>
            <a:effectLst/>
          </c:spPr>
          <c:invertIfNegative val="0"/>
          <c:cat>
            <c:strRef>
              <c:f>'final dwelling type size'!$A$23:$A$41</c:f>
              <c:strCache>
                <c:ptCount val="19"/>
                <c:pt idx="0">
                  <c:v>Bellingham</c:v>
                </c:pt>
                <c:pt idx="1">
                  <c:v>Blackheath</c:v>
                </c:pt>
                <c:pt idx="2">
                  <c:v>Brockley</c:v>
                </c:pt>
                <c:pt idx="3">
                  <c:v>Catford South</c:v>
                </c:pt>
                <c:pt idx="4">
                  <c:v>Crofton Park</c:v>
                </c:pt>
                <c:pt idx="5">
                  <c:v>Downham</c:v>
                </c:pt>
                <c:pt idx="6">
                  <c:v>Evelyn</c:v>
                </c:pt>
                <c:pt idx="7">
                  <c:v>Forest Hill</c:v>
                </c:pt>
                <c:pt idx="8">
                  <c:v>Grove Park</c:v>
                </c:pt>
                <c:pt idx="9">
                  <c:v>Ladywell</c:v>
                </c:pt>
                <c:pt idx="10">
                  <c:v>Lee Green</c:v>
                </c:pt>
                <c:pt idx="11">
                  <c:v>Lewisham Central</c:v>
                </c:pt>
                <c:pt idx="12">
                  <c:v>New Cross</c:v>
                </c:pt>
                <c:pt idx="13">
                  <c:v>Perry Vale</c:v>
                </c:pt>
                <c:pt idx="14">
                  <c:v>Rushey Green</c:v>
                </c:pt>
                <c:pt idx="15">
                  <c:v>Syndenham</c:v>
                </c:pt>
                <c:pt idx="16">
                  <c:v>Telegraph Hill</c:v>
                </c:pt>
                <c:pt idx="17">
                  <c:v>Whitefoot</c:v>
                </c:pt>
                <c:pt idx="18">
                  <c:v>LEWISHAM TOTAL</c:v>
                </c:pt>
              </c:strCache>
            </c:strRef>
          </c:cat>
          <c:val>
            <c:numRef>
              <c:f>'final dwelling type size'!$C$23:$C$41</c:f>
              <c:numCache>
                <c:formatCode>0.0</c:formatCode>
                <c:ptCount val="19"/>
                <c:pt idx="0">
                  <c:v>32.288401253918487</c:v>
                </c:pt>
                <c:pt idx="1">
                  <c:v>37.735849056603783</c:v>
                </c:pt>
                <c:pt idx="2">
                  <c:v>34.260429835651081</c:v>
                </c:pt>
                <c:pt idx="3">
                  <c:v>22.916666666666661</c:v>
                </c:pt>
                <c:pt idx="4">
                  <c:v>28.052805280528052</c:v>
                </c:pt>
                <c:pt idx="5">
                  <c:v>34.726688102893903</c:v>
                </c:pt>
                <c:pt idx="6">
                  <c:v>41.836734693877553</c:v>
                </c:pt>
                <c:pt idx="7">
                  <c:v>33.9563862928349</c:v>
                </c:pt>
                <c:pt idx="8">
                  <c:v>32.414910858995142</c:v>
                </c:pt>
                <c:pt idx="9">
                  <c:v>28.26552462526767</c:v>
                </c:pt>
                <c:pt idx="10">
                  <c:v>31.766612641815179</c:v>
                </c:pt>
                <c:pt idx="11">
                  <c:v>36.152219873150102</c:v>
                </c:pt>
                <c:pt idx="12">
                  <c:v>32.997118155619603</c:v>
                </c:pt>
                <c:pt idx="13">
                  <c:v>32.631578947368432</c:v>
                </c:pt>
                <c:pt idx="14">
                  <c:v>32.738095238095262</c:v>
                </c:pt>
                <c:pt idx="15">
                  <c:v>37.648809523809533</c:v>
                </c:pt>
                <c:pt idx="16">
                  <c:v>31.40625</c:v>
                </c:pt>
                <c:pt idx="17">
                  <c:v>25.632377740303539</c:v>
                </c:pt>
                <c:pt idx="18">
                  <c:v>33.02744569792894</c:v>
                </c:pt>
              </c:numCache>
            </c:numRef>
          </c:val>
          <c:extLst xmlns:c16r2="http://schemas.microsoft.com/office/drawing/2015/06/chart">
            <c:ext xmlns:c16="http://schemas.microsoft.com/office/drawing/2014/chart" uri="{C3380CC4-5D6E-409C-BE32-E72D297353CC}">
              <c16:uniqueId val="{00000001-B365-6342-BB8B-377FCA9FFA6E}"/>
            </c:ext>
          </c:extLst>
        </c:ser>
        <c:ser>
          <c:idx val="2"/>
          <c:order val="2"/>
          <c:tx>
            <c:strRef>
              <c:f>'final dwelling type size'!$D$22</c:f>
              <c:strCache>
                <c:ptCount val="1"/>
                <c:pt idx="0">
                  <c:v>3 bedrooms</c:v>
                </c:pt>
              </c:strCache>
            </c:strRef>
          </c:tx>
          <c:spPr>
            <a:solidFill>
              <a:schemeClr val="accent3"/>
            </a:solidFill>
            <a:ln>
              <a:noFill/>
            </a:ln>
            <a:effectLst/>
          </c:spPr>
          <c:invertIfNegative val="0"/>
          <c:cat>
            <c:strRef>
              <c:f>'final dwelling type size'!$A$23:$A$41</c:f>
              <c:strCache>
                <c:ptCount val="19"/>
                <c:pt idx="0">
                  <c:v>Bellingham</c:v>
                </c:pt>
                <c:pt idx="1">
                  <c:v>Blackheath</c:v>
                </c:pt>
                <c:pt idx="2">
                  <c:v>Brockley</c:v>
                </c:pt>
                <c:pt idx="3">
                  <c:v>Catford South</c:v>
                </c:pt>
                <c:pt idx="4">
                  <c:v>Crofton Park</c:v>
                </c:pt>
                <c:pt idx="5">
                  <c:v>Downham</c:v>
                </c:pt>
                <c:pt idx="6">
                  <c:v>Evelyn</c:v>
                </c:pt>
                <c:pt idx="7">
                  <c:v>Forest Hill</c:v>
                </c:pt>
                <c:pt idx="8">
                  <c:v>Grove Park</c:v>
                </c:pt>
                <c:pt idx="9">
                  <c:v>Ladywell</c:v>
                </c:pt>
                <c:pt idx="10">
                  <c:v>Lee Green</c:v>
                </c:pt>
                <c:pt idx="11">
                  <c:v>Lewisham Central</c:v>
                </c:pt>
                <c:pt idx="12">
                  <c:v>New Cross</c:v>
                </c:pt>
                <c:pt idx="13">
                  <c:v>Perry Vale</c:v>
                </c:pt>
                <c:pt idx="14">
                  <c:v>Rushey Green</c:v>
                </c:pt>
                <c:pt idx="15">
                  <c:v>Syndenham</c:v>
                </c:pt>
                <c:pt idx="16">
                  <c:v>Telegraph Hill</c:v>
                </c:pt>
                <c:pt idx="17">
                  <c:v>Whitefoot</c:v>
                </c:pt>
                <c:pt idx="18">
                  <c:v>LEWISHAM TOTAL</c:v>
                </c:pt>
              </c:strCache>
            </c:strRef>
          </c:cat>
          <c:val>
            <c:numRef>
              <c:f>'final dwelling type size'!$D$23:$D$41</c:f>
              <c:numCache>
                <c:formatCode>0.0</c:formatCode>
                <c:ptCount val="19"/>
                <c:pt idx="0">
                  <c:v>40.125391849529798</c:v>
                </c:pt>
                <c:pt idx="1">
                  <c:v>24.842767295597479</c:v>
                </c:pt>
                <c:pt idx="2">
                  <c:v>16.68773704171932</c:v>
                </c:pt>
                <c:pt idx="3">
                  <c:v>44.965277777777779</c:v>
                </c:pt>
                <c:pt idx="4">
                  <c:v>38.613861386138588</c:v>
                </c:pt>
                <c:pt idx="5">
                  <c:v>45.659163987138257</c:v>
                </c:pt>
                <c:pt idx="6">
                  <c:v>18.62244897959182</c:v>
                </c:pt>
                <c:pt idx="7">
                  <c:v>28.504672897196251</c:v>
                </c:pt>
                <c:pt idx="8">
                  <c:v>43.111831442463441</c:v>
                </c:pt>
                <c:pt idx="9">
                  <c:v>32.334047109207553</c:v>
                </c:pt>
                <c:pt idx="10">
                  <c:v>35.656401944894647</c:v>
                </c:pt>
                <c:pt idx="11">
                  <c:v>18.181818181818201</c:v>
                </c:pt>
                <c:pt idx="12">
                  <c:v>24.20749279538904</c:v>
                </c:pt>
                <c:pt idx="13">
                  <c:v>29.924812030075181</c:v>
                </c:pt>
                <c:pt idx="14">
                  <c:v>19.94047619047619</c:v>
                </c:pt>
                <c:pt idx="15">
                  <c:v>29.017857142857149</c:v>
                </c:pt>
                <c:pt idx="16">
                  <c:v>21.71875</c:v>
                </c:pt>
                <c:pt idx="17">
                  <c:v>55.311973018549743</c:v>
                </c:pt>
                <c:pt idx="18">
                  <c:v>30.510186900151538</c:v>
                </c:pt>
              </c:numCache>
            </c:numRef>
          </c:val>
          <c:extLst xmlns:c16r2="http://schemas.microsoft.com/office/drawing/2015/06/chart">
            <c:ext xmlns:c16="http://schemas.microsoft.com/office/drawing/2014/chart" uri="{C3380CC4-5D6E-409C-BE32-E72D297353CC}">
              <c16:uniqueId val="{00000002-B365-6342-BB8B-377FCA9FFA6E}"/>
            </c:ext>
          </c:extLst>
        </c:ser>
        <c:ser>
          <c:idx val="3"/>
          <c:order val="3"/>
          <c:tx>
            <c:strRef>
              <c:f>'final dwelling type size'!$E$22</c:f>
              <c:strCache>
                <c:ptCount val="1"/>
                <c:pt idx="0">
                  <c:v>4+ bedrooms</c:v>
                </c:pt>
              </c:strCache>
            </c:strRef>
          </c:tx>
          <c:spPr>
            <a:solidFill>
              <a:schemeClr val="accent4"/>
            </a:solidFill>
            <a:ln>
              <a:noFill/>
            </a:ln>
            <a:effectLst/>
          </c:spPr>
          <c:invertIfNegative val="0"/>
          <c:cat>
            <c:strRef>
              <c:f>'final dwelling type size'!$A$23:$A$41</c:f>
              <c:strCache>
                <c:ptCount val="19"/>
                <c:pt idx="0">
                  <c:v>Bellingham</c:v>
                </c:pt>
                <c:pt idx="1">
                  <c:v>Blackheath</c:v>
                </c:pt>
                <c:pt idx="2">
                  <c:v>Brockley</c:v>
                </c:pt>
                <c:pt idx="3">
                  <c:v>Catford South</c:v>
                </c:pt>
                <c:pt idx="4">
                  <c:v>Crofton Park</c:v>
                </c:pt>
                <c:pt idx="5">
                  <c:v>Downham</c:v>
                </c:pt>
                <c:pt idx="6">
                  <c:v>Evelyn</c:v>
                </c:pt>
                <c:pt idx="7">
                  <c:v>Forest Hill</c:v>
                </c:pt>
                <c:pt idx="8">
                  <c:v>Grove Park</c:v>
                </c:pt>
                <c:pt idx="9">
                  <c:v>Ladywell</c:v>
                </c:pt>
                <c:pt idx="10">
                  <c:v>Lee Green</c:v>
                </c:pt>
                <c:pt idx="11">
                  <c:v>Lewisham Central</c:v>
                </c:pt>
                <c:pt idx="12">
                  <c:v>New Cross</c:v>
                </c:pt>
                <c:pt idx="13">
                  <c:v>Perry Vale</c:v>
                </c:pt>
                <c:pt idx="14">
                  <c:v>Rushey Green</c:v>
                </c:pt>
                <c:pt idx="15">
                  <c:v>Syndenham</c:v>
                </c:pt>
                <c:pt idx="16">
                  <c:v>Telegraph Hill</c:v>
                </c:pt>
                <c:pt idx="17">
                  <c:v>Whitefoot</c:v>
                </c:pt>
                <c:pt idx="18">
                  <c:v>LEWISHAM TOTAL</c:v>
                </c:pt>
              </c:strCache>
            </c:strRef>
          </c:cat>
          <c:val>
            <c:numRef>
              <c:f>'final dwelling type size'!$E$23:$E$41</c:f>
              <c:numCache>
                <c:formatCode>0.0</c:formatCode>
                <c:ptCount val="19"/>
                <c:pt idx="0">
                  <c:v>4.858934169278978</c:v>
                </c:pt>
                <c:pt idx="1">
                  <c:v>11.63522012578616</c:v>
                </c:pt>
                <c:pt idx="2">
                  <c:v>13.02149178255373</c:v>
                </c:pt>
                <c:pt idx="3">
                  <c:v>15.10416666666667</c:v>
                </c:pt>
                <c:pt idx="4">
                  <c:v>14.6864686468647</c:v>
                </c:pt>
                <c:pt idx="5">
                  <c:v>7.234726688102894</c:v>
                </c:pt>
                <c:pt idx="6">
                  <c:v>5.1020408163265216</c:v>
                </c:pt>
                <c:pt idx="7">
                  <c:v>12.772585669781931</c:v>
                </c:pt>
                <c:pt idx="8">
                  <c:v>6.1588330632090758</c:v>
                </c:pt>
                <c:pt idx="9">
                  <c:v>20.128479657387579</c:v>
                </c:pt>
                <c:pt idx="10">
                  <c:v>11.021069692058351</c:v>
                </c:pt>
                <c:pt idx="11">
                  <c:v>6.5539112050739936</c:v>
                </c:pt>
                <c:pt idx="12">
                  <c:v>3.89048991354466</c:v>
                </c:pt>
                <c:pt idx="13">
                  <c:v>11.879699248120311</c:v>
                </c:pt>
                <c:pt idx="14">
                  <c:v>11.011904761904759</c:v>
                </c:pt>
                <c:pt idx="15">
                  <c:v>9.2261904761904585</c:v>
                </c:pt>
                <c:pt idx="16">
                  <c:v>17.1875</c:v>
                </c:pt>
                <c:pt idx="17">
                  <c:v>5.3962900505902187</c:v>
                </c:pt>
                <c:pt idx="18">
                  <c:v>10.0774541168547</c:v>
                </c:pt>
              </c:numCache>
            </c:numRef>
          </c:val>
          <c:extLst xmlns:c16r2="http://schemas.microsoft.com/office/drawing/2015/06/chart">
            <c:ext xmlns:c16="http://schemas.microsoft.com/office/drawing/2014/chart" uri="{C3380CC4-5D6E-409C-BE32-E72D297353CC}">
              <c16:uniqueId val="{00000003-B365-6342-BB8B-377FCA9FFA6E}"/>
            </c:ext>
          </c:extLst>
        </c:ser>
        <c:dLbls>
          <c:showLegendKey val="0"/>
          <c:showVal val="0"/>
          <c:showCatName val="0"/>
          <c:showSerName val="0"/>
          <c:showPercent val="0"/>
          <c:showBubbleSize val="0"/>
        </c:dLbls>
        <c:gapWidth val="150"/>
        <c:overlap val="100"/>
        <c:axId val="693106464"/>
        <c:axId val="693107248"/>
      </c:barChart>
      <c:catAx>
        <c:axId val="69310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107248"/>
        <c:crosses val="autoZero"/>
        <c:auto val="1"/>
        <c:lblAlgn val="ctr"/>
        <c:lblOffset val="100"/>
        <c:noMultiLvlLbl val="0"/>
      </c:catAx>
      <c:valAx>
        <c:axId val="6931072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10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91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'tenure by size'!$A$28:$A$31</c:f>
              <c:strCache>
                <c:ptCount val="4"/>
                <c:pt idx="0">
                  <c:v>Owned outright</c:v>
                </c:pt>
                <c:pt idx="1">
                  <c:v>Owned with mortgage</c:v>
                </c:pt>
                <c:pt idx="2">
                  <c:v>Social rented</c:v>
                </c:pt>
                <c:pt idx="3">
                  <c:v>Private rented or living rent free</c:v>
                </c:pt>
              </c:strCache>
            </c:strRef>
          </c:cat>
          <c:val>
            <c:numRef>
              <c:f>'tenure by size'!$B$28:$B$31</c:f>
              <c:numCache>
                <c:formatCode>#,##0</c:formatCode>
                <c:ptCount val="4"/>
                <c:pt idx="0">
                  <c:v>17273</c:v>
                </c:pt>
                <c:pt idx="1">
                  <c:v>33391</c:v>
                </c:pt>
                <c:pt idx="2">
                  <c:v>36052</c:v>
                </c:pt>
                <c:pt idx="3">
                  <c:v>29375</c:v>
                </c:pt>
              </c:numCache>
            </c:numRef>
          </c:val>
          <c:extLst xmlns:c16r2="http://schemas.microsoft.com/office/drawing/2015/06/chart">
            <c:ext xmlns:c16="http://schemas.microsoft.com/office/drawing/2014/chart" uri="{C3380CC4-5D6E-409C-BE32-E72D297353CC}">
              <c16:uniqueId val="{00000000-77DB-EB4B-998F-AA501AC9254C}"/>
            </c:ext>
          </c:extLst>
        </c:ser>
        <c:dLbls>
          <c:showLegendKey val="0"/>
          <c:showVal val="0"/>
          <c:showCatName val="0"/>
          <c:showSerName val="0"/>
          <c:showPercent val="0"/>
          <c:showBubbleSize val="0"/>
        </c:dLbls>
        <c:gapWidth val="182"/>
        <c:axId val="693106072"/>
        <c:axId val="693105680"/>
      </c:barChart>
      <c:catAx>
        <c:axId val="693106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105680"/>
        <c:crosses val="autoZero"/>
        <c:auto val="1"/>
        <c:lblAlgn val="ctr"/>
        <c:lblOffset val="100"/>
        <c:noMultiLvlLbl val="0"/>
      </c:catAx>
      <c:valAx>
        <c:axId val="69310568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106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Tenure by Ward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Data!$B$32</c:f>
              <c:strCache>
                <c:ptCount val="1"/>
                <c:pt idx="0">
                  <c:v>Owner occupied</c:v>
                </c:pt>
              </c:strCache>
            </c:strRef>
          </c:tx>
          <c:spPr>
            <a:solidFill>
              <a:schemeClr val="accent1"/>
            </a:solidFill>
            <a:ln>
              <a:noFill/>
            </a:ln>
            <a:effectLst/>
          </c:spPr>
          <c:invertIfNegative val="0"/>
          <c:cat>
            <c:strRef>
              <c:f>Data!$A$33:$A$51</c:f>
              <c:strCache>
                <c:ptCount val="19"/>
                <c:pt idx="0">
                  <c:v>Bellingham</c:v>
                </c:pt>
                <c:pt idx="1">
                  <c:v>Blackheath</c:v>
                </c:pt>
                <c:pt idx="2">
                  <c:v>Brockley</c:v>
                </c:pt>
                <c:pt idx="3">
                  <c:v>Catford South</c:v>
                </c:pt>
                <c:pt idx="4">
                  <c:v>Crofton Park</c:v>
                </c:pt>
                <c:pt idx="5">
                  <c:v>Downham</c:v>
                </c:pt>
                <c:pt idx="6">
                  <c:v>Evelyn</c:v>
                </c:pt>
                <c:pt idx="7">
                  <c:v>Forest Hill</c:v>
                </c:pt>
                <c:pt idx="8">
                  <c:v>Grove Park</c:v>
                </c:pt>
                <c:pt idx="9">
                  <c:v>Ladywell</c:v>
                </c:pt>
                <c:pt idx="10">
                  <c:v>Lee Green</c:v>
                </c:pt>
                <c:pt idx="11">
                  <c:v>Lewisham Central</c:v>
                </c:pt>
                <c:pt idx="12">
                  <c:v>New Cross</c:v>
                </c:pt>
                <c:pt idx="13">
                  <c:v>Perry Vale </c:v>
                </c:pt>
                <c:pt idx="14">
                  <c:v>Rushey Green</c:v>
                </c:pt>
                <c:pt idx="15">
                  <c:v>Sydenham</c:v>
                </c:pt>
                <c:pt idx="16">
                  <c:v>Telegraph Hill</c:v>
                </c:pt>
                <c:pt idx="17">
                  <c:v>Whitefoot</c:v>
                </c:pt>
                <c:pt idx="18">
                  <c:v>Lewisham Total</c:v>
                </c:pt>
              </c:strCache>
            </c:strRef>
          </c:cat>
          <c:val>
            <c:numRef>
              <c:f>Data!$B$33:$B$51</c:f>
              <c:numCache>
                <c:formatCode>General</c:formatCode>
                <c:ptCount val="19"/>
                <c:pt idx="0">
                  <c:v>41.3</c:v>
                </c:pt>
                <c:pt idx="1">
                  <c:v>43.4</c:v>
                </c:pt>
                <c:pt idx="2">
                  <c:v>33.1</c:v>
                </c:pt>
                <c:pt idx="3">
                  <c:v>66.400000000000006</c:v>
                </c:pt>
                <c:pt idx="4">
                  <c:v>56.5</c:v>
                </c:pt>
                <c:pt idx="5">
                  <c:v>45</c:v>
                </c:pt>
                <c:pt idx="6">
                  <c:v>20.2</c:v>
                </c:pt>
                <c:pt idx="7">
                  <c:v>48.1</c:v>
                </c:pt>
                <c:pt idx="8">
                  <c:v>54.6</c:v>
                </c:pt>
                <c:pt idx="9">
                  <c:v>49.7</c:v>
                </c:pt>
                <c:pt idx="10">
                  <c:v>54.6</c:v>
                </c:pt>
                <c:pt idx="11">
                  <c:v>37.9</c:v>
                </c:pt>
                <c:pt idx="12">
                  <c:v>26.9</c:v>
                </c:pt>
                <c:pt idx="13">
                  <c:v>49.5</c:v>
                </c:pt>
                <c:pt idx="14">
                  <c:v>41.9</c:v>
                </c:pt>
                <c:pt idx="15">
                  <c:v>43.4</c:v>
                </c:pt>
                <c:pt idx="16">
                  <c:v>33.200000000000003</c:v>
                </c:pt>
                <c:pt idx="17">
                  <c:v>49.8</c:v>
                </c:pt>
                <c:pt idx="18">
                  <c:v>43.6</c:v>
                </c:pt>
              </c:numCache>
            </c:numRef>
          </c:val>
          <c:extLst xmlns:c16r2="http://schemas.microsoft.com/office/drawing/2015/06/chart">
            <c:ext xmlns:c16="http://schemas.microsoft.com/office/drawing/2014/chart" uri="{C3380CC4-5D6E-409C-BE32-E72D297353CC}">
              <c16:uniqueId val="{00000000-BC1E-7D46-9367-10BDA43EDC29}"/>
            </c:ext>
          </c:extLst>
        </c:ser>
        <c:ser>
          <c:idx val="1"/>
          <c:order val="1"/>
          <c:tx>
            <c:strRef>
              <c:f>Data!$C$32</c:f>
              <c:strCache>
                <c:ptCount val="1"/>
                <c:pt idx="0">
                  <c:v>Private rented</c:v>
                </c:pt>
              </c:strCache>
            </c:strRef>
          </c:tx>
          <c:spPr>
            <a:solidFill>
              <a:schemeClr val="accent2"/>
            </a:solidFill>
            <a:ln>
              <a:noFill/>
            </a:ln>
            <a:effectLst/>
          </c:spPr>
          <c:invertIfNegative val="0"/>
          <c:cat>
            <c:strRef>
              <c:f>Data!$A$33:$A$51</c:f>
              <c:strCache>
                <c:ptCount val="19"/>
                <c:pt idx="0">
                  <c:v>Bellingham</c:v>
                </c:pt>
                <c:pt idx="1">
                  <c:v>Blackheath</c:v>
                </c:pt>
                <c:pt idx="2">
                  <c:v>Brockley</c:v>
                </c:pt>
                <c:pt idx="3">
                  <c:v>Catford South</c:v>
                </c:pt>
                <c:pt idx="4">
                  <c:v>Crofton Park</c:v>
                </c:pt>
                <c:pt idx="5">
                  <c:v>Downham</c:v>
                </c:pt>
                <c:pt idx="6">
                  <c:v>Evelyn</c:v>
                </c:pt>
                <c:pt idx="7">
                  <c:v>Forest Hill</c:v>
                </c:pt>
                <c:pt idx="8">
                  <c:v>Grove Park</c:v>
                </c:pt>
                <c:pt idx="9">
                  <c:v>Ladywell</c:v>
                </c:pt>
                <c:pt idx="10">
                  <c:v>Lee Green</c:v>
                </c:pt>
                <c:pt idx="11">
                  <c:v>Lewisham Central</c:v>
                </c:pt>
                <c:pt idx="12">
                  <c:v>New Cross</c:v>
                </c:pt>
                <c:pt idx="13">
                  <c:v>Perry Vale </c:v>
                </c:pt>
                <c:pt idx="14">
                  <c:v>Rushey Green</c:v>
                </c:pt>
                <c:pt idx="15">
                  <c:v>Sydenham</c:v>
                </c:pt>
                <c:pt idx="16">
                  <c:v>Telegraph Hill</c:v>
                </c:pt>
                <c:pt idx="17">
                  <c:v>Whitefoot</c:v>
                </c:pt>
                <c:pt idx="18">
                  <c:v>Lewisham Total</c:v>
                </c:pt>
              </c:strCache>
            </c:strRef>
          </c:cat>
          <c:val>
            <c:numRef>
              <c:f>Data!$C$33:$C$51</c:f>
              <c:numCache>
                <c:formatCode>General</c:formatCode>
                <c:ptCount val="19"/>
                <c:pt idx="0">
                  <c:v>14.7</c:v>
                </c:pt>
                <c:pt idx="1">
                  <c:v>27.8</c:v>
                </c:pt>
                <c:pt idx="2">
                  <c:v>36.799999999999997</c:v>
                </c:pt>
                <c:pt idx="3">
                  <c:v>21</c:v>
                </c:pt>
                <c:pt idx="4">
                  <c:v>26.7</c:v>
                </c:pt>
                <c:pt idx="5">
                  <c:v>14.1</c:v>
                </c:pt>
                <c:pt idx="6">
                  <c:v>22.6</c:v>
                </c:pt>
                <c:pt idx="7">
                  <c:v>25.6</c:v>
                </c:pt>
                <c:pt idx="8">
                  <c:v>18.8</c:v>
                </c:pt>
                <c:pt idx="9">
                  <c:v>26.7</c:v>
                </c:pt>
                <c:pt idx="10">
                  <c:v>24.1</c:v>
                </c:pt>
                <c:pt idx="11">
                  <c:v>34.700000000000003</c:v>
                </c:pt>
                <c:pt idx="12">
                  <c:v>32.700000000000003</c:v>
                </c:pt>
                <c:pt idx="13">
                  <c:v>23.9</c:v>
                </c:pt>
                <c:pt idx="14">
                  <c:v>31.3</c:v>
                </c:pt>
                <c:pt idx="15">
                  <c:v>21.8</c:v>
                </c:pt>
                <c:pt idx="16">
                  <c:v>30.2</c:v>
                </c:pt>
                <c:pt idx="17">
                  <c:v>15.7</c:v>
                </c:pt>
                <c:pt idx="18">
                  <c:v>25.3</c:v>
                </c:pt>
              </c:numCache>
            </c:numRef>
          </c:val>
          <c:extLst xmlns:c16r2="http://schemas.microsoft.com/office/drawing/2015/06/chart">
            <c:ext xmlns:c16="http://schemas.microsoft.com/office/drawing/2014/chart" uri="{C3380CC4-5D6E-409C-BE32-E72D297353CC}">
              <c16:uniqueId val="{00000001-BC1E-7D46-9367-10BDA43EDC29}"/>
            </c:ext>
          </c:extLst>
        </c:ser>
        <c:ser>
          <c:idx val="2"/>
          <c:order val="2"/>
          <c:tx>
            <c:strRef>
              <c:f>Data!$D$32</c:f>
              <c:strCache>
                <c:ptCount val="1"/>
                <c:pt idx="0">
                  <c:v>Affordable</c:v>
                </c:pt>
              </c:strCache>
            </c:strRef>
          </c:tx>
          <c:spPr>
            <a:solidFill>
              <a:schemeClr val="accent3"/>
            </a:solidFill>
            <a:ln>
              <a:noFill/>
            </a:ln>
            <a:effectLst/>
          </c:spPr>
          <c:invertIfNegative val="0"/>
          <c:cat>
            <c:strRef>
              <c:f>Data!$A$33:$A$51</c:f>
              <c:strCache>
                <c:ptCount val="19"/>
                <c:pt idx="0">
                  <c:v>Bellingham</c:v>
                </c:pt>
                <c:pt idx="1">
                  <c:v>Blackheath</c:v>
                </c:pt>
                <c:pt idx="2">
                  <c:v>Brockley</c:v>
                </c:pt>
                <c:pt idx="3">
                  <c:v>Catford South</c:v>
                </c:pt>
                <c:pt idx="4">
                  <c:v>Crofton Park</c:v>
                </c:pt>
                <c:pt idx="5">
                  <c:v>Downham</c:v>
                </c:pt>
                <c:pt idx="6">
                  <c:v>Evelyn</c:v>
                </c:pt>
                <c:pt idx="7">
                  <c:v>Forest Hill</c:v>
                </c:pt>
                <c:pt idx="8">
                  <c:v>Grove Park</c:v>
                </c:pt>
                <c:pt idx="9">
                  <c:v>Ladywell</c:v>
                </c:pt>
                <c:pt idx="10">
                  <c:v>Lee Green</c:v>
                </c:pt>
                <c:pt idx="11">
                  <c:v>Lewisham Central</c:v>
                </c:pt>
                <c:pt idx="12">
                  <c:v>New Cross</c:v>
                </c:pt>
                <c:pt idx="13">
                  <c:v>Perry Vale </c:v>
                </c:pt>
                <c:pt idx="14">
                  <c:v>Rushey Green</c:v>
                </c:pt>
                <c:pt idx="15">
                  <c:v>Sydenham</c:v>
                </c:pt>
                <c:pt idx="16">
                  <c:v>Telegraph Hill</c:v>
                </c:pt>
                <c:pt idx="17">
                  <c:v>Whitefoot</c:v>
                </c:pt>
                <c:pt idx="18">
                  <c:v>Lewisham Total</c:v>
                </c:pt>
              </c:strCache>
            </c:strRef>
          </c:cat>
          <c:val>
            <c:numRef>
              <c:f>Data!$D$33:$D$51</c:f>
              <c:numCache>
                <c:formatCode>General</c:formatCode>
                <c:ptCount val="19"/>
                <c:pt idx="0">
                  <c:v>44</c:v>
                </c:pt>
                <c:pt idx="1">
                  <c:v>28.8</c:v>
                </c:pt>
                <c:pt idx="2">
                  <c:v>30.1</c:v>
                </c:pt>
                <c:pt idx="3">
                  <c:v>12.6</c:v>
                </c:pt>
                <c:pt idx="4">
                  <c:v>16.8</c:v>
                </c:pt>
                <c:pt idx="5">
                  <c:v>40.9</c:v>
                </c:pt>
                <c:pt idx="6">
                  <c:v>57.3</c:v>
                </c:pt>
                <c:pt idx="7">
                  <c:v>26.4</c:v>
                </c:pt>
                <c:pt idx="8">
                  <c:v>26.7</c:v>
                </c:pt>
                <c:pt idx="9">
                  <c:v>23.6</c:v>
                </c:pt>
                <c:pt idx="10">
                  <c:v>21.2</c:v>
                </c:pt>
                <c:pt idx="11">
                  <c:v>27.4</c:v>
                </c:pt>
                <c:pt idx="12">
                  <c:v>40.5</c:v>
                </c:pt>
                <c:pt idx="13">
                  <c:v>26.5</c:v>
                </c:pt>
                <c:pt idx="14">
                  <c:v>26.9</c:v>
                </c:pt>
                <c:pt idx="15">
                  <c:v>34.700000000000003</c:v>
                </c:pt>
                <c:pt idx="16">
                  <c:v>36.6</c:v>
                </c:pt>
                <c:pt idx="17">
                  <c:v>34.5</c:v>
                </c:pt>
                <c:pt idx="18">
                  <c:v>31.1</c:v>
                </c:pt>
              </c:numCache>
            </c:numRef>
          </c:val>
          <c:extLst xmlns:c16r2="http://schemas.microsoft.com/office/drawing/2015/06/chart">
            <c:ext xmlns:c16="http://schemas.microsoft.com/office/drawing/2014/chart" uri="{C3380CC4-5D6E-409C-BE32-E72D297353CC}">
              <c16:uniqueId val="{00000002-BC1E-7D46-9367-10BDA43EDC29}"/>
            </c:ext>
          </c:extLst>
        </c:ser>
        <c:dLbls>
          <c:showLegendKey val="0"/>
          <c:showVal val="0"/>
          <c:showCatName val="0"/>
          <c:showSerName val="0"/>
          <c:showPercent val="0"/>
          <c:showBubbleSize val="0"/>
        </c:dLbls>
        <c:gapWidth val="150"/>
        <c:overlap val="100"/>
        <c:axId val="693105288"/>
        <c:axId val="378989144"/>
      </c:barChart>
      <c:catAx>
        <c:axId val="69310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989144"/>
        <c:crosses val="autoZero"/>
        <c:auto val="1"/>
        <c:lblAlgn val="ctr"/>
        <c:lblOffset val="100"/>
        <c:noMultiLvlLbl val="0"/>
      </c:catAx>
      <c:valAx>
        <c:axId val="378989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105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 1'!$C$47</c:f>
              <c:strCache>
                <c:ptCount val="1"/>
                <c:pt idx="0">
                  <c:v>Occupancy rating (bedrooms) of +2 or more</c:v>
                </c:pt>
              </c:strCache>
            </c:strRef>
          </c:tx>
          <c:spPr>
            <a:solidFill>
              <a:schemeClr val="accent1"/>
            </a:solidFill>
            <a:ln>
              <a:noFill/>
            </a:ln>
            <a:effectLst/>
          </c:spPr>
          <c:invertIfNegative val="0"/>
          <c:cat>
            <c:strRef>
              <c:f>'Sheet 1'!$B$48:$B$52</c:f>
              <c:strCache>
                <c:ptCount val="5"/>
                <c:pt idx="0">
                  <c:v>Other White</c:v>
                </c:pt>
                <c:pt idx="1">
                  <c:v>Mixed/multiple ethnic group: Total</c:v>
                </c:pt>
                <c:pt idx="2">
                  <c:v>Asian/Asian British: Total</c:v>
                </c:pt>
                <c:pt idx="3">
                  <c:v>Black/African/Caribbean/Black British: Total</c:v>
                </c:pt>
                <c:pt idx="4">
                  <c:v>Other ethnic group: Total</c:v>
                </c:pt>
              </c:strCache>
            </c:strRef>
          </c:cat>
          <c:val>
            <c:numRef>
              <c:f>'Sheet 1'!$C$48:$C$52</c:f>
              <c:numCache>
                <c:formatCode>0.0</c:formatCode>
                <c:ptCount val="5"/>
                <c:pt idx="0">
                  <c:v>13.485294563996723</c:v>
                </c:pt>
                <c:pt idx="1">
                  <c:v>9.1811170604705996</c:v>
                </c:pt>
                <c:pt idx="2">
                  <c:v>9.6654275092936803</c:v>
                </c:pt>
                <c:pt idx="3">
                  <c:v>8.4568439407149079</c:v>
                </c:pt>
                <c:pt idx="4">
                  <c:v>7.9213405345520007</c:v>
                </c:pt>
              </c:numCache>
            </c:numRef>
          </c:val>
          <c:extLst xmlns:c16r2="http://schemas.microsoft.com/office/drawing/2015/06/chart">
            <c:ext xmlns:c16="http://schemas.microsoft.com/office/drawing/2014/chart" uri="{C3380CC4-5D6E-409C-BE32-E72D297353CC}">
              <c16:uniqueId val="{00000000-BD8E-4B29-81A0-0D787D8BE2B6}"/>
            </c:ext>
          </c:extLst>
        </c:ser>
        <c:ser>
          <c:idx val="1"/>
          <c:order val="1"/>
          <c:tx>
            <c:strRef>
              <c:f>'Sheet 1'!$D$47</c:f>
              <c:strCache>
                <c:ptCount val="1"/>
                <c:pt idx="0">
                  <c:v>Occupancy rating (bedrooms) of +1</c:v>
                </c:pt>
              </c:strCache>
            </c:strRef>
          </c:tx>
          <c:spPr>
            <a:solidFill>
              <a:schemeClr val="accent2"/>
            </a:solidFill>
            <a:ln>
              <a:noFill/>
            </a:ln>
            <a:effectLst/>
          </c:spPr>
          <c:invertIfNegative val="0"/>
          <c:cat>
            <c:strRef>
              <c:f>'Sheet 1'!$B$48:$B$52</c:f>
              <c:strCache>
                <c:ptCount val="5"/>
                <c:pt idx="0">
                  <c:v>Other White</c:v>
                </c:pt>
                <c:pt idx="1">
                  <c:v>Mixed/multiple ethnic group: Total</c:v>
                </c:pt>
                <c:pt idx="2">
                  <c:v>Asian/Asian British: Total</c:v>
                </c:pt>
                <c:pt idx="3">
                  <c:v>Black/African/Caribbean/Black British: Total</c:v>
                </c:pt>
                <c:pt idx="4">
                  <c:v>Other ethnic group: Total</c:v>
                </c:pt>
              </c:strCache>
            </c:strRef>
          </c:cat>
          <c:val>
            <c:numRef>
              <c:f>'Sheet 1'!$D$48:$D$52</c:f>
              <c:numCache>
                <c:formatCode>0.0</c:formatCode>
                <c:ptCount val="5"/>
                <c:pt idx="0">
                  <c:v>24.175190457401282</c:v>
                </c:pt>
                <c:pt idx="1">
                  <c:v>22.11033059881122</c:v>
                </c:pt>
                <c:pt idx="2">
                  <c:v>20.734793957130428</c:v>
                </c:pt>
                <c:pt idx="3">
                  <c:v>19.837703708671452</c:v>
                </c:pt>
                <c:pt idx="4">
                  <c:v>18.335410607949036</c:v>
                </c:pt>
              </c:numCache>
            </c:numRef>
          </c:val>
          <c:extLst xmlns:c16r2="http://schemas.microsoft.com/office/drawing/2015/06/chart">
            <c:ext xmlns:c16="http://schemas.microsoft.com/office/drawing/2014/chart" uri="{C3380CC4-5D6E-409C-BE32-E72D297353CC}">
              <c16:uniqueId val="{00000001-BD8E-4B29-81A0-0D787D8BE2B6}"/>
            </c:ext>
          </c:extLst>
        </c:ser>
        <c:ser>
          <c:idx val="2"/>
          <c:order val="2"/>
          <c:tx>
            <c:strRef>
              <c:f>'Sheet 1'!$E$47</c:f>
              <c:strCache>
                <c:ptCount val="1"/>
                <c:pt idx="0">
                  <c:v>Occupancy rating (bedrooms) of 0</c:v>
                </c:pt>
              </c:strCache>
            </c:strRef>
          </c:tx>
          <c:spPr>
            <a:solidFill>
              <a:schemeClr val="accent3"/>
            </a:solidFill>
            <a:ln>
              <a:noFill/>
            </a:ln>
            <a:effectLst/>
          </c:spPr>
          <c:invertIfNegative val="0"/>
          <c:cat>
            <c:strRef>
              <c:f>'Sheet 1'!$B$48:$B$52</c:f>
              <c:strCache>
                <c:ptCount val="5"/>
                <c:pt idx="0">
                  <c:v>Other White</c:v>
                </c:pt>
                <c:pt idx="1">
                  <c:v>Mixed/multiple ethnic group: Total</c:v>
                </c:pt>
                <c:pt idx="2">
                  <c:v>Asian/Asian British: Total</c:v>
                </c:pt>
                <c:pt idx="3">
                  <c:v>Black/African/Caribbean/Black British: Total</c:v>
                </c:pt>
                <c:pt idx="4">
                  <c:v>Other ethnic group: Total</c:v>
                </c:pt>
              </c:strCache>
            </c:strRef>
          </c:cat>
          <c:val>
            <c:numRef>
              <c:f>'Sheet 1'!$E$48:$E$52</c:f>
              <c:numCache>
                <c:formatCode>0.0</c:formatCode>
                <c:ptCount val="5"/>
                <c:pt idx="0">
                  <c:v>42.565332200200324</c:v>
                </c:pt>
                <c:pt idx="1">
                  <c:v>43.370830672495948</c:v>
                </c:pt>
                <c:pt idx="2">
                  <c:v>40.077513248437867</c:v>
                </c:pt>
                <c:pt idx="3">
                  <c:v>43.21909999329354</c:v>
                </c:pt>
                <c:pt idx="4">
                  <c:v>43.927433873424732</c:v>
                </c:pt>
              </c:numCache>
            </c:numRef>
          </c:val>
          <c:extLst xmlns:c16r2="http://schemas.microsoft.com/office/drawing/2015/06/chart">
            <c:ext xmlns:c16="http://schemas.microsoft.com/office/drawing/2014/chart" uri="{C3380CC4-5D6E-409C-BE32-E72D297353CC}">
              <c16:uniqueId val="{00000002-BD8E-4B29-81A0-0D787D8BE2B6}"/>
            </c:ext>
          </c:extLst>
        </c:ser>
        <c:ser>
          <c:idx val="3"/>
          <c:order val="3"/>
          <c:tx>
            <c:strRef>
              <c:f>'Sheet 1'!$F$47</c:f>
              <c:strCache>
                <c:ptCount val="1"/>
                <c:pt idx="0">
                  <c:v>Occupancy rating (bedrooms) of -1 or less</c:v>
                </c:pt>
              </c:strCache>
            </c:strRef>
          </c:tx>
          <c:spPr>
            <a:solidFill>
              <a:schemeClr val="accent4"/>
            </a:solidFill>
            <a:ln>
              <a:noFill/>
            </a:ln>
            <a:effectLst/>
          </c:spPr>
          <c:invertIfNegative val="0"/>
          <c:cat>
            <c:strRef>
              <c:f>'Sheet 1'!$B$48:$B$52</c:f>
              <c:strCache>
                <c:ptCount val="5"/>
                <c:pt idx="0">
                  <c:v>Other White</c:v>
                </c:pt>
                <c:pt idx="1">
                  <c:v>Mixed/multiple ethnic group: Total</c:v>
                </c:pt>
                <c:pt idx="2">
                  <c:v>Asian/Asian British: Total</c:v>
                </c:pt>
                <c:pt idx="3">
                  <c:v>Black/African/Caribbean/Black British: Total</c:v>
                </c:pt>
                <c:pt idx="4">
                  <c:v>Other ethnic group: Total</c:v>
                </c:pt>
              </c:strCache>
            </c:strRef>
          </c:cat>
          <c:val>
            <c:numRef>
              <c:f>'Sheet 1'!$F$48:$F$52</c:f>
              <c:numCache>
                <c:formatCode>0.0</c:formatCode>
                <c:ptCount val="5"/>
                <c:pt idx="0">
                  <c:v>19.774182778401677</c:v>
                </c:pt>
                <c:pt idx="1">
                  <c:v>25.337721668222233</c:v>
                </c:pt>
                <c:pt idx="2">
                  <c:v>29.522265285138023</c:v>
                </c:pt>
                <c:pt idx="3">
                  <c:v>28.486352357320101</c:v>
                </c:pt>
                <c:pt idx="4">
                  <c:v>29.81581498407423</c:v>
                </c:pt>
              </c:numCache>
            </c:numRef>
          </c:val>
          <c:extLst xmlns:c16r2="http://schemas.microsoft.com/office/drawing/2015/06/chart">
            <c:ext xmlns:c16="http://schemas.microsoft.com/office/drawing/2014/chart" uri="{C3380CC4-5D6E-409C-BE32-E72D297353CC}">
              <c16:uniqueId val="{00000003-BD8E-4B29-81A0-0D787D8BE2B6}"/>
            </c:ext>
          </c:extLst>
        </c:ser>
        <c:dLbls>
          <c:showLegendKey val="0"/>
          <c:showVal val="0"/>
          <c:showCatName val="0"/>
          <c:showSerName val="0"/>
          <c:showPercent val="0"/>
          <c:showBubbleSize val="0"/>
        </c:dLbls>
        <c:gapWidth val="150"/>
        <c:overlap val="100"/>
        <c:axId val="443593736"/>
        <c:axId val="689601752"/>
      </c:barChart>
      <c:catAx>
        <c:axId val="443593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601752"/>
        <c:crosses val="autoZero"/>
        <c:auto val="1"/>
        <c:lblAlgn val="ctr"/>
        <c:lblOffset val="100"/>
        <c:noMultiLvlLbl val="0"/>
      </c:catAx>
      <c:valAx>
        <c:axId val="6896017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593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Sheet1!$A$25</c:f>
              <c:strCache>
                <c:ptCount val="1"/>
                <c:pt idx="0">
                  <c:v>UK</c:v>
                </c:pt>
              </c:strCache>
            </c:strRef>
          </c:tx>
          <c:spPr>
            <a:ln w="28575" cap="rnd">
              <a:solidFill>
                <a:schemeClr val="tx1"/>
              </a:solidFill>
              <a:prstDash val="dash"/>
              <a:round/>
            </a:ln>
            <a:effectLst/>
          </c:spPr>
          <c:marker>
            <c:symbol val="none"/>
          </c:marker>
          <c:cat>
            <c:strRef>
              <c:f>Sheet1!$B$24:$F$24</c:f>
              <c:strCache>
                <c:ptCount val="5"/>
                <c:pt idx="0">
                  <c:v>2012/13</c:v>
                </c:pt>
                <c:pt idx="1">
                  <c:v>2013/14</c:v>
                </c:pt>
                <c:pt idx="2">
                  <c:v>2014/15</c:v>
                </c:pt>
                <c:pt idx="3">
                  <c:v>2015/16</c:v>
                </c:pt>
                <c:pt idx="4">
                  <c:v>2016/17</c:v>
                </c:pt>
              </c:strCache>
            </c:strRef>
          </c:cat>
          <c:val>
            <c:numRef>
              <c:f>Sheet1!$B$25:$F$25</c:f>
              <c:numCache>
                <c:formatCode>General</c:formatCode>
                <c:ptCount val="5"/>
                <c:pt idx="0">
                  <c:v>5955</c:v>
                </c:pt>
                <c:pt idx="1">
                  <c:v>5900</c:v>
                </c:pt>
                <c:pt idx="2">
                  <c:v>6050</c:v>
                </c:pt>
                <c:pt idx="3">
                  <c:v>6345</c:v>
                </c:pt>
                <c:pt idx="4">
                  <c:v>7035</c:v>
                </c:pt>
              </c:numCache>
            </c:numRef>
          </c:val>
          <c:smooth val="0"/>
          <c:extLst xmlns:c16r2="http://schemas.microsoft.com/office/drawing/2015/06/chart">
            <c:ext xmlns:c16="http://schemas.microsoft.com/office/drawing/2014/chart" uri="{C3380CC4-5D6E-409C-BE32-E72D297353CC}">
              <c16:uniqueId val="{00000000-C20B-B64B-A9F7-ADE4B1E464A7}"/>
            </c:ext>
          </c:extLst>
        </c:ser>
        <c:ser>
          <c:idx val="1"/>
          <c:order val="1"/>
          <c:tx>
            <c:strRef>
              <c:f>Sheet1!$A$26</c:f>
              <c:strCache>
                <c:ptCount val="1"/>
                <c:pt idx="0">
                  <c:v>Non EU</c:v>
                </c:pt>
              </c:strCache>
            </c:strRef>
          </c:tx>
          <c:spPr>
            <a:ln w="28575" cap="rnd">
              <a:solidFill>
                <a:schemeClr val="bg2">
                  <a:lumMod val="90000"/>
                </a:schemeClr>
              </a:solidFill>
              <a:prstDash val="sysDot"/>
              <a:round/>
            </a:ln>
            <a:effectLst/>
          </c:spPr>
          <c:marker>
            <c:symbol val="none"/>
          </c:marker>
          <c:cat>
            <c:strRef>
              <c:f>Sheet1!$B$24:$F$24</c:f>
              <c:strCache>
                <c:ptCount val="5"/>
                <c:pt idx="0">
                  <c:v>2012/13</c:v>
                </c:pt>
                <c:pt idx="1">
                  <c:v>2013/14</c:v>
                </c:pt>
                <c:pt idx="2">
                  <c:v>2014/15</c:v>
                </c:pt>
                <c:pt idx="3">
                  <c:v>2015/16</c:v>
                </c:pt>
                <c:pt idx="4">
                  <c:v>2016/17</c:v>
                </c:pt>
              </c:strCache>
            </c:strRef>
          </c:cat>
          <c:val>
            <c:numRef>
              <c:f>Sheet1!$B$26:$F$26</c:f>
              <c:numCache>
                <c:formatCode>General</c:formatCode>
                <c:ptCount val="5"/>
                <c:pt idx="0">
                  <c:v>1315</c:v>
                </c:pt>
                <c:pt idx="1">
                  <c:v>1380</c:v>
                </c:pt>
                <c:pt idx="2">
                  <c:v>1330</c:v>
                </c:pt>
                <c:pt idx="3">
                  <c:v>1395</c:v>
                </c:pt>
                <c:pt idx="4">
                  <c:v>1465</c:v>
                </c:pt>
              </c:numCache>
            </c:numRef>
          </c:val>
          <c:smooth val="0"/>
          <c:extLst xmlns:c16r2="http://schemas.microsoft.com/office/drawing/2015/06/chart">
            <c:ext xmlns:c16="http://schemas.microsoft.com/office/drawing/2014/chart" uri="{C3380CC4-5D6E-409C-BE32-E72D297353CC}">
              <c16:uniqueId val="{00000001-C20B-B64B-A9F7-ADE4B1E464A7}"/>
            </c:ext>
          </c:extLst>
        </c:ser>
        <c:ser>
          <c:idx val="2"/>
          <c:order val="2"/>
          <c:tx>
            <c:strRef>
              <c:f>Sheet1!$A$27</c:f>
              <c:strCache>
                <c:ptCount val="1"/>
                <c:pt idx="0">
                  <c:v>Other EU</c:v>
                </c:pt>
              </c:strCache>
            </c:strRef>
          </c:tx>
          <c:spPr>
            <a:ln w="28575" cap="rnd" cmpd="dbl">
              <a:solidFill>
                <a:schemeClr val="accent3"/>
              </a:solidFill>
              <a:round/>
            </a:ln>
            <a:effectLst/>
          </c:spPr>
          <c:marker>
            <c:symbol val="none"/>
          </c:marker>
          <c:cat>
            <c:strRef>
              <c:f>Sheet1!$B$24:$F$24</c:f>
              <c:strCache>
                <c:ptCount val="5"/>
                <c:pt idx="0">
                  <c:v>2012/13</c:v>
                </c:pt>
                <c:pt idx="1">
                  <c:v>2013/14</c:v>
                </c:pt>
                <c:pt idx="2">
                  <c:v>2014/15</c:v>
                </c:pt>
                <c:pt idx="3">
                  <c:v>2015/16</c:v>
                </c:pt>
                <c:pt idx="4">
                  <c:v>2016/17</c:v>
                </c:pt>
              </c:strCache>
            </c:strRef>
          </c:cat>
          <c:val>
            <c:numRef>
              <c:f>Sheet1!$B$27:$F$27</c:f>
              <c:numCache>
                <c:formatCode>General</c:formatCode>
                <c:ptCount val="5"/>
                <c:pt idx="0">
                  <c:v>810</c:v>
                </c:pt>
                <c:pt idx="1">
                  <c:v>830</c:v>
                </c:pt>
                <c:pt idx="2">
                  <c:v>785</c:v>
                </c:pt>
                <c:pt idx="3">
                  <c:v>785</c:v>
                </c:pt>
                <c:pt idx="4">
                  <c:v>850</c:v>
                </c:pt>
              </c:numCache>
            </c:numRef>
          </c:val>
          <c:smooth val="0"/>
          <c:extLst xmlns:c16r2="http://schemas.microsoft.com/office/drawing/2015/06/chart">
            <c:ext xmlns:c16="http://schemas.microsoft.com/office/drawing/2014/chart" uri="{C3380CC4-5D6E-409C-BE32-E72D297353CC}">
              <c16:uniqueId val="{00000002-C20B-B64B-A9F7-ADE4B1E464A7}"/>
            </c:ext>
          </c:extLst>
        </c:ser>
        <c:ser>
          <c:idx val="3"/>
          <c:order val="3"/>
          <c:tx>
            <c:strRef>
              <c:f>Sheet1!$A$28</c:f>
              <c:strCache>
                <c:ptCount val="1"/>
                <c:pt idx="0">
                  <c:v>Total</c:v>
                </c:pt>
              </c:strCache>
            </c:strRef>
          </c:tx>
          <c:spPr>
            <a:ln w="28575" cap="rnd">
              <a:solidFill>
                <a:schemeClr val="tx1"/>
              </a:solidFill>
              <a:round/>
            </a:ln>
            <a:effectLst/>
          </c:spPr>
          <c:marker>
            <c:symbol val="none"/>
          </c:marker>
          <c:cat>
            <c:strRef>
              <c:f>Sheet1!$B$24:$F$24</c:f>
              <c:strCache>
                <c:ptCount val="5"/>
                <c:pt idx="0">
                  <c:v>2012/13</c:v>
                </c:pt>
                <c:pt idx="1">
                  <c:v>2013/14</c:v>
                </c:pt>
                <c:pt idx="2">
                  <c:v>2014/15</c:v>
                </c:pt>
                <c:pt idx="3">
                  <c:v>2015/16</c:v>
                </c:pt>
                <c:pt idx="4">
                  <c:v>2016/17</c:v>
                </c:pt>
              </c:strCache>
            </c:strRef>
          </c:cat>
          <c:val>
            <c:numRef>
              <c:f>Sheet1!$B$28:$F$28</c:f>
              <c:numCache>
                <c:formatCode>General</c:formatCode>
                <c:ptCount val="5"/>
                <c:pt idx="0">
                  <c:v>8075</c:v>
                </c:pt>
                <c:pt idx="1">
                  <c:v>8110</c:v>
                </c:pt>
                <c:pt idx="2">
                  <c:v>8165</c:v>
                </c:pt>
                <c:pt idx="3">
                  <c:v>8525</c:v>
                </c:pt>
                <c:pt idx="4">
                  <c:v>9345</c:v>
                </c:pt>
              </c:numCache>
            </c:numRef>
          </c:val>
          <c:smooth val="0"/>
          <c:extLst xmlns:c16r2="http://schemas.microsoft.com/office/drawing/2015/06/chart">
            <c:ext xmlns:c16="http://schemas.microsoft.com/office/drawing/2014/chart" uri="{C3380CC4-5D6E-409C-BE32-E72D297353CC}">
              <c16:uniqueId val="{00000003-C20B-B64B-A9F7-ADE4B1E464A7}"/>
            </c:ext>
          </c:extLst>
        </c:ser>
        <c:dLbls>
          <c:showLegendKey val="0"/>
          <c:showVal val="0"/>
          <c:showCatName val="0"/>
          <c:showSerName val="0"/>
          <c:showPercent val="0"/>
          <c:showBubbleSize val="0"/>
        </c:dLbls>
        <c:smooth val="0"/>
        <c:axId val="689600576"/>
        <c:axId val="689600968"/>
      </c:lineChart>
      <c:catAx>
        <c:axId val="68960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89600968"/>
        <c:crosses val="autoZero"/>
        <c:auto val="1"/>
        <c:lblAlgn val="ctr"/>
        <c:lblOffset val="100"/>
        <c:noMultiLvlLbl val="0"/>
      </c:catAx>
      <c:valAx>
        <c:axId val="689600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8960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Sheet1!$A$32</c:f>
              <c:strCache>
                <c:ptCount val="1"/>
                <c:pt idx="0">
                  <c:v>UK</c:v>
                </c:pt>
              </c:strCache>
            </c:strRef>
          </c:tx>
          <c:spPr>
            <a:ln w="28575" cap="rnd">
              <a:solidFill>
                <a:schemeClr val="tx1"/>
              </a:solidFill>
              <a:prstDash val="dash"/>
              <a:round/>
            </a:ln>
            <a:effectLst/>
          </c:spPr>
          <c:marker>
            <c:symbol val="none"/>
          </c:marker>
          <c:cat>
            <c:strRef>
              <c:f>Sheet1!$B$31:$F$31</c:f>
              <c:strCache>
                <c:ptCount val="5"/>
                <c:pt idx="0">
                  <c:v>2012/13</c:v>
                </c:pt>
                <c:pt idx="1">
                  <c:v>2013/14</c:v>
                </c:pt>
                <c:pt idx="2">
                  <c:v>2014/15</c:v>
                </c:pt>
                <c:pt idx="3">
                  <c:v>2015/16</c:v>
                </c:pt>
                <c:pt idx="4">
                  <c:v>2016/17</c:v>
                </c:pt>
              </c:strCache>
            </c:strRef>
          </c:cat>
          <c:val>
            <c:numRef>
              <c:f>Sheet1!$B$32:$F$32</c:f>
              <c:numCache>
                <c:formatCode>General</c:formatCode>
                <c:ptCount val="5"/>
                <c:pt idx="0">
                  <c:v>19240</c:v>
                </c:pt>
                <c:pt idx="1">
                  <c:v>17575</c:v>
                </c:pt>
                <c:pt idx="2">
                  <c:v>17045</c:v>
                </c:pt>
                <c:pt idx="3">
                  <c:v>16455</c:v>
                </c:pt>
                <c:pt idx="4">
                  <c:v>16220</c:v>
                </c:pt>
              </c:numCache>
            </c:numRef>
          </c:val>
          <c:smooth val="0"/>
          <c:extLst xmlns:c16r2="http://schemas.microsoft.com/office/drawing/2015/06/chart">
            <c:ext xmlns:c16="http://schemas.microsoft.com/office/drawing/2014/chart" uri="{C3380CC4-5D6E-409C-BE32-E72D297353CC}">
              <c16:uniqueId val="{00000000-7695-8549-85A1-BEAF8AB4CB56}"/>
            </c:ext>
          </c:extLst>
        </c:ser>
        <c:ser>
          <c:idx val="1"/>
          <c:order val="1"/>
          <c:tx>
            <c:strRef>
              <c:f>Sheet1!$A$33</c:f>
              <c:strCache>
                <c:ptCount val="1"/>
                <c:pt idx="0">
                  <c:v>Non EU</c:v>
                </c:pt>
              </c:strCache>
            </c:strRef>
          </c:tx>
          <c:spPr>
            <a:ln w="28575" cap="rnd">
              <a:solidFill>
                <a:schemeClr val="bg1">
                  <a:lumMod val="75000"/>
                </a:schemeClr>
              </a:solidFill>
              <a:prstDash val="sysDot"/>
              <a:round/>
            </a:ln>
            <a:effectLst/>
          </c:spPr>
          <c:marker>
            <c:symbol val="none"/>
          </c:marker>
          <c:cat>
            <c:strRef>
              <c:f>Sheet1!$B$31:$F$31</c:f>
              <c:strCache>
                <c:ptCount val="5"/>
                <c:pt idx="0">
                  <c:v>2012/13</c:v>
                </c:pt>
                <c:pt idx="1">
                  <c:v>2013/14</c:v>
                </c:pt>
                <c:pt idx="2">
                  <c:v>2014/15</c:v>
                </c:pt>
                <c:pt idx="3">
                  <c:v>2015/16</c:v>
                </c:pt>
                <c:pt idx="4">
                  <c:v>2016/17</c:v>
                </c:pt>
              </c:strCache>
            </c:strRef>
          </c:cat>
          <c:val>
            <c:numRef>
              <c:f>Sheet1!$B$33:$F$33</c:f>
              <c:numCache>
                <c:formatCode>General</c:formatCode>
                <c:ptCount val="5"/>
                <c:pt idx="0">
                  <c:v>3650</c:v>
                </c:pt>
                <c:pt idx="1">
                  <c:v>3320</c:v>
                </c:pt>
                <c:pt idx="2">
                  <c:v>3095</c:v>
                </c:pt>
                <c:pt idx="3">
                  <c:v>2885</c:v>
                </c:pt>
                <c:pt idx="4">
                  <c:v>2350</c:v>
                </c:pt>
              </c:numCache>
            </c:numRef>
          </c:val>
          <c:smooth val="0"/>
          <c:extLst xmlns:c16r2="http://schemas.microsoft.com/office/drawing/2015/06/chart">
            <c:ext xmlns:c16="http://schemas.microsoft.com/office/drawing/2014/chart" uri="{C3380CC4-5D6E-409C-BE32-E72D297353CC}">
              <c16:uniqueId val="{00000001-7695-8549-85A1-BEAF8AB4CB56}"/>
            </c:ext>
          </c:extLst>
        </c:ser>
        <c:ser>
          <c:idx val="2"/>
          <c:order val="2"/>
          <c:tx>
            <c:strRef>
              <c:f>Sheet1!$A$34</c:f>
              <c:strCache>
                <c:ptCount val="1"/>
                <c:pt idx="0">
                  <c:v>Other EU</c:v>
                </c:pt>
              </c:strCache>
            </c:strRef>
          </c:tx>
          <c:spPr>
            <a:ln w="28575" cap="rnd" cmpd="dbl">
              <a:solidFill>
                <a:schemeClr val="accent3"/>
              </a:solidFill>
              <a:round/>
            </a:ln>
            <a:effectLst/>
          </c:spPr>
          <c:marker>
            <c:symbol val="none"/>
          </c:marker>
          <c:cat>
            <c:strRef>
              <c:f>Sheet1!$B$31:$F$31</c:f>
              <c:strCache>
                <c:ptCount val="5"/>
                <c:pt idx="0">
                  <c:v>2012/13</c:v>
                </c:pt>
                <c:pt idx="1">
                  <c:v>2013/14</c:v>
                </c:pt>
                <c:pt idx="2">
                  <c:v>2014/15</c:v>
                </c:pt>
                <c:pt idx="3">
                  <c:v>2015/16</c:v>
                </c:pt>
                <c:pt idx="4">
                  <c:v>2016/17</c:v>
                </c:pt>
              </c:strCache>
            </c:strRef>
          </c:cat>
          <c:val>
            <c:numRef>
              <c:f>Sheet1!$B$34:$F$34</c:f>
              <c:numCache>
                <c:formatCode>General</c:formatCode>
                <c:ptCount val="5"/>
                <c:pt idx="0">
                  <c:v>1035</c:v>
                </c:pt>
                <c:pt idx="1">
                  <c:v>1055</c:v>
                </c:pt>
                <c:pt idx="2">
                  <c:v>1150</c:v>
                </c:pt>
                <c:pt idx="3">
                  <c:v>1305</c:v>
                </c:pt>
                <c:pt idx="4">
                  <c:v>1340</c:v>
                </c:pt>
              </c:numCache>
            </c:numRef>
          </c:val>
          <c:smooth val="0"/>
          <c:extLst xmlns:c16r2="http://schemas.microsoft.com/office/drawing/2015/06/chart">
            <c:ext xmlns:c16="http://schemas.microsoft.com/office/drawing/2014/chart" uri="{C3380CC4-5D6E-409C-BE32-E72D297353CC}">
              <c16:uniqueId val="{00000002-7695-8549-85A1-BEAF8AB4CB56}"/>
            </c:ext>
          </c:extLst>
        </c:ser>
        <c:ser>
          <c:idx val="3"/>
          <c:order val="3"/>
          <c:tx>
            <c:strRef>
              <c:f>Sheet1!$A$35</c:f>
              <c:strCache>
                <c:ptCount val="1"/>
                <c:pt idx="0">
                  <c:v>Total</c:v>
                </c:pt>
              </c:strCache>
            </c:strRef>
          </c:tx>
          <c:spPr>
            <a:ln w="28575" cap="rnd">
              <a:solidFill>
                <a:schemeClr val="tx1"/>
              </a:solidFill>
              <a:round/>
            </a:ln>
            <a:effectLst/>
          </c:spPr>
          <c:marker>
            <c:symbol val="none"/>
          </c:marker>
          <c:cat>
            <c:strRef>
              <c:f>Sheet1!$B$31:$F$31</c:f>
              <c:strCache>
                <c:ptCount val="5"/>
                <c:pt idx="0">
                  <c:v>2012/13</c:v>
                </c:pt>
                <c:pt idx="1">
                  <c:v>2013/14</c:v>
                </c:pt>
                <c:pt idx="2">
                  <c:v>2014/15</c:v>
                </c:pt>
                <c:pt idx="3">
                  <c:v>2015/16</c:v>
                </c:pt>
                <c:pt idx="4">
                  <c:v>2016/17</c:v>
                </c:pt>
              </c:strCache>
            </c:strRef>
          </c:cat>
          <c:val>
            <c:numRef>
              <c:f>Sheet1!$B$35:$F$35</c:f>
              <c:numCache>
                <c:formatCode>General</c:formatCode>
                <c:ptCount val="5"/>
                <c:pt idx="0">
                  <c:v>23925</c:v>
                </c:pt>
                <c:pt idx="1">
                  <c:v>21950</c:v>
                </c:pt>
                <c:pt idx="2">
                  <c:v>21295</c:v>
                </c:pt>
                <c:pt idx="3">
                  <c:v>20645</c:v>
                </c:pt>
                <c:pt idx="4">
                  <c:v>19915</c:v>
                </c:pt>
              </c:numCache>
            </c:numRef>
          </c:val>
          <c:smooth val="0"/>
          <c:extLst xmlns:c16r2="http://schemas.microsoft.com/office/drawing/2015/06/chart">
            <c:ext xmlns:c16="http://schemas.microsoft.com/office/drawing/2014/chart" uri="{C3380CC4-5D6E-409C-BE32-E72D297353CC}">
              <c16:uniqueId val="{00000003-7695-8549-85A1-BEAF8AB4CB56}"/>
            </c:ext>
          </c:extLst>
        </c:ser>
        <c:dLbls>
          <c:showLegendKey val="0"/>
          <c:showVal val="0"/>
          <c:showCatName val="0"/>
          <c:showSerName val="0"/>
          <c:showPercent val="0"/>
          <c:showBubbleSize val="0"/>
        </c:dLbls>
        <c:smooth val="0"/>
        <c:axId val="689601360"/>
        <c:axId val="689599400"/>
      </c:lineChart>
      <c:catAx>
        <c:axId val="68960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89599400"/>
        <c:crosses val="autoZero"/>
        <c:auto val="1"/>
        <c:lblAlgn val="ctr"/>
        <c:lblOffset val="100"/>
        <c:noMultiLvlLbl val="0"/>
      </c:catAx>
      <c:valAx>
        <c:axId val="689599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8960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Median property values in wards with higher than average levels of PRS compared to the median in Lewisham 2017</a:t>
            </a:r>
            <a:endParaRPr lang="en-GB" sz="1400">
              <a:effectLst/>
            </a:endParaRPr>
          </a:p>
        </c:rich>
      </c:tx>
      <c:layout>
        <c:manualLayout>
          <c:xMode val="edge"/>
          <c:yMode val="edge"/>
          <c:x val="0.1384860017497812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cat>
            <c:strRef>
              <c:f>Sheet1!$O$16:$O$25</c:f>
              <c:strCache>
                <c:ptCount val="10"/>
                <c:pt idx="0">
                  <c:v>Lewisham</c:v>
                </c:pt>
                <c:pt idx="1">
                  <c:v>Forest Hill</c:v>
                </c:pt>
                <c:pt idx="2">
                  <c:v>Crofton Park</c:v>
                </c:pt>
                <c:pt idx="3">
                  <c:v>Ladywell</c:v>
                </c:pt>
                <c:pt idx="4">
                  <c:v>Blackheath</c:v>
                </c:pt>
                <c:pt idx="5">
                  <c:v>Telegraph Hill</c:v>
                </c:pt>
                <c:pt idx="6">
                  <c:v>Rushey Green</c:v>
                </c:pt>
                <c:pt idx="7">
                  <c:v>New Cross</c:v>
                </c:pt>
                <c:pt idx="8">
                  <c:v>Lewisham Central</c:v>
                </c:pt>
                <c:pt idx="9">
                  <c:v>Brockley</c:v>
                </c:pt>
              </c:strCache>
            </c:strRef>
          </c:cat>
          <c:val>
            <c:numRef>
              <c:f>Sheet1!$P$16:$P$25</c:f>
              <c:numCache>
                <c:formatCode>General</c:formatCode>
                <c:ptCount val="10"/>
                <c:pt idx="0">
                  <c:v>412000</c:v>
                </c:pt>
                <c:pt idx="1">
                  <c:v>425000</c:v>
                </c:pt>
                <c:pt idx="2">
                  <c:v>500000</c:v>
                </c:pt>
                <c:pt idx="3">
                  <c:v>529400</c:v>
                </c:pt>
                <c:pt idx="4">
                  <c:v>434460</c:v>
                </c:pt>
                <c:pt idx="5">
                  <c:v>457500</c:v>
                </c:pt>
                <c:pt idx="6">
                  <c:v>410000</c:v>
                </c:pt>
                <c:pt idx="7">
                  <c:v>348750</c:v>
                </c:pt>
                <c:pt idx="8">
                  <c:v>369000</c:v>
                </c:pt>
                <c:pt idx="9">
                  <c:v>420000</c:v>
                </c:pt>
              </c:numCache>
            </c:numRef>
          </c:val>
          <c:extLst xmlns:c16r2="http://schemas.microsoft.com/office/drawing/2015/06/chart">
            <c:ext xmlns:c16="http://schemas.microsoft.com/office/drawing/2014/chart" uri="{C3380CC4-5D6E-409C-BE32-E72D297353CC}">
              <c16:uniqueId val="{00000000-B9C8-144D-A9EF-06BD661D5BA5}"/>
            </c:ext>
          </c:extLst>
        </c:ser>
        <c:dLbls>
          <c:showLegendKey val="0"/>
          <c:showVal val="0"/>
          <c:showCatName val="0"/>
          <c:showSerName val="0"/>
          <c:showPercent val="0"/>
          <c:showBubbleSize val="0"/>
        </c:dLbls>
        <c:gapWidth val="182"/>
        <c:axId val="693104896"/>
        <c:axId val="378988752"/>
      </c:barChart>
      <c:catAx>
        <c:axId val="693104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988752"/>
        <c:crosses val="autoZero"/>
        <c:auto val="1"/>
        <c:lblAlgn val="ctr"/>
        <c:lblOffset val="100"/>
        <c:noMultiLvlLbl val="0"/>
      </c:catAx>
      <c:valAx>
        <c:axId val="378988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104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The percentage of properties coming onto the market by bed size 2015-2017</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'[Rental Tables for Lewisham - Ward 2018 Based.xlsx]Sheet1'!$W$62</c:f>
              <c:strCache>
                <c:ptCount val="1"/>
                <c:pt idx="0">
                  <c:v>2015</c:v>
                </c:pt>
              </c:strCache>
            </c:strRef>
          </c:tx>
          <c:spPr>
            <a:solidFill>
              <a:schemeClr val="accent1"/>
            </a:solidFill>
            <a:ln>
              <a:noFill/>
            </a:ln>
            <a:effectLst/>
          </c:spPr>
          <c:invertIfNegative val="0"/>
          <c:cat>
            <c:strRef>
              <c:f>'[Rental Tables for Lewisham - Ward 2018 Based.xlsx]Sheet1'!$V$63:$V$67</c:f>
              <c:strCache>
                <c:ptCount val="5"/>
                <c:pt idx="0">
                  <c:v>0</c:v>
                </c:pt>
                <c:pt idx="1">
                  <c:v>1</c:v>
                </c:pt>
                <c:pt idx="2">
                  <c:v>2</c:v>
                </c:pt>
                <c:pt idx="3">
                  <c:v>3</c:v>
                </c:pt>
                <c:pt idx="4">
                  <c:v>4+</c:v>
                </c:pt>
              </c:strCache>
            </c:strRef>
          </c:cat>
          <c:val>
            <c:numRef>
              <c:f>'[Rental Tables for Lewisham - Ward 2018 Based.xlsx]Sheet1'!$W$63:$W$67</c:f>
              <c:numCache>
                <c:formatCode>0.0</c:formatCode>
                <c:ptCount val="5"/>
                <c:pt idx="0">
                  <c:v>8.6330064172417966</c:v>
                </c:pt>
                <c:pt idx="1">
                  <c:v>32.800581184162731</c:v>
                </c:pt>
                <c:pt idx="2">
                  <c:v>39.048310933527063</c:v>
                </c:pt>
                <c:pt idx="3">
                  <c:v>12.664971546192033</c:v>
                </c:pt>
                <c:pt idx="4">
                  <c:v>6.8531299188763768</c:v>
                </c:pt>
              </c:numCache>
            </c:numRef>
          </c:val>
          <c:extLst xmlns:c16r2="http://schemas.microsoft.com/office/drawing/2015/06/chart">
            <c:ext xmlns:c16="http://schemas.microsoft.com/office/drawing/2014/chart" uri="{C3380CC4-5D6E-409C-BE32-E72D297353CC}">
              <c16:uniqueId val="{00000000-C7C1-E946-A0CE-F25C8A4BD29B}"/>
            </c:ext>
          </c:extLst>
        </c:ser>
        <c:ser>
          <c:idx val="1"/>
          <c:order val="1"/>
          <c:tx>
            <c:strRef>
              <c:f>'[Rental Tables for Lewisham - Ward 2018 Based.xlsx]Sheet1'!$X$62</c:f>
              <c:strCache>
                <c:ptCount val="1"/>
                <c:pt idx="0">
                  <c:v>2016</c:v>
                </c:pt>
              </c:strCache>
            </c:strRef>
          </c:tx>
          <c:spPr>
            <a:solidFill>
              <a:schemeClr val="accent2"/>
            </a:solidFill>
            <a:ln>
              <a:noFill/>
            </a:ln>
            <a:effectLst/>
          </c:spPr>
          <c:invertIfNegative val="0"/>
          <c:cat>
            <c:strRef>
              <c:f>'[Rental Tables for Lewisham - Ward 2018 Based.xlsx]Sheet1'!$V$63:$V$67</c:f>
              <c:strCache>
                <c:ptCount val="5"/>
                <c:pt idx="0">
                  <c:v>0</c:v>
                </c:pt>
                <c:pt idx="1">
                  <c:v>1</c:v>
                </c:pt>
                <c:pt idx="2">
                  <c:v>2</c:v>
                </c:pt>
                <c:pt idx="3">
                  <c:v>3</c:v>
                </c:pt>
                <c:pt idx="4">
                  <c:v>4+</c:v>
                </c:pt>
              </c:strCache>
            </c:strRef>
          </c:cat>
          <c:val>
            <c:numRef>
              <c:f>'[Rental Tables for Lewisham - Ward 2018 Based.xlsx]Sheet1'!$X$63:$X$67</c:f>
              <c:numCache>
                <c:formatCode>0.0</c:formatCode>
                <c:ptCount val="5"/>
                <c:pt idx="0">
                  <c:v>7.8636630097981746</c:v>
                </c:pt>
                <c:pt idx="1">
                  <c:v>37.676911481450468</c:v>
                </c:pt>
                <c:pt idx="2">
                  <c:v>37.710409513441085</c:v>
                </c:pt>
                <c:pt idx="3">
                  <c:v>10.886860396951679</c:v>
                </c:pt>
                <c:pt idx="4">
                  <c:v>5.862155598358596</c:v>
                </c:pt>
              </c:numCache>
            </c:numRef>
          </c:val>
          <c:extLst xmlns:c16r2="http://schemas.microsoft.com/office/drawing/2015/06/chart">
            <c:ext xmlns:c16="http://schemas.microsoft.com/office/drawing/2014/chart" uri="{C3380CC4-5D6E-409C-BE32-E72D297353CC}">
              <c16:uniqueId val="{00000001-C7C1-E946-A0CE-F25C8A4BD29B}"/>
            </c:ext>
          </c:extLst>
        </c:ser>
        <c:ser>
          <c:idx val="2"/>
          <c:order val="2"/>
          <c:tx>
            <c:strRef>
              <c:f>'[Rental Tables for Lewisham - Ward 2018 Based.xlsx]Sheet1'!$Y$62</c:f>
              <c:strCache>
                <c:ptCount val="1"/>
                <c:pt idx="0">
                  <c:v>2017</c:v>
                </c:pt>
              </c:strCache>
            </c:strRef>
          </c:tx>
          <c:spPr>
            <a:solidFill>
              <a:schemeClr val="accent3"/>
            </a:solidFill>
            <a:ln>
              <a:noFill/>
            </a:ln>
            <a:effectLst/>
          </c:spPr>
          <c:invertIfNegative val="0"/>
          <c:cat>
            <c:strRef>
              <c:f>'[Rental Tables for Lewisham - Ward 2018 Based.xlsx]Sheet1'!$V$63:$V$67</c:f>
              <c:strCache>
                <c:ptCount val="5"/>
                <c:pt idx="0">
                  <c:v>0</c:v>
                </c:pt>
                <c:pt idx="1">
                  <c:v>1</c:v>
                </c:pt>
                <c:pt idx="2">
                  <c:v>2</c:v>
                </c:pt>
                <c:pt idx="3">
                  <c:v>3</c:v>
                </c:pt>
                <c:pt idx="4">
                  <c:v>4+</c:v>
                </c:pt>
              </c:strCache>
            </c:strRef>
          </c:cat>
          <c:val>
            <c:numRef>
              <c:f>'[Rental Tables for Lewisham - Ward 2018 Based.xlsx]Sheet1'!$Y$63:$Y$67</c:f>
              <c:numCache>
                <c:formatCode>0.0</c:formatCode>
                <c:ptCount val="5"/>
                <c:pt idx="0">
                  <c:v>9.9900472754416523</c:v>
                </c:pt>
                <c:pt idx="1">
                  <c:v>37.583976113461063</c:v>
                </c:pt>
                <c:pt idx="2">
                  <c:v>33.329186364767352</c:v>
                </c:pt>
                <c:pt idx="3">
                  <c:v>13.038069171435682</c:v>
                </c:pt>
                <c:pt idx="4">
                  <c:v>6.0587210748942519</c:v>
                </c:pt>
              </c:numCache>
            </c:numRef>
          </c:val>
          <c:extLst xmlns:c16r2="http://schemas.microsoft.com/office/drawing/2015/06/chart">
            <c:ext xmlns:c16="http://schemas.microsoft.com/office/drawing/2014/chart" uri="{C3380CC4-5D6E-409C-BE32-E72D297353CC}">
              <c16:uniqueId val="{00000002-C7C1-E946-A0CE-F25C8A4BD29B}"/>
            </c:ext>
          </c:extLst>
        </c:ser>
        <c:ser>
          <c:idx val="3"/>
          <c:order val="3"/>
          <c:tx>
            <c:strRef>
              <c:f>'[Rental Tables for Lewisham - Ward 2018 Based.xlsx]Sheet1'!$Z$62</c:f>
              <c:strCache>
                <c:ptCount val="1"/>
                <c:pt idx="0">
                  <c:v>2015-2017</c:v>
                </c:pt>
              </c:strCache>
            </c:strRef>
          </c:tx>
          <c:spPr>
            <a:solidFill>
              <a:schemeClr val="accent4"/>
            </a:solidFill>
            <a:ln>
              <a:noFill/>
            </a:ln>
            <a:effectLst/>
          </c:spPr>
          <c:invertIfNegative val="0"/>
          <c:cat>
            <c:strRef>
              <c:f>'[Rental Tables for Lewisham - Ward 2018 Based.xlsx]Sheet1'!$V$63:$V$67</c:f>
              <c:strCache>
                <c:ptCount val="5"/>
                <c:pt idx="0">
                  <c:v>0</c:v>
                </c:pt>
                <c:pt idx="1">
                  <c:v>1</c:v>
                </c:pt>
                <c:pt idx="2">
                  <c:v>2</c:v>
                </c:pt>
                <c:pt idx="3">
                  <c:v>3</c:v>
                </c:pt>
                <c:pt idx="4">
                  <c:v>4+</c:v>
                </c:pt>
              </c:strCache>
            </c:strRef>
          </c:cat>
          <c:val>
            <c:numRef>
              <c:f>'[Rental Tables for Lewisham - Ward 2018 Based.xlsx]Sheet1'!$Z$63:$Z$67</c:f>
              <c:numCache>
                <c:formatCode>0.0</c:formatCode>
                <c:ptCount val="5"/>
                <c:pt idx="0">
                  <c:v>8.6939584956441678</c:v>
                </c:pt>
                <c:pt idx="1">
                  <c:v>36.224236843969123</c:v>
                </c:pt>
                <c:pt idx="2">
                  <c:v>36.854593101494444</c:v>
                </c:pt>
                <c:pt idx="3">
                  <c:v>12.019264820454707</c:v>
                </c:pt>
                <c:pt idx="4">
                  <c:v>6.2079467384375659</c:v>
                </c:pt>
              </c:numCache>
            </c:numRef>
          </c:val>
          <c:extLst xmlns:c16r2="http://schemas.microsoft.com/office/drawing/2015/06/chart">
            <c:ext xmlns:c16="http://schemas.microsoft.com/office/drawing/2014/chart" uri="{C3380CC4-5D6E-409C-BE32-E72D297353CC}">
              <c16:uniqueId val="{00000003-C7C1-E946-A0CE-F25C8A4BD29B}"/>
            </c:ext>
          </c:extLst>
        </c:ser>
        <c:dLbls>
          <c:showLegendKey val="0"/>
          <c:showVal val="0"/>
          <c:showCatName val="0"/>
          <c:showSerName val="0"/>
          <c:showPercent val="0"/>
          <c:showBubbleSize val="0"/>
        </c:dLbls>
        <c:gapWidth val="219"/>
        <c:overlap val="-27"/>
        <c:axId val="439520304"/>
        <c:axId val="439522656"/>
      </c:barChart>
      <c:catAx>
        <c:axId val="43952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522656"/>
        <c:crosses val="autoZero"/>
        <c:auto val="1"/>
        <c:lblAlgn val="ctr"/>
        <c:lblOffset val="100"/>
        <c:noMultiLvlLbl val="0"/>
      </c:catAx>
      <c:valAx>
        <c:axId val="439522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52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D9B84-C839-4028-B22E-323B9196F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SHMA Template V2</Template>
  <TotalTime>0</TotalTime>
  <Pages>35</Pages>
  <Words>50276</Words>
  <Characters>286579</Characters>
  <Application>Microsoft Office Word</Application>
  <DocSecurity>4</DocSecurity>
  <Lines>2388</Lines>
  <Paragraphs>672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336183</CharactersWithSpaces>
  <SharedDoc>false</SharedDoc>
  <HLinks>
    <vt:vector size="816" baseType="variant">
      <vt:variant>
        <vt:i4>1179700</vt:i4>
      </vt:variant>
      <vt:variant>
        <vt:i4>773</vt:i4>
      </vt:variant>
      <vt:variant>
        <vt:i4>0</vt:i4>
      </vt:variant>
      <vt:variant>
        <vt:i4>5</vt:i4>
      </vt:variant>
      <vt:variant>
        <vt:lpwstr/>
      </vt:variant>
      <vt:variant>
        <vt:lpwstr>_Toc373354151</vt:lpwstr>
      </vt:variant>
      <vt:variant>
        <vt:i4>2031676</vt:i4>
      </vt:variant>
      <vt:variant>
        <vt:i4>764</vt:i4>
      </vt:variant>
      <vt:variant>
        <vt:i4>0</vt:i4>
      </vt:variant>
      <vt:variant>
        <vt:i4>5</vt:i4>
      </vt:variant>
      <vt:variant>
        <vt:lpwstr/>
      </vt:variant>
      <vt:variant>
        <vt:lpwstr>_Toc373493589</vt:lpwstr>
      </vt:variant>
      <vt:variant>
        <vt:i4>2031676</vt:i4>
      </vt:variant>
      <vt:variant>
        <vt:i4>758</vt:i4>
      </vt:variant>
      <vt:variant>
        <vt:i4>0</vt:i4>
      </vt:variant>
      <vt:variant>
        <vt:i4>5</vt:i4>
      </vt:variant>
      <vt:variant>
        <vt:lpwstr/>
      </vt:variant>
      <vt:variant>
        <vt:lpwstr>_Toc373493588</vt:lpwstr>
      </vt:variant>
      <vt:variant>
        <vt:i4>2031676</vt:i4>
      </vt:variant>
      <vt:variant>
        <vt:i4>752</vt:i4>
      </vt:variant>
      <vt:variant>
        <vt:i4>0</vt:i4>
      </vt:variant>
      <vt:variant>
        <vt:i4>5</vt:i4>
      </vt:variant>
      <vt:variant>
        <vt:lpwstr/>
      </vt:variant>
      <vt:variant>
        <vt:lpwstr>_Toc373493587</vt:lpwstr>
      </vt:variant>
      <vt:variant>
        <vt:i4>2031676</vt:i4>
      </vt:variant>
      <vt:variant>
        <vt:i4>746</vt:i4>
      </vt:variant>
      <vt:variant>
        <vt:i4>0</vt:i4>
      </vt:variant>
      <vt:variant>
        <vt:i4>5</vt:i4>
      </vt:variant>
      <vt:variant>
        <vt:lpwstr/>
      </vt:variant>
      <vt:variant>
        <vt:lpwstr>_Toc373493586</vt:lpwstr>
      </vt:variant>
      <vt:variant>
        <vt:i4>2031676</vt:i4>
      </vt:variant>
      <vt:variant>
        <vt:i4>740</vt:i4>
      </vt:variant>
      <vt:variant>
        <vt:i4>0</vt:i4>
      </vt:variant>
      <vt:variant>
        <vt:i4>5</vt:i4>
      </vt:variant>
      <vt:variant>
        <vt:lpwstr/>
      </vt:variant>
      <vt:variant>
        <vt:lpwstr>_Toc373493585</vt:lpwstr>
      </vt:variant>
      <vt:variant>
        <vt:i4>2031676</vt:i4>
      </vt:variant>
      <vt:variant>
        <vt:i4>734</vt:i4>
      </vt:variant>
      <vt:variant>
        <vt:i4>0</vt:i4>
      </vt:variant>
      <vt:variant>
        <vt:i4>5</vt:i4>
      </vt:variant>
      <vt:variant>
        <vt:lpwstr/>
      </vt:variant>
      <vt:variant>
        <vt:lpwstr>_Toc373493584</vt:lpwstr>
      </vt:variant>
      <vt:variant>
        <vt:i4>2031676</vt:i4>
      </vt:variant>
      <vt:variant>
        <vt:i4>728</vt:i4>
      </vt:variant>
      <vt:variant>
        <vt:i4>0</vt:i4>
      </vt:variant>
      <vt:variant>
        <vt:i4>5</vt:i4>
      </vt:variant>
      <vt:variant>
        <vt:lpwstr/>
      </vt:variant>
      <vt:variant>
        <vt:lpwstr>_Toc373493583</vt:lpwstr>
      </vt:variant>
      <vt:variant>
        <vt:i4>2031676</vt:i4>
      </vt:variant>
      <vt:variant>
        <vt:i4>722</vt:i4>
      </vt:variant>
      <vt:variant>
        <vt:i4>0</vt:i4>
      </vt:variant>
      <vt:variant>
        <vt:i4>5</vt:i4>
      </vt:variant>
      <vt:variant>
        <vt:lpwstr/>
      </vt:variant>
      <vt:variant>
        <vt:lpwstr>_Toc373493582</vt:lpwstr>
      </vt:variant>
      <vt:variant>
        <vt:i4>2031676</vt:i4>
      </vt:variant>
      <vt:variant>
        <vt:i4>716</vt:i4>
      </vt:variant>
      <vt:variant>
        <vt:i4>0</vt:i4>
      </vt:variant>
      <vt:variant>
        <vt:i4>5</vt:i4>
      </vt:variant>
      <vt:variant>
        <vt:lpwstr/>
      </vt:variant>
      <vt:variant>
        <vt:lpwstr>_Toc373493581</vt:lpwstr>
      </vt:variant>
      <vt:variant>
        <vt:i4>2031676</vt:i4>
      </vt:variant>
      <vt:variant>
        <vt:i4>710</vt:i4>
      </vt:variant>
      <vt:variant>
        <vt:i4>0</vt:i4>
      </vt:variant>
      <vt:variant>
        <vt:i4>5</vt:i4>
      </vt:variant>
      <vt:variant>
        <vt:lpwstr/>
      </vt:variant>
      <vt:variant>
        <vt:lpwstr>_Toc373493580</vt:lpwstr>
      </vt:variant>
      <vt:variant>
        <vt:i4>1048636</vt:i4>
      </vt:variant>
      <vt:variant>
        <vt:i4>704</vt:i4>
      </vt:variant>
      <vt:variant>
        <vt:i4>0</vt:i4>
      </vt:variant>
      <vt:variant>
        <vt:i4>5</vt:i4>
      </vt:variant>
      <vt:variant>
        <vt:lpwstr/>
      </vt:variant>
      <vt:variant>
        <vt:lpwstr>_Toc373493579</vt:lpwstr>
      </vt:variant>
      <vt:variant>
        <vt:i4>1048636</vt:i4>
      </vt:variant>
      <vt:variant>
        <vt:i4>695</vt:i4>
      </vt:variant>
      <vt:variant>
        <vt:i4>0</vt:i4>
      </vt:variant>
      <vt:variant>
        <vt:i4>5</vt:i4>
      </vt:variant>
      <vt:variant>
        <vt:lpwstr/>
      </vt:variant>
      <vt:variant>
        <vt:lpwstr>_Toc373493578</vt:lpwstr>
      </vt:variant>
      <vt:variant>
        <vt:i4>1048636</vt:i4>
      </vt:variant>
      <vt:variant>
        <vt:i4>689</vt:i4>
      </vt:variant>
      <vt:variant>
        <vt:i4>0</vt:i4>
      </vt:variant>
      <vt:variant>
        <vt:i4>5</vt:i4>
      </vt:variant>
      <vt:variant>
        <vt:lpwstr/>
      </vt:variant>
      <vt:variant>
        <vt:lpwstr>_Toc373493577</vt:lpwstr>
      </vt:variant>
      <vt:variant>
        <vt:i4>1048636</vt:i4>
      </vt:variant>
      <vt:variant>
        <vt:i4>683</vt:i4>
      </vt:variant>
      <vt:variant>
        <vt:i4>0</vt:i4>
      </vt:variant>
      <vt:variant>
        <vt:i4>5</vt:i4>
      </vt:variant>
      <vt:variant>
        <vt:lpwstr/>
      </vt:variant>
      <vt:variant>
        <vt:lpwstr>_Toc373493576</vt:lpwstr>
      </vt:variant>
      <vt:variant>
        <vt:i4>1048636</vt:i4>
      </vt:variant>
      <vt:variant>
        <vt:i4>677</vt:i4>
      </vt:variant>
      <vt:variant>
        <vt:i4>0</vt:i4>
      </vt:variant>
      <vt:variant>
        <vt:i4>5</vt:i4>
      </vt:variant>
      <vt:variant>
        <vt:lpwstr/>
      </vt:variant>
      <vt:variant>
        <vt:lpwstr>_Toc373493575</vt:lpwstr>
      </vt:variant>
      <vt:variant>
        <vt:i4>1048636</vt:i4>
      </vt:variant>
      <vt:variant>
        <vt:i4>671</vt:i4>
      </vt:variant>
      <vt:variant>
        <vt:i4>0</vt:i4>
      </vt:variant>
      <vt:variant>
        <vt:i4>5</vt:i4>
      </vt:variant>
      <vt:variant>
        <vt:lpwstr/>
      </vt:variant>
      <vt:variant>
        <vt:lpwstr>_Toc373493574</vt:lpwstr>
      </vt:variant>
      <vt:variant>
        <vt:i4>1048636</vt:i4>
      </vt:variant>
      <vt:variant>
        <vt:i4>665</vt:i4>
      </vt:variant>
      <vt:variant>
        <vt:i4>0</vt:i4>
      </vt:variant>
      <vt:variant>
        <vt:i4>5</vt:i4>
      </vt:variant>
      <vt:variant>
        <vt:lpwstr/>
      </vt:variant>
      <vt:variant>
        <vt:lpwstr>_Toc373493573</vt:lpwstr>
      </vt:variant>
      <vt:variant>
        <vt:i4>1048636</vt:i4>
      </vt:variant>
      <vt:variant>
        <vt:i4>659</vt:i4>
      </vt:variant>
      <vt:variant>
        <vt:i4>0</vt:i4>
      </vt:variant>
      <vt:variant>
        <vt:i4>5</vt:i4>
      </vt:variant>
      <vt:variant>
        <vt:lpwstr/>
      </vt:variant>
      <vt:variant>
        <vt:lpwstr>_Toc373493572</vt:lpwstr>
      </vt:variant>
      <vt:variant>
        <vt:i4>1048636</vt:i4>
      </vt:variant>
      <vt:variant>
        <vt:i4>653</vt:i4>
      </vt:variant>
      <vt:variant>
        <vt:i4>0</vt:i4>
      </vt:variant>
      <vt:variant>
        <vt:i4>5</vt:i4>
      </vt:variant>
      <vt:variant>
        <vt:lpwstr/>
      </vt:variant>
      <vt:variant>
        <vt:lpwstr>_Toc373493571</vt:lpwstr>
      </vt:variant>
      <vt:variant>
        <vt:i4>1048636</vt:i4>
      </vt:variant>
      <vt:variant>
        <vt:i4>647</vt:i4>
      </vt:variant>
      <vt:variant>
        <vt:i4>0</vt:i4>
      </vt:variant>
      <vt:variant>
        <vt:i4>5</vt:i4>
      </vt:variant>
      <vt:variant>
        <vt:lpwstr/>
      </vt:variant>
      <vt:variant>
        <vt:lpwstr>_Toc373493570</vt:lpwstr>
      </vt:variant>
      <vt:variant>
        <vt:i4>1114172</vt:i4>
      </vt:variant>
      <vt:variant>
        <vt:i4>641</vt:i4>
      </vt:variant>
      <vt:variant>
        <vt:i4>0</vt:i4>
      </vt:variant>
      <vt:variant>
        <vt:i4>5</vt:i4>
      </vt:variant>
      <vt:variant>
        <vt:lpwstr/>
      </vt:variant>
      <vt:variant>
        <vt:lpwstr>_Toc373493569</vt:lpwstr>
      </vt:variant>
      <vt:variant>
        <vt:i4>1114172</vt:i4>
      </vt:variant>
      <vt:variant>
        <vt:i4>635</vt:i4>
      </vt:variant>
      <vt:variant>
        <vt:i4>0</vt:i4>
      </vt:variant>
      <vt:variant>
        <vt:i4>5</vt:i4>
      </vt:variant>
      <vt:variant>
        <vt:lpwstr/>
      </vt:variant>
      <vt:variant>
        <vt:lpwstr>_Toc373493568</vt:lpwstr>
      </vt:variant>
      <vt:variant>
        <vt:i4>1114172</vt:i4>
      </vt:variant>
      <vt:variant>
        <vt:i4>629</vt:i4>
      </vt:variant>
      <vt:variant>
        <vt:i4>0</vt:i4>
      </vt:variant>
      <vt:variant>
        <vt:i4>5</vt:i4>
      </vt:variant>
      <vt:variant>
        <vt:lpwstr/>
      </vt:variant>
      <vt:variant>
        <vt:lpwstr>_Toc373493567</vt:lpwstr>
      </vt:variant>
      <vt:variant>
        <vt:i4>1114172</vt:i4>
      </vt:variant>
      <vt:variant>
        <vt:i4>623</vt:i4>
      </vt:variant>
      <vt:variant>
        <vt:i4>0</vt:i4>
      </vt:variant>
      <vt:variant>
        <vt:i4>5</vt:i4>
      </vt:variant>
      <vt:variant>
        <vt:lpwstr/>
      </vt:variant>
      <vt:variant>
        <vt:lpwstr>_Toc373493566</vt:lpwstr>
      </vt:variant>
      <vt:variant>
        <vt:i4>1114172</vt:i4>
      </vt:variant>
      <vt:variant>
        <vt:i4>617</vt:i4>
      </vt:variant>
      <vt:variant>
        <vt:i4>0</vt:i4>
      </vt:variant>
      <vt:variant>
        <vt:i4>5</vt:i4>
      </vt:variant>
      <vt:variant>
        <vt:lpwstr/>
      </vt:variant>
      <vt:variant>
        <vt:lpwstr>_Toc373493565</vt:lpwstr>
      </vt:variant>
      <vt:variant>
        <vt:i4>1114172</vt:i4>
      </vt:variant>
      <vt:variant>
        <vt:i4>611</vt:i4>
      </vt:variant>
      <vt:variant>
        <vt:i4>0</vt:i4>
      </vt:variant>
      <vt:variant>
        <vt:i4>5</vt:i4>
      </vt:variant>
      <vt:variant>
        <vt:lpwstr/>
      </vt:variant>
      <vt:variant>
        <vt:lpwstr>_Toc373493564</vt:lpwstr>
      </vt:variant>
      <vt:variant>
        <vt:i4>1114172</vt:i4>
      </vt:variant>
      <vt:variant>
        <vt:i4>605</vt:i4>
      </vt:variant>
      <vt:variant>
        <vt:i4>0</vt:i4>
      </vt:variant>
      <vt:variant>
        <vt:i4>5</vt:i4>
      </vt:variant>
      <vt:variant>
        <vt:lpwstr/>
      </vt:variant>
      <vt:variant>
        <vt:lpwstr>_Toc373493563</vt:lpwstr>
      </vt:variant>
      <vt:variant>
        <vt:i4>1114172</vt:i4>
      </vt:variant>
      <vt:variant>
        <vt:i4>599</vt:i4>
      </vt:variant>
      <vt:variant>
        <vt:i4>0</vt:i4>
      </vt:variant>
      <vt:variant>
        <vt:i4>5</vt:i4>
      </vt:variant>
      <vt:variant>
        <vt:lpwstr/>
      </vt:variant>
      <vt:variant>
        <vt:lpwstr>_Toc373493562</vt:lpwstr>
      </vt:variant>
      <vt:variant>
        <vt:i4>1114172</vt:i4>
      </vt:variant>
      <vt:variant>
        <vt:i4>593</vt:i4>
      </vt:variant>
      <vt:variant>
        <vt:i4>0</vt:i4>
      </vt:variant>
      <vt:variant>
        <vt:i4>5</vt:i4>
      </vt:variant>
      <vt:variant>
        <vt:lpwstr/>
      </vt:variant>
      <vt:variant>
        <vt:lpwstr>_Toc373493561</vt:lpwstr>
      </vt:variant>
      <vt:variant>
        <vt:i4>1114172</vt:i4>
      </vt:variant>
      <vt:variant>
        <vt:i4>587</vt:i4>
      </vt:variant>
      <vt:variant>
        <vt:i4>0</vt:i4>
      </vt:variant>
      <vt:variant>
        <vt:i4>5</vt:i4>
      </vt:variant>
      <vt:variant>
        <vt:lpwstr/>
      </vt:variant>
      <vt:variant>
        <vt:lpwstr>_Toc373493560</vt:lpwstr>
      </vt:variant>
      <vt:variant>
        <vt:i4>1179708</vt:i4>
      </vt:variant>
      <vt:variant>
        <vt:i4>581</vt:i4>
      </vt:variant>
      <vt:variant>
        <vt:i4>0</vt:i4>
      </vt:variant>
      <vt:variant>
        <vt:i4>5</vt:i4>
      </vt:variant>
      <vt:variant>
        <vt:lpwstr/>
      </vt:variant>
      <vt:variant>
        <vt:lpwstr>_Toc373493559</vt:lpwstr>
      </vt:variant>
      <vt:variant>
        <vt:i4>1179708</vt:i4>
      </vt:variant>
      <vt:variant>
        <vt:i4>575</vt:i4>
      </vt:variant>
      <vt:variant>
        <vt:i4>0</vt:i4>
      </vt:variant>
      <vt:variant>
        <vt:i4>5</vt:i4>
      </vt:variant>
      <vt:variant>
        <vt:lpwstr/>
      </vt:variant>
      <vt:variant>
        <vt:lpwstr>_Toc373493558</vt:lpwstr>
      </vt:variant>
      <vt:variant>
        <vt:i4>1179708</vt:i4>
      </vt:variant>
      <vt:variant>
        <vt:i4>569</vt:i4>
      </vt:variant>
      <vt:variant>
        <vt:i4>0</vt:i4>
      </vt:variant>
      <vt:variant>
        <vt:i4>5</vt:i4>
      </vt:variant>
      <vt:variant>
        <vt:lpwstr/>
      </vt:variant>
      <vt:variant>
        <vt:lpwstr>_Toc373493557</vt:lpwstr>
      </vt:variant>
      <vt:variant>
        <vt:i4>1179708</vt:i4>
      </vt:variant>
      <vt:variant>
        <vt:i4>563</vt:i4>
      </vt:variant>
      <vt:variant>
        <vt:i4>0</vt:i4>
      </vt:variant>
      <vt:variant>
        <vt:i4>5</vt:i4>
      </vt:variant>
      <vt:variant>
        <vt:lpwstr/>
      </vt:variant>
      <vt:variant>
        <vt:lpwstr>_Toc373493556</vt:lpwstr>
      </vt:variant>
      <vt:variant>
        <vt:i4>1179708</vt:i4>
      </vt:variant>
      <vt:variant>
        <vt:i4>557</vt:i4>
      </vt:variant>
      <vt:variant>
        <vt:i4>0</vt:i4>
      </vt:variant>
      <vt:variant>
        <vt:i4>5</vt:i4>
      </vt:variant>
      <vt:variant>
        <vt:lpwstr/>
      </vt:variant>
      <vt:variant>
        <vt:lpwstr>_Toc373493555</vt:lpwstr>
      </vt:variant>
      <vt:variant>
        <vt:i4>1179708</vt:i4>
      </vt:variant>
      <vt:variant>
        <vt:i4>551</vt:i4>
      </vt:variant>
      <vt:variant>
        <vt:i4>0</vt:i4>
      </vt:variant>
      <vt:variant>
        <vt:i4>5</vt:i4>
      </vt:variant>
      <vt:variant>
        <vt:lpwstr/>
      </vt:variant>
      <vt:variant>
        <vt:lpwstr>_Toc373493554</vt:lpwstr>
      </vt:variant>
      <vt:variant>
        <vt:i4>1179708</vt:i4>
      </vt:variant>
      <vt:variant>
        <vt:i4>545</vt:i4>
      </vt:variant>
      <vt:variant>
        <vt:i4>0</vt:i4>
      </vt:variant>
      <vt:variant>
        <vt:i4>5</vt:i4>
      </vt:variant>
      <vt:variant>
        <vt:lpwstr/>
      </vt:variant>
      <vt:variant>
        <vt:lpwstr>_Toc373493553</vt:lpwstr>
      </vt:variant>
      <vt:variant>
        <vt:i4>1179708</vt:i4>
      </vt:variant>
      <vt:variant>
        <vt:i4>539</vt:i4>
      </vt:variant>
      <vt:variant>
        <vt:i4>0</vt:i4>
      </vt:variant>
      <vt:variant>
        <vt:i4>5</vt:i4>
      </vt:variant>
      <vt:variant>
        <vt:lpwstr/>
      </vt:variant>
      <vt:variant>
        <vt:lpwstr>_Toc373493552</vt:lpwstr>
      </vt:variant>
      <vt:variant>
        <vt:i4>1179708</vt:i4>
      </vt:variant>
      <vt:variant>
        <vt:i4>533</vt:i4>
      </vt:variant>
      <vt:variant>
        <vt:i4>0</vt:i4>
      </vt:variant>
      <vt:variant>
        <vt:i4>5</vt:i4>
      </vt:variant>
      <vt:variant>
        <vt:lpwstr/>
      </vt:variant>
      <vt:variant>
        <vt:lpwstr>_Toc373493551</vt:lpwstr>
      </vt:variant>
      <vt:variant>
        <vt:i4>1179708</vt:i4>
      </vt:variant>
      <vt:variant>
        <vt:i4>527</vt:i4>
      </vt:variant>
      <vt:variant>
        <vt:i4>0</vt:i4>
      </vt:variant>
      <vt:variant>
        <vt:i4>5</vt:i4>
      </vt:variant>
      <vt:variant>
        <vt:lpwstr/>
      </vt:variant>
      <vt:variant>
        <vt:lpwstr>_Toc373493550</vt:lpwstr>
      </vt:variant>
      <vt:variant>
        <vt:i4>1245244</vt:i4>
      </vt:variant>
      <vt:variant>
        <vt:i4>521</vt:i4>
      </vt:variant>
      <vt:variant>
        <vt:i4>0</vt:i4>
      </vt:variant>
      <vt:variant>
        <vt:i4>5</vt:i4>
      </vt:variant>
      <vt:variant>
        <vt:lpwstr/>
      </vt:variant>
      <vt:variant>
        <vt:lpwstr>_Toc373493549</vt:lpwstr>
      </vt:variant>
      <vt:variant>
        <vt:i4>1245244</vt:i4>
      </vt:variant>
      <vt:variant>
        <vt:i4>515</vt:i4>
      </vt:variant>
      <vt:variant>
        <vt:i4>0</vt:i4>
      </vt:variant>
      <vt:variant>
        <vt:i4>5</vt:i4>
      </vt:variant>
      <vt:variant>
        <vt:lpwstr/>
      </vt:variant>
      <vt:variant>
        <vt:lpwstr>_Toc373493548</vt:lpwstr>
      </vt:variant>
      <vt:variant>
        <vt:i4>1245244</vt:i4>
      </vt:variant>
      <vt:variant>
        <vt:i4>509</vt:i4>
      </vt:variant>
      <vt:variant>
        <vt:i4>0</vt:i4>
      </vt:variant>
      <vt:variant>
        <vt:i4>5</vt:i4>
      </vt:variant>
      <vt:variant>
        <vt:lpwstr/>
      </vt:variant>
      <vt:variant>
        <vt:lpwstr>_Toc373493547</vt:lpwstr>
      </vt:variant>
      <vt:variant>
        <vt:i4>1245244</vt:i4>
      </vt:variant>
      <vt:variant>
        <vt:i4>503</vt:i4>
      </vt:variant>
      <vt:variant>
        <vt:i4>0</vt:i4>
      </vt:variant>
      <vt:variant>
        <vt:i4>5</vt:i4>
      </vt:variant>
      <vt:variant>
        <vt:lpwstr/>
      </vt:variant>
      <vt:variant>
        <vt:lpwstr>_Toc373493546</vt:lpwstr>
      </vt:variant>
      <vt:variant>
        <vt:i4>1245244</vt:i4>
      </vt:variant>
      <vt:variant>
        <vt:i4>497</vt:i4>
      </vt:variant>
      <vt:variant>
        <vt:i4>0</vt:i4>
      </vt:variant>
      <vt:variant>
        <vt:i4>5</vt:i4>
      </vt:variant>
      <vt:variant>
        <vt:lpwstr/>
      </vt:variant>
      <vt:variant>
        <vt:lpwstr>_Toc373493545</vt:lpwstr>
      </vt:variant>
      <vt:variant>
        <vt:i4>1245244</vt:i4>
      </vt:variant>
      <vt:variant>
        <vt:i4>491</vt:i4>
      </vt:variant>
      <vt:variant>
        <vt:i4>0</vt:i4>
      </vt:variant>
      <vt:variant>
        <vt:i4>5</vt:i4>
      </vt:variant>
      <vt:variant>
        <vt:lpwstr/>
      </vt:variant>
      <vt:variant>
        <vt:lpwstr>_Toc373493544</vt:lpwstr>
      </vt:variant>
      <vt:variant>
        <vt:i4>1245244</vt:i4>
      </vt:variant>
      <vt:variant>
        <vt:i4>485</vt:i4>
      </vt:variant>
      <vt:variant>
        <vt:i4>0</vt:i4>
      </vt:variant>
      <vt:variant>
        <vt:i4>5</vt:i4>
      </vt:variant>
      <vt:variant>
        <vt:lpwstr/>
      </vt:variant>
      <vt:variant>
        <vt:lpwstr>_Toc373493543</vt:lpwstr>
      </vt:variant>
      <vt:variant>
        <vt:i4>1245244</vt:i4>
      </vt:variant>
      <vt:variant>
        <vt:i4>479</vt:i4>
      </vt:variant>
      <vt:variant>
        <vt:i4>0</vt:i4>
      </vt:variant>
      <vt:variant>
        <vt:i4>5</vt:i4>
      </vt:variant>
      <vt:variant>
        <vt:lpwstr/>
      </vt:variant>
      <vt:variant>
        <vt:lpwstr>_Toc373493542</vt:lpwstr>
      </vt:variant>
      <vt:variant>
        <vt:i4>1245244</vt:i4>
      </vt:variant>
      <vt:variant>
        <vt:i4>473</vt:i4>
      </vt:variant>
      <vt:variant>
        <vt:i4>0</vt:i4>
      </vt:variant>
      <vt:variant>
        <vt:i4>5</vt:i4>
      </vt:variant>
      <vt:variant>
        <vt:lpwstr/>
      </vt:variant>
      <vt:variant>
        <vt:lpwstr>_Toc373493541</vt:lpwstr>
      </vt:variant>
      <vt:variant>
        <vt:i4>1245244</vt:i4>
      </vt:variant>
      <vt:variant>
        <vt:i4>467</vt:i4>
      </vt:variant>
      <vt:variant>
        <vt:i4>0</vt:i4>
      </vt:variant>
      <vt:variant>
        <vt:i4>5</vt:i4>
      </vt:variant>
      <vt:variant>
        <vt:lpwstr/>
      </vt:variant>
      <vt:variant>
        <vt:lpwstr>_Toc373493540</vt:lpwstr>
      </vt:variant>
      <vt:variant>
        <vt:i4>1310780</vt:i4>
      </vt:variant>
      <vt:variant>
        <vt:i4>461</vt:i4>
      </vt:variant>
      <vt:variant>
        <vt:i4>0</vt:i4>
      </vt:variant>
      <vt:variant>
        <vt:i4>5</vt:i4>
      </vt:variant>
      <vt:variant>
        <vt:lpwstr/>
      </vt:variant>
      <vt:variant>
        <vt:lpwstr>_Toc373493539</vt:lpwstr>
      </vt:variant>
      <vt:variant>
        <vt:i4>1310780</vt:i4>
      </vt:variant>
      <vt:variant>
        <vt:i4>455</vt:i4>
      </vt:variant>
      <vt:variant>
        <vt:i4>0</vt:i4>
      </vt:variant>
      <vt:variant>
        <vt:i4>5</vt:i4>
      </vt:variant>
      <vt:variant>
        <vt:lpwstr/>
      </vt:variant>
      <vt:variant>
        <vt:lpwstr>_Toc373493538</vt:lpwstr>
      </vt:variant>
      <vt:variant>
        <vt:i4>1310780</vt:i4>
      </vt:variant>
      <vt:variant>
        <vt:i4>449</vt:i4>
      </vt:variant>
      <vt:variant>
        <vt:i4>0</vt:i4>
      </vt:variant>
      <vt:variant>
        <vt:i4>5</vt:i4>
      </vt:variant>
      <vt:variant>
        <vt:lpwstr/>
      </vt:variant>
      <vt:variant>
        <vt:lpwstr>_Toc373493537</vt:lpwstr>
      </vt:variant>
      <vt:variant>
        <vt:i4>1310780</vt:i4>
      </vt:variant>
      <vt:variant>
        <vt:i4>443</vt:i4>
      </vt:variant>
      <vt:variant>
        <vt:i4>0</vt:i4>
      </vt:variant>
      <vt:variant>
        <vt:i4>5</vt:i4>
      </vt:variant>
      <vt:variant>
        <vt:lpwstr/>
      </vt:variant>
      <vt:variant>
        <vt:lpwstr>_Toc373493536</vt:lpwstr>
      </vt:variant>
      <vt:variant>
        <vt:i4>1310780</vt:i4>
      </vt:variant>
      <vt:variant>
        <vt:i4>437</vt:i4>
      </vt:variant>
      <vt:variant>
        <vt:i4>0</vt:i4>
      </vt:variant>
      <vt:variant>
        <vt:i4>5</vt:i4>
      </vt:variant>
      <vt:variant>
        <vt:lpwstr/>
      </vt:variant>
      <vt:variant>
        <vt:lpwstr>_Toc373493535</vt:lpwstr>
      </vt:variant>
      <vt:variant>
        <vt:i4>1310780</vt:i4>
      </vt:variant>
      <vt:variant>
        <vt:i4>431</vt:i4>
      </vt:variant>
      <vt:variant>
        <vt:i4>0</vt:i4>
      </vt:variant>
      <vt:variant>
        <vt:i4>5</vt:i4>
      </vt:variant>
      <vt:variant>
        <vt:lpwstr/>
      </vt:variant>
      <vt:variant>
        <vt:lpwstr>_Toc373493534</vt:lpwstr>
      </vt:variant>
      <vt:variant>
        <vt:i4>1310780</vt:i4>
      </vt:variant>
      <vt:variant>
        <vt:i4>425</vt:i4>
      </vt:variant>
      <vt:variant>
        <vt:i4>0</vt:i4>
      </vt:variant>
      <vt:variant>
        <vt:i4>5</vt:i4>
      </vt:variant>
      <vt:variant>
        <vt:lpwstr/>
      </vt:variant>
      <vt:variant>
        <vt:lpwstr>_Toc373493533</vt:lpwstr>
      </vt:variant>
      <vt:variant>
        <vt:i4>1310780</vt:i4>
      </vt:variant>
      <vt:variant>
        <vt:i4>416</vt:i4>
      </vt:variant>
      <vt:variant>
        <vt:i4>0</vt:i4>
      </vt:variant>
      <vt:variant>
        <vt:i4>5</vt:i4>
      </vt:variant>
      <vt:variant>
        <vt:lpwstr/>
      </vt:variant>
      <vt:variant>
        <vt:lpwstr>_Toc373493532</vt:lpwstr>
      </vt:variant>
      <vt:variant>
        <vt:i4>1310780</vt:i4>
      </vt:variant>
      <vt:variant>
        <vt:i4>410</vt:i4>
      </vt:variant>
      <vt:variant>
        <vt:i4>0</vt:i4>
      </vt:variant>
      <vt:variant>
        <vt:i4>5</vt:i4>
      </vt:variant>
      <vt:variant>
        <vt:lpwstr/>
      </vt:variant>
      <vt:variant>
        <vt:lpwstr>_Toc373493531</vt:lpwstr>
      </vt:variant>
      <vt:variant>
        <vt:i4>1310780</vt:i4>
      </vt:variant>
      <vt:variant>
        <vt:i4>404</vt:i4>
      </vt:variant>
      <vt:variant>
        <vt:i4>0</vt:i4>
      </vt:variant>
      <vt:variant>
        <vt:i4>5</vt:i4>
      </vt:variant>
      <vt:variant>
        <vt:lpwstr/>
      </vt:variant>
      <vt:variant>
        <vt:lpwstr>_Toc373493530</vt:lpwstr>
      </vt:variant>
      <vt:variant>
        <vt:i4>1376316</vt:i4>
      </vt:variant>
      <vt:variant>
        <vt:i4>398</vt:i4>
      </vt:variant>
      <vt:variant>
        <vt:i4>0</vt:i4>
      </vt:variant>
      <vt:variant>
        <vt:i4>5</vt:i4>
      </vt:variant>
      <vt:variant>
        <vt:lpwstr/>
      </vt:variant>
      <vt:variant>
        <vt:lpwstr>_Toc373493529</vt:lpwstr>
      </vt:variant>
      <vt:variant>
        <vt:i4>1376316</vt:i4>
      </vt:variant>
      <vt:variant>
        <vt:i4>392</vt:i4>
      </vt:variant>
      <vt:variant>
        <vt:i4>0</vt:i4>
      </vt:variant>
      <vt:variant>
        <vt:i4>5</vt:i4>
      </vt:variant>
      <vt:variant>
        <vt:lpwstr/>
      </vt:variant>
      <vt:variant>
        <vt:lpwstr>_Toc373493528</vt:lpwstr>
      </vt:variant>
      <vt:variant>
        <vt:i4>1376316</vt:i4>
      </vt:variant>
      <vt:variant>
        <vt:i4>386</vt:i4>
      </vt:variant>
      <vt:variant>
        <vt:i4>0</vt:i4>
      </vt:variant>
      <vt:variant>
        <vt:i4>5</vt:i4>
      </vt:variant>
      <vt:variant>
        <vt:lpwstr/>
      </vt:variant>
      <vt:variant>
        <vt:lpwstr>_Toc373493527</vt:lpwstr>
      </vt:variant>
      <vt:variant>
        <vt:i4>1376316</vt:i4>
      </vt:variant>
      <vt:variant>
        <vt:i4>380</vt:i4>
      </vt:variant>
      <vt:variant>
        <vt:i4>0</vt:i4>
      </vt:variant>
      <vt:variant>
        <vt:i4>5</vt:i4>
      </vt:variant>
      <vt:variant>
        <vt:lpwstr/>
      </vt:variant>
      <vt:variant>
        <vt:lpwstr>_Toc373493526</vt:lpwstr>
      </vt:variant>
      <vt:variant>
        <vt:i4>1376316</vt:i4>
      </vt:variant>
      <vt:variant>
        <vt:i4>374</vt:i4>
      </vt:variant>
      <vt:variant>
        <vt:i4>0</vt:i4>
      </vt:variant>
      <vt:variant>
        <vt:i4>5</vt:i4>
      </vt:variant>
      <vt:variant>
        <vt:lpwstr/>
      </vt:variant>
      <vt:variant>
        <vt:lpwstr>_Toc373493525</vt:lpwstr>
      </vt:variant>
      <vt:variant>
        <vt:i4>1376316</vt:i4>
      </vt:variant>
      <vt:variant>
        <vt:i4>368</vt:i4>
      </vt:variant>
      <vt:variant>
        <vt:i4>0</vt:i4>
      </vt:variant>
      <vt:variant>
        <vt:i4>5</vt:i4>
      </vt:variant>
      <vt:variant>
        <vt:lpwstr/>
      </vt:variant>
      <vt:variant>
        <vt:lpwstr>_Toc373493524</vt:lpwstr>
      </vt:variant>
      <vt:variant>
        <vt:i4>1376316</vt:i4>
      </vt:variant>
      <vt:variant>
        <vt:i4>362</vt:i4>
      </vt:variant>
      <vt:variant>
        <vt:i4>0</vt:i4>
      </vt:variant>
      <vt:variant>
        <vt:i4>5</vt:i4>
      </vt:variant>
      <vt:variant>
        <vt:lpwstr/>
      </vt:variant>
      <vt:variant>
        <vt:lpwstr>_Toc373493523</vt:lpwstr>
      </vt:variant>
      <vt:variant>
        <vt:i4>1376316</vt:i4>
      </vt:variant>
      <vt:variant>
        <vt:i4>356</vt:i4>
      </vt:variant>
      <vt:variant>
        <vt:i4>0</vt:i4>
      </vt:variant>
      <vt:variant>
        <vt:i4>5</vt:i4>
      </vt:variant>
      <vt:variant>
        <vt:lpwstr/>
      </vt:variant>
      <vt:variant>
        <vt:lpwstr>_Toc373493522</vt:lpwstr>
      </vt:variant>
      <vt:variant>
        <vt:i4>1376316</vt:i4>
      </vt:variant>
      <vt:variant>
        <vt:i4>350</vt:i4>
      </vt:variant>
      <vt:variant>
        <vt:i4>0</vt:i4>
      </vt:variant>
      <vt:variant>
        <vt:i4>5</vt:i4>
      </vt:variant>
      <vt:variant>
        <vt:lpwstr/>
      </vt:variant>
      <vt:variant>
        <vt:lpwstr>_Toc373493521</vt:lpwstr>
      </vt:variant>
      <vt:variant>
        <vt:i4>1376316</vt:i4>
      </vt:variant>
      <vt:variant>
        <vt:i4>344</vt:i4>
      </vt:variant>
      <vt:variant>
        <vt:i4>0</vt:i4>
      </vt:variant>
      <vt:variant>
        <vt:i4>5</vt:i4>
      </vt:variant>
      <vt:variant>
        <vt:lpwstr/>
      </vt:variant>
      <vt:variant>
        <vt:lpwstr>_Toc373493520</vt:lpwstr>
      </vt:variant>
      <vt:variant>
        <vt:i4>1441852</vt:i4>
      </vt:variant>
      <vt:variant>
        <vt:i4>338</vt:i4>
      </vt:variant>
      <vt:variant>
        <vt:i4>0</vt:i4>
      </vt:variant>
      <vt:variant>
        <vt:i4>5</vt:i4>
      </vt:variant>
      <vt:variant>
        <vt:lpwstr/>
      </vt:variant>
      <vt:variant>
        <vt:lpwstr>_Toc373493519</vt:lpwstr>
      </vt:variant>
      <vt:variant>
        <vt:i4>1441852</vt:i4>
      </vt:variant>
      <vt:variant>
        <vt:i4>332</vt:i4>
      </vt:variant>
      <vt:variant>
        <vt:i4>0</vt:i4>
      </vt:variant>
      <vt:variant>
        <vt:i4>5</vt:i4>
      </vt:variant>
      <vt:variant>
        <vt:lpwstr/>
      </vt:variant>
      <vt:variant>
        <vt:lpwstr>_Toc373493518</vt:lpwstr>
      </vt:variant>
      <vt:variant>
        <vt:i4>1441852</vt:i4>
      </vt:variant>
      <vt:variant>
        <vt:i4>326</vt:i4>
      </vt:variant>
      <vt:variant>
        <vt:i4>0</vt:i4>
      </vt:variant>
      <vt:variant>
        <vt:i4>5</vt:i4>
      </vt:variant>
      <vt:variant>
        <vt:lpwstr/>
      </vt:variant>
      <vt:variant>
        <vt:lpwstr>_Toc373493517</vt:lpwstr>
      </vt:variant>
      <vt:variant>
        <vt:i4>1441852</vt:i4>
      </vt:variant>
      <vt:variant>
        <vt:i4>320</vt:i4>
      </vt:variant>
      <vt:variant>
        <vt:i4>0</vt:i4>
      </vt:variant>
      <vt:variant>
        <vt:i4>5</vt:i4>
      </vt:variant>
      <vt:variant>
        <vt:lpwstr/>
      </vt:variant>
      <vt:variant>
        <vt:lpwstr>_Toc373493516</vt:lpwstr>
      </vt:variant>
      <vt:variant>
        <vt:i4>1441852</vt:i4>
      </vt:variant>
      <vt:variant>
        <vt:i4>314</vt:i4>
      </vt:variant>
      <vt:variant>
        <vt:i4>0</vt:i4>
      </vt:variant>
      <vt:variant>
        <vt:i4>5</vt:i4>
      </vt:variant>
      <vt:variant>
        <vt:lpwstr/>
      </vt:variant>
      <vt:variant>
        <vt:lpwstr>_Toc373493515</vt:lpwstr>
      </vt:variant>
      <vt:variant>
        <vt:i4>1441852</vt:i4>
      </vt:variant>
      <vt:variant>
        <vt:i4>308</vt:i4>
      </vt:variant>
      <vt:variant>
        <vt:i4>0</vt:i4>
      </vt:variant>
      <vt:variant>
        <vt:i4>5</vt:i4>
      </vt:variant>
      <vt:variant>
        <vt:lpwstr/>
      </vt:variant>
      <vt:variant>
        <vt:lpwstr>_Toc373493514</vt:lpwstr>
      </vt:variant>
      <vt:variant>
        <vt:i4>1441852</vt:i4>
      </vt:variant>
      <vt:variant>
        <vt:i4>302</vt:i4>
      </vt:variant>
      <vt:variant>
        <vt:i4>0</vt:i4>
      </vt:variant>
      <vt:variant>
        <vt:i4>5</vt:i4>
      </vt:variant>
      <vt:variant>
        <vt:lpwstr/>
      </vt:variant>
      <vt:variant>
        <vt:lpwstr>_Toc373493513</vt:lpwstr>
      </vt:variant>
      <vt:variant>
        <vt:i4>1441852</vt:i4>
      </vt:variant>
      <vt:variant>
        <vt:i4>296</vt:i4>
      </vt:variant>
      <vt:variant>
        <vt:i4>0</vt:i4>
      </vt:variant>
      <vt:variant>
        <vt:i4>5</vt:i4>
      </vt:variant>
      <vt:variant>
        <vt:lpwstr/>
      </vt:variant>
      <vt:variant>
        <vt:lpwstr>_Toc373493512</vt:lpwstr>
      </vt:variant>
      <vt:variant>
        <vt:i4>1441852</vt:i4>
      </vt:variant>
      <vt:variant>
        <vt:i4>290</vt:i4>
      </vt:variant>
      <vt:variant>
        <vt:i4>0</vt:i4>
      </vt:variant>
      <vt:variant>
        <vt:i4>5</vt:i4>
      </vt:variant>
      <vt:variant>
        <vt:lpwstr/>
      </vt:variant>
      <vt:variant>
        <vt:lpwstr>_Toc373493511</vt:lpwstr>
      </vt:variant>
      <vt:variant>
        <vt:i4>1441852</vt:i4>
      </vt:variant>
      <vt:variant>
        <vt:i4>284</vt:i4>
      </vt:variant>
      <vt:variant>
        <vt:i4>0</vt:i4>
      </vt:variant>
      <vt:variant>
        <vt:i4>5</vt:i4>
      </vt:variant>
      <vt:variant>
        <vt:lpwstr/>
      </vt:variant>
      <vt:variant>
        <vt:lpwstr>_Toc373493510</vt:lpwstr>
      </vt:variant>
      <vt:variant>
        <vt:i4>1507388</vt:i4>
      </vt:variant>
      <vt:variant>
        <vt:i4>278</vt:i4>
      </vt:variant>
      <vt:variant>
        <vt:i4>0</vt:i4>
      </vt:variant>
      <vt:variant>
        <vt:i4>5</vt:i4>
      </vt:variant>
      <vt:variant>
        <vt:lpwstr/>
      </vt:variant>
      <vt:variant>
        <vt:lpwstr>_Toc373493509</vt:lpwstr>
      </vt:variant>
      <vt:variant>
        <vt:i4>1507388</vt:i4>
      </vt:variant>
      <vt:variant>
        <vt:i4>272</vt:i4>
      </vt:variant>
      <vt:variant>
        <vt:i4>0</vt:i4>
      </vt:variant>
      <vt:variant>
        <vt:i4>5</vt:i4>
      </vt:variant>
      <vt:variant>
        <vt:lpwstr/>
      </vt:variant>
      <vt:variant>
        <vt:lpwstr>_Toc373493508</vt:lpwstr>
      </vt:variant>
      <vt:variant>
        <vt:i4>1507388</vt:i4>
      </vt:variant>
      <vt:variant>
        <vt:i4>266</vt:i4>
      </vt:variant>
      <vt:variant>
        <vt:i4>0</vt:i4>
      </vt:variant>
      <vt:variant>
        <vt:i4>5</vt:i4>
      </vt:variant>
      <vt:variant>
        <vt:lpwstr/>
      </vt:variant>
      <vt:variant>
        <vt:lpwstr>_Toc373493507</vt:lpwstr>
      </vt:variant>
      <vt:variant>
        <vt:i4>1507388</vt:i4>
      </vt:variant>
      <vt:variant>
        <vt:i4>260</vt:i4>
      </vt:variant>
      <vt:variant>
        <vt:i4>0</vt:i4>
      </vt:variant>
      <vt:variant>
        <vt:i4>5</vt:i4>
      </vt:variant>
      <vt:variant>
        <vt:lpwstr/>
      </vt:variant>
      <vt:variant>
        <vt:lpwstr>_Toc373493506</vt:lpwstr>
      </vt:variant>
      <vt:variant>
        <vt:i4>1507388</vt:i4>
      </vt:variant>
      <vt:variant>
        <vt:i4>254</vt:i4>
      </vt:variant>
      <vt:variant>
        <vt:i4>0</vt:i4>
      </vt:variant>
      <vt:variant>
        <vt:i4>5</vt:i4>
      </vt:variant>
      <vt:variant>
        <vt:lpwstr/>
      </vt:variant>
      <vt:variant>
        <vt:lpwstr>_Toc373493505</vt:lpwstr>
      </vt:variant>
      <vt:variant>
        <vt:i4>1507388</vt:i4>
      </vt:variant>
      <vt:variant>
        <vt:i4>248</vt:i4>
      </vt:variant>
      <vt:variant>
        <vt:i4>0</vt:i4>
      </vt:variant>
      <vt:variant>
        <vt:i4>5</vt:i4>
      </vt:variant>
      <vt:variant>
        <vt:lpwstr/>
      </vt:variant>
      <vt:variant>
        <vt:lpwstr>_Toc373493504</vt:lpwstr>
      </vt:variant>
      <vt:variant>
        <vt:i4>1507388</vt:i4>
      </vt:variant>
      <vt:variant>
        <vt:i4>242</vt:i4>
      </vt:variant>
      <vt:variant>
        <vt:i4>0</vt:i4>
      </vt:variant>
      <vt:variant>
        <vt:i4>5</vt:i4>
      </vt:variant>
      <vt:variant>
        <vt:lpwstr/>
      </vt:variant>
      <vt:variant>
        <vt:lpwstr>_Toc373493503</vt:lpwstr>
      </vt:variant>
      <vt:variant>
        <vt:i4>1507388</vt:i4>
      </vt:variant>
      <vt:variant>
        <vt:i4>236</vt:i4>
      </vt:variant>
      <vt:variant>
        <vt:i4>0</vt:i4>
      </vt:variant>
      <vt:variant>
        <vt:i4>5</vt:i4>
      </vt:variant>
      <vt:variant>
        <vt:lpwstr/>
      </vt:variant>
      <vt:variant>
        <vt:lpwstr>_Toc373493502</vt:lpwstr>
      </vt:variant>
      <vt:variant>
        <vt:i4>1507388</vt:i4>
      </vt:variant>
      <vt:variant>
        <vt:i4>230</vt:i4>
      </vt:variant>
      <vt:variant>
        <vt:i4>0</vt:i4>
      </vt:variant>
      <vt:variant>
        <vt:i4>5</vt:i4>
      </vt:variant>
      <vt:variant>
        <vt:lpwstr/>
      </vt:variant>
      <vt:variant>
        <vt:lpwstr>_Toc373493501</vt:lpwstr>
      </vt:variant>
      <vt:variant>
        <vt:i4>1507388</vt:i4>
      </vt:variant>
      <vt:variant>
        <vt:i4>224</vt:i4>
      </vt:variant>
      <vt:variant>
        <vt:i4>0</vt:i4>
      </vt:variant>
      <vt:variant>
        <vt:i4>5</vt:i4>
      </vt:variant>
      <vt:variant>
        <vt:lpwstr/>
      </vt:variant>
      <vt:variant>
        <vt:lpwstr>_Toc373493500</vt:lpwstr>
      </vt:variant>
      <vt:variant>
        <vt:i4>1966141</vt:i4>
      </vt:variant>
      <vt:variant>
        <vt:i4>218</vt:i4>
      </vt:variant>
      <vt:variant>
        <vt:i4>0</vt:i4>
      </vt:variant>
      <vt:variant>
        <vt:i4>5</vt:i4>
      </vt:variant>
      <vt:variant>
        <vt:lpwstr/>
      </vt:variant>
      <vt:variant>
        <vt:lpwstr>_Toc373493499</vt:lpwstr>
      </vt:variant>
      <vt:variant>
        <vt:i4>1966141</vt:i4>
      </vt:variant>
      <vt:variant>
        <vt:i4>212</vt:i4>
      </vt:variant>
      <vt:variant>
        <vt:i4>0</vt:i4>
      </vt:variant>
      <vt:variant>
        <vt:i4>5</vt:i4>
      </vt:variant>
      <vt:variant>
        <vt:lpwstr/>
      </vt:variant>
      <vt:variant>
        <vt:lpwstr>_Toc373493498</vt:lpwstr>
      </vt:variant>
      <vt:variant>
        <vt:i4>1966141</vt:i4>
      </vt:variant>
      <vt:variant>
        <vt:i4>206</vt:i4>
      </vt:variant>
      <vt:variant>
        <vt:i4>0</vt:i4>
      </vt:variant>
      <vt:variant>
        <vt:i4>5</vt:i4>
      </vt:variant>
      <vt:variant>
        <vt:lpwstr/>
      </vt:variant>
      <vt:variant>
        <vt:lpwstr>_Toc373493497</vt:lpwstr>
      </vt:variant>
      <vt:variant>
        <vt:i4>1966141</vt:i4>
      </vt:variant>
      <vt:variant>
        <vt:i4>200</vt:i4>
      </vt:variant>
      <vt:variant>
        <vt:i4>0</vt:i4>
      </vt:variant>
      <vt:variant>
        <vt:i4>5</vt:i4>
      </vt:variant>
      <vt:variant>
        <vt:lpwstr/>
      </vt:variant>
      <vt:variant>
        <vt:lpwstr>_Toc373493496</vt:lpwstr>
      </vt:variant>
      <vt:variant>
        <vt:i4>1966141</vt:i4>
      </vt:variant>
      <vt:variant>
        <vt:i4>194</vt:i4>
      </vt:variant>
      <vt:variant>
        <vt:i4>0</vt:i4>
      </vt:variant>
      <vt:variant>
        <vt:i4>5</vt:i4>
      </vt:variant>
      <vt:variant>
        <vt:lpwstr/>
      </vt:variant>
      <vt:variant>
        <vt:lpwstr>_Toc373493495</vt:lpwstr>
      </vt:variant>
      <vt:variant>
        <vt:i4>1966141</vt:i4>
      </vt:variant>
      <vt:variant>
        <vt:i4>188</vt:i4>
      </vt:variant>
      <vt:variant>
        <vt:i4>0</vt:i4>
      </vt:variant>
      <vt:variant>
        <vt:i4>5</vt:i4>
      </vt:variant>
      <vt:variant>
        <vt:lpwstr/>
      </vt:variant>
      <vt:variant>
        <vt:lpwstr>_Toc373493494</vt:lpwstr>
      </vt:variant>
      <vt:variant>
        <vt:i4>1966141</vt:i4>
      </vt:variant>
      <vt:variant>
        <vt:i4>182</vt:i4>
      </vt:variant>
      <vt:variant>
        <vt:i4>0</vt:i4>
      </vt:variant>
      <vt:variant>
        <vt:i4>5</vt:i4>
      </vt:variant>
      <vt:variant>
        <vt:lpwstr/>
      </vt:variant>
      <vt:variant>
        <vt:lpwstr>_Toc373493493</vt:lpwstr>
      </vt:variant>
      <vt:variant>
        <vt:i4>1966141</vt:i4>
      </vt:variant>
      <vt:variant>
        <vt:i4>176</vt:i4>
      </vt:variant>
      <vt:variant>
        <vt:i4>0</vt:i4>
      </vt:variant>
      <vt:variant>
        <vt:i4>5</vt:i4>
      </vt:variant>
      <vt:variant>
        <vt:lpwstr/>
      </vt:variant>
      <vt:variant>
        <vt:lpwstr>_Toc373493492</vt:lpwstr>
      </vt:variant>
      <vt:variant>
        <vt:i4>1966141</vt:i4>
      </vt:variant>
      <vt:variant>
        <vt:i4>170</vt:i4>
      </vt:variant>
      <vt:variant>
        <vt:i4>0</vt:i4>
      </vt:variant>
      <vt:variant>
        <vt:i4>5</vt:i4>
      </vt:variant>
      <vt:variant>
        <vt:lpwstr/>
      </vt:variant>
      <vt:variant>
        <vt:lpwstr>_Toc373493491</vt:lpwstr>
      </vt:variant>
      <vt:variant>
        <vt:i4>1966141</vt:i4>
      </vt:variant>
      <vt:variant>
        <vt:i4>164</vt:i4>
      </vt:variant>
      <vt:variant>
        <vt:i4>0</vt:i4>
      </vt:variant>
      <vt:variant>
        <vt:i4>5</vt:i4>
      </vt:variant>
      <vt:variant>
        <vt:lpwstr/>
      </vt:variant>
      <vt:variant>
        <vt:lpwstr>_Toc373493490</vt:lpwstr>
      </vt:variant>
      <vt:variant>
        <vt:i4>2031677</vt:i4>
      </vt:variant>
      <vt:variant>
        <vt:i4>158</vt:i4>
      </vt:variant>
      <vt:variant>
        <vt:i4>0</vt:i4>
      </vt:variant>
      <vt:variant>
        <vt:i4>5</vt:i4>
      </vt:variant>
      <vt:variant>
        <vt:lpwstr/>
      </vt:variant>
      <vt:variant>
        <vt:lpwstr>_Toc373493489</vt:lpwstr>
      </vt:variant>
      <vt:variant>
        <vt:i4>2031677</vt:i4>
      </vt:variant>
      <vt:variant>
        <vt:i4>152</vt:i4>
      </vt:variant>
      <vt:variant>
        <vt:i4>0</vt:i4>
      </vt:variant>
      <vt:variant>
        <vt:i4>5</vt:i4>
      </vt:variant>
      <vt:variant>
        <vt:lpwstr/>
      </vt:variant>
      <vt:variant>
        <vt:lpwstr>_Toc373493488</vt:lpwstr>
      </vt:variant>
      <vt:variant>
        <vt:i4>2031677</vt:i4>
      </vt:variant>
      <vt:variant>
        <vt:i4>146</vt:i4>
      </vt:variant>
      <vt:variant>
        <vt:i4>0</vt:i4>
      </vt:variant>
      <vt:variant>
        <vt:i4>5</vt:i4>
      </vt:variant>
      <vt:variant>
        <vt:lpwstr/>
      </vt:variant>
      <vt:variant>
        <vt:lpwstr>_Toc373493487</vt:lpwstr>
      </vt:variant>
      <vt:variant>
        <vt:i4>2031677</vt:i4>
      </vt:variant>
      <vt:variant>
        <vt:i4>140</vt:i4>
      </vt:variant>
      <vt:variant>
        <vt:i4>0</vt:i4>
      </vt:variant>
      <vt:variant>
        <vt:i4>5</vt:i4>
      </vt:variant>
      <vt:variant>
        <vt:lpwstr/>
      </vt:variant>
      <vt:variant>
        <vt:lpwstr>_Toc373493486</vt:lpwstr>
      </vt:variant>
      <vt:variant>
        <vt:i4>2031677</vt:i4>
      </vt:variant>
      <vt:variant>
        <vt:i4>134</vt:i4>
      </vt:variant>
      <vt:variant>
        <vt:i4>0</vt:i4>
      </vt:variant>
      <vt:variant>
        <vt:i4>5</vt:i4>
      </vt:variant>
      <vt:variant>
        <vt:lpwstr/>
      </vt:variant>
      <vt:variant>
        <vt:lpwstr>_Toc373493485</vt:lpwstr>
      </vt:variant>
      <vt:variant>
        <vt:i4>2031677</vt:i4>
      </vt:variant>
      <vt:variant>
        <vt:i4>128</vt:i4>
      </vt:variant>
      <vt:variant>
        <vt:i4>0</vt:i4>
      </vt:variant>
      <vt:variant>
        <vt:i4>5</vt:i4>
      </vt:variant>
      <vt:variant>
        <vt:lpwstr/>
      </vt:variant>
      <vt:variant>
        <vt:lpwstr>_Toc373493484</vt:lpwstr>
      </vt:variant>
      <vt:variant>
        <vt:i4>2031677</vt:i4>
      </vt:variant>
      <vt:variant>
        <vt:i4>122</vt:i4>
      </vt:variant>
      <vt:variant>
        <vt:i4>0</vt:i4>
      </vt:variant>
      <vt:variant>
        <vt:i4>5</vt:i4>
      </vt:variant>
      <vt:variant>
        <vt:lpwstr/>
      </vt:variant>
      <vt:variant>
        <vt:lpwstr>_Toc373493483</vt:lpwstr>
      </vt:variant>
      <vt:variant>
        <vt:i4>2031677</vt:i4>
      </vt:variant>
      <vt:variant>
        <vt:i4>116</vt:i4>
      </vt:variant>
      <vt:variant>
        <vt:i4>0</vt:i4>
      </vt:variant>
      <vt:variant>
        <vt:i4>5</vt:i4>
      </vt:variant>
      <vt:variant>
        <vt:lpwstr/>
      </vt:variant>
      <vt:variant>
        <vt:lpwstr>_Toc373493482</vt:lpwstr>
      </vt:variant>
      <vt:variant>
        <vt:i4>2031677</vt:i4>
      </vt:variant>
      <vt:variant>
        <vt:i4>110</vt:i4>
      </vt:variant>
      <vt:variant>
        <vt:i4>0</vt:i4>
      </vt:variant>
      <vt:variant>
        <vt:i4>5</vt:i4>
      </vt:variant>
      <vt:variant>
        <vt:lpwstr/>
      </vt:variant>
      <vt:variant>
        <vt:lpwstr>_Toc373493481</vt:lpwstr>
      </vt:variant>
      <vt:variant>
        <vt:i4>2031677</vt:i4>
      </vt:variant>
      <vt:variant>
        <vt:i4>104</vt:i4>
      </vt:variant>
      <vt:variant>
        <vt:i4>0</vt:i4>
      </vt:variant>
      <vt:variant>
        <vt:i4>5</vt:i4>
      </vt:variant>
      <vt:variant>
        <vt:lpwstr/>
      </vt:variant>
      <vt:variant>
        <vt:lpwstr>_Toc373493480</vt:lpwstr>
      </vt:variant>
      <vt:variant>
        <vt:i4>1048637</vt:i4>
      </vt:variant>
      <vt:variant>
        <vt:i4>98</vt:i4>
      </vt:variant>
      <vt:variant>
        <vt:i4>0</vt:i4>
      </vt:variant>
      <vt:variant>
        <vt:i4>5</vt:i4>
      </vt:variant>
      <vt:variant>
        <vt:lpwstr/>
      </vt:variant>
      <vt:variant>
        <vt:lpwstr>_Toc373493479</vt:lpwstr>
      </vt:variant>
      <vt:variant>
        <vt:i4>1048637</vt:i4>
      </vt:variant>
      <vt:variant>
        <vt:i4>92</vt:i4>
      </vt:variant>
      <vt:variant>
        <vt:i4>0</vt:i4>
      </vt:variant>
      <vt:variant>
        <vt:i4>5</vt:i4>
      </vt:variant>
      <vt:variant>
        <vt:lpwstr/>
      </vt:variant>
      <vt:variant>
        <vt:lpwstr>_Toc373493478</vt:lpwstr>
      </vt:variant>
      <vt:variant>
        <vt:i4>1048637</vt:i4>
      </vt:variant>
      <vt:variant>
        <vt:i4>86</vt:i4>
      </vt:variant>
      <vt:variant>
        <vt:i4>0</vt:i4>
      </vt:variant>
      <vt:variant>
        <vt:i4>5</vt:i4>
      </vt:variant>
      <vt:variant>
        <vt:lpwstr/>
      </vt:variant>
      <vt:variant>
        <vt:lpwstr>_Toc373493477</vt:lpwstr>
      </vt:variant>
      <vt:variant>
        <vt:i4>1048637</vt:i4>
      </vt:variant>
      <vt:variant>
        <vt:i4>80</vt:i4>
      </vt:variant>
      <vt:variant>
        <vt:i4>0</vt:i4>
      </vt:variant>
      <vt:variant>
        <vt:i4>5</vt:i4>
      </vt:variant>
      <vt:variant>
        <vt:lpwstr/>
      </vt:variant>
      <vt:variant>
        <vt:lpwstr>_Toc373493476</vt:lpwstr>
      </vt:variant>
      <vt:variant>
        <vt:i4>1048637</vt:i4>
      </vt:variant>
      <vt:variant>
        <vt:i4>74</vt:i4>
      </vt:variant>
      <vt:variant>
        <vt:i4>0</vt:i4>
      </vt:variant>
      <vt:variant>
        <vt:i4>5</vt:i4>
      </vt:variant>
      <vt:variant>
        <vt:lpwstr/>
      </vt:variant>
      <vt:variant>
        <vt:lpwstr>_Toc373493475</vt:lpwstr>
      </vt:variant>
      <vt:variant>
        <vt:i4>1048637</vt:i4>
      </vt:variant>
      <vt:variant>
        <vt:i4>68</vt:i4>
      </vt:variant>
      <vt:variant>
        <vt:i4>0</vt:i4>
      </vt:variant>
      <vt:variant>
        <vt:i4>5</vt:i4>
      </vt:variant>
      <vt:variant>
        <vt:lpwstr/>
      </vt:variant>
      <vt:variant>
        <vt:lpwstr>_Toc373493474</vt:lpwstr>
      </vt:variant>
      <vt:variant>
        <vt:i4>1048637</vt:i4>
      </vt:variant>
      <vt:variant>
        <vt:i4>62</vt:i4>
      </vt:variant>
      <vt:variant>
        <vt:i4>0</vt:i4>
      </vt:variant>
      <vt:variant>
        <vt:i4>5</vt:i4>
      </vt:variant>
      <vt:variant>
        <vt:lpwstr/>
      </vt:variant>
      <vt:variant>
        <vt:lpwstr>_Toc373493473</vt:lpwstr>
      </vt:variant>
      <vt:variant>
        <vt:i4>1048637</vt:i4>
      </vt:variant>
      <vt:variant>
        <vt:i4>56</vt:i4>
      </vt:variant>
      <vt:variant>
        <vt:i4>0</vt:i4>
      </vt:variant>
      <vt:variant>
        <vt:i4>5</vt:i4>
      </vt:variant>
      <vt:variant>
        <vt:lpwstr/>
      </vt:variant>
      <vt:variant>
        <vt:lpwstr>_Toc373493472</vt:lpwstr>
      </vt:variant>
      <vt:variant>
        <vt:i4>1048637</vt:i4>
      </vt:variant>
      <vt:variant>
        <vt:i4>50</vt:i4>
      </vt:variant>
      <vt:variant>
        <vt:i4>0</vt:i4>
      </vt:variant>
      <vt:variant>
        <vt:i4>5</vt:i4>
      </vt:variant>
      <vt:variant>
        <vt:lpwstr/>
      </vt:variant>
      <vt:variant>
        <vt:lpwstr>_Toc373493471</vt:lpwstr>
      </vt:variant>
      <vt:variant>
        <vt:i4>1048637</vt:i4>
      </vt:variant>
      <vt:variant>
        <vt:i4>44</vt:i4>
      </vt:variant>
      <vt:variant>
        <vt:i4>0</vt:i4>
      </vt:variant>
      <vt:variant>
        <vt:i4>5</vt:i4>
      </vt:variant>
      <vt:variant>
        <vt:lpwstr/>
      </vt:variant>
      <vt:variant>
        <vt:lpwstr>_Toc373493470</vt:lpwstr>
      </vt:variant>
      <vt:variant>
        <vt:i4>1114173</vt:i4>
      </vt:variant>
      <vt:variant>
        <vt:i4>38</vt:i4>
      </vt:variant>
      <vt:variant>
        <vt:i4>0</vt:i4>
      </vt:variant>
      <vt:variant>
        <vt:i4>5</vt:i4>
      </vt:variant>
      <vt:variant>
        <vt:lpwstr/>
      </vt:variant>
      <vt:variant>
        <vt:lpwstr>_Toc373493469</vt:lpwstr>
      </vt:variant>
      <vt:variant>
        <vt:i4>1114173</vt:i4>
      </vt:variant>
      <vt:variant>
        <vt:i4>32</vt:i4>
      </vt:variant>
      <vt:variant>
        <vt:i4>0</vt:i4>
      </vt:variant>
      <vt:variant>
        <vt:i4>5</vt:i4>
      </vt:variant>
      <vt:variant>
        <vt:lpwstr/>
      </vt:variant>
      <vt:variant>
        <vt:lpwstr>_Toc373493468</vt:lpwstr>
      </vt:variant>
      <vt:variant>
        <vt:i4>1114173</vt:i4>
      </vt:variant>
      <vt:variant>
        <vt:i4>26</vt:i4>
      </vt:variant>
      <vt:variant>
        <vt:i4>0</vt:i4>
      </vt:variant>
      <vt:variant>
        <vt:i4>5</vt:i4>
      </vt:variant>
      <vt:variant>
        <vt:lpwstr/>
      </vt:variant>
      <vt:variant>
        <vt:lpwstr>_Toc373493467</vt:lpwstr>
      </vt:variant>
      <vt:variant>
        <vt:i4>1114173</vt:i4>
      </vt:variant>
      <vt:variant>
        <vt:i4>20</vt:i4>
      </vt:variant>
      <vt:variant>
        <vt:i4>0</vt:i4>
      </vt:variant>
      <vt:variant>
        <vt:i4>5</vt:i4>
      </vt:variant>
      <vt:variant>
        <vt:lpwstr/>
      </vt:variant>
      <vt:variant>
        <vt:lpwstr>_Toc373493466</vt:lpwstr>
      </vt:variant>
      <vt:variant>
        <vt:i4>1114173</vt:i4>
      </vt:variant>
      <vt:variant>
        <vt:i4>14</vt:i4>
      </vt:variant>
      <vt:variant>
        <vt:i4>0</vt:i4>
      </vt:variant>
      <vt:variant>
        <vt:i4>5</vt:i4>
      </vt:variant>
      <vt:variant>
        <vt:lpwstr/>
      </vt:variant>
      <vt:variant>
        <vt:lpwstr>_Toc373493465</vt:lpwstr>
      </vt:variant>
      <vt:variant>
        <vt:i4>1114173</vt:i4>
      </vt:variant>
      <vt:variant>
        <vt:i4>8</vt:i4>
      </vt:variant>
      <vt:variant>
        <vt:i4>0</vt:i4>
      </vt:variant>
      <vt:variant>
        <vt:i4>5</vt:i4>
      </vt:variant>
      <vt:variant>
        <vt:lpwstr/>
      </vt:variant>
      <vt:variant>
        <vt:lpwstr>_Toc373493464</vt:lpwstr>
      </vt:variant>
      <vt:variant>
        <vt:i4>3276848</vt:i4>
      </vt:variant>
      <vt:variant>
        <vt:i4>3</vt:i4>
      </vt:variant>
      <vt:variant>
        <vt:i4>0</vt:i4>
      </vt:variant>
      <vt:variant>
        <vt:i4>5</vt:i4>
      </vt:variant>
      <vt:variant>
        <vt:lpwstr>http://www.arc4.co.uk/</vt:lpwstr>
      </vt:variant>
      <vt:variant>
        <vt:lpwstr/>
      </vt:variant>
      <vt:variant>
        <vt:i4>6094897</vt:i4>
      </vt:variant>
      <vt:variant>
        <vt:i4>0</vt:i4>
      </vt:variant>
      <vt:variant>
        <vt:i4>0</vt:i4>
      </vt:variant>
      <vt:variant>
        <vt:i4>5</vt:i4>
      </vt:variant>
      <vt:variant>
        <vt:lpwstr>mailto:michael.bullock@arc4.co.uk</vt:lpwstr>
      </vt:variant>
      <vt:variant>
        <vt:lpwstr/>
      </vt:variant>
      <vt:variant>
        <vt:i4>2228262</vt:i4>
      </vt:variant>
      <vt:variant>
        <vt:i4>18</vt:i4>
      </vt:variant>
      <vt:variant>
        <vt:i4>0</vt:i4>
      </vt:variant>
      <vt:variant>
        <vt:i4>5</vt:i4>
      </vt:variant>
      <vt:variant>
        <vt:lpwstr>https://www.gov.uk/government/speeches/planning-and-travellers</vt:lpwstr>
      </vt:variant>
      <vt:variant>
        <vt:lpwstr/>
      </vt:variant>
      <vt:variant>
        <vt:i4>327710</vt:i4>
      </vt:variant>
      <vt:variant>
        <vt:i4>15</vt:i4>
      </vt:variant>
      <vt:variant>
        <vt:i4>0</vt:i4>
      </vt:variant>
      <vt:variant>
        <vt:i4>5</vt:i4>
      </vt:variant>
      <vt:variant>
        <vt:lpwstr>http://www.communities.gov.uk/news/corporate/2124322</vt:lpwstr>
      </vt:variant>
      <vt:variant>
        <vt:lpwstr/>
      </vt:variant>
      <vt:variant>
        <vt:i4>2359391</vt:i4>
      </vt:variant>
      <vt:variant>
        <vt:i4>12</vt:i4>
      </vt:variant>
      <vt:variant>
        <vt:i4>0</vt:i4>
      </vt:variant>
      <vt:variant>
        <vt:i4>5</vt:i4>
      </vt:variant>
      <vt:variant>
        <vt:lpwstr>http://data.gov.uk/dataset/gypsy_and_traveller_caravans</vt:lpwstr>
      </vt:variant>
      <vt:variant>
        <vt:lpwstr/>
      </vt:variant>
      <vt:variant>
        <vt:i4>2228262</vt:i4>
      </vt:variant>
      <vt:variant>
        <vt:i4>9</vt:i4>
      </vt:variant>
      <vt:variant>
        <vt:i4>0</vt:i4>
      </vt:variant>
      <vt:variant>
        <vt:i4>5</vt:i4>
      </vt:variant>
      <vt:variant>
        <vt:lpwstr>https://www.gov.uk/government/speeches/planning-and-travellers</vt:lpwstr>
      </vt:variant>
      <vt:variant>
        <vt:lpwstr/>
      </vt:variant>
      <vt:variant>
        <vt:i4>2621541</vt:i4>
      </vt:variant>
      <vt:variant>
        <vt:i4>6</vt:i4>
      </vt:variant>
      <vt:variant>
        <vt:i4>0</vt:i4>
      </vt:variant>
      <vt:variant>
        <vt:i4>5</vt:i4>
      </vt:variant>
      <vt:variant>
        <vt:lpwstr>http://www.cih.org/</vt:lpwstr>
      </vt:variant>
      <vt:variant>
        <vt:lpwstr/>
      </vt:variant>
      <vt:variant>
        <vt:i4>327710</vt:i4>
      </vt:variant>
      <vt:variant>
        <vt:i4>3</vt:i4>
      </vt:variant>
      <vt:variant>
        <vt:i4>0</vt:i4>
      </vt:variant>
      <vt:variant>
        <vt:i4>5</vt:i4>
      </vt:variant>
      <vt:variant>
        <vt:lpwstr>http://www.communities.gov.uk/news/corporate/2124322</vt:lpwstr>
      </vt:variant>
      <vt:variant>
        <vt:lpwstr/>
      </vt:variant>
      <vt:variant>
        <vt:i4>327682</vt:i4>
      </vt:variant>
      <vt:variant>
        <vt:i4>0</vt:i4>
      </vt:variant>
      <vt:variant>
        <vt:i4>0</vt:i4>
      </vt:variant>
      <vt:variant>
        <vt:i4>5</vt:i4>
      </vt:variant>
      <vt:variant>
        <vt:lpwstr>http://www.pas.gov.uk/pas/core/page.do?pageId=2133454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Steward, Angela</dc:creator>
  <cp:keywords/>
  <dc:description/>
  <cp:lastModifiedBy>Kabir, Konoya</cp:lastModifiedBy>
  <cp:revision>2</cp:revision>
  <cp:lastPrinted>2019-02-21T07:42:00Z</cp:lastPrinted>
  <dcterms:created xsi:type="dcterms:W3CDTF">2020-12-17T13:22:00Z</dcterms:created>
  <dcterms:modified xsi:type="dcterms:W3CDTF">2020-12-17T13:22:00Z</dcterms:modified>
</cp:coreProperties>
</file>