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411931" w:rsidRDefault="00411931" w:rsidP="00CE5053">
      <w:pPr>
        <w:rPr>
          <w:rFonts w:cs="Arial"/>
          <w:color w:val="FF0000"/>
          <w:sz w:val="52"/>
          <w:szCs w:val="52"/>
        </w:rPr>
      </w:pPr>
    </w:p>
    <w:p w14:paraId="0A37501D" w14:textId="77777777" w:rsidR="00411931" w:rsidRDefault="00411931" w:rsidP="00CE5053">
      <w:pPr>
        <w:rPr>
          <w:rFonts w:cs="Arial"/>
          <w:color w:val="FF0000"/>
          <w:sz w:val="52"/>
          <w:szCs w:val="52"/>
        </w:rPr>
      </w:pPr>
    </w:p>
    <w:p w14:paraId="5DAB6C7B" w14:textId="77777777" w:rsidR="00411931" w:rsidRDefault="00411931" w:rsidP="00CE5053">
      <w:pPr>
        <w:rPr>
          <w:rFonts w:cs="Arial"/>
          <w:color w:val="FF0000"/>
          <w:sz w:val="52"/>
          <w:szCs w:val="52"/>
        </w:rPr>
      </w:pPr>
    </w:p>
    <w:p w14:paraId="02EB378F" w14:textId="77777777" w:rsidR="00411931" w:rsidRDefault="00411931" w:rsidP="00CE5053">
      <w:pPr>
        <w:rPr>
          <w:rFonts w:cs="Arial"/>
          <w:color w:val="FF0000"/>
          <w:sz w:val="52"/>
          <w:szCs w:val="52"/>
        </w:rPr>
      </w:pPr>
    </w:p>
    <w:p w14:paraId="6A05A809" w14:textId="77777777" w:rsidR="00411931" w:rsidRDefault="00411931" w:rsidP="00CE5053">
      <w:pPr>
        <w:rPr>
          <w:rFonts w:cs="Arial"/>
          <w:color w:val="FF0000"/>
          <w:sz w:val="52"/>
          <w:szCs w:val="52"/>
        </w:rPr>
      </w:pPr>
    </w:p>
    <w:p w14:paraId="5A39BBE3" w14:textId="77777777" w:rsidR="00411931" w:rsidRDefault="00411931" w:rsidP="00CE5053">
      <w:pPr>
        <w:rPr>
          <w:rFonts w:cs="Arial"/>
          <w:color w:val="FF0000"/>
          <w:sz w:val="52"/>
          <w:szCs w:val="52"/>
        </w:rPr>
      </w:pPr>
    </w:p>
    <w:p w14:paraId="41C8F396" w14:textId="77777777" w:rsidR="00411931" w:rsidRDefault="00411931" w:rsidP="00CE5053">
      <w:pPr>
        <w:rPr>
          <w:rFonts w:cs="Arial"/>
          <w:color w:val="FF0000"/>
          <w:sz w:val="52"/>
          <w:szCs w:val="52"/>
        </w:rPr>
      </w:pPr>
    </w:p>
    <w:p w14:paraId="72A3D3EC" w14:textId="77777777" w:rsidR="00411931" w:rsidRDefault="00411931" w:rsidP="00CE5053">
      <w:pPr>
        <w:rPr>
          <w:rFonts w:cs="Arial"/>
          <w:color w:val="FF0000"/>
          <w:sz w:val="52"/>
          <w:szCs w:val="52"/>
        </w:rPr>
      </w:pPr>
    </w:p>
    <w:p w14:paraId="0D0B940D" w14:textId="77777777" w:rsidR="00411931" w:rsidRDefault="00411931" w:rsidP="00CE5053">
      <w:pPr>
        <w:rPr>
          <w:rFonts w:cs="Arial"/>
          <w:color w:val="FF0000"/>
          <w:sz w:val="52"/>
          <w:szCs w:val="52"/>
        </w:rPr>
      </w:pPr>
    </w:p>
    <w:p w14:paraId="0E27B00A" w14:textId="77777777" w:rsidR="00411931" w:rsidRDefault="00411931" w:rsidP="00CE5053">
      <w:pPr>
        <w:rPr>
          <w:rFonts w:cs="Arial"/>
          <w:color w:val="FF0000"/>
          <w:sz w:val="52"/>
          <w:szCs w:val="52"/>
        </w:rPr>
      </w:pPr>
    </w:p>
    <w:p w14:paraId="79BCCEDA" w14:textId="77777777" w:rsidR="00411931" w:rsidRPr="00D35244" w:rsidRDefault="002B3CB8" w:rsidP="00CE5053">
      <w:pPr>
        <w:rPr>
          <w:rFonts w:cs="Arial"/>
          <w:color w:val="002060"/>
          <w:sz w:val="52"/>
          <w:szCs w:val="52"/>
        </w:rPr>
      </w:pPr>
      <w:r>
        <w:rPr>
          <w:rFonts w:cs="Arial"/>
          <w:color w:val="002060"/>
          <w:sz w:val="52"/>
          <w:szCs w:val="52"/>
        </w:rPr>
        <w:br/>
      </w:r>
      <w:r>
        <w:rPr>
          <w:rFonts w:cs="Arial"/>
          <w:color w:val="002060"/>
          <w:sz w:val="52"/>
          <w:szCs w:val="52"/>
        </w:rPr>
        <w:br/>
      </w:r>
      <w:r w:rsidR="00744EB3" w:rsidRPr="002B3CB8">
        <w:rPr>
          <w:rFonts w:cs="Arial"/>
          <w:color w:val="002060"/>
          <w:sz w:val="52"/>
          <w:szCs w:val="52"/>
        </w:rPr>
        <w:t>Draft</w:t>
      </w:r>
      <w:r w:rsidR="00411931" w:rsidRPr="00D35244">
        <w:rPr>
          <w:rFonts w:cs="Arial"/>
          <w:color w:val="002060"/>
          <w:sz w:val="52"/>
          <w:szCs w:val="52"/>
        </w:rPr>
        <w:br/>
      </w:r>
      <w:r w:rsidR="00AE6937" w:rsidRPr="002B3CB8">
        <w:rPr>
          <w:rFonts w:cs="Arial"/>
          <w:b/>
          <w:color w:val="002060"/>
          <w:sz w:val="64"/>
          <w:szCs w:val="64"/>
        </w:rPr>
        <w:t>Infrastructure Delivery Plan</w:t>
      </w:r>
    </w:p>
    <w:p w14:paraId="4F9206F5" w14:textId="77777777" w:rsidR="00411931" w:rsidRPr="002B3CB8" w:rsidRDefault="002B3CB8" w:rsidP="00CE5053">
      <w:pPr>
        <w:suppressAutoHyphens/>
        <w:autoSpaceDN w:val="0"/>
        <w:spacing w:line="254" w:lineRule="auto"/>
        <w:textAlignment w:val="baseline"/>
        <w:rPr>
          <w:rFonts w:cs="Arial"/>
          <w:sz w:val="28"/>
          <w:szCs w:val="28"/>
        </w:rPr>
      </w:pPr>
      <w:r w:rsidRPr="002B3CB8">
        <w:rPr>
          <w:rFonts w:cs="Arial"/>
          <w:sz w:val="28"/>
          <w:szCs w:val="28"/>
        </w:rPr>
        <w:t>Evidence base document for Lewisham Local Plan</w:t>
      </w:r>
      <w:r w:rsidRPr="002B3CB8">
        <w:rPr>
          <w:rFonts w:cs="Arial"/>
          <w:sz w:val="28"/>
          <w:szCs w:val="28"/>
        </w:rPr>
        <w:br/>
      </w:r>
      <w:r w:rsidRPr="002B3CB8">
        <w:rPr>
          <w:rFonts w:cs="Arial"/>
          <w:sz w:val="28"/>
          <w:szCs w:val="28"/>
        </w:rPr>
        <w:br/>
      </w:r>
    </w:p>
    <w:p w14:paraId="3BC5850D" w14:textId="77777777" w:rsidR="001A37E2" w:rsidRPr="002B3CB8" w:rsidRDefault="002B3CB8" w:rsidP="00CE5053">
      <w:pPr>
        <w:rPr>
          <w:rFonts w:cs="Arial"/>
          <w:color w:val="002060"/>
          <w:sz w:val="28"/>
          <w:szCs w:val="28"/>
        </w:rPr>
      </w:pPr>
      <w:r w:rsidRPr="002B3CB8">
        <w:rPr>
          <w:rFonts w:cs="Arial"/>
          <w:color w:val="002060"/>
          <w:sz w:val="28"/>
          <w:szCs w:val="28"/>
        </w:rPr>
        <w:t>November</w:t>
      </w:r>
      <w:r w:rsidR="00BD4D3F" w:rsidRPr="002B3CB8">
        <w:rPr>
          <w:rFonts w:cs="Arial"/>
          <w:color w:val="002060"/>
          <w:sz w:val="28"/>
          <w:szCs w:val="28"/>
        </w:rPr>
        <w:t xml:space="preserve"> 2020</w:t>
      </w:r>
    </w:p>
    <w:p w14:paraId="60061E4C" w14:textId="77777777" w:rsidR="001A37E2" w:rsidRDefault="001A37E2" w:rsidP="00CE5053">
      <w:pPr>
        <w:rPr>
          <w:rFonts w:cs="Arial"/>
          <w:color w:val="002060"/>
          <w:sz w:val="28"/>
          <w:szCs w:val="28"/>
        </w:rPr>
      </w:pPr>
      <w:r>
        <w:rPr>
          <w:rFonts w:cs="Arial"/>
          <w:color w:val="002060"/>
          <w:sz w:val="28"/>
          <w:szCs w:val="28"/>
        </w:rPr>
        <w:br w:type="page"/>
      </w:r>
    </w:p>
    <w:p w14:paraId="44EAFD9C" w14:textId="77777777" w:rsidR="001A37E2" w:rsidRDefault="001A37E2" w:rsidP="00CE5053">
      <w:pPr>
        <w:rPr>
          <w:b/>
        </w:rPr>
      </w:pPr>
    </w:p>
    <w:p w14:paraId="4B94D5A5" w14:textId="77777777" w:rsidR="001A37E2" w:rsidRDefault="001A37E2" w:rsidP="00CE5053">
      <w:pPr>
        <w:rPr>
          <w:b/>
        </w:rPr>
      </w:pPr>
    </w:p>
    <w:p w14:paraId="3DEEC669" w14:textId="77777777" w:rsidR="001A37E2" w:rsidRDefault="001A37E2" w:rsidP="00CE5053">
      <w:pPr>
        <w:rPr>
          <w:b/>
        </w:rPr>
      </w:pPr>
    </w:p>
    <w:p w14:paraId="3656B9AB" w14:textId="77777777" w:rsidR="001A37E2" w:rsidRDefault="001A37E2" w:rsidP="00CE5053">
      <w:pPr>
        <w:rPr>
          <w:b/>
        </w:rPr>
      </w:pPr>
    </w:p>
    <w:p w14:paraId="45FB0818" w14:textId="77777777" w:rsidR="001A37E2" w:rsidRDefault="001A37E2" w:rsidP="00CE5053">
      <w:pPr>
        <w:rPr>
          <w:b/>
        </w:rPr>
      </w:pPr>
    </w:p>
    <w:p w14:paraId="049F31CB" w14:textId="77777777" w:rsidR="001A37E2" w:rsidRDefault="001A37E2" w:rsidP="00CE5053">
      <w:pPr>
        <w:rPr>
          <w:b/>
        </w:rPr>
      </w:pPr>
    </w:p>
    <w:p w14:paraId="53128261" w14:textId="77777777" w:rsidR="001A37E2" w:rsidRDefault="001A37E2" w:rsidP="00CE5053">
      <w:pPr>
        <w:rPr>
          <w:b/>
        </w:rPr>
      </w:pPr>
    </w:p>
    <w:p w14:paraId="62486C05" w14:textId="77777777" w:rsidR="001A37E2" w:rsidRDefault="001A37E2" w:rsidP="00CE5053">
      <w:pPr>
        <w:rPr>
          <w:b/>
        </w:rPr>
      </w:pPr>
    </w:p>
    <w:p w14:paraId="4101652C" w14:textId="77777777" w:rsidR="001A37E2" w:rsidRDefault="001A37E2" w:rsidP="00CE5053">
      <w:pPr>
        <w:rPr>
          <w:b/>
        </w:rPr>
      </w:pPr>
    </w:p>
    <w:p w14:paraId="4B99056E" w14:textId="77777777" w:rsidR="001A37E2" w:rsidRDefault="001A37E2" w:rsidP="00CE5053">
      <w:pPr>
        <w:rPr>
          <w:b/>
        </w:rPr>
      </w:pPr>
    </w:p>
    <w:p w14:paraId="1299C43A" w14:textId="77777777" w:rsidR="001A37E2" w:rsidRDefault="001A37E2" w:rsidP="00CE5053">
      <w:pPr>
        <w:rPr>
          <w:b/>
        </w:rPr>
      </w:pPr>
    </w:p>
    <w:p w14:paraId="4DDBEF00" w14:textId="77777777" w:rsidR="001A37E2" w:rsidRDefault="001A37E2" w:rsidP="00CE5053">
      <w:pPr>
        <w:rPr>
          <w:b/>
        </w:rPr>
      </w:pPr>
    </w:p>
    <w:p w14:paraId="3461D779" w14:textId="77777777" w:rsidR="001A37E2" w:rsidRDefault="001A37E2" w:rsidP="00CE5053">
      <w:pPr>
        <w:rPr>
          <w:b/>
        </w:rPr>
      </w:pPr>
    </w:p>
    <w:p w14:paraId="3CF2D8B6" w14:textId="77777777" w:rsidR="001A37E2" w:rsidRDefault="001A37E2" w:rsidP="00CE5053">
      <w:pPr>
        <w:rPr>
          <w:b/>
        </w:rPr>
      </w:pPr>
    </w:p>
    <w:p w14:paraId="0FB78278" w14:textId="77777777" w:rsidR="001A37E2" w:rsidRDefault="001A37E2" w:rsidP="00CE5053">
      <w:pPr>
        <w:rPr>
          <w:b/>
        </w:rPr>
      </w:pPr>
    </w:p>
    <w:p w14:paraId="1FC39945" w14:textId="77777777" w:rsidR="001A37E2" w:rsidRDefault="001A37E2" w:rsidP="00CE5053">
      <w:pPr>
        <w:rPr>
          <w:b/>
        </w:rPr>
      </w:pPr>
    </w:p>
    <w:p w14:paraId="0562CB0E" w14:textId="77777777" w:rsidR="001A37E2" w:rsidRDefault="001A37E2" w:rsidP="00CE5053">
      <w:pPr>
        <w:rPr>
          <w:b/>
        </w:rPr>
      </w:pPr>
    </w:p>
    <w:p w14:paraId="34CE0A41" w14:textId="77777777" w:rsidR="001A37E2" w:rsidRDefault="001A37E2" w:rsidP="00CE5053">
      <w:pPr>
        <w:rPr>
          <w:b/>
        </w:rPr>
      </w:pPr>
    </w:p>
    <w:p w14:paraId="62EBF3C5" w14:textId="77777777" w:rsidR="001A37E2" w:rsidRDefault="001A37E2" w:rsidP="00CE5053">
      <w:pPr>
        <w:rPr>
          <w:b/>
        </w:rPr>
      </w:pPr>
    </w:p>
    <w:p w14:paraId="6D98A12B" w14:textId="77777777" w:rsidR="001A37E2" w:rsidRDefault="001A37E2" w:rsidP="00CE5053">
      <w:pPr>
        <w:rPr>
          <w:b/>
        </w:rPr>
      </w:pPr>
    </w:p>
    <w:p w14:paraId="2946DB82" w14:textId="77777777" w:rsidR="001A37E2" w:rsidRDefault="001A37E2" w:rsidP="00CE5053">
      <w:pPr>
        <w:rPr>
          <w:b/>
        </w:rPr>
      </w:pPr>
    </w:p>
    <w:p w14:paraId="5997CC1D" w14:textId="77777777" w:rsidR="001A37E2" w:rsidRDefault="001A37E2" w:rsidP="00CE5053">
      <w:pPr>
        <w:rPr>
          <w:b/>
        </w:rPr>
      </w:pPr>
    </w:p>
    <w:p w14:paraId="110FFD37" w14:textId="77777777" w:rsidR="001A37E2" w:rsidRDefault="001A37E2" w:rsidP="00CE5053">
      <w:pPr>
        <w:rPr>
          <w:b/>
        </w:rPr>
      </w:pPr>
    </w:p>
    <w:p w14:paraId="6B699379" w14:textId="77777777" w:rsidR="001A37E2" w:rsidRDefault="001A37E2" w:rsidP="00CE5053">
      <w:pPr>
        <w:rPr>
          <w:b/>
        </w:rPr>
      </w:pPr>
    </w:p>
    <w:p w14:paraId="3FE9F23F" w14:textId="77777777" w:rsidR="001A37E2" w:rsidRDefault="001A37E2" w:rsidP="00CE5053">
      <w:pPr>
        <w:rPr>
          <w:b/>
        </w:rPr>
      </w:pPr>
    </w:p>
    <w:p w14:paraId="42514B6E" w14:textId="015C1C29" w:rsidR="00411931" w:rsidRPr="001A37E2" w:rsidRDefault="001A31E9" w:rsidP="00CE5053">
      <w:pPr>
        <w:rPr>
          <w:b/>
        </w:rPr>
      </w:pPr>
      <w:r>
        <w:rPr>
          <w:b/>
        </w:rPr>
        <w:t>Revision History</w:t>
      </w:r>
    </w:p>
    <w:tbl>
      <w:tblPr>
        <w:tblStyle w:val="TableGrid"/>
        <w:tblW w:w="0" w:type="auto"/>
        <w:tblLook w:val="04A0" w:firstRow="1" w:lastRow="0" w:firstColumn="1" w:lastColumn="0" w:noHBand="0" w:noVBand="1"/>
        <w:tblCaption w:val="Revision History"/>
      </w:tblPr>
      <w:tblGrid>
        <w:gridCol w:w="1271"/>
        <w:gridCol w:w="2268"/>
        <w:gridCol w:w="5477"/>
      </w:tblGrid>
      <w:tr w:rsidR="001A37E2" w14:paraId="31894132" w14:textId="77777777" w:rsidTr="00935708">
        <w:trPr>
          <w:tblHeader/>
        </w:trPr>
        <w:tc>
          <w:tcPr>
            <w:tcW w:w="1271" w:type="dxa"/>
          </w:tcPr>
          <w:p w14:paraId="5AAE4A22" w14:textId="77777777" w:rsidR="001A37E2" w:rsidRPr="001A37E2" w:rsidRDefault="001A37E2" w:rsidP="00CE5053">
            <w:pPr>
              <w:rPr>
                <w:b/>
              </w:rPr>
            </w:pPr>
            <w:r>
              <w:rPr>
                <w:b/>
              </w:rPr>
              <w:t>Revision</w:t>
            </w:r>
          </w:p>
        </w:tc>
        <w:tc>
          <w:tcPr>
            <w:tcW w:w="2268" w:type="dxa"/>
          </w:tcPr>
          <w:p w14:paraId="4C000D1D" w14:textId="77777777" w:rsidR="001A37E2" w:rsidRPr="001A37E2" w:rsidRDefault="001A37E2" w:rsidP="00CE5053">
            <w:pPr>
              <w:rPr>
                <w:b/>
              </w:rPr>
            </w:pPr>
            <w:r w:rsidRPr="001A37E2">
              <w:rPr>
                <w:b/>
              </w:rPr>
              <w:t>Revision date</w:t>
            </w:r>
          </w:p>
        </w:tc>
        <w:tc>
          <w:tcPr>
            <w:tcW w:w="5477" w:type="dxa"/>
          </w:tcPr>
          <w:p w14:paraId="0231F8D0" w14:textId="77777777" w:rsidR="001A37E2" w:rsidRPr="001A37E2" w:rsidRDefault="001A37E2" w:rsidP="00CE5053">
            <w:pPr>
              <w:rPr>
                <w:b/>
              </w:rPr>
            </w:pPr>
            <w:r w:rsidRPr="001A37E2">
              <w:rPr>
                <w:b/>
              </w:rPr>
              <w:t>Details</w:t>
            </w:r>
          </w:p>
        </w:tc>
      </w:tr>
      <w:tr w:rsidR="001A37E2" w14:paraId="15CD1CA5" w14:textId="77777777" w:rsidTr="001A37E2">
        <w:tc>
          <w:tcPr>
            <w:tcW w:w="1271" w:type="dxa"/>
          </w:tcPr>
          <w:p w14:paraId="649841BE" w14:textId="77777777" w:rsidR="001A37E2" w:rsidRPr="00905A60" w:rsidRDefault="001A37E2" w:rsidP="00CE5053">
            <w:pPr>
              <w:rPr>
                <w:sz w:val="20"/>
                <w:szCs w:val="20"/>
              </w:rPr>
            </w:pPr>
            <w:r w:rsidRPr="00905A60">
              <w:rPr>
                <w:sz w:val="20"/>
                <w:szCs w:val="20"/>
              </w:rPr>
              <w:t>1</w:t>
            </w:r>
          </w:p>
        </w:tc>
        <w:tc>
          <w:tcPr>
            <w:tcW w:w="2268" w:type="dxa"/>
          </w:tcPr>
          <w:p w14:paraId="6EC840A1" w14:textId="77777777" w:rsidR="001A37E2" w:rsidRPr="00905A60" w:rsidRDefault="00905A60" w:rsidP="00CE5053">
            <w:pPr>
              <w:rPr>
                <w:sz w:val="20"/>
                <w:szCs w:val="20"/>
              </w:rPr>
            </w:pPr>
            <w:r>
              <w:rPr>
                <w:sz w:val="20"/>
                <w:szCs w:val="20"/>
              </w:rPr>
              <w:t>11</w:t>
            </w:r>
            <w:r w:rsidR="001A37E2" w:rsidRPr="00905A60">
              <w:rPr>
                <w:sz w:val="20"/>
                <w:szCs w:val="20"/>
              </w:rPr>
              <w:t xml:space="preserve"> March 2020</w:t>
            </w:r>
          </w:p>
        </w:tc>
        <w:tc>
          <w:tcPr>
            <w:tcW w:w="5477" w:type="dxa"/>
          </w:tcPr>
          <w:p w14:paraId="7D80C13C" w14:textId="77777777" w:rsidR="001A37E2" w:rsidRPr="00905A60" w:rsidRDefault="00905A60" w:rsidP="00CE5053">
            <w:pPr>
              <w:rPr>
                <w:sz w:val="20"/>
                <w:szCs w:val="20"/>
              </w:rPr>
            </w:pPr>
            <w:r>
              <w:rPr>
                <w:sz w:val="20"/>
                <w:szCs w:val="20"/>
              </w:rPr>
              <w:t xml:space="preserve">Draft IDP for consideration by Mayor &amp; </w:t>
            </w:r>
            <w:r w:rsidR="001A37E2" w:rsidRPr="00905A60">
              <w:rPr>
                <w:sz w:val="20"/>
                <w:szCs w:val="20"/>
              </w:rPr>
              <w:t>Cabinet</w:t>
            </w:r>
          </w:p>
        </w:tc>
      </w:tr>
      <w:tr w:rsidR="001A37E2" w14:paraId="351CA9E3" w14:textId="77777777" w:rsidTr="001A37E2">
        <w:tc>
          <w:tcPr>
            <w:tcW w:w="1271" w:type="dxa"/>
          </w:tcPr>
          <w:p w14:paraId="18F999B5" w14:textId="77777777" w:rsidR="001A37E2" w:rsidRPr="00905A60" w:rsidRDefault="00905A60" w:rsidP="00CE5053">
            <w:pPr>
              <w:rPr>
                <w:sz w:val="20"/>
                <w:szCs w:val="20"/>
              </w:rPr>
            </w:pPr>
            <w:r w:rsidRPr="00905A60">
              <w:rPr>
                <w:sz w:val="20"/>
                <w:szCs w:val="20"/>
              </w:rPr>
              <w:t>2</w:t>
            </w:r>
          </w:p>
        </w:tc>
        <w:tc>
          <w:tcPr>
            <w:tcW w:w="2268" w:type="dxa"/>
          </w:tcPr>
          <w:p w14:paraId="438CF2C9" w14:textId="77777777" w:rsidR="001A37E2" w:rsidRPr="00905A60" w:rsidRDefault="00905A60" w:rsidP="00CE5053">
            <w:pPr>
              <w:rPr>
                <w:sz w:val="20"/>
                <w:szCs w:val="20"/>
              </w:rPr>
            </w:pPr>
            <w:r w:rsidRPr="00905A60">
              <w:rPr>
                <w:sz w:val="20"/>
                <w:szCs w:val="20"/>
              </w:rPr>
              <w:t>25 November 2020</w:t>
            </w:r>
          </w:p>
        </w:tc>
        <w:tc>
          <w:tcPr>
            <w:tcW w:w="5477" w:type="dxa"/>
          </w:tcPr>
          <w:p w14:paraId="48BE1B05" w14:textId="77777777" w:rsidR="001A37E2" w:rsidRPr="00905A60" w:rsidRDefault="00905A60" w:rsidP="00CE5053">
            <w:pPr>
              <w:rPr>
                <w:sz w:val="20"/>
                <w:szCs w:val="20"/>
              </w:rPr>
            </w:pPr>
            <w:r>
              <w:rPr>
                <w:sz w:val="20"/>
                <w:szCs w:val="20"/>
              </w:rPr>
              <w:t>Draft IDP for consideration by Council</w:t>
            </w:r>
          </w:p>
        </w:tc>
      </w:tr>
      <w:tr w:rsidR="001A37E2" w14:paraId="1F72F646" w14:textId="77777777" w:rsidTr="001A37E2">
        <w:tc>
          <w:tcPr>
            <w:tcW w:w="1271" w:type="dxa"/>
          </w:tcPr>
          <w:p w14:paraId="08CE6F91" w14:textId="77777777" w:rsidR="001A37E2" w:rsidRDefault="001A37E2" w:rsidP="00CE5053"/>
        </w:tc>
        <w:tc>
          <w:tcPr>
            <w:tcW w:w="2268" w:type="dxa"/>
          </w:tcPr>
          <w:p w14:paraId="61CDCEAD" w14:textId="77777777" w:rsidR="001A37E2" w:rsidRDefault="001A37E2" w:rsidP="00CE5053"/>
        </w:tc>
        <w:tc>
          <w:tcPr>
            <w:tcW w:w="5477" w:type="dxa"/>
          </w:tcPr>
          <w:p w14:paraId="6BB9E253" w14:textId="77777777" w:rsidR="001A37E2" w:rsidRDefault="001A37E2" w:rsidP="00CE5053"/>
        </w:tc>
      </w:tr>
    </w:tbl>
    <w:p w14:paraId="23DE523C" w14:textId="77777777" w:rsidR="001A37E2" w:rsidRPr="00D35244" w:rsidRDefault="001A37E2" w:rsidP="00CE5053">
      <w:pPr>
        <w:rPr>
          <w:rFonts w:cs="Arial"/>
          <w:color w:val="002060"/>
          <w:sz w:val="28"/>
          <w:szCs w:val="28"/>
        </w:rPr>
        <w:sectPr w:rsidR="001A37E2" w:rsidRPr="00D35244" w:rsidSect="007B10F6">
          <w:headerReference w:type="default" r:id="rId13"/>
          <w:footerReference w:type="default" r:id="rId14"/>
          <w:type w:val="continuous"/>
          <w:pgSz w:w="11906" w:h="16838"/>
          <w:pgMar w:top="1440" w:right="1440" w:bottom="1440" w:left="1440" w:header="708" w:footer="708" w:gutter="0"/>
          <w:pgBorders w:offsetFrom="page">
            <w:top w:val="single" w:sz="4" w:space="24" w:color="FFFFFF" w:themeColor="background1"/>
            <w:bottom w:val="single" w:sz="4" w:space="24" w:color="FFFFFF" w:themeColor="background1"/>
          </w:pgBorders>
          <w:pgNumType w:fmt="lowerRoman"/>
          <w:cols w:space="708"/>
          <w:docGrid w:linePitch="360"/>
        </w:sectPr>
      </w:pPr>
    </w:p>
    <w:sdt>
      <w:sdtPr>
        <w:rPr>
          <w:rFonts w:ascii="Arial" w:eastAsiaTheme="minorHAnsi" w:hAnsi="Arial" w:cstheme="minorBidi"/>
          <w:color w:val="002060"/>
          <w:sz w:val="22"/>
          <w:szCs w:val="22"/>
          <w:lang w:val="en-GB"/>
        </w:rPr>
        <w:id w:val="473097715"/>
        <w:docPartObj>
          <w:docPartGallery w:val="Table of Contents"/>
          <w:docPartUnique/>
        </w:docPartObj>
      </w:sdtPr>
      <w:sdtEndPr>
        <w:rPr>
          <w:b/>
          <w:bCs/>
          <w:noProof/>
          <w:color w:val="auto"/>
        </w:rPr>
      </w:sdtEndPr>
      <w:sdtContent>
        <w:p w14:paraId="22E0FC93" w14:textId="77777777" w:rsidR="00411931" w:rsidRPr="00753110" w:rsidRDefault="00411931" w:rsidP="00CE5053">
          <w:pPr>
            <w:pStyle w:val="TOCHeading"/>
            <w:rPr>
              <w:rFonts w:ascii="Arial" w:hAnsi="Arial" w:cs="Arial"/>
              <w:b/>
              <w:color w:val="002060"/>
            </w:rPr>
          </w:pPr>
          <w:r w:rsidRPr="00753110">
            <w:rPr>
              <w:rFonts w:ascii="Arial" w:hAnsi="Arial" w:cs="Arial"/>
              <w:b/>
              <w:color w:val="002060"/>
            </w:rPr>
            <w:t>Table of Contents</w:t>
          </w:r>
        </w:p>
        <w:p w14:paraId="0F2DB4C6" w14:textId="77777777" w:rsidR="00CE5053" w:rsidRDefault="00411931" w:rsidP="00CE5053">
          <w:pPr>
            <w:pStyle w:val="TOC1"/>
            <w:tabs>
              <w:tab w:val="left" w:pos="440"/>
              <w:tab w:val="right" w:pos="9016"/>
            </w:tabs>
            <w:rPr>
              <w:rFonts w:eastAsiaTheme="minorEastAsia"/>
              <w:b w:val="0"/>
              <w:noProof/>
              <w:lang w:eastAsia="en-GB"/>
            </w:rPr>
          </w:pPr>
          <w:r w:rsidRPr="00411931">
            <w:rPr>
              <w:rFonts w:ascii="Arial" w:hAnsi="Arial" w:cs="Arial"/>
              <w:b w:val="0"/>
              <w:sz w:val="24"/>
            </w:rPr>
            <w:fldChar w:fldCharType="begin"/>
          </w:r>
          <w:r w:rsidRPr="00411931">
            <w:rPr>
              <w:rFonts w:ascii="Arial" w:hAnsi="Arial" w:cs="Arial"/>
              <w:sz w:val="24"/>
            </w:rPr>
            <w:instrText xml:space="preserve"> TOC \o "1-3" \h \z \u </w:instrText>
          </w:r>
          <w:r w:rsidRPr="00411931">
            <w:rPr>
              <w:rFonts w:ascii="Arial" w:hAnsi="Arial" w:cs="Arial"/>
              <w:b w:val="0"/>
              <w:sz w:val="24"/>
            </w:rPr>
            <w:fldChar w:fldCharType="separate"/>
          </w:r>
          <w:hyperlink w:anchor="_Toc56146000" w:history="1">
            <w:r w:rsidR="00CE5053" w:rsidRPr="00646936">
              <w:rPr>
                <w:rStyle w:val="Hyperlink"/>
                <w:noProof/>
                <w14:scene3d>
                  <w14:camera w14:prst="orthographicFront"/>
                  <w14:lightRig w14:rig="threePt" w14:dir="t">
                    <w14:rot w14:lat="0" w14:lon="0" w14:rev="0"/>
                  </w14:lightRig>
                </w14:scene3d>
              </w:rPr>
              <w:t>1</w:t>
            </w:r>
            <w:r w:rsidR="00CE5053">
              <w:rPr>
                <w:rFonts w:eastAsiaTheme="minorEastAsia"/>
                <w:b w:val="0"/>
                <w:noProof/>
                <w:lang w:eastAsia="en-GB"/>
              </w:rPr>
              <w:tab/>
            </w:r>
            <w:r w:rsidR="00CE5053" w:rsidRPr="00646936">
              <w:rPr>
                <w:rStyle w:val="Hyperlink"/>
                <w:noProof/>
              </w:rPr>
              <w:t>Introduction</w:t>
            </w:r>
            <w:r w:rsidR="00CE5053">
              <w:rPr>
                <w:noProof/>
                <w:webHidden/>
              </w:rPr>
              <w:tab/>
            </w:r>
            <w:r w:rsidR="00CE5053">
              <w:rPr>
                <w:noProof/>
                <w:webHidden/>
              </w:rPr>
              <w:fldChar w:fldCharType="begin"/>
            </w:r>
            <w:r w:rsidR="00CE5053">
              <w:rPr>
                <w:noProof/>
                <w:webHidden/>
              </w:rPr>
              <w:instrText xml:space="preserve"> PAGEREF _Toc56146000 \h </w:instrText>
            </w:r>
            <w:r w:rsidR="00CE5053">
              <w:rPr>
                <w:noProof/>
                <w:webHidden/>
              </w:rPr>
            </w:r>
            <w:r w:rsidR="00CE5053">
              <w:rPr>
                <w:noProof/>
                <w:webHidden/>
              </w:rPr>
              <w:fldChar w:fldCharType="separate"/>
            </w:r>
            <w:r w:rsidR="00CE5053">
              <w:rPr>
                <w:noProof/>
                <w:webHidden/>
              </w:rPr>
              <w:t>1</w:t>
            </w:r>
            <w:r w:rsidR="00CE5053">
              <w:rPr>
                <w:noProof/>
                <w:webHidden/>
              </w:rPr>
              <w:fldChar w:fldCharType="end"/>
            </w:r>
          </w:hyperlink>
        </w:p>
        <w:p w14:paraId="677CC4AD" w14:textId="77777777" w:rsidR="00CE5053" w:rsidRDefault="0080349E" w:rsidP="00CE5053">
          <w:pPr>
            <w:pStyle w:val="TOC1"/>
            <w:tabs>
              <w:tab w:val="left" w:pos="440"/>
              <w:tab w:val="right" w:pos="9016"/>
            </w:tabs>
            <w:rPr>
              <w:rFonts w:eastAsiaTheme="minorEastAsia"/>
              <w:b w:val="0"/>
              <w:noProof/>
              <w:lang w:eastAsia="en-GB"/>
            </w:rPr>
          </w:pPr>
          <w:hyperlink w:anchor="_Toc56146001" w:history="1">
            <w:r w:rsidR="00CE5053" w:rsidRPr="00646936">
              <w:rPr>
                <w:rStyle w:val="Hyperlink"/>
                <w:noProof/>
                <w14:scene3d>
                  <w14:camera w14:prst="orthographicFront"/>
                  <w14:lightRig w14:rig="threePt" w14:dir="t">
                    <w14:rot w14:lat="0" w14:lon="0" w14:rev="0"/>
                  </w14:lightRig>
                </w14:scene3d>
              </w:rPr>
              <w:t>2</w:t>
            </w:r>
            <w:r w:rsidR="00CE5053">
              <w:rPr>
                <w:rFonts w:eastAsiaTheme="minorEastAsia"/>
                <w:b w:val="0"/>
                <w:noProof/>
                <w:lang w:eastAsia="en-GB"/>
              </w:rPr>
              <w:tab/>
            </w:r>
            <w:r w:rsidR="00CE5053" w:rsidRPr="00646936">
              <w:rPr>
                <w:rStyle w:val="Hyperlink"/>
                <w:noProof/>
              </w:rPr>
              <w:t>Policy context</w:t>
            </w:r>
            <w:r w:rsidR="00CE5053">
              <w:rPr>
                <w:noProof/>
                <w:webHidden/>
              </w:rPr>
              <w:tab/>
            </w:r>
            <w:r w:rsidR="00CE5053">
              <w:rPr>
                <w:noProof/>
                <w:webHidden/>
              </w:rPr>
              <w:fldChar w:fldCharType="begin"/>
            </w:r>
            <w:r w:rsidR="00CE5053">
              <w:rPr>
                <w:noProof/>
                <w:webHidden/>
              </w:rPr>
              <w:instrText xml:space="preserve"> PAGEREF _Toc56146001 \h </w:instrText>
            </w:r>
            <w:r w:rsidR="00CE5053">
              <w:rPr>
                <w:noProof/>
                <w:webHidden/>
              </w:rPr>
            </w:r>
            <w:r w:rsidR="00CE5053">
              <w:rPr>
                <w:noProof/>
                <w:webHidden/>
              </w:rPr>
              <w:fldChar w:fldCharType="separate"/>
            </w:r>
            <w:r w:rsidR="00CE5053">
              <w:rPr>
                <w:noProof/>
                <w:webHidden/>
              </w:rPr>
              <w:t>5</w:t>
            </w:r>
            <w:r w:rsidR="00CE5053">
              <w:rPr>
                <w:noProof/>
                <w:webHidden/>
              </w:rPr>
              <w:fldChar w:fldCharType="end"/>
            </w:r>
          </w:hyperlink>
        </w:p>
        <w:p w14:paraId="38921C41" w14:textId="77777777" w:rsidR="00CE5053" w:rsidRDefault="0080349E" w:rsidP="00CE5053">
          <w:pPr>
            <w:pStyle w:val="TOC1"/>
            <w:tabs>
              <w:tab w:val="left" w:pos="440"/>
              <w:tab w:val="right" w:pos="9016"/>
            </w:tabs>
            <w:rPr>
              <w:rFonts w:eastAsiaTheme="minorEastAsia"/>
              <w:b w:val="0"/>
              <w:noProof/>
              <w:lang w:eastAsia="en-GB"/>
            </w:rPr>
          </w:pPr>
          <w:hyperlink w:anchor="_Toc56146002" w:history="1">
            <w:r w:rsidR="00CE5053" w:rsidRPr="00646936">
              <w:rPr>
                <w:rStyle w:val="Hyperlink"/>
                <w:noProof/>
                <w14:scene3d>
                  <w14:camera w14:prst="orthographicFront"/>
                  <w14:lightRig w14:rig="threePt" w14:dir="t">
                    <w14:rot w14:lat="0" w14:lon="0" w14:rev="0"/>
                  </w14:lightRig>
                </w14:scene3d>
              </w:rPr>
              <w:t>3</w:t>
            </w:r>
            <w:r w:rsidR="00CE5053">
              <w:rPr>
                <w:rFonts w:eastAsiaTheme="minorEastAsia"/>
                <w:b w:val="0"/>
                <w:noProof/>
                <w:lang w:eastAsia="en-GB"/>
              </w:rPr>
              <w:tab/>
            </w:r>
            <w:r w:rsidR="00CE5053" w:rsidRPr="00646936">
              <w:rPr>
                <w:rStyle w:val="Hyperlink"/>
                <w:noProof/>
              </w:rPr>
              <w:t>Social infrastructure</w:t>
            </w:r>
            <w:r w:rsidR="00CE5053">
              <w:rPr>
                <w:noProof/>
                <w:webHidden/>
              </w:rPr>
              <w:tab/>
            </w:r>
            <w:r w:rsidR="00CE5053">
              <w:rPr>
                <w:noProof/>
                <w:webHidden/>
              </w:rPr>
              <w:fldChar w:fldCharType="begin"/>
            </w:r>
            <w:r w:rsidR="00CE5053">
              <w:rPr>
                <w:noProof/>
                <w:webHidden/>
              </w:rPr>
              <w:instrText xml:space="preserve"> PAGEREF _Toc56146002 \h </w:instrText>
            </w:r>
            <w:r w:rsidR="00CE5053">
              <w:rPr>
                <w:noProof/>
                <w:webHidden/>
              </w:rPr>
            </w:r>
            <w:r w:rsidR="00CE5053">
              <w:rPr>
                <w:noProof/>
                <w:webHidden/>
              </w:rPr>
              <w:fldChar w:fldCharType="separate"/>
            </w:r>
            <w:r w:rsidR="00CE5053">
              <w:rPr>
                <w:noProof/>
                <w:webHidden/>
              </w:rPr>
              <w:t>8</w:t>
            </w:r>
            <w:r w:rsidR="00CE5053">
              <w:rPr>
                <w:noProof/>
                <w:webHidden/>
              </w:rPr>
              <w:fldChar w:fldCharType="end"/>
            </w:r>
          </w:hyperlink>
        </w:p>
        <w:p w14:paraId="5852C9AC" w14:textId="77777777" w:rsidR="00CE5053" w:rsidRDefault="0080349E" w:rsidP="00CE5053">
          <w:pPr>
            <w:pStyle w:val="TOC2"/>
            <w:tabs>
              <w:tab w:val="left" w:pos="880"/>
              <w:tab w:val="right" w:pos="9016"/>
            </w:tabs>
            <w:rPr>
              <w:rFonts w:eastAsiaTheme="minorEastAsia"/>
              <w:i w:val="0"/>
              <w:noProof/>
              <w:lang w:eastAsia="en-GB"/>
            </w:rPr>
          </w:pPr>
          <w:hyperlink w:anchor="_Toc56146003" w:history="1">
            <w:r w:rsidR="00CE5053" w:rsidRPr="00646936">
              <w:rPr>
                <w:rStyle w:val="Hyperlink"/>
                <w:noProof/>
                <w14:scene3d>
                  <w14:camera w14:prst="orthographicFront"/>
                  <w14:lightRig w14:rig="threePt" w14:dir="t">
                    <w14:rot w14:lat="0" w14:lon="0" w14:rev="0"/>
                  </w14:lightRig>
                </w14:scene3d>
              </w:rPr>
              <w:t>3.1</w:t>
            </w:r>
            <w:r w:rsidR="00CE5053">
              <w:rPr>
                <w:rFonts w:eastAsiaTheme="minorEastAsia"/>
                <w:i w:val="0"/>
                <w:noProof/>
                <w:lang w:eastAsia="en-GB"/>
              </w:rPr>
              <w:tab/>
            </w:r>
            <w:r w:rsidR="00CE5053" w:rsidRPr="00646936">
              <w:rPr>
                <w:rStyle w:val="Hyperlink"/>
                <w:noProof/>
              </w:rPr>
              <w:t>Education and childcare facilities</w:t>
            </w:r>
            <w:r w:rsidR="00CE5053">
              <w:rPr>
                <w:noProof/>
                <w:webHidden/>
              </w:rPr>
              <w:tab/>
            </w:r>
            <w:r w:rsidR="00CE5053">
              <w:rPr>
                <w:noProof/>
                <w:webHidden/>
              </w:rPr>
              <w:fldChar w:fldCharType="begin"/>
            </w:r>
            <w:r w:rsidR="00CE5053">
              <w:rPr>
                <w:noProof/>
                <w:webHidden/>
              </w:rPr>
              <w:instrText xml:space="preserve"> PAGEREF _Toc56146003 \h </w:instrText>
            </w:r>
            <w:r w:rsidR="00CE5053">
              <w:rPr>
                <w:noProof/>
                <w:webHidden/>
              </w:rPr>
            </w:r>
            <w:r w:rsidR="00CE5053">
              <w:rPr>
                <w:noProof/>
                <w:webHidden/>
              </w:rPr>
              <w:fldChar w:fldCharType="separate"/>
            </w:r>
            <w:r w:rsidR="00CE5053">
              <w:rPr>
                <w:noProof/>
                <w:webHidden/>
              </w:rPr>
              <w:t>8</w:t>
            </w:r>
            <w:r w:rsidR="00CE5053">
              <w:rPr>
                <w:noProof/>
                <w:webHidden/>
              </w:rPr>
              <w:fldChar w:fldCharType="end"/>
            </w:r>
          </w:hyperlink>
        </w:p>
        <w:p w14:paraId="7B0FA013" w14:textId="77777777" w:rsidR="00CE5053" w:rsidRDefault="0080349E" w:rsidP="00CE5053">
          <w:pPr>
            <w:pStyle w:val="TOC3"/>
            <w:tabs>
              <w:tab w:val="right" w:pos="9016"/>
            </w:tabs>
            <w:rPr>
              <w:rFonts w:eastAsiaTheme="minorEastAsia"/>
              <w:noProof/>
              <w:lang w:eastAsia="en-GB"/>
            </w:rPr>
          </w:pPr>
          <w:hyperlink w:anchor="_Toc56146004" w:history="1">
            <w:r w:rsidR="00CE5053" w:rsidRPr="00646936">
              <w:rPr>
                <w:rStyle w:val="Hyperlink"/>
                <w:noProof/>
              </w:rPr>
              <w:t>Childcare and Early Education</w:t>
            </w:r>
            <w:r w:rsidR="00CE5053">
              <w:rPr>
                <w:noProof/>
                <w:webHidden/>
              </w:rPr>
              <w:tab/>
            </w:r>
            <w:r w:rsidR="00CE5053">
              <w:rPr>
                <w:noProof/>
                <w:webHidden/>
              </w:rPr>
              <w:fldChar w:fldCharType="begin"/>
            </w:r>
            <w:r w:rsidR="00CE5053">
              <w:rPr>
                <w:noProof/>
                <w:webHidden/>
              </w:rPr>
              <w:instrText xml:space="preserve"> PAGEREF _Toc56146004 \h </w:instrText>
            </w:r>
            <w:r w:rsidR="00CE5053">
              <w:rPr>
                <w:noProof/>
                <w:webHidden/>
              </w:rPr>
            </w:r>
            <w:r w:rsidR="00CE5053">
              <w:rPr>
                <w:noProof/>
                <w:webHidden/>
              </w:rPr>
              <w:fldChar w:fldCharType="separate"/>
            </w:r>
            <w:r w:rsidR="00CE5053">
              <w:rPr>
                <w:noProof/>
                <w:webHidden/>
              </w:rPr>
              <w:t>8</w:t>
            </w:r>
            <w:r w:rsidR="00CE5053">
              <w:rPr>
                <w:noProof/>
                <w:webHidden/>
              </w:rPr>
              <w:fldChar w:fldCharType="end"/>
            </w:r>
          </w:hyperlink>
        </w:p>
        <w:p w14:paraId="217CFBE1" w14:textId="77777777" w:rsidR="00CE5053" w:rsidRDefault="0080349E" w:rsidP="00CE5053">
          <w:pPr>
            <w:pStyle w:val="TOC3"/>
            <w:tabs>
              <w:tab w:val="right" w:pos="9016"/>
            </w:tabs>
            <w:rPr>
              <w:rFonts w:eastAsiaTheme="minorEastAsia"/>
              <w:noProof/>
              <w:lang w:eastAsia="en-GB"/>
            </w:rPr>
          </w:pPr>
          <w:hyperlink w:anchor="_Toc56146005" w:history="1">
            <w:r w:rsidR="00CE5053" w:rsidRPr="00646936">
              <w:rPr>
                <w:rStyle w:val="Hyperlink"/>
                <w:noProof/>
              </w:rPr>
              <w:t>Primary education</w:t>
            </w:r>
            <w:r w:rsidR="00CE5053">
              <w:rPr>
                <w:noProof/>
                <w:webHidden/>
              </w:rPr>
              <w:tab/>
            </w:r>
            <w:r w:rsidR="00CE5053">
              <w:rPr>
                <w:noProof/>
                <w:webHidden/>
              </w:rPr>
              <w:fldChar w:fldCharType="begin"/>
            </w:r>
            <w:r w:rsidR="00CE5053">
              <w:rPr>
                <w:noProof/>
                <w:webHidden/>
              </w:rPr>
              <w:instrText xml:space="preserve"> PAGEREF _Toc56146005 \h </w:instrText>
            </w:r>
            <w:r w:rsidR="00CE5053">
              <w:rPr>
                <w:noProof/>
                <w:webHidden/>
              </w:rPr>
            </w:r>
            <w:r w:rsidR="00CE5053">
              <w:rPr>
                <w:noProof/>
                <w:webHidden/>
              </w:rPr>
              <w:fldChar w:fldCharType="separate"/>
            </w:r>
            <w:r w:rsidR="00CE5053">
              <w:rPr>
                <w:noProof/>
                <w:webHidden/>
              </w:rPr>
              <w:t>9</w:t>
            </w:r>
            <w:r w:rsidR="00CE5053">
              <w:rPr>
                <w:noProof/>
                <w:webHidden/>
              </w:rPr>
              <w:fldChar w:fldCharType="end"/>
            </w:r>
          </w:hyperlink>
        </w:p>
        <w:p w14:paraId="52D7ADB2" w14:textId="77777777" w:rsidR="00CE5053" w:rsidRDefault="0080349E" w:rsidP="00CE5053">
          <w:pPr>
            <w:pStyle w:val="TOC3"/>
            <w:tabs>
              <w:tab w:val="right" w:pos="9016"/>
            </w:tabs>
            <w:rPr>
              <w:rFonts w:eastAsiaTheme="minorEastAsia"/>
              <w:noProof/>
              <w:lang w:eastAsia="en-GB"/>
            </w:rPr>
          </w:pPr>
          <w:hyperlink w:anchor="_Toc56146006" w:history="1">
            <w:r w:rsidR="00CE5053" w:rsidRPr="00646936">
              <w:rPr>
                <w:rStyle w:val="Hyperlink"/>
                <w:noProof/>
              </w:rPr>
              <w:t>Secondary education</w:t>
            </w:r>
            <w:r w:rsidR="00CE5053">
              <w:rPr>
                <w:noProof/>
                <w:webHidden/>
              </w:rPr>
              <w:tab/>
            </w:r>
            <w:r w:rsidR="00CE5053">
              <w:rPr>
                <w:noProof/>
                <w:webHidden/>
              </w:rPr>
              <w:fldChar w:fldCharType="begin"/>
            </w:r>
            <w:r w:rsidR="00CE5053">
              <w:rPr>
                <w:noProof/>
                <w:webHidden/>
              </w:rPr>
              <w:instrText xml:space="preserve"> PAGEREF _Toc56146006 \h </w:instrText>
            </w:r>
            <w:r w:rsidR="00CE5053">
              <w:rPr>
                <w:noProof/>
                <w:webHidden/>
              </w:rPr>
            </w:r>
            <w:r w:rsidR="00CE5053">
              <w:rPr>
                <w:noProof/>
                <w:webHidden/>
              </w:rPr>
              <w:fldChar w:fldCharType="separate"/>
            </w:r>
            <w:r w:rsidR="00CE5053">
              <w:rPr>
                <w:noProof/>
                <w:webHidden/>
              </w:rPr>
              <w:t>11</w:t>
            </w:r>
            <w:r w:rsidR="00CE5053">
              <w:rPr>
                <w:noProof/>
                <w:webHidden/>
              </w:rPr>
              <w:fldChar w:fldCharType="end"/>
            </w:r>
          </w:hyperlink>
        </w:p>
        <w:p w14:paraId="372F6007" w14:textId="77777777" w:rsidR="00CE5053" w:rsidRDefault="0080349E" w:rsidP="00CE5053">
          <w:pPr>
            <w:pStyle w:val="TOC3"/>
            <w:tabs>
              <w:tab w:val="right" w:pos="9016"/>
            </w:tabs>
            <w:rPr>
              <w:rFonts w:eastAsiaTheme="minorEastAsia"/>
              <w:noProof/>
              <w:lang w:eastAsia="en-GB"/>
            </w:rPr>
          </w:pPr>
          <w:hyperlink w:anchor="_Toc56146007" w:history="1">
            <w:r w:rsidR="00CE5053" w:rsidRPr="00646936">
              <w:rPr>
                <w:rStyle w:val="Hyperlink"/>
                <w:noProof/>
              </w:rPr>
              <w:t>Special education</w:t>
            </w:r>
            <w:r w:rsidR="00CE5053">
              <w:rPr>
                <w:noProof/>
                <w:webHidden/>
              </w:rPr>
              <w:tab/>
            </w:r>
            <w:r w:rsidR="00CE5053">
              <w:rPr>
                <w:noProof/>
                <w:webHidden/>
              </w:rPr>
              <w:fldChar w:fldCharType="begin"/>
            </w:r>
            <w:r w:rsidR="00CE5053">
              <w:rPr>
                <w:noProof/>
                <w:webHidden/>
              </w:rPr>
              <w:instrText xml:space="preserve"> PAGEREF _Toc56146007 \h </w:instrText>
            </w:r>
            <w:r w:rsidR="00CE5053">
              <w:rPr>
                <w:noProof/>
                <w:webHidden/>
              </w:rPr>
            </w:r>
            <w:r w:rsidR="00CE5053">
              <w:rPr>
                <w:noProof/>
                <w:webHidden/>
              </w:rPr>
              <w:fldChar w:fldCharType="separate"/>
            </w:r>
            <w:r w:rsidR="00CE5053">
              <w:rPr>
                <w:noProof/>
                <w:webHidden/>
              </w:rPr>
              <w:t>13</w:t>
            </w:r>
            <w:r w:rsidR="00CE5053">
              <w:rPr>
                <w:noProof/>
                <w:webHidden/>
              </w:rPr>
              <w:fldChar w:fldCharType="end"/>
            </w:r>
          </w:hyperlink>
        </w:p>
        <w:p w14:paraId="2F83C8A2" w14:textId="77777777" w:rsidR="00CE5053" w:rsidRDefault="0080349E" w:rsidP="00CE5053">
          <w:pPr>
            <w:pStyle w:val="TOC3"/>
            <w:tabs>
              <w:tab w:val="right" w:pos="9016"/>
            </w:tabs>
            <w:rPr>
              <w:rFonts w:eastAsiaTheme="minorEastAsia"/>
              <w:noProof/>
              <w:lang w:eastAsia="en-GB"/>
            </w:rPr>
          </w:pPr>
          <w:hyperlink w:anchor="_Toc56146008" w:history="1">
            <w:r w:rsidR="00CE5053" w:rsidRPr="00646936">
              <w:rPr>
                <w:rStyle w:val="Hyperlink"/>
                <w:noProof/>
              </w:rPr>
              <w:t>Alternative provision</w:t>
            </w:r>
            <w:r w:rsidR="00CE5053">
              <w:rPr>
                <w:noProof/>
                <w:webHidden/>
              </w:rPr>
              <w:tab/>
            </w:r>
            <w:r w:rsidR="00CE5053">
              <w:rPr>
                <w:noProof/>
                <w:webHidden/>
              </w:rPr>
              <w:fldChar w:fldCharType="begin"/>
            </w:r>
            <w:r w:rsidR="00CE5053">
              <w:rPr>
                <w:noProof/>
                <w:webHidden/>
              </w:rPr>
              <w:instrText xml:space="preserve"> PAGEREF _Toc56146008 \h </w:instrText>
            </w:r>
            <w:r w:rsidR="00CE5053">
              <w:rPr>
                <w:noProof/>
                <w:webHidden/>
              </w:rPr>
            </w:r>
            <w:r w:rsidR="00CE5053">
              <w:rPr>
                <w:noProof/>
                <w:webHidden/>
              </w:rPr>
              <w:fldChar w:fldCharType="separate"/>
            </w:r>
            <w:r w:rsidR="00CE5053">
              <w:rPr>
                <w:noProof/>
                <w:webHidden/>
              </w:rPr>
              <w:t>14</w:t>
            </w:r>
            <w:r w:rsidR="00CE5053">
              <w:rPr>
                <w:noProof/>
                <w:webHidden/>
              </w:rPr>
              <w:fldChar w:fldCharType="end"/>
            </w:r>
          </w:hyperlink>
        </w:p>
        <w:p w14:paraId="6DB4AB64" w14:textId="77777777" w:rsidR="00CE5053" w:rsidRDefault="0080349E" w:rsidP="00CE5053">
          <w:pPr>
            <w:pStyle w:val="TOC3"/>
            <w:tabs>
              <w:tab w:val="right" w:pos="9016"/>
            </w:tabs>
            <w:rPr>
              <w:rFonts w:eastAsiaTheme="minorEastAsia"/>
              <w:noProof/>
              <w:lang w:eastAsia="en-GB"/>
            </w:rPr>
          </w:pPr>
          <w:hyperlink w:anchor="_Toc56146009" w:history="1">
            <w:r w:rsidR="00CE5053" w:rsidRPr="00646936">
              <w:rPr>
                <w:rStyle w:val="Hyperlink"/>
                <w:noProof/>
              </w:rPr>
              <w:t>Strategic infrastructure list for education and childcare facilities</w:t>
            </w:r>
            <w:r w:rsidR="00CE5053">
              <w:rPr>
                <w:noProof/>
                <w:webHidden/>
              </w:rPr>
              <w:tab/>
            </w:r>
            <w:r w:rsidR="00CE5053">
              <w:rPr>
                <w:noProof/>
                <w:webHidden/>
              </w:rPr>
              <w:fldChar w:fldCharType="begin"/>
            </w:r>
            <w:r w:rsidR="00CE5053">
              <w:rPr>
                <w:noProof/>
                <w:webHidden/>
              </w:rPr>
              <w:instrText xml:space="preserve"> PAGEREF _Toc56146009 \h </w:instrText>
            </w:r>
            <w:r w:rsidR="00CE5053">
              <w:rPr>
                <w:noProof/>
                <w:webHidden/>
              </w:rPr>
            </w:r>
            <w:r w:rsidR="00CE5053">
              <w:rPr>
                <w:noProof/>
                <w:webHidden/>
              </w:rPr>
              <w:fldChar w:fldCharType="separate"/>
            </w:r>
            <w:r w:rsidR="00CE5053">
              <w:rPr>
                <w:noProof/>
                <w:webHidden/>
              </w:rPr>
              <w:t>16</w:t>
            </w:r>
            <w:r w:rsidR="00CE5053">
              <w:rPr>
                <w:noProof/>
                <w:webHidden/>
              </w:rPr>
              <w:fldChar w:fldCharType="end"/>
            </w:r>
          </w:hyperlink>
        </w:p>
        <w:p w14:paraId="4720128A" w14:textId="77777777" w:rsidR="00CE5053" w:rsidRDefault="0080349E" w:rsidP="00CE5053">
          <w:pPr>
            <w:pStyle w:val="TOC2"/>
            <w:tabs>
              <w:tab w:val="left" w:pos="880"/>
              <w:tab w:val="right" w:pos="9016"/>
            </w:tabs>
            <w:rPr>
              <w:rFonts w:eastAsiaTheme="minorEastAsia"/>
              <w:i w:val="0"/>
              <w:noProof/>
              <w:lang w:eastAsia="en-GB"/>
            </w:rPr>
          </w:pPr>
          <w:hyperlink w:anchor="_Toc56146010" w:history="1">
            <w:r w:rsidR="00CE5053" w:rsidRPr="00646936">
              <w:rPr>
                <w:rStyle w:val="Hyperlink"/>
                <w:noProof/>
                <w14:scene3d>
                  <w14:camera w14:prst="orthographicFront"/>
                  <w14:lightRig w14:rig="threePt" w14:dir="t">
                    <w14:rot w14:lat="0" w14:lon="0" w14:rev="0"/>
                  </w14:lightRig>
                </w14:scene3d>
              </w:rPr>
              <w:t>3.2</w:t>
            </w:r>
            <w:r w:rsidR="00CE5053">
              <w:rPr>
                <w:rFonts w:eastAsiaTheme="minorEastAsia"/>
                <w:i w:val="0"/>
                <w:noProof/>
                <w:lang w:eastAsia="en-GB"/>
              </w:rPr>
              <w:tab/>
            </w:r>
            <w:r w:rsidR="00CE5053" w:rsidRPr="00646936">
              <w:rPr>
                <w:rStyle w:val="Hyperlink"/>
                <w:noProof/>
              </w:rPr>
              <w:t>Health and care facilities</w:t>
            </w:r>
            <w:r w:rsidR="00CE5053">
              <w:rPr>
                <w:noProof/>
                <w:webHidden/>
              </w:rPr>
              <w:tab/>
            </w:r>
            <w:r w:rsidR="00CE5053">
              <w:rPr>
                <w:noProof/>
                <w:webHidden/>
              </w:rPr>
              <w:fldChar w:fldCharType="begin"/>
            </w:r>
            <w:r w:rsidR="00CE5053">
              <w:rPr>
                <w:noProof/>
                <w:webHidden/>
              </w:rPr>
              <w:instrText xml:space="preserve"> PAGEREF _Toc56146010 \h </w:instrText>
            </w:r>
            <w:r w:rsidR="00CE5053">
              <w:rPr>
                <w:noProof/>
                <w:webHidden/>
              </w:rPr>
            </w:r>
            <w:r w:rsidR="00CE5053">
              <w:rPr>
                <w:noProof/>
                <w:webHidden/>
              </w:rPr>
              <w:fldChar w:fldCharType="separate"/>
            </w:r>
            <w:r w:rsidR="00CE5053">
              <w:rPr>
                <w:noProof/>
                <w:webHidden/>
              </w:rPr>
              <w:t>17</w:t>
            </w:r>
            <w:r w:rsidR="00CE5053">
              <w:rPr>
                <w:noProof/>
                <w:webHidden/>
              </w:rPr>
              <w:fldChar w:fldCharType="end"/>
            </w:r>
          </w:hyperlink>
        </w:p>
        <w:p w14:paraId="347411AC" w14:textId="77777777" w:rsidR="00CE5053" w:rsidRDefault="0080349E" w:rsidP="00CE5053">
          <w:pPr>
            <w:pStyle w:val="TOC3"/>
            <w:tabs>
              <w:tab w:val="right" w:pos="9016"/>
            </w:tabs>
            <w:rPr>
              <w:rFonts w:eastAsiaTheme="minorEastAsia"/>
              <w:noProof/>
              <w:lang w:eastAsia="en-GB"/>
            </w:rPr>
          </w:pPr>
          <w:hyperlink w:anchor="_Toc56146011" w:history="1">
            <w:r w:rsidR="00CE5053" w:rsidRPr="00646936">
              <w:rPr>
                <w:rStyle w:val="Hyperlink"/>
                <w:noProof/>
              </w:rPr>
              <w:t>Primary care</w:t>
            </w:r>
            <w:r w:rsidR="00CE5053">
              <w:rPr>
                <w:noProof/>
                <w:webHidden/>
              </w:rPr>
              <w:tab/>
            </w:r>
            <w:r w:rsidR="00CE5053">
              <w:rPr>
                <w:noProof/>
                <w:webHidden/>
              </w:rPr>
              <w:fldChar w:fldCharType="begin"/>
            </w:r>
            <w:r w:rsidR="00CE5053">
              <w:rPr>
                <w:noProof/>
                <w:webHidden/>
              </w:rPr>
              <w:instrText xml:space="preserve"> PAGEREF _Toc56146011 \h </w:instrText>
            </w:r>
            <w:r w:rsidR="00CE5053">
              <w:rPr>
                <w:noProof/>
                <w:webHidden/>
              </w:rPr>
            </w:r>
            <w:r w:rsidR="00CE5053">
              <w:rPr>
                <w:noProof/>
                <w:webHidden/>
              </w:rPr>
              <w:fldChar w:fldCharType="separate"/>
            </w:r>
            <w:r w:rsidR="00CE5053">
              <w:rPr>
                <w:noProof/>
                <w:webHidden/>
              </w:rPr>
              <w:t>18</w:t>
            </w:r>
            <w:r w:rsidR="00CE5053">
              <w:rPr>
                <w:noProof/>
                <w:webHidden/>
              </w:rPr>
              <w:fldChar w:fldCharType="end"/>
            </w:r>
          </w:hyperlink>
        </w:p>
        <w:p w14:paraId="63D6CFA5" w14:textId="77777777" w:rsidR="00CE5053" w:rsidRDefault="0080349E" w:rsidP="00CE5053">
          <w:pPr>
            <w:pStyle w:val="TOC3"/>
            <w:tabs>
              <w:tab w:val="right" w:pos="9016"/>
            </w:tabs>
            <w:rPr>
              <w:rFonts w:eastAsiaTheme="minorEastAsia"/>
              <w:noProof/>
              <w:lang w:eastAsia="en-GB"/>
            </w:rPr>
          </w:pPr>
          <w:hyperlink w:anchor="_Toc56146012" w:history="1">
            <w:r w:rsidR="00CE5053" w:rsidRPr="00646936">
              <w:rPr>
                <w:rStyle w:val="Hyperlink"/>
                <w:noProof/>
              </w:rPr>
              <w:t>Community healthcare</w:t>
            </w:r>
            <w:r w:rsidR="00CE5053">
              <w:rPr>
                <w:noProof/>
                <w:webHidden/>
              </w:rPr>
              <w:tab/>
            </w:r>
            <w:r w:rsidR="00CE5053">
              <w:rPr>
                <w:noProof/>
                <w:webHidden/>
              </w:rPr>
              <w:fldChar w:fldCharType="begin"/>
            </w:r>
            <w:r w:rsidR="00CE5053">
              <w:rPr>
                <w:noProof/>
                <w:webHidden/>
              </w:rPr>
              <w:instrText xml:space="preserve"> PAGEREF _Toc56146012 \h </w:instrText>
            </w:r>
            <w:r w:rsidR="00CE5053">
              <w:rPr>
                <w:noProof/>
                <w:webHidden/>
              </w:rPr>
            </w:r>
            <w:r w:rsidR="00CE5053">
              <w:rPr>
                <w:noProof/>
                <w:webHidden/>
              </w:rPr>
              <w:fldChar w:fldCharType="separate"/>
            </w:r>
            <w:r w:rsidR="00CE5053">
              <w:rPr>
                <w:noProof/>
                <w:webHidden/>
              </w:rPr>
              <w:t>19</w:t>
            </w:r>
            <w:r w:rsidR="00CE5053">
              <w:rPr>
                <w:noProof/>
                <w:webHidden/>
              </w:rPr>
              <w:fldChar w:fldCharType="end"/>
            </w:r>
          </w:hyperlink>
        </w:p>
        <w:p w14:paraId="42E8D6D1" w14:textId="77777777" w:rsidR="00CE5053" w:rsidRDefault="0080349E" w:rsidP="00CE5053">
          <w:pPr>
            <w:pStyle w:val="TOC3"/>
            <w:tabs>
              <w:tab w:val="right" w:pos="9016"/>
            </w:tabs>
            <w:rPr>
              <w:rFonts w:eastAsiaTheme="minorEastAsia"/>
              <w:noProof/>
              <w:lang w:eastAsia="en-GB"/>
            </w:rPr>
          </w:pPr>
          <w:hyperlink w:anchor="_Toc56146013" w:history="1">
            <w:r w:rsidR="00CE5053" w:rsidRPr="00646936">
              <w:rPr>
                <w:rStyle w:val="Hyperlink"/>
                <w:noProof/>
              </w:rPr>
              <w:t>Acute provision</w:t>
            </w:r>
            <w:r w:rsidR="00CE5053">
              <w:rPr>
                <w:noProof/>
                <w:webHidden/>
              </w:rPr>
              <w:tab/>
            </w:r>
            <w:r w:rsidR="00CE5053">
              <w:rPr>
                <w:noProof/>
                <w:webHidden/>
              </w:rPr>
              <w:fldChar w:fldCharType="begin"/>
            </w:r>
            <w:r w:rsidR="00CE5053">
              <w:rPr>
                <w:noProof/>
                <w:webHidden/>
              </w:rPr>
              <w:instrText xml:space="preserve"> PAGEREF _Toc56146013 \h </w:instrText>
            </w:r>
            <w:r w:rsidR="00CE5053">
              <w:rPr>
                <w:noProof/>
                <w:webHidden/>
              </w:rPr>
            </w:r>
            <w:r w:rsidR="00CE5053">
              <w:rPr>
                <w:noProof/>
                <w:webHidden/>
              </w:rPr>
              <w:fldChar w:fldCharType="separate"/>
            </w:r>
            <w:r w:rsidR="00CE5053">
              <w:rPr>
                <w:noProof/>
                <w:webHidden/>
              </w:rPr>
              <w:t>20</w:t>
            </w:r>
            <w:r w:rsidR="00CE5053">
              <w:rPr>
                <w:noProof/>
                <w:webHidden/>
              </w:rPr>
              <w:fldChar w:fldCharType="end"/>
            </w:r>
          </w:hyperlink>
        </w:p>
        <w:p w14:paraId="7985DCA6" w14:textId="77777777" w:rsidR="00CE5053" w:rsidRDefault="0080349E" w:rsidP="00CE5053">
          <w:pPr>
            <w:pStyle w:val="TOC3"/>
            <w:tabs>
              <w:tab w:val="right" w:pos="9016"/>
            </w:tabs>
            <w:rPr>
              <w:rFonts w:eastAsiaTheme="minorEastAsia"/>
              <w:noProof/>
              <w:lang w:eastAsia="en-GB"/>
            </w:rPr>
          </w:pPr>
          <w:hyperlink w:anchor="_Toc56146014" w:history="1">
            <w:r w:rsidR="00CE5053" w:rsidRPr="00646936">
              <w:rPr>
                <w:rStyle w:val="Hyperlink"/>
                <w:noProof/>
              </w:rPr>
              <w:t>Specialist provision (Mental Health)</w:t>
            </w:r>
            <w:r w:rsidR="00CE5053">
              <w:rPr>
                <w:noProof/>
                <w:webHidden/>
              </w:rPr>
              <w:tab/>
            </w:r>
            <w:r w:rsidR="00CE5053">
              <w:rPr>
                <w:noProof/>
                <w:webHidden/>
              </w:rPr>
              <w:fldChar w:fldCharType="begin"/>
            </w:r>
            <w:r w:rsidR="00CE5053">
              <w:rPr>
                <w:noProof/>
                <w:webHidden/>
              </w:rPr>
              <w:instrText xml:space="preserve"> PAGEREF _Toc56146014 \h </w:instrText>
            </w:r>
            <w:r w:rsidR="00CE5053">
              <w:rPr>
                <w:noProof/>
                <w:webHidden/>
              </w:rPr>
            </w:r>
            <w:r w:rsidR="00CE5053">
              <w:rPr>
                <w:noProof/>
                <w:webHidden/>
              </w:rPr>
              <w:fldChar w:fldCharType="separate"/>
            </w:r>
            <w:r w:rsidR="00CE5053">
              <w:rPr>
                <w:noProof/>
                <w:webHidden/>
              </w:rPr>
              <w:t>21</w:t>
            </w:r>
            <w:r w:rsidR="00CE5053">
              <w:rPr>
                <w:noProof/>
                <w:webHidden/>
              </w:rPr>
              <w:fldChar w:fldCharType="end"/>
            </w:r>
          </w:hyperlink>
        </w:p>
        <w:p w14:paraId="1F6ECC82" w14:textId="77777777" w:rsidR="00CE5053" w:rsidRDefault="0080349E" w:rsidP="00CE5053">
          <w:pPr>
            <w:pStyle w:val="TOC3"/>
            <w:tabs>
              <w:tab w:val="right" w:pos="9016"/>
            </w:tabs>
            <w:rPr>
              <w:rFonts w:eastAsiaTheme="minorEastAsia"/>
              <w:noProof/>
              <w:lang w:eastAsia="en-GB"/>
            </w:rPr>
          </w:pPr>
          <w:hyperlink w:anchor="_Toc56146015" w:history="1">
            <w:r w:rsidR="00CE5053" w:rsidRPr="00646936">
              <w:rPr>
                <w:rStyle w:val="Hyperlink"/>
                <w:noProof/>
              </w:rPr>
              <w:t>Integrated models of care</w:t>
            </w:r>
            <w:r w:rsidR="00CE5053">
              <w:rPr>
                <w:noProof/>
                <w:webHidden/>
              </w:rPr>
              <w:tab/>
            </w:r>
            <w:r w:rsidR="00CE5053">
              <w:rPr>
                <w:noProof/>
                <w:webHidden/>
              </w:rPr>
              <w:fldChar w:fldCharType="begin"/>
            </w:r>
            <w:r w:rsidR="00CE5053">
              <w:rPr>
                <w:noProof/>
                <w:webHidden/>
              </w:rPr>
              <w:instrText xml:space="preserve"> PAGEREF _Toc56146015 \h </w:instrText>
            </w:r>
            <w:r w:rsidR="00CE5053">
              <w:rPr>
                <w:noProof/>
                <w:webHidden/>
              </w:rPr>
            </w:r>
            <w:r w:rsidR="00CE5053">
              <w:rPr>
                <w:noProof/>
                <w:webHidden/>
              </w:rPr>
              <w:fldChar w:fldCharType="separate"/>
            </w:r>
            <w:r w:rsidR="00CE5053">
              <w:rPr>
                <w:noProof/>
                <w:webHidden/>
              </w:rPr>
              <w:t>22</w:t>
            </w:r>
            <w:r w:rsidR="00CE5053">
              <w:rPr>
                <w:noProof/>
                <w:webHidden/>
              </w:rPr>
              <w:fldChar w:fldCharType="end"/>
            </w:r>
          </w:hyperlink>
        </w:p>
        <w:p w14:paraId="78A868F8" w14:textId="77777777" w:rsidR="00CE5053" w:rsidRDefault="0080349E" w:rsidP="00CE5053">
          <w:pPr>
            <w:pStyle w:val="TOC3"/>
            <w:tabs>
              <w:tab w:val="right" w:pos="9016"/>
            </w:tabs>
            <w:rPr>
              <w:rFonts w:eastAsiaTheme="minorEastAsia"/>
              <w:noProof/>
              <w:lang w:eastAsia="en-GB"/>
            </w:rPr>
          </w:pPr>
          <w:hyperlink w:anchor="_Toc56146016" w:history="1">
            <w:r w:rsidR="00CE5053" w:rsidRPr="00646936">
              <w:rPr>
                <w:rStyle w:val="Hyperlink"/>
                <w:noProof/>
              </w:rPr>
              <w:t>Strategic infrastructure list for health and care facilities</w:t>
            </w:r>
            <w:r w:rsidR="00CE5053">
              <w:rPr>
                <w:noProof/>
                <w:webHidden/>
              </w:rPr>
              <w:tab/>
            </w:r>
            <w:r w:rsidR="00CE5053">
              <w:rPr>
                <w:noProof/>
                <w:webHidden/>
              </w:rPr>
              <w:fldChar w:fldCharType="begin"/>
            </w:r>
            <w:r w:rsidR="00CE5053">
              <w:rPr>
                <w:noProof/>
                <w:webHidden/>
              </w:rPr>
              <w:instrText xml:space="preserve"> PAGEREF _Toc56146016 \h </w:instrText>
            </w:r>
            <w:r w:rsidR="00CE5053">
              <w:rPr>
                <w:noProof/>
                <w:webHidden/>
              </w:rPr>
            </w:r>
            <w:r w:rsidR="00CE5053">
              <w:rPr>
                <w:noProof/>
                <w:webHidden/>
              </w:rPr>
              <w:fldChar w:fldCharType="separate"/>
            </w:r>
            <w:r w:rsidR="00CE5053">
              <w:rPr>
                <w:noProof/>
                <w:webHidden/>
              </w:rPr>
              <w:t>24</w:t>
            </w:r>
            <w:r w:rsidR="00CE5053">
              <w:rPr>
                <w:noProof/>
                <w:webHidden/>
              </w:rPr>
              <w:fldChar w:fldCharType="end"/>
            </w:r>
          </w:hyperlink>
        </w:p>
        <w:p w14:paraId="6FCFF8D0" w14:textId="77777777" w:rsidR="00CE5053" w:rsidRDefault="0080349E" w:rsidP="00CE5053">
          <w:pPr>
            <w:pStyle w:val="TOC2"/>
            <w:tabs>
              <w:tab w:val="left" w:pos="880"/>
              <w:tab w:val="right" w:pos="9016"/>
            </w:tabs>
            <w:rPr>
              <w:rFonts w:eastAsiaTheme="minorEastAsia"/>
              <w:i w:val="0"/>
              <w:noProof/>
              <w:lang w:eastAsia="en-GB"/>
            </w:rPr>
          </w:pPr>
          <w:hyperlink w:anchor="_Toc56146017" w:history="1">
            <w:r w:rsidR="00CE5053" w:rsidRPr="00646936">
              <w:rPr>
                <w:rStyle w:val="Hyperlink"/>
                <w:noProof/>
                <w14:scene3d>
                  <w14:camera w14:prst="orthographicFront"/>
                  <w14:lightRig w14:rig="threePt" w14:dir="t">
                    <w14:rot w14:lat="0" w14:lon="0" w14:rev="0"/>
                  </w14:lightRig>
                </w14:scene3d>
              </w:rPr>
              <w:t>3.3</w:t>
            </w:r>
            <w:r w:rsidR="00CE5053">
              <w:rPr>
                <w:rFonts w:eastAsiaTheme="minorEastAsia"/>
                <w:i w:val="0"/>
                <w:noProof/>
                <w:lang w:eastAsia="en-GB"/>
              </w:rPr>
              <w:tab/>
            </w:r>
            <w:r w:rsidR="00CE5053" w:rsidRPr="00646936">
              <w:rPr>
                <w:rStyle w:val="Hyperlink"/>
                <w:noProof/>
              </w:rPr>
              <w:t>Libraries, Archives and Local History Service</w:t>
            </w:r>
            <w:r w:rsidR="00CE5053">
              <w:rPr>
                <w:noProof/>
                <w:webHidden/>
              </w:rPr>
              <w:tab/>
            </w:r>
            <w:r w:rsidR="00CE5053">
              <w:rPr>
                <w:noProof/>
                <w:webHidden/>
              </w:rPr>
              <w:fldChar w:fldCharType="begin"/>
            </w:r>
            <w:r w:rsidR="00CE5053">
              <w:rPr>
                <w:noProof/>
                <w:webHidden/>
              </w:rPr>
              <w:instrText xml:space="preserve"> PAGEREF _Toc56146017 \h </w:instrText>
            </w:r>
            <w:r w:rsidR="00CE5053">
              <w:rPr>
                <w:noProof/>
                <w:webHidden/>
              </w:rPr>
            </w:r>
            <w:r w:rsidR="00CE5053">
              <w:rPr>
                <w:noProof/>
                <w:webHidden/>
              </w:rPr>
              <w:fldChar w:fldCharType="separate"/>
            </w:r>
            <w:r w:rsidR="00CE5053">
              <w:rPr>
                <w:noProof/>
                <w:webHidden/>
              </w:rPr>
              <w:t>27</w:t>
            </w:r>
            <w:r w:rsidR="00CE5053">
              <w:rPr>
                <w:noProof/>
                <w:webHidden/>
              </w:rPr>
              <w:fldChar w:fldCharType="end"/>
            </w:r>
          </w:hyperlink>
        </w:p>
        <w:p w14:paraId="1889342F" w14:textId="77777777" w:rsidR="00CE5053" w:rsidRDefault="0080349E" w:rsidP="00CE5053">
          <w:pPr>
            <w:pStyle w:val="TOC3"/>
            <w:tabs>
              <w:tab w:val="right" w:pos="9016"/>
            </w:tabs>
            <w:rPr>
              <w:rFonts w:eastAsiaTheme="minorEastAsia"/>
              <w:noProof/>
              <w:lang w:eastAsia="en-GB"/>
            </w:rPr>
          </w:pPr>
          <w:hyperlink w:anchor="_Toc56146018" w:history="1">
            <w:r w:rsidR="00CE5053" w:rsidRPr="00646936">
              <w:rPr>
                <w:rStyle w:val="Hyperlink"/>
                <w:noProof/>
              </w:rPr>
              <w:t>Strategic infrastructure list for Library facilities, Archives and Local History</w:t>
            </w:r>
            <w:r w:rsidR="00CE5053">
              <w:rPr>
                <w:noProof/>
                <w:webHidden/>
              </w:rPr>
              <w:tab/>
            </w:r>
            <w:r w:rsidR="00CE5053">
              <w:rPr>
                <w:noProof/>
                <w:webHidden/>
              </w:rPr>
              <w:fldChar w:fldCharType="begin"/>
            </w:r>
            <w:r w:rsidR="00CE5053">
              <w:rPr>
                <w:noProof/>
                <w:webHidden/>
              </w:rPr>
              <w:instrText xml:space="preserve"> PAGEREF _Toc56146018 \h </w:instrText>
            </w:r>
            <w:r w:rsidR="00CE5053">
              <w:rPr>
                <w:noProof/>
                <w:webHidden/>
              </w:rPr>
            </w:r>
            <w:r w:rsidR="00CE5053">
              <w:rPr>
                <w:noProof/>
                <w:webHidden/>
              </w:rPr>
              <w:fldChar w:fldCharType="separate"/>
            </w:r>
            <w:r w:rsidR="00CE5053">
              <w:rPr>
                <w:noProof/>
                <w:webHidden/>
              </w:rPr>
              <w:t>30</w:t>
            </w:r>
            <w:r w:rsidR="00CE5053">
              <w:rPr>
                <w:noProof/>
                <w:webHidden/>
              </w:rPr>
              <w:fldChar w:fldCharType="end"/>
            </w:r>
          </w:hyperlink>
        </w:p>
        <w:p w14:paraId="62A3A2D9" w14:textId="77777777" w:rsidR="00CE5053" w:rsidRDefault="0080349E" w:rsidP="00CE5053">
          <w:pPr>
            <w:pStyle w:val="TOC2"/>
            <w:tabs>
              <w:tab w:val="left" w:pos="880"/>
              <w:tab w:val="right" w:pos="9016"/>
            </w:tabs>
            <w:rPr>
              <w:rFonts w:eastAsiaTheme="minorEastAsia"/>
              <w:i w:val="0"/>
              <w:noProof/>
              <w:lang w:eastAsia="en-GB"/>
            </w:rPr>
          </w:pPr>
          <w:hyperlink w:anchor="_Toc56146019" w:history="1">
            <w:r w:rsidR="00CE5053" w:rsidRPr="00646936">
              <w:rPr>
                <w:rStyle w:val="Hyperlink"/>
                <w:noProof/>
                <w14:scene3d>
                  <w14:camera w14:prst="orthographicFront"/>
                  <w14:lightRig w14:rig="threePt" w14:dir="t">
                    <w14:rot w14:lat="0" w14:lon="0" w14:rev="0"/>
                  </w14:lightRig>
                </w14:scene3d>
              </w:rPr>
              <w:t>3.4</w:t>
            </w:r>
            <w:r w:rsidR="00CE5053">
              <w:rPr>
                <w:rFonts w:eastAsiaTheme="minorEastAsia"/>
                <w:i w:val="0"/>
                <w:noProof/>
                <w:lang w:eastAsia="en-GB"/>
              </w:rPr>
              <w:tab/>
            </w:r>
            <w:r w:rsidR="00CE5053" w:rsidRPr="00646936">
              <w:rPr>
                <w:rStyle w:val="Hyperlink"/>
                <w:noProof/>
              </w:rPr>
              <w:t>Sports and recreation facilities</w:t>
            </w:r>
            <w:r w:rsidR="00CE5053">
              <w:rPr>
                <w:noProof/>
                <w:webHidden/>
              </w:rPr>
              <w:tab/>
            </w:r>
            <w:r w:rsidR="00CE5053">
              <w:rPr>
                <w:noProof/>
                <w:webHidden/>
              </w:rPr>
              <w:fldChar w:fldCharType="begin"/>
            </w:r>
            <w:r w:rsidR="00CE5053">
              <w:rPr>
                <w:noProof/>
                <w:webHidden/>
              </w:rPr>
              <w:instrText xml:space="preserve"> PAGEREF _Toc56146019 \h </w:instrText>
            </w:r>
            <w:r w:rsidR="00CE5053">
              <w:rPr>
                <w:noProof/>
                <w:webHidden/>
              </w:rPr>
            </w:r>
            <w:r w:rsidR="00CE5053">
              <w:rPr>
                <w:noProof/>
                <w:webHidden/>
              </w:rPr>
              <w:fldChar w:fldCharType="separate"/>
            </w:r>
            <w:r w:rsidR="00CE5053">
              <w:rPr>
                <w:noProof/>
                <w:webHidden/>
              </w:rPr>
              <w:t>31</w:t>
            </w:r>
            <w:r w:rsidR="00CE5053">
              <w:rPr>
                <w:noProof/>
                <w:webHidden/>
              </w:rPr>
              <w:fldChar w:fldCharType="end"/>
            </w:r>
          </w:hyperlink>
        </w:p>
        <w:p w14:paraId="3AAB4C61" w14:textId="77777777" w:rsidR="00CE5053" w:rsidRDefault="0080349E" w:rsidP="00CE5053">
          <w:pPr>
            <w:pStyle w:val="TOC3"/>
            <w:tabs>
              <w:tab w:val="right" w:pos="9016"/>
            </w:tabs>
            <w:rPr>
              <w:rFonts w:eastAsiaTheme="minorEastAsia"/>
              <w:noProof/>
              <w:lang w:eastAsia="en-GB"/>
            </w:rPr>
          </w:pPr>
          <w:hyperlink w:anchor="_Toc56146020" w:history="1">
            <w:r w:rsidR="00CE5053" w:rsidRPr="00646936">
              <w:rPr>
                <w:rStyle w:val="Hyperlink"/>
                <w:noProof/>
              </w:rPr>
              <w:t>Sports halls and leisure centres</w:t>
            </w:r>
            <w:r w:rsidR="00CE5053">
              <w:rPr>
                <w:noProof/>
                <w:webHidden/>
              </w:rPr>
              <w:tab/>
            </w:r>
            <w:r w:rsidR="00CE5053">
              <w:rPr>
                <w:noProof/>
                <w:webHidden/>
              </w:rPr>
              <w:fldChar w:fldCharType="begin"/>
            </w:r>
            <w:r w:rsidR="00CE5053">
              <w:rPr>
                <w:noProof/>
                <w:webHidden/>
              </w:rPr>
              <w:instrText xml:space="preserve"> PAGEREF _Toc56146020 \h </w:instrText>
            </w:r>
            <w:r w:rsidR="00CE5053">
              <w:rPr>
                <w:noProof/>
                <w:webHidden/>
              </w:rPr>
            </w:r>
            <w:r w:rsidR="00CE5053">
              <w:rPr>
                <w:noProof/>
                <w:webHidden/>
              </w:rPr>
              <w:fldChar w:fldCharType="separate"/>
            </w:r>
            <w:r w:rsidR="00CE5053">
              <w:rPr>
                <w:noProof/>
                <w:webHidden/>
              </w:rPr>
              <w:t>31</w:t>
            </w:r>
            <w:r w:rsidR="00CE5053">
              <w:rPr>
                <w:noProof/>
                <w:webHidden/>
              </w:rPr>
              <w:fldChar w:fldCharType="end"/>
            </w:r>
          </w:hyperlink>
        </w:p>
        <w:p w14:paraId="589DEE24" w14:textId="77777777" w:rsidR="00CE5053" w:rsidRDefault="0080349E" w:rsidP="00CE5053">
          <w:pPr>
            <w:pStyle w:val="TOC3"/>
            <w:tabs>
              <w:tab w:val="right" w:pos="9016"/>
            </w:tabs>
            <w:rPr>
              <w:rFonts w:eastAsiaTheme="minorEastAsia"/>
              <w:noProof/>
              <w:lang w:eastAsia="en-GB"/>
            </w:rPr>
          </w:pPr>
          <w:hyperlink w:anchor="_Toc56146021" w:history="1">
            <w:r w:rsidR="00CE5053" w:rsidRPr="00646936">
              <w:rPr>
                <w:rStyle w:val="Hyperlink"/>
                <w:noProof/>
              </w:rPr>
              <w:t>Swimming pools</w:t>
            </w:r>
            <w:r w:rsidR="00CE5053">
              <w:rPr>
                <w:noProof/>
                <w:webHidden/>
              </w:rPr>
              <w:tab/>
            </w:r>
            <w:r w:rsidR="00CE5053">
              <w:rPr>
                <w:noProof/>
                <w:webHidden/>
              </w:rPr>
              <w:fldChar w:fldCharType="begin"/>
            </w:r>
            <w:r w:rsidR="00CE5053">
              <w:rPr>
                <w:noProof/>
                <w:webHidden/>
              </w:rPr>
              <w:instrText xml:space="preserve"> PAGEREF _Toc56146021 \h </w:instrText>
            </w:r>
            <w:r w:rsidR="00CE5053">
              <w:rPr>
                <w:noProof/>
                <w:webHidden/>
              </w:rPr>
            </w:r>
            <w:r w:rsidR="00CE5053">
              <w:rPr>
                <w:noProof/>
                <w:webHidden/>
              </w:rPr>
              <w:fldChar w:fldCharType="separate"/>
            </w:r>
            <w:r w:rsidR="00CE5053">
              <w:rPr>
                <w:noProof/>
                <w:webHidden/>
              </w:rPr>
              <w:t>33</w:t>
            </w:r>
            <w:r w:rsidR="00CE5053">
              <w:rPr>
                <w:noProof/>
                <w:webHidden/>
              </w:rPr>
              <w:fldChar w:fldCharType="end"/>
            </w:r>
          </w:hyperlink>
        </w:p>
        <w:p w14:paraId="3DC5D12A" w14:textId="77777777" w:rsidR="00CE5053" w:rsidRDefault="0080349E" w:rsidP="00CE5053">
          <w:pPr>
            <w:pStyle w:val="TOC3"/>
            <w:tabs>
              <w:tab w:val="right" w:pos="9016"/>
            </w:tabs>
            <w:rPr>
              <w:rFonts w:eastAsiaTheme="minorEastAsia"/>
              <w:noProof/>
              <w:lang w:eastAsia="en-GB"/>
            </w:rPr>
          </w:pPr>
          <w:hyperlink w:anchor="_Toc56146022" w:history="1">
            <w:r w:rsidR="00CE5053" w:rsidRPr="00646936">
              <w:rPr>
                <w:rStyle w:val="Hyperlink"/>
                <w:noProof/>
              </w:rPr>
              <w:t>Artificial playing surfaces</w:t>
            </w:r>
            <w:r w:rsidR="00CE5053">
              <w:rPr>
                <w:noProof/>
                <w:webHidden/>
              </w:rPr>
              <w:tab/>
            </w:r>
            <w:r w:rsidR="00CE5053">
              <w:rPr>
                <w:noProof/>
                <w:webHidden/>
              </w:rPr>
              <w:fldChar w:fldCharType="begin"/>
            </w:r>
            <w:r w:rsidR="00CE5053">
              <w:rPr>
                <w:noProof/>
                <w:webHidden/>
              </w:rPr>
              <w:instrText xml:space="preserve"> PAGEREF _Toc56146022 \h </w:instrText>
            </w:r>
            <w:r w:rsidR="00CE5053">
              <w:rPr>
                <w:noProof/>
                <w:webHidden/>
              </w:rPr>
            </w:r>
            <w:r w:rsidR="00CE5053">
              <w:rPr>
                <w:noProof/>
                <w:webHidden/>
              </w:rPr>
              <w:fldChar w:fldCharType="separate"/>
            </w:r>
            <w:r w:rsidR="00CE5053">
              <w:rPr>
                <w:noProof/>
                <w:webHidden/>
              </w:rPr>
              <w:t>34</w:t>
            </w:r>
            <w:r w:rsidR="00CE5053">
              <w:rPr>
                <w:noProof/>
                <w:webHidden/>
              </w:rPr>
              <w:fldChar w:fldCharType="end"/>
            </w:r>
          </w:hyperlink>
        </w:p>
        <w:p w14:paraId="68F61C49" w14:textId="77777777" w:rsidR="00CE5053" w:rsidRDefault="0080349E" w:rsidP="00CE5053">
          <w:pPr>
            <w:pStyle w:val="TOC3"/>
            <w:tabs>
              <w:tab w:val="right" w:pos="9016"/>
            </w:tabs>
            <w:rPr>
              <w:rFonts w:eastAsiaTheme="minorEastAsia"/>
              <w:noProof/>
              <w:lang w:eastAsia="en-GB"/>
            </w:rPr>
          </w:pPr>
          <w:hyperlink w:anchor="_Toc56146023" w:history="1">
            <w:r w:rsidR="00CE5053" w:rsidRPr="00646936">
              <w:rPr>
                <w:rStyle w:val="Hyperlink"/>
                <w:noProof/>
              </w:rPr>
              <w:t>Grass playing surfaces</w:t>
            </w:r>
            <w:r w:rsidR="00CE5053">
              <w:rPr>
                <w:noProof/>
                <w:webHidden/>
              </w:rPr>
              <w:tab/>
            </w:r>
            <w:r w:rsidR="00CE5053">
              <w:rPr>
                <w:noProof/>
                <w:webHidden/>
              </w:rPr>
              <w:fldChar w:fldCharType="begin"/>
            </w:r>
            <w:r w:rsidR="00CE5053">
              <w:rPr>
                <w:noProof/>
                <w:webHidden/>
              </w:rPr>
              <w:instrText xml:space="preserve"> PAGEREF _Toc56146023 \h </w:instrText>
            </w:r>
            <w:r w:rsidR="00CE5053">
              <w:rPr>
                <w:noProof/>
                <w:webHidden/>
              </w:rPr>
            </w:r>
            <w:r w:rsidR="00CE5053">
              <w:rPr>
                <w:noProof/>
                <w:webHidden/>
              </w:rPr>
              <w:fldChar w:fldCharType="separate"/>
            </w:r>
            <w:r w:rsidR="00CE5053">
              <w:rPr>
                <w:noProof/>
                <w:webHidden/>
              </w:rPr>
              <w:t>34</w:t>
            </w:r>
            <w:r w:rsidR="00CE5053">
              <w:rPr>
                <w:noProof/>
                <w:webHidden/>
              </w:rPr>
              <w:fldChar w:fldCharType="end"/>
            </w:r>
          </w:hyperlink>
        </w:p>
        <w:p w14:paraId="44A8092A" w14:textId="77777777" w:rsidR="00CE5053" w:rsidRDefault="0080349E" w:rsidP="00CE5053">
          <w:pPr>
            <w:pStyle w:val="TOC3"/>
            <w:tabs>
              <w:tab w:val="right" w:pos="9016"/>
            </w:tabs>
            <w:rPr>
              <w:rFonts w:eastAsiaTheme="minorEastAsia"/>
              <w:noProof/>
              <w:lang w:eastAsia="en-GB"/>
            </w:rPr>
          </w:pPr>
          <w:hyperlink w:anchor="_Toc56146024" w:history="1">
            <w:r w:rsidR="00CE5053" w:rsidRPr="00646936">
              <w:rPr>
                <w:rStyle w:val="Hyperlink"/>
                <w:noProof/>
              </w:rPr>
              <w:t>Play and informal recreation</w:t>
            </w:r>
            <w:r w:rsidR="00CE5053">
              <w:rPr>
                <w:noProof/>
                <w:webHidden/>
              </w:rPr>
              <w:tab/>
            </w:r>
            <w:r w:rsidR="00CE5053">
              <w:rPr>
                <w:noProof/>
                <w:webHidden/>
              </w:rPr>
              <w:fldChar w:fldCharType="begin"/>
            </w:r>
            <w:r w:rsidR="00CE5053">
              <w:rPr>
                <w:noProof/>
                <w:webHidden/>
              </w:rPr>
              <w:instrText xml:space="preserve"> PAGEREF _Toc56146024 \h </w:instrText>
            </w:r>
            <w:r w:rsidR="00CE5053">
              <w:rPr>
                <w:noProof/>
                <w:webHidden/>
              </w:rPr>
            </w:r>
            <w:r w:rsidR="00CE5053">
              <w:rPr>
                <w:noProof/>
                <w:webHidden/>
              </w:rPr>
              <w:fldChar w:fldCharType="separate"/>
            </w:r>
            <w:r w:rsidR="00CE5053">
              <w:rPr>
                <w:noProof/>
                <w:webHidden/>
              </w:rPr>
              <w:t>36</w:t>
            </w:r>
            <w:r w:rsidR="00CE5053">
              <w:rPr>
                <w:noProof/>
                <w:webHidden/>
              </w:rPr>
              <w:fldChar w:fldCharType="end"/>
            </w:r>
          </w:hyperlink>
        </w:p>
        <w:p w14:paraId="7D7478A1" w14:textId="77777777" w:rsidR="00CE5053" w:rsidRDefault="0080349E" w:rsidP="00CE5053">
          <w:pPr>
            <w:pStyle w:val="TOC3"/>
            <w:tabs>
              <w:tab w:val="right" w:pos="9016"/>
            </w:tabs>
            <w:rPr>
              <w:rFonts w:eastAsiaTheme="minorEastAsia"/>
              <w:noProof/>
              <w:lang w:eastAsia="en-GB"/>
            </w:rPr>
          </w:pPr>
          <w:hyperlink w:anchor="_Toc56146025" w:history="1">
            <w:r w:rsidR="00CE5053" w:rsidRPr="00646936">
              <w:rPr>
                <w:rStyle w:val="Hyperlink"/>
                <w:noProof/>
              </w:rPr>
              <w:t>Strategic infrastructure list for sports and recreation facilities</w:t>
            </w:r>
            <w:r w:rsidR="00CE5053">
              <w:rPr>
                <w:noProof/>
                <w:webHidden/>
              </w:rPr>
              <w:tab/>
            </w:r>
            <w:r w:rsidR="00CE5053">
              <w:rPr>
                <w:noProof/>
                <w:webHidden/>
              </w:rPr>
              <w:fldChar w:fldCharType="begin"/>
            </w:r>
            <w:r w:rsidR="00CE5053">
              <w:rPr>
                <w:noProof/>
                <w:webHidden/>
              </w:rPr>
              <w:instrText xml:space="preserve"> PAGEREF _Toc56146025 \h </w:instrText>
            </w:r>
            <w:r w:rsidR="00CE5053">
              <w:rPr>
                <w:noProof/>
                <w:webHidden/>
              </w:rPr>
            </w:r>
            <w:r w:rsidR="00CE5053">
              <w:rPr>
                <w:noProof/>
                <w:webHidden/>
              </w:rPr>
              <w:fldChar w:fldCharType="separate"/>
            </w:r>
            <w:r w:rsidR="00CE5053">
              <w:rPr>
                <w:noProof/>
                <w:webHidden/>
              </w:rPr>
              <w:t>38</w:t>
            </w:r>
            <w:r w:rsidR="00CE5053">
              <w:rPr>
                <w:noProof/>
                <w:webHidden/>
              </w:rPr>
              <w:fldChar w:fldCharType="end"/>
            </w:r>
          </w:hyperlink>
        </w:p>
        <w:p w14:paraId="7844B9A9" w14:textId="77777777" w:rsidR="00CE5053" w:rsidRDefault="0080349E" w:rsidP="00CE5053">
          <w:pPr>
            <w:pStyle w:val="TOC2"/>
            <w:tabs>
              <w:tab w:val="left" w:pos="880"/>
              <w:tab w:val="right" w:pos="9016"/>
            </w:tabs>
            <w:rPr>
              <w:rFonts w:eastAsiaTheme="minorEastAsia"/>
              <w:i w:val="0"/>
              <w:noProof/>
              <w:lang w:eastAsia="en-GB"/>
            </w:rPr>
          </w:pPr>
          <w:hyperlink w:anchor="_Toc56146026" w:history="1">
            <w:r w:rsidR="00CE5053" w:rsidRPr="00646936">
              <w:rPr>
                <w:rStyle w:val="Hyperlink"/>
                <w:noProof/>
                <w14:scene3d>
                  <w14:camera w14:prst="orthographicFront"/>
                  <w14:lightRig w14:rig="threePt" w14:dir="t">
                    <w14:rot w14:lat="0" w14:lon="0" w14:rev="0"/>
                  </w14:lightRig>
                </w14:scene3d>
              </w:rPr>
              <w:t>3.5</w:t>
            </w:r>
            <w:r w:rsidR="00CE5053">
              <w:rPr>
                <w:rFonts w:eastAsiaTheme="minorEastAsia"/>
                <w:i w:val="0"/>
                <w:noProof/>
                <w:lang w:eastAsia="en-GB"/>
              </w:rPr>
              <w:tab/>
            </w:r>
            <w:r w:rsidR="00CE5053" w:rsidRPr="00646936">
              <w:rPr>
                <w:rStyle w:val="Hyperlink"/>
                <w:noProof/>
              </w:rPr>
              <w:t>Youth and Community Facilities</w:t>
            </w:r>
            <w:r w:rsidR="00CE5053">
              <w:rPr>
                <w:noProof/>
                <w:webHidden/>
              </w:rPr>
              <w:tab/>
            </w:r>
            <w:r w:rsidR="00CE5053">
              <w:rPr>
                <w:noProof/>
                <w:webHidden/>
              </w:rPr>
              <w:fldChar w:fldCharType="begin"/>
            </w:r>
            <w:r w:rsidR="00CE5053">
              <w:rPr>
                <w:noProof/>
                <w:webHidden/>
              </w:rPr>
              <w:instrText xml:space="preserve"> PAGEREF _Toc56146026 \h </w:instrText>
            </w:r>
            <w:r w:rsidR="00CE5053">
              <w:rPr>
                <w:noProof/>
                <w:webHidden/>
              </w:rPr>
            </w:r>
            <w:r w:rsidR="00CE5053">
              <w:rPr>
                <w:noProof/>
                <w:webHidden/>
              </w:rPr>
              <w:fldChar w:fldCharType="separate"/>
            </w:r>
            <w:r w:rsidR="00CE5053">
              <w:rPr>
                <w:noProof/>
                <w:webHidden/>
              </w:rPr>
              <w:t>39</w:t>
            </w:r>
            <w:r w:rsidR="00CE5053">
              <w:rPr>
                <w:noProof/>
                <w:webHidden/>
              </w:rPr>
              <w:fldChar w:fldCharType="end"/>
            </w:r>
          </w:hyperlink>
        </w:p>
        <w:p w14:paraId="7F938E4A" w14:textId="77777777" w:rsidR="00CE5053" w:rsidRDefault="0080349E" w:rsidP="00CE5053">
          <w:pPr>
            <w:pStyle w:val="TOC3"/>
            <w:tabs>
              <w:tab w:val="right" w:pos="9016"/>
            </w:tabs>
            <w:rPr>
              <w:rFonts w:eastAsiaTheme="minorEastAsia"/>
              <w:noProof/>
              <w:lang w:eastAsia="en-GB"/>
            </w:rPr>
          </w:pPr>
          <w:hyperlink w:anchor="_Toc56146027" w:history="1">
            <w:r w:rsidR="00CE5053" w:rsidRPr="00646936">
              <w:rPr>
                <w:rStyle w:val="Hyperlink"/>
                <w:noProof/>
              </w:rPr>
              <w:t>Youth Centres and Adventure Playgrounds</w:t>
            </w:r>
            <w:r w:rsidR="00CE5053">
              <w:rPr>
                <w:noProof/>
                <w:webHidden/>
              </w:rPr>
              <w:tab/>
            </w:r>
            <w:r w:rsidR="00CE5053">
              <w:rPr>
                <w:noProof/>
                <w:webHidden/>
              </w:rPr>
              <w:fldChar w:fldCharType="begin"/>
            </w:r>
            <w:r w:rsidR="00CE5053">
              <w:rPr>
                <w:noProof/>
                <w:webHidden/>
              </w:rPr>
              <w:instrText xml:space="preserve"> PAGEREF _Toc56146027 \h </w:instrText>
            </w:r>
            <w:r w:rsidR="00CE5053">
              <w:rPr>
                <w:noProof/>
                <w:webHidden/>
              </w:rPr>
            </w:r>
            <w:r w:rsidR="00CE5053">
              <w:rPr>
                <w:noProof/>
                <w:webHidden/>
              </w:rPr>
              <w:fldChar w:fldCharType="separate"/>
            </w:r>
            <w:r w:rsidR="00CE5053">
              <w:rPr>
                <w:noProof/>
                <w:webHidden/>
              </w:rPr>
              <w:t>40</w:t>
            </w:r>
            <w:r w:rsidR="00CE5053">
              <w:rPr>
                <w:noProof/>
                <w:webHidden/>
              </w:rPr>
              <w:fldChar w:fldCharType="end"/>
            </w:r>
          </w:hyperlink>
        </w:p>
        <w:p w14:paraId="5AC69D80" w14:textId="77777777" w:rsidR="00CE5053" w:rsidRDefault="0080349E" w:rsidP="00CE5053">
          <w:pPr>
            <w:pStyle w:val="TOC3"/>
            <w:tabs>
              <w:tab w:val="right" w:pos="9016"/>
            </w:tabs>
            <w:rPr>
              <w:rFonts w:eastAsiaTheme="minorEastAsia"/>
              <w:noProof/>
              <w:lang w:eastAsia="en-GB"/>
            </w:rPr>
          </w:pPr>
          <w:hyperlink w:anchor="_Toc56146028" w:history="1">
            <w:r w:rsidR="00CE5053" w:rsidRPr="00646936">
              <w:rPr>
                <w:rStyle w:val="Hyperlink"/>
                <w:noProof/>
              </w:rPr>
              <w:t>Children and family centres</w:t>
            </w:r>
            <w:r w:rsidR="00CE5053">
              <w:rPr>
                <w:noProof/>
                <w:webHidden/>
              </w:rPr>
              <w:tab/>
            </w:r>
            <w:r w:rsidR="00CE5053">
              <w:rPr>
                <w:noProof/>
                <w:webHidden/>
              </w:rPr>
              <w:fldChar w:fldCharType="begin"/>
            </w:r>
            <w:r w:rsidR="00CE5053">
              <w:rPr>
                <w:noProof/>
                <w:webHidden/>
              </w:rPr>
              <w:instrText xml:space="preserve"> PAGEREF _Toc56146028 \h </w:instrText>
            </w:r>
            <w:r w:rsidR="00CE5053">
              <w:rPr>
                <w:noProof/>
                <w:webHidden/>
              </w:rPr>
            </w:r>
            <w:r w:rsidR="00CE5053">
              <w:rPr>
                <w:noProof/>
                <w:webHidden/>
              </w:rPr>
              <w:fldChar w:fldCharType="separate"/>
            </w:r>
            <w:r w:rsidR="00CE5053">
              <w:rPr>
                <w:noProof/>
                <w:webHidden/>
              </w:rPr>
              <w:t>41</w:t>
            </w:r>
            <w:r w:rsidR="00CE5053">
              <w:rPr>
                <w:noProof/>
                <w:webHidden/>
              </w:rPr>
              <w:fldChar w:fldCharType="end"/>
            </w:r>
          </w:hyperlink>
        </w:p>
        <w:p w14:paraId="109511A4" w14:textId="77777777" w:rsidR="00CE5053" w:rsidRDefault="0080349E" w:rsidP="00CE5053">
          <w:pPr>
            <w:pStyle w:val="TOC3"/>
            <w:tabs>
              <w:tab w:val="right" w:pos="9016"/>
            </w:tabs>
            <w:rPr>
              <w:rFonts w:eastAsiaTheme="minorEastAsia"/>
              <w:noProof/>
              <w:lang w:eastAsia="en-GB"/>
            </w:rPr>
          </w:pPr>
          <w:hyperlink w:anchor="_Toc56146029" w:history="1">
            <w:r w:rsidR="00CE5053" w:rsidRPr="00646936">
              <w:rPr>
                <w:rStyle w:val="Hyperlink"/>
                <w:noProof/>
              </w:rPr>
              <w:t>Strategic infrastructure list for Youth and Community facilities</w:t>
            </w:r>
            <w:r w:rsidR="00CE5053">
              <w:rPr>
                <w:noProof/>
                <w:webHidden/>
              </w:rPr>
              <w:tab/>
            </w:r>
            <w:r w:rsidR="00CE5053">
              <w:rPr>
                <w:noProof/>
                <w:webHidden/>
              </w:rPr>
              <w:fldChar w:fldCharType="begin"/>
            </w:r>
            <w:r w:rsidR="00CE5053">
              <w:rPr>
                <w:noProof/>
                <w:webHidden/>
              </w:rPr>
              <w:instrText xml:space="preserve"> PAGEREF _Toc56146029 \h </w:instrText>
            </w:r>
            <w:r w:rsidR="00CE5053">
              <w:rPr>
                <w:noProof/>
                <w:webHidden/>
              </w:rPr>
            </w:r>
            <w:r w:rsidR="00CE5053">
              <w:rPr>
                <w:noProof/>
                <w:webHidden/>
              </w:rPr>
              <w:fldChar w:fldCharType="separate"/>
            </w:r>
            <w:r w:rsidR="00CE5053">
              <w:rPr>
                <w:noProof/>
                <w:webHidden/>
              </w:rPr>
              <w:t>43</w:t>
            </w:r>
            <w:r w:rsidR="00CE5053">
              <w:rPr>
                <w:noProof/>
                <w:webHidden/>
              </w:rPr>
              <w:fldChar w:fldCharType="end"/>
            </w:r>
          </w:hyperlink>
        </w:p>
        <w:p w14:paraId="41D287C3" w14:textId="77777777" w:rsidR="00CE5053" w:rsidRDefault="0080349E" w:rsidP="00CE5053">
          <w:pPr>
            <w:pStyle w:val="TOC1"/>
            <w:tabs>
              <w:tab w:val="left" w:pos="440"/>
              <w:tab w:val="right" w:pos="9016"/>
            </w:tabs>
            <w:rPr>
              <w:rFonts w:eastAsiaTheme="minorEastAsia"/>
              <w:b w:val="0"/>
              <w:noProof/>
              <w:lang w:eastAsia="en-GB"/>
            </w:rPr>
          </w:pPr>
          <w:hyperlink w:anchor="_Toc56146030" w:history="1">
            <w:r w:rsidR="00CE5053" w:rsidRPr="00646936">
              <w:rPr>
                <w:rStyle w:val="Hyperlink"/>
                <w:noProof/>
                <w14:scene3d>
                  <w14:camera w14:prst="orthographicFront"/>
                  <w14:lightRig w14:rig="threePt" w14:dir="t">
                    <w14:rot w14:lat="0" w14:lon="0" w14:rev="0"/>
                  </w14:lightRig>
                </w14:scene3d>
              </w:rPr>
              <w:t>4</w:t>
            </w:r>
            <w:r w:rsidR="00CE5053">
              <w:rPr>
                <w:rFonts w:eastAsiaTheme="minorEastAsia"/>
                <w:b w:val="0"/>
                <w:noProof/>
                <w:lang w:eastAsia="en-GB"/>
              </w:rPr>
              <w:tab/>
            </w:r>
            <w:r w:rsidR="00CE5053" w:rsidRPr="00646936">
              <w:rPr>
                <w:rStyle w:val="Hyperlink"/>
                <w:noProof/>
              </w:rPr>
              <w:t>Green infrastructure</w:t>
            </w:r>
            <w:r w:rsidR="00CE5053">
              <w:rPr>
                <w:noProof/>
                <w:webHidden/>
              </w:rPr>
              <w:tab/>
            </w:r>
            <w:r w:rsidR="00CE5053">
              <w:rPr>
                <w:noProof/>
                <w:webHidden/>
              </w:rPr>
              <w:fldChar w:fldCharType="begin"/>
            </w:r>
            <w:r w:rsidR="00CE5053">
              <w:rPr>
                <w:noProof/>
                <w:webHidden/>
              </w:rPr>
              <w:instrText xml:space="preserve"> PAGEREF _Toc56146030 \h </w:instrText>
            </w:r>
            <w:r w:rsidR="00CE5053">
              <w:rPr>
                <w:noProof/>
                <w:webHidden/>
              </w:rPr>
            </w:r>
            <w:r w:rsidR="00CE5053">
              <w:rPr>
                <w:noProof/>
                <w:webHidden/>
              </w:rPr>
              <w:fldChar w:fldCharType="separate"/>
            </w:r>
            <w:r w:rsidR="00CE5053">
              <w:rPr>
                <w:noProof/>
                <w:webHidden/>
              </w:rPr>
              <w:t>44</w:t>
            </w:r>
            <w:r w:rsidR="00CE5053">
              <w:rPr>
                <w:noProof/>
                <w:webHidden/>
              </w:rPr>
              <w:fldChar w:fldCharType="end"/>
            </w:r>
          </w:hyperlink>
        </w:p>
        <w:p w14:paraId="44AF0CBF" w14:textId="77777777" w:rsidR="00CE5053" w:rsidRDefault="0080349E" w:rsidP="00CE5053">
          <w:pPr>
            <w:pStyle w:val="TOC2"/>
            <w:tabs>
              <w:tab w:val="left" w:pos="880"/>
              <w:tab w:val="right" w:pos="9016"/>
            </w:tabs>
            <w:rPr>
              <w:rFonts w:eastAsiaTheme="minorEastAsia"/>
              <w:i w:val="0"/>
              <w:noProof/>
              <w:lang w:eastAsia="en-GB"/>
            </w:rPr>
          </w:pPr>
          <w:hyperlink w:anchor="_Toc56146031" w:history="1">
            <w:r w:rsidR="00CE5053" w:rsidRPr="00646936">
              <w:rPr>
                <w:rStyle w:val="Hyperlink"/>
                <w:noProof/>
                <w14:scene3d>
                  <w14:camera w14:prst="orthographicFront"/>
                  <w14:lightRig w14:rig="threePt" w14:dir="t">
                    <w14:rot w14:lat="0" w14:lon="0" w14:rev="0"/>
                  </w14:lightRig>
                </w14:scene3d>
              </w:rPr>
              <w:t>4.1</w:t>
            </w:r>
            <w:r w:rsidR="00CE5053">
              <w:rPr>
                <w:rFonts w:eastAsiaTheme="minorEastAsia"/>
                <w:i w:val="0"/>
                <w:noProof/>
                <w:lang w:eastAsia="en-GB"/>
              </w:rPr>
              <w:tab/>
            </w:r>
            <w:r w:rsidR="00CE5053" w:rsidRPr="00646936">
              <w:rPr>
                <w:rStyle w:val="Hyperlink"/>
                <w:noProof/>
              </w:rPr>
              <w:t>Parks and open space</w:t>
            </w:r>
            <w:r w:rsidR="00CE5053">
              <w:rPr>
                <w:noProof/>
                <w:webHidden/>
              </w:rPr>
              <w:tab/>
            </w:r>
            <w:r w:rsidR="00CE5053">
              <w:rPr>
                <w:noProof/>
                <w:webHidden/>
              </w:rPr>
              <w:fldChar w:fldCharType="begin"/>
            </w:r>
            <w:r w:rsidR="00CE5053">
              <w:rPr>
                <w:noProof/>
                <w:webHidden/>
              </w:rPr>
              <w:instrText xml:space="preserve"> PAGEREF _Toc56146031 \h </w:instrText>
            </w:r>
            <w:r w:rsidR="00CE5053">
              <w:rPr>
                <w:noProof/>
                <w:webHidden/>
              </w:rPr>
            </w:r>
            <w:r w:rsidR="00CE5053">
              <w:rPr>
                <w:noProof/>
                <w:webHidden/>
              </w:rPr>
              <w:fldChar w:fldCharType="separate"/>
            </w:r>
            <w:r w:rsidR="00CE5053">
              <w:rPr>
                <w:noProof/>
                <w:webHidden/>
              </w:rPr>
              <w:t>44</w:t>
            </w:r>
            <w:r w:rsidR="00CE5053">
              <w:rPr>
                <w:noProof/>
                <w:webHidden/>
              </w:rPr>
              <w:fldChar w:fldCharType="end"/>
            </w:r>
          </w:hyperlink>
        </w:p>
        <w:p w14:paraId="0A88CB1D" w14:textId="77777777" w:rsidR="00CE5053" w:rsidRDefault="0080349E" w:rsidP="00CE5053">
          <w:pPr>
            <w:pStyle w:val="TOC2"/>
            <w:tabs>
              <w:tab w:val="left" w:pos="880"/>
              <w:tab w:val="right" w:pos="9016"/>
            </w:tabs>
            <w:rPr>
              <w:rFonts w:eastAsiaTheme="minorEastAsia"/>
              <w:i w:val="0"/>
              <w:noProof/>
              <w:lang w:eastAsia="en-GB"/>
            </w:rPr>
          </w:pPr>
          <w:hyperlink w:anchor="_Toc56146032" w:history="1">
            <w:r w:rsidR="00CE5053" w:rsidRPr="00646936">
              <w:rPr>
                <w:rStyle w:val="Hyperlink"/>
                <w:noProof/>
                <w14:scene3d>
                  <w14:camera w14:prst="orthographicFront"/>
                  <w14:lightRig w14:rig="threePt" w14:dir="t">
                    <w14:rot w14:lat="0" w14:lon="0" w14:rev="0"/>
                  </w14:lightRig>
                </w14:scene3d>
              </w:rPr>
              <w:t>4.2</w:t>
            </w:r>
            <w:r w:rsidR="00CE5053">
              <w:rPr>
                <w:rFonts w:eastAsiaTheme="minorEastAsia"/>
                <w:i w:val="0"/>
                <w:noProof/>
                <w:lang w:eastAsia="en-GB"/>
              </w:rPr>
              <w:tab/>
            </w:r>
            <w:r w:rsidR="00CE5053" w:rsidRPr="00646936">
              <w:rPr>
                <w:rStyle w:val="Hyperlink"/>
                <w:noProof/>
              </w:rPr>
              <w:t>Biodiversity / green corridors</w:t>
            </w:r>
            <w:r w:rsidR="00CE5053">
              <w:rPr>
                <w:noProof/>
                <w:webHidden/>
              </w:rPr>
              <w:tab/>
            </w:r>
            <w:r w:rsidR="00CE5053">
              <w:rPr>
                <w:noProof/>
                <w:webHidden/>
              </w:rPr>
              <w:fldChar w:fldCharType="begin"/>
            </w:r>
            <w:r w:rsidR="00CE5053">
              <w:rPr>
                <w:noProof/>
                <w:webHidden/>
              </w:rPr>
              <w:instrText xml:space="preserve"> PAGEREF _Toc56146032 \h </w:instrText>
            </w:r>
            <w:r w:rsidR="00CE5053">
              <w:rPr>
                <w:noProof/>
                <w:webHidden/>
              </w:rPr>
            </w:r>
            <w:r w:rsidR="00CE5053">
              <w:rPr>
                <w:noProof/>
                <w:webHidden/>
              </w:rPr>
              <w:fldChar w:fldCharType="separate"/>
            </w:r>
            <w:r w:rsidR="00CE5053">
              <w:rPr>
                <w:noProof/>
                <w:webHidden/>
              </w:rPr>
              <w:t>47</w:t>
            </w:r>
            <w:r w:rsidR="00CE5053">
              <w:rPr>
                <w:noProof/>
                <w:webHidden/>
              </w:rPr>
              <w:fldChar w:fldCharType="end"/>
            </w:r>
          </w:hyperlink>
        </w:p>
        <w:p w14:paraId="3CE4D534" w14:textId="77777777" w:rsidR="00CE5053" w:rsidRDefault="0080349E" w:rsidP="00CE5053">
          <w:pPr>
            <w:pStyle w:val="TOC2"/>
            <w:tabs>
              <w:tab w:val="left" w:pos="880"/>
              <w:tab w:val="right" w:pos="9016"/>
            </w:tabs>
            <w:rPr>
              <w:rFonts w:eastAsiaTheme="minorEastAsia"/>
              <w:i w:val="0"/>
              <w:noProof/>
              <w:lang w:eastAsia="en-GB"/>
            </w:rPr>
          </w:pPr>
          <w:hyperlink w:anchor="_Toc56146033" w:history="1">
            <w:r w:rsidR="00CE5053" w:rsidRPr="00646936">
              <w:rPr>
                <w:rStyle w:val="Hyperlink"/>
                <w:noProof/>
                <w14:scene3d>
                  <w14:camera w14:prst="orthographicFront"/>
                  <w14:lightRig w14:rig="threePt" w14:dir="t">
                    <w14:rot w14:lat="0" w14:lon="0" w14:rev="0"/>
                  </w14:lightRig>
                </w14:scene3d>
              </w:rPr>
              <w:t>4.3</w:t>
            </w:r>
            <w:r w:rsidR="00CE5053">
              <w:rPr>
                <w:rFonts w:eastAsiaTheme="minorEastAsia"/>
                <w:i w:val="0"/>
                <w:noProof/>
                <w:lang w:eastAsia="en-GB"/>
              </w:rPr>
              <w:tab/>
            </w:r>
            <w:r w:rsidR="00CE5053" w:rsidRPr="00646936">
              <w:rPr>
                <w:rStyle w:val="Hyperlink"/>
                <w:noProof/>
              </w:rPr>
              <w:t>Allotments</w:t>
            </w:r>
            <w:r w:rsidR="00CE5053">
              <w:rPr>
                <w:noProof/>
                <w:webHidden/>
              </w:rPr>
              <w:tab/>
            </w:r>
            <w:r w:rsidR="00CE5053">
              <w:rPr>
                <w:noProof/>
                <w:webHidden/>
              </w:rPr>
              <w:fldChar w:fldCharType="begin"/>
            </w:r>
            <w:r w:rsidR="00CE5053">
              <w:rPr>
                <w:noProof/>
                <w:webHidden/>
              </w:rPr>
              <w:instrText xml:space="preserve"> PAGEREF _Toc56146033 \h </w:instrText>
            </w:r>
            <w:r w:rsidR="00CE5053">
              <w:rPr>
                <w:noProof/>
                <w:webHidden/>
              </w:rPr>
            </w:r>
            <w:r w:rsidR="00CE5053">
              <w:rPr>
                <w:noProof/>
                <w:webHidden/>
              </w:rPr>
              <w:fldChar w:fldCharType="separate"/>
            </w:r>
            <w:r w:rsidR="00CE5053">
              <w:rPr>
                <w:noProof/>
                <w:webHidden/>
              </w:rPr>
              <w:t>50</w:t>
            </w:r>
            <w:r w:rsidR="00CE5053">
              <w:rPr>
                <w:noProof/>
                <w:webHidden/>
              </w:rPr>
              <w:fldChar w:fldCharType="end"/>
            </w:r>
          </w:hyperlink>
        </w:p>
        <w:p w14:paraId="31D3F22D" w14:textId="77777777" w:rsidR="00CE5053" w:rsidRDefault="0080349E" w:rsidP="00CE5053">
          <w:pPr>
            <w:pStyle w:val="TOC2"/>
            <w:tabs>
              <w:tab w:val="left" w:pos="880"/>
              <w:tab w:val="right" w:pos="9016"/>
            </w:tabs>
            <w:rPr>
              <w:rFonts w:eastAsiaTheme="minorEastAsia"/>
              <w:i w:val="0"/>
              <w:noProof/>
              <w:lang w:eastAsia="en-GB"/>
            </w:rPr>
          </w:pPr>
          <w:hyperlink w:anchor="_Toc56146034" w:history="1">
            <w:r w:rsidR="00CE5053" w:rsidRPr="00646936">
              <w:rPr>
                <w:rStyle w:val="Hyperlink"/>
                <w:noProof/>
                <w14:scene3d>
                  <w14:camera w14:prst="orthographicFront"/>
                  <w14:lightRig w14:rig="threePt" w14:dir="t">
                    <w14:rot w14:lat="0" w14:lon="0" w14:rev="0"/>
                  </w14:lightRig>
                </w14:scene3d>
              </w:rPr>
              <w:t>4.4</w:t>
            </w:r>
            <w:r w:rsidR="00CE5053">
              <w:rPr>
                <w:rFonts w:eastAsiaTheme="minorEastAsia"/>
                <w:i w:val="0"/>
                <w:noProof/>
                <w:lang w:eastAsia="en-GB"/>
              </w:rPr>
              <w:tab/>
            </w:r>
            <w:r w:rsidR="00CE5053" w:rsidRPr="00646936">
              <w:rPr>
                <w:rStyle w:val="Hyperlink"/>
                <w:noProof/>
              </w:rPr>
              <w:t>Cemeteries and burial space</w:t>
            </w:r>
            <w:r w:rsidR="00CE5053">
              <w:rPr>
                <w:noProof/>
                <w:webHidden/>
              </w:rPr>
              <w:tab/>
            </w:r>
            <w:r w:rsidR="00CE5053">
              <w:rPr>
                <w:noProof/>
                <w:webHidden/>
              </w:rPr>
              <w:fldChar w:fldCharType="begin"/>
            </w:r>
            <w:r w:rsidR="00CE5053">
              <w:rPr>
                <w:noProof/>
                <w:webHidden/>
              </w:rPr>
              <w:instrText xml:space="preserve"> PAGEREF _Toc56146034 \h </w:instrText>
            </w:r>
            <w:r w:rsidR="00CE5053">
              <w:rPr>
                <w:noProof/>
                <w:webHidden/>
              </w:rPr>
            </w:r>
            <w:r w:rsidR="00CE5053">
              <w:rPr>
                <w:noProof/>
                <w:webHidden/>
              </w:rPr>
              <w:fldChar w:fldCharType="separate"/>
            </w:r>
            <w:r w:rsidR="00CE5053">
              <w:rPr>
                <w:noProof/>
                <w:webHidden/>
              </w:rPr>
              <w:t>52</w:t>
            </w:r>
            <w:r w:rsidR="00CE5053">
              <w:rPr>
                <w:noProof/>
                <w:webHidden/>
              </w:rPr>
              <w:fldChar w:fldCharType="end"/>
            </w:r>
          </w:hyperlink>
        </w:p>
        <w:p w14:paraId="2AFE6A5C" w14:textId="77777777" w:rsidR="00CE5053" w:rsidRDefault="0080349E" w:rsidP="00CE5053">
          <w:pPr>
            <w:pStyle w:val="TOC3"/>
            <w:tabs>
              <w:tab w:val="right" w:pos="9016"/>
            </w:tabs>
            <w:rPr>
              <w:rFonts w:eastAsiaTheme="minorEastAsia"/>
              <w:noProof/>
              <w:lang w:eastAsia="en-GB"/>
            </w:rPr>
          </w:pPr>
          <w:hyperlink w:anchor="_Toc56146035" w:history="1">
            <w:r w:rsidR="00CE5053" w:rsidRPr="00646936">
              <w:rPr>
                <w:rStyle w:val="Hyperlink"/>
                <w:noProof/>
              </w:rPr>
              <w:t>Strategic infrastructure list for Green infrastructure</w:t>
            </w:r>
            <w:r w:rsidR="00CE5053">
              <w:rPr>
                <w:noProof/>
                <w:webHidden/>
              </w:rPr>
              <w:tab/>
            </w:r>
            <w:r w:rsidR="00CE5053">
              <w:rPr>
                <w:noProof/>
                <w:webHidden/>
              </w:rPr>
              <w:fldChar w:fldCharType="begin"/>
            </w:r>
            <w:r w:rsidR="00CE5053">
              <w:rPr>
                <w:noProof/>
                <w:webHidden/>
              </w:rPr>
              <w:instrText xml:space="preserve"> PAGEREF _Toc56146035 \h </w:instrText>
            </w:r>
            <w:r w:rsidR="00CE5053">
              <w:rPr>
                <w:noProof/>
                <w:webHidden/>
              </w:rPr>
            </w:r>
            <w:r w:rsidR="00CE5053">
              <w:rPr>
                <w:noProof/>
                <w:webHidden/>
              </w:rPr>
              <w:fldChar w:fldCharType="separate"/>
            </w:r>
            <w:r w:rsidR="00CE5053">
              <w:rPr>
                <w:noProof/>
                <w:webHidden/>
              </w:rPr>
              <w:t>55</w:t>
            </w:r>
            <w:r w:rsidR="00CE5053">
              <w:rPr>
                <w:noProof/>
                <w:webHidden/>
              </w:rPr>
              <w:fldChar w:fldCharType="end"/>
            </w:r>
          </w:hyperlink>
        </w:p>
        <w:p w14:paraId="7D43263B" w14:textId="77777777" w:rsidR="00CE5053" w:rsidRDefault="0080349E" w:rsidP="00CE5053">
          <w:pPr>
            <w:pStyle w:val="TOC1"/>
            <w:tabs>
              <w:tab w:val="left" w:pos="440"/>
              <w:tab w:val="right" w:pos="9016"/>
            </w:tabs>
            <w:rPr>
              <w:rFonts w:eastAsiaTheme="minorEastAsia"/>
              <w:b w:val="0"/>
              <w:noProof/>
              <w:lang w:eastAsia="en-GB"/>
            </w:rPr>
          </w:pPr>
          <w:hyperlink w:anchor="_Toc56146036" w:history="1">
            <w:r w:rsidR="00CE5053" w:rsidRPr="00646936">
              <w:rPr>
                <w:rStyle w:val="Hyperlink"/>
                <w:noProof/>
                <w14:scene3d>
                  <w14:camera w14:prst="orthographicFront"/>
                  <w14:lightRig w14:rig="threePt" w14:dir="t">
                    <w14:rot w14:lat="0" w14:lon="0" w14:rev="0"/>
                  </w14:lightRig>
                </w14:scene3d>
              </w:rPr>
              <w:t>5</w:t>
            </w:r>
            <w:r w:rsidR="00CE5053">
              <w:rPr>
                <w:rFonts w:eastAsiaTheme="minorEastAsia"/>
                <w:b w:val="0"/>
                <w:noProof/>
                <w:lang w:eastAsia="en-GB"/>
              </w:rPr>
              <w:tab/>
            </w:r>
            <w:r w:rsidR="00CE5053" w:rsidRPr="00646936">
              <w:rPr>
                <w:rStyle w:val="Hyperlink"/>
                <w:noProof/>
              </w:rPr>
              <w:t>Transport infrastructure</w:t>
            </w:r>
            <w:r w:rsidR="00CE5053">
              <w:rPr>
                <w:noProof/>
                <w:webHidden/>
              </w:rPr>
              <w:tab/>
            </w:r>
            <w:r w:rsidR="00CE5053">
              <w:rPr>
                <w:noProof/>
                <w:webHidden/>
              </w:rPr>
              <w:fldChar w:fldCharType="begin"/>
            </w:r>
            <w:r w:rsidR="00CE5053">
              <w:rPr>
                <w:noProof/>
                <w:webHidden/>
              </w:rPr>
              <w:instrText xml:space="preserve"> PAGEREF _Toc56146036 \h </w:instrText>
            </w:r>
            <w:r w:rsidR="00CE5053">
              <w:rPr>
                <w:noProof/>
                <w:webHidden/>
              </w:rPr>
            </w:r>
            <w:r w:rsidR="00CE5053">
              <w:rPr>
                <w:noProof/>
                <w:webHidden/>
              </w:rPr>
              <w:fldChar w:fldCharType="separate"/>
            </w:r>
            <w:r w:rsidR="00CE5053">
              <w:rPr>
                <w:noProof/>
                <w:webHidden/>
              </w:rPr>
              <w:t>56</w:t>
            </w:r>
            <w:r w:rsidR="00CE5053">
              <w:rPr>
                <w:noProof/>
                <w:webHidden/>
              </w:rPr>
              <w:fldChar w:fldCharType="end"/>
            </w:r>
          </w:hyperlink>
        </w:p>
        <w:p w14:paraId="141EAB55" w14:textId="77777777" w:rsidR="00CE5053" w:rsidRDefault="0080349E" w:rsidP="00CE5053">
          <w:pPr>
            <w:pStyle w:val="TOC2"/>
            <w:tabs>
              <w:tab w:val="left" w:pos="880"/>
              <w:tab w:val="right" w:pos="9016"/>
            </w:tabs>
            <w:rPr>
              <w:rFonts w:eastAsiaTheme="minorEastAsia"/>
              <w:i w:val="0"/>
              <w:noProof/>
              <w:lang w:eastAsia="en-GB"/>
            </w:rPr>
          </w:pPr>
          <w:hyperlink w:anchor="_Toc56146037" w:history="1">
            <w:r w:rsidR="00CE5053" w:rsidRPr="00646936">
              <w:rPr>
                <w:rStyle w:val="Hyperlink"/>
                <w:noProof/>
                <w14:scene3d>
                  <w14:camera w14:prst="orthographicFront"/>
                  <w14:lightRig w14:rig="threePt" w14:dir="t">
                    <w14:rot w14:lat="0" w14:lon="0" w14:rev="0"/>
                  </w14:lightRig>
                </w14:scene3d>
              </w:rPr>
              <w:t>5.1</w:t>
            </w:r>
            <w:r w:rsidR="00CE5053">
              <w:rPr>
                <w:rFonts w:eastAsiaTheme="minorEastAsia"/>
                <w:i w:val="0"/>
                <w:noProof/>
                <w:lang w:eastAsia="en-GB"/>
              </w:rPr>
              <w:tab/>
            </w:r>
            <w:r w:rsidR="00CE5053" w:rsidRPr="00646936">
              <w:rPr>
                <w:rStyle w:val="Hyperlink"/>
                <w:noProof/>
              </w:rPr>
              <w:t>Regional and sub-regional transport infrastructure</w:t>
            </w:r>
            <w:r w:rsidR="00CE5053">
              <w:rPr>
                <w:noProof/>
                <w:webHidden/>
              </w:rPr>
              <w:tab/>
            </w:r>
            <w:r w:rsidR="00CE5053">
              <w:rPr>
                <w:noProof/>
                <w:webHidden/>
              </w:rPr>
              <w:fldChar w:fldCharType="begin"/>
            </w:r>
            <w:r w:rsidR="00CE5053">
              <w:rPr>
                <w:noProof/>
                <w:webHidden/>
              </w:rPr>
              <w:instrText xml:space="preserve"> PAGEREF _Toc56146037 \h </w:instrText>
            </w:r>
            <w:r w:rsidR="00CE5053">
              <w:rPr>
                <w:noProof/>
                <w:webHidden/>
              </w:rPr>
            </w:r>
            <w:r w:rsidR="00CE5053">
              <w:rPr>
                <w:noProof/>
                <w:webHidden/>
              </w:rPr>
              <w:fldChar w:fldCharType="separate"/>
            </w:r>
            <w:r w:rsidR="00CE5053">
              <w:rPr>
                <w:noProof/>
                <w:webHidden/>
              </w:rPr>
              <w:t>56</w:t>
            </w:r>
            <w:r w:rsidR="00CE5053">
              <w:rPr>
                <w:noProof/>
                <w:webHidden/>
              </w:rPr>
              <w:fldChar w:fldCharType="end"/>
            </w:r>
          </w:hyperlink>
        </w:p>
        <w:p w14:paraId="779FA621" w14:textId="77777777" w:rsidR="00CE5053" w:rsidRDefault="0080349E" w:rsidP="00CE5053">
          <w:pPr>
            <w:pStyle w:val="TOC3"/>
            <w:tabs>
              <w:tab w:val="right" w:pos="9016"/>
            </w:tabs>
            <w:rPr>
              <w:rFonts w:eastAsiaTheme="minorEastAsia"/>
              <w:noProof/>
              <w:lang w:eastAsia="en-GB"/>
            </w:rPr>
          </w:pPr>
          <w:hyperlink w:anchor="_Toc56146038" w:history="1">
            <w:r w:rsidR="00CE5053" w:rsidRPr="00646936">
              <w:rPr>
                <w:rStyle w:val="Hyperlink"/>
                <w:noProof/>
              </w:rPr>
              <w:t>Rail-based infrastructure</w:t>
            </w:r>
            <w:r w:rsidR="00CE5053">
              <w:rPr>
                <w:noProof/>
                <w:webHidden/>
              </w:rPr>
              <w:tab/>
            </w:r>
            <w:r w:rsidR="00CE5053">
              <w:rPr>
                <w:noProof/>
                <w:webHidden/>
              </w:rPr>
              <w:fldChar w:fldCharType="begin"/>
            </w:r>
            <w:r w:rsidR="00CE5053">
              <w:rPr>
                <w:noProof/>
                <w:webHidden/>
              </w:rPr>
              <w:instrText xml:space="preserve"> PAGEREF _Toc56146038 \h </w:instrText>
            </w:r>
            <w:r w:rsidR="00CE5053">
              <w:rPr>
                <w:noProof/>
                <w:webHidden/>
              </w:rPr>
            </w:r>
            <w:r w:rsidR="00CE5053">
              <w:rPr>
                <w:noProof/>
                <w:webHidden/>
              </w:rPr>
              <w:fldChar w:fldCharType="separate"/>
            </w:r>
            <w:r w:rsidR="00CE5053">
              <w:rPr>
                <w:noProof/>
                <w:webHidden/>
              </w:rPr>
              <w:t>56</w:t>
            </w:r>
            <w:r w:rsidR="00CE5053">
              <w:rPr>
                <w:noProof/>
                <w:webHidden/>
              </w:rPr>
              <w:fldChar w:fldCharType="end"/>
            </w:r>
          </w:hyperlink>
        </w:p>
        <w:p w14:paraId="42B5406A" w14:textId="77777777" w:rsidR="00CE5053" w:rsidRDefault="0080349E" w:rsidP="00CE5053">
          <w:pPr>
            <w:pStyle w:val="TOC3"/>
            <w:tabs>
              <w:tab w:val="right" w:pos="9016"/>
            </w:tabs>
            <w:rPr>
              <w:rFonts w:eastAsiaTheme="minorEastAsia"/>
              <w:noProof/>
              <w:lang w:eastAsia="en-GB"/>
            </w:rPr>
          </w:pPr>
          <w:hyperlink w:anchor="_Toc56146039" w:history="1">
            <w:r w:rsidR="00CE5053" w:rsidRPr="00646936">
              <w:rPr>
                <w:rStyle w:val="Hyperlink"/>
                <w:noProof/>
              </w:rPr>
              <w:t>Road-based infrastructure</w:t>
            </w:r>
            <w:r w:rsidR="00CE5053">
              <w:rPr>
                <w:noProof/>
                <w:webHidden/>
              </w:rPr>
              <w:tab/>
            </w:r>
            <w:r w:rsidR="00CE5053">
              <w:rPr>
                <w:noProof/>
                <w:webHidden/>
              </w:rPr>
              <w:fldChar w:fldCharType="begin"/>
            </w:r>
            <w:r w:rsidR="00CE5053">
              <w:rPr>
                <w:noProof/>
                <w:webHidden/>
              </w:rPr>
              <w:instrText xml:space="preserve"> PAGEREF _Toc56146039 \h </w:instrText>
            </w:r>
            <w:r w:rsidR="00CE5053">
              <w:rPr>
                <w:noProof/>
                <w:webHidden/>
              </w:rPr>
            </w:r>
            <w:r w:rsidR="00CE5053">
              <w:rPr>
                <w:noProof/>
                <w:webHidden/>
              </w:rPr>
              <w:fldChar w:fldCharType="separate"/>
            </w:r>
            <w:r w:rsidR="00CE5053">
              <w:rPr>
                <w:noProof/>
                <w:webHidden/>
              </w:rPr>
              <w:t>59</w:t>
            </w:r>
            <w:r w:rsidR="00CE5053">
              <w:rPr>
                <w:noProof/>
                <w:webHidden/>
              </w:rPr>
              <w:fldChar w:fldCharType="end"/>
            </w:r>
          </w:hyperlink>
        </w:p>
        <w:p w14:paraId="3E75093C" w14:textId="77777777" w:rsidR="00CE5053" w:rsidRDefault="0080349E" w:rsidP="00CE5053">
          <w:pPr>
            <w:pStyle w:val="TOC2"/>
            <w:tabs>
              <w:tab w:val="left" w:pos="880"/>
              <w:tab w:val="right" w:pos="9016"/>
            </w:tabs>
            <w:rPr>
              <w:rFonts w:eastAsiaTheme="minorEastAsia"/>
              <w:i w:val="0"/>
              <w:noProof/>
              <w:lang w:eastAsia="en-GB"/>
            </w:rPr>
          </w:pPr>
          <w:hyperlink w:anchor="_Toc56146040" w:history="1">
            <w:r w:rsidR="00CE5053" w:rsidRPr="00646936">
              <w:rPr>
                <w:rStyle w:val="Hyperlink"/>
                <w:noProof/>
                <w14:scene3d>
                  <w14:camera w14:prst="orthographicFront"/>
                  <w14:lightRig w14:rig="threePt" w14:dir="t">
                    <w14:rot w14:lat="0" w14:lon="0" w14:rev="0"/>
                  </w14:lightRig>
                </w14:scene3d>
              </w:rPr>
              <w:t>5.2</w:t>
            </w:r>
            <w:r w:rsidR="00CE5053">
              <w:rPr>
                <w:rFonts w:eastAsiaTheme="minorEastAsia"/>
                <w:i w:val="0"/>
                <w:noProof/>
                <w:lang w:eastAsia="en-GB"/>
              </w:rPr>
              <w:tab/>
            </w:r>
            <w:r w:rsidR="00CE5053" w:rsidRPr="00646936">
              <w:rPr>
                <w:rStyle w:val="Hyperlink"/>
                <w:noProof/>
              </w:rPr>
              <w:t>Local transport infrastructure</w:t>
            </w:r>
            <w:r w:rsidR="00CE5053">
              <w:rPr>
                <w:noProof/>
                <w:webHidden/>
              </w:rPr>
              <w:tab/>
            </w:r>
            <w:r w:rsidR="00CE5053">
              <w:rPr>
                <w:noProof/>
                <w:webHidden/>
              </w:rPr>
              <w:fldChar w:fldCharType="begin"/>
            </w:r>
            <w:r w:rsidR="00CE5053">
              <w:rPr>
                <w:noProof/>
                <w:webHidden/>
              </w:rPr>
              <w:instrText xml:space="preserve"> PAGEREF _Toc56146040 \h </w:instrText>
            </w:r>
            <w:r w:rsidR="00CE5053">
              <w:rPr>
                <w:noProof/>
                <w:webHidden/>
              </w:rPr>
            </w:r>
            <w:r w:rsidR="00CE5053">
              <w:rPr>
                <w:noProof/>
                <w:webHidden/>
              </w:rPr>
              <w:fldChar w:fldCharType="separate"/>
            </w:r>
            <w:r w:rsidR="00CE5053">
              <w:rPr>
                <w:noProof/>
                <w:webHidden/>
              </w:rPr>
              <w:t>63</w:t>
            </w:r>
            <w:r w:rsidR="00CE5053">
              <w:rPr>
                <w:noProof/>
                <w:webHidden/>
              </w:rPr>
              <w:fldChar w:fldCharType="end"/>
            </w:r>
          </w:hyperlink>
        </w:p>
        <w:p w14:paraId="2AF01DC3" w14:textId="77777777" w:rsidR="00CE5053" w:rsidRDefault="0080349E" w:rsidP="00CE5053">
          <w:pPr>
            <w:pStyle w:val="TOC3"/>
            <w:tabs>
              <w:tab w:val="right" w:pos="9016"/>
            </w:tabs>
            <w:rPr>
              <w:rFonts w:eastAsiaTheme="minorEastAsia"/>
              <w:noProof/>
              <w:lang w:eastAsia="en-GB"/>
            </w:rPr>
          </w:pPr>
          <w:hyperlink w:anchor="_Toc56146041" w:history="1">
            <w:r w:rsidR="00CE5053" w:rsidRPr="00646936">
              <w:rPr>
                <w:rStyle w:val="Hyperlink"/>
                <w:noProof/>
              </w:rPr>
              <w:t>Local road network</w:t>
            </w:r>
            <w:r w:rsidR="00CE5053">
              <w:rPr>
                <w:noProof/>
                <w:webHidden/>
              </w:rPr>
              <w:tab/>
            </w:r>
            <w:r w:rsidR="00CE5053">
              <w:rPr>
                <w:noProof/>
                <w:webHidden/>
              </w:rPr>
              <w:fldChar w:fldCharType="begin"/>
            </w:r>
            <w:r w:rsidR="00CE5053">
              <w:rPr>
                <w:noProof/>
                <w:webHidden/>
              </w:rPr>
              <w:instrText xml:space="preserve"> PAGEREF _Toc56146041 \h </w:instrText>
            </w:r>
            <w:r w:rsidR="00CE5053">
              <w:rPr>
                <w:noProof/>
                <w:webHidden/>
              </w:rPr>
            </w:r>
            <w:r w:rsidR="00CE5053">
              <w:rPr>
                <w:noProof/>
                <w:webHidden/>
              </w:rPr>
              <w:fldChar w:fldCharType="separate"/>
            </w:r>
            <w:r w:rsidR="00CE5053">
              <w:rPr>
                <w:noProof/>
                <w:webHidden/>
              </w:rPr>
              <w:t>63</w:t>
            </w:r>
            <w:r w:rsidR="00CE5053">
              <w:rPr>
                <w:noProof/>
                <w:webHidden/>
              </w:rPr>
              <w:fldChar w:fldCharType="end"/>
            </w:r>
          </w:hyperlink>
        </w:p>
        <w:p w14:paraId="58B288F2" w14:textId="77777777" w:rsidR="00CE5053" w:rsidRDefault="0080349E" w:rsidP="00CE5053">
          <w:pPr>
            <w:pStyle w:val="TOC3"/>
            <w:tabs>
              <w:tab w:val="right" w:pos="9016"/>
            </w:tabs>
            <w:rPr>
              <w:rFonts w:eastAsiaTheme="minorEastAsia"/>
              <w:noProof/>
              <w:lang w:eastAsia="en-GB"/>
            </w:rPr>
          </w:pPr>
          <w:hyperlink w:anchor="_Toc56146042" w:history="1">
            <w:r w:rsidR="00CE5053" w:rsidRPr="00646936">
              <w:rPr>
                <w:rStyle w:val="Hyperlink"/>
                <w:noProof/>
              </w:rPr>
              <w:t>Walking and cycling network</w:t>
            </w:r>
            <w:r w:rsidR="00CE5053">
              <w:rPr>
                <w:noProof/>
                <w:webHidden/>
              </w:rPr>
              <w:tab/>
            </w:r>
            <w:r w:rsidR="00CE5053">
              <w:rPr>
                <w:noProof/>
                <w:webHidden/>
              </w:rPr>
              <w:fldChar w:fldCharType="begin"/>
            </w:r>
            <w:r w:rsidR="00CE5053">
              <w:rPr>
                <w:noProof/>
                <w:webHidden/>
              </w:rPr>
              <w:instrText xml:space="preserve"> PAGEREF _Toc56146042 \h </w:instrText>
            </w:r>
            <w:r w:rsidR="00CE5053">
              <w:rPr>
                <w:noProof/>
                <w:webHidden/>
              </w:rPr>
            </w:r>
            <w:r w:rsidR="00CE5053">
              <w:rPr>
                <w:noProof/>
                <w:webHidden/>
              </w:rPr>
              <w:fldChar w:fldCharType="separate"/>
            </w:r>
            <w:r w:rsidR="00CE5053">
              <w:rPr>
                <w:noProof/>
                <w:webHidden/>
              </w:rPr>
              <w:t>63</w:t>
            </w:r>
            <w:r w:rsidR="00CE5053">
              <w:rPr>
                <w:noProof/>
                <w:webHidden/>
              </w:rPr>
              <w:fldChar w:fldCharType="end"/>
            </w:r>
          </w:hyperlink>
        </w:p>
        <w:p w14:paraId="543C9437" w14:textId="77777777" w:rsidR="00CE5053" w:rsidRDefault="0080349E" w:rsidP="00CE5053">
          <w:pPr>
            <w:pStyle w:val="TOC3"/>
            <w:tabs>
              <w:tab w:val="right" w:pos="9016"/>
            </w:tabs>
            <w:rPr>
              <w:rFonts w:eastAsiaTheme="minorEastAsia"/>
              <w:noProof/>
              <w:lang w:eastAsia="en-GB"/>
            </w:rPr>
          </w:pPr>
          <w:hyperlink w:anchor="_Toc56146043" w:history="1">
            <w:r w:rsidR="00CE5053" w:rsidRPr="00646936">
              <w:rPr>
                <w:rStyle w:val="Hyperlink"/>
                <w:noProof/>
              </w:rPr>
              <w:t>Strategic infrastructure list for Transport infrastructure</w:t>
            </w:r>
            <w:r w:rsidR="00CE5053">
              <w:rPr>
                <w:noProof/>
                <w:webHidden/>
              </w:rPr>
              <w:tab/>
            </w:r>
            <w:r w:rsidR="00CE5053">
              <w:rPr>
                <w:noProof/>
                <w:webHidden/>
              </w:rPr>
              <w:fldChar w:fldCharType="begin"/>
            </w:r>
            <w:r w:rsidR="00CE5053">
              <w:rPr>
                <w:noProof/>
                <w:webHidden/>
              </w:rPr>
              <w:instrText xml:space="preserve"> PAGEREF _Toc56146043 \h </w:instrText>
            </w:r>
            <w:r w:rsidR="00CE5053">
              <w:rPr>
                <w:noProof/>
                <w:webHidden/>
              </w:rPr>
            </w:r>
            <w:r w:rsidR="00CE5053">
              <w:rPr>
                <w:noProof/>
                <w:webHidden/>
              </w:rPr>
              <w:fldChar w:fldCharType="separate"/>
            </w:r>
            <w:r w:rsidR="00CE5053">
              <w:rPr>
                <w:noProof/>
                <w:webHidden/>
              </w:rPr>
              <w:t>67</w:t>
            </w:r>
            <w:r w:rsidR="00CE5053">
              <w:rPr>
                <w:noProof/>
                <w:webHidden/>
              </w:rPr>
              <w:fldChar w:fldCharType="end"/>
            </w:r>
          </w:hyperlink>
        </w:p>
        <w:p w14:paraId="330ED5D4" w14:textId="77777777" w:rsidR="00CE5053" w:rsidRDefault="0080349E" w:rsidP="00CE5053">
          <w:pPr>
            <w:pStyle w:val="TOC1"/>
            <w:tabs>
              <w:tab w:val="left" w:pos="440"/>
              <w:tab w:val="right" w:pos="9016"/>
            </w:tabs>
            <w:rPr>
              <w:rFonts w:eastAsiaTheme="minorEastAsia"/>
              <w:b w:val="0"/>
              <w:noProof/>
              <w:lang w:eastAsia="en-GB"/>
            </w:rPr>
          </w:pPr>
          <w:hyperlink w:anchor="_Toc56146044" w:history="1">
            <w:r w:rsidR="00CE5053" w:rsidRPr="00646936">
              <w:rPr>
                <w:rStyle w:val="Hyperlink"/>
                <w:noProof/>
                <w14:scene3d>
                  <w14:camera w14:prst="orthographicFront"/>
                  <w14:lightRig w14:rig="threePt" w14:dir="t">
                    <w14:rot w14:lat="0" w14:lon="0" w14:rev="0"/>
                  </w14:lightRig>
                </w14:scene3d>
              </w:rPr>
              <w:t>6</w:t>
            </w:r>
            <w:r w:rsidR="00CE5053">
              <w:rPr>
                <w:rFonts w:eastAsiaTheme="minorEastAsia"/>
                <w:b w:val="0"/>
                <w:noProof/>
                <w:lang w:eastAsia="en-GB"/>
              </w:rPr>
              <w:tab/>
            </w:r>
            <w:r w:rsidR="00CE5053" w:rsidRPr="00646936">
              <w:rPr>
                <w:rStyle w:val="Hyperlink"/>
                <w:noProof/>
              </w:rPr>
              <w:t>Utility infrastructure</w:t>
            </w:r>
            <w:r w:rsidR="00CE5053">
              <w:rPr>
                <w:noProof/>
                <w:webHidden/>
              </w:rPr>
              <w:tab/>
            </w:r>
            <w:r w:rsidR="00CE5053">
              <w:rPr>
                <w:noProof/>
                <w:webHidden/>
              </w:rPr>
              <w:fldChar w:fldCharType="begin"/>
            </w:r>
            <w:r w:rsidR="00CE5053">
              <w:rPr>
                <w:noProof/>
                <w:webHidden/>
              </w:rPr>
              <w:instrText xml:space="preserve"> PAGEREF _Toc56146044 \h </w:instrText>
            </w:r>
            <w:r w:rsidR="00CE5053">
              <w:rPr>
                <w:noProof/>
                <w:webHidden/>
              </w:rPr>
            </w:r>
            <w:r w:rsidR="00CE5053">
              <w:rPr>
                <w:noProof/>
                <w:webHidden/>
              </w:rPr>
              <w:fldChar w:fldCharType="separate"/>
            </w:r>
            <w:r w:rsidR="00CE5053">
              <w:rPr>
                <w:noProof/>
                <w:webHidden/>
              </w:rPr>
              <w:t>69</w:t>
            </w:r>
            <w:r w:rsidR="00CE5053">
              <w:rPr>
                <w:noProof/>
                <w:webHidden/>
              </w:rPr>
              <w:fldChar w:fldCharType="end"/>
            </w:r>
          </w:hyperlink>
        </w:p>
        <w:p w14:paraId="5B2DE34E" w14:textId="77777777" w:rsidR="00CE5053" w:rsidRDefault="0080349E" w:rsidP="00CE5053">
          <w:pPr>
            <w:pStyle w:val="TOC2"/>
            <w:tabs>
              <w:tab w:val="left" w:pos="880"/>
              <w:tab w:val="right" w:pos="9016"/>
            </w:tabs>
            <w:rPr>
              <w:rFonts w:eastAsiaTheme="minorEastAsia"/>
              <w:i w:val="0"/>
              <w:noProof/>
              <w:lang w:eastAsia="en-GB"/>
            </w:rPr>
          </w:pPr>
          <w:hyperlink w:anchor="_Toc56146045" w:history="1">
            <w:r w:rsidR="00CE5053" w:rsidRPr="00646936">
              <w:rPr>
                <w:rStyle w:val="Hyperlink"/>
                <w:noProof/>
                <w14:scene3d>
                  <w14:camera w14:prst="orthographicFront"/>
                  <w14:lightRig w14:rig="threePt" w14:dir="t">
                    <w14:rot w14:lat="0" w14:lon="0" w14:rev="0"/>
                  </w14:lightRig>
                </w14:scene3d>
              </w:rPr>
              <w:t>6.1</w:t>
            </w:r>
            <w:r w:rsidR="00CE5053">
              <w:rPr>
                <w:rFonts w:eastAsiaTheme="minorEastAsia"/>
                <w:i w:val="0"/>
                <w:noProof/>
                <w:lang w:eastAsia="en-GB"/>
              </w:rPr>
              <w:tab/>
            </w:r>
            <w:r w:rsidR="00CE5053" w:rsidRPr="00646936">
              <w:rPr>
                <w:rStyle w:val="Hyperlink"/>
                <w:noProof/>
              </w:rPr>
              <w:t>Energy infrastructure</w:t>
            </w:r>
            <w:r w:rsidR="00CE5053">
              <w:rPr>
                <w:noProof/>
                <w:webHidden/>
              </w:rPr>
              <w:tab/>
            </w:r>
            <w:r w:rsidR="00CE5053">
              <w:rPr>
                <w:noProof/>
                <w:webHidden/>
              </w:rPr>
              <w:fldChar w:fldCharType="begin"/>
            </w:r>
            <w:r w:rsidR="00CE5053">
              <w:rPr>
                <w:noProof/>
                <w:webHidden/>
              </w:rPr>
              <w:instrText xml:space="preserve"> PAGEREF _Toc56146045 \h </w:instrText>
            </w:r>
            <w:r w:rsidR="00CE5053">
              <w:rPr>
                <w:noProof/>
                <w:webHidden/>
              </w:rPr>
            </w:r>
            <w:r w:rsidR="00CE5053">
              <w:rPr>
                <w:noProof/>
                <w:webHidden/>
              </w:rPr>
              <w:fldChar w:fldCharType="separate"/>
            </w:r>
            <w:r w:rsidR="00CE5053">
              <w:rPr>
                <w:noProof/>
                <w:webHidden/>
              </w:rPr>
              <w:t>69</w:t>
            </w:r>
            <w:r w:rsidR="00CE5053">
              <w:rPr>
                <w:noProof/>
                <w:webHidden/>
              </w:rPr>
              <w:fldChar w:fldCharType="end"/>
            </w:r>
          </w:hyperlink>
        </w:p>
        <w:p w14:paraId="0A761782" w14:textId="77777777" w:rsidR="00CE5053" w:rsidRDefault="0080349E" w:rsidP="00CE5053">
          <w:pPr>
            <w:pStyle w:val="TOC3"/>
            <w:tabs>
              <w:tab w:val="right" w:pos="9016"/>
            </w:tabs>
            <w:rPr>
              <w:rFonts w:eastAsiaTheme="minorEastAsia"/>
              <w:noProof/>
              <w:lang w:eastAsia="en-GB"/>
            </w:rPr>
          </w:pPr>
          <w:hyperlink w:anchor="_Toc56146046" w:history="1">
            <w:r w:rsidR="00CE5053" w:rsidRPr="00646936">
              <w:rPr>
                <w:rStyle w:val="Hyperlink"/>
                <w:noProof/>
              </w:rPr>
              <w:t>Electricity</w:t>
            </w:r>
            <w:r w:rsidR="00CE5053">
              <w:rPr>
                <w:noProof/>
                <w:webHidden/>
              </w:rPr>
              <w:tab/>
            </w:r>
            <w:r w:rsidR="00CE5053">
              <w:rPr>
                <w:noProof/>
                <w:webHidden/>
              </w:rPr>
              <w:fldChar w:fldCharType="begin"/>
            </w:r>
            <w:r w:rsidR="00CE5053">
              <w:rPr>
                <w:noProof/>
                <w:webHidden/>
              </w:rPr>
              <w:instrText xml:space="preserve"> PAGEREF _Toc56146046 \h </w:instrText>
            </w:r>
            <w:r w:rsidR="00CE5053">
              <w:rPr>
                <w:noProof/>
                <w:webHidden/>
              </w:rPr>
            </w:r>
            <w:r w:rsidR="00CE5053">
              <w:rPr>
                <w:noProof/>
                <w:webHidden/>
              </w:rPr>
              <w:fldChar w:fldCharType="separate"/>
            </w:r>
            <w:r w:rsidR="00CE5053">
              <w:rPr>
                <w:noProof/>
                <w:webHidden/>
              </w:rPr>
              <w:t>69</w:t>
            </w:r>
            <w:r w:rsidR="00CE5053">
              <w:rPr>
                <w:noProof/>
                <w:webHidden/>
              </w:rPr>
              <w:fldChar w:fldCharType="end"/>
            </w:r>
          </w:hyperlink>
        </w:p>
        <w:p w14:paraId="6F70867A" w14:textId="77777777" w:rsidR="00CE5053" w:rsidRDefault="0080349E" w:rsidP="00CE5053">
          <w:pPr>
            <w:pStyle w:val="TOC3"/>
            <w:tabs>
              <w:tab w:val="right" w:pos="9016"/>
            </w:tabs>
            <w:rPr>
              <w:rFonts w:eastAsiaTheme="minorEastAsia"/>
              <w:noProof/>
              <w:lang w:eastAsia="en-GB"/>
            </w:rPr>
          </w:pPr>
          <w:hyperlink w:anchor="_Toc56146047" w:history="1">
            <w:r w:rsidR="00CE5053" w:rsidRPr="00646936">
              <w:rPr>
                <w:rStyle w:val="Hyperlink"/>
                <w:noProof/>
              </w:rPr>
              <w:t>Gas</w:t>
            </w:r>
            <w:r w:rsidR="00CE5053">
              <w:rPr>
                <w:noProof/>
                <w:webHidden/>
              </w:rPr>
              <w:tab/>
            </w:r>
            <w:r w:rsidR="00CE5053">
              <w:rPr>
                <w:noProof/>
                <w:webHidden/>
              </w:rPr>
              <w:fldChar w:fldCharType="begin"/>
            </w:r>
            <w:r w:rsidR="00CE5053">
              <w:rPr>
                <w:noProof/>
                <w:webHidden/>
              </w:rPr>
              <w:instrText xml:space="preserve"> PAGEREF _Toc56146047 \h </w:instrText>
            </w:r>
            <w:r w:rsidR="00CE5053">
              <w:rPr>
                <w:noProof/>
                <w:webHidden/>
              </w:rPr>
            </w:r>
            <w:r w:rsidR="00CE5053">
              <w:rPr>
                <w:noProof/>
                <w:webHidden/>
              </w:rPr>
              <w:fldChar w:fldCharType="separate"/>
            </w:r>
            <w:r w:rsidR="00CE5053">
              <w:rPr>
                <w:noProof/>
                <w:webHidden/>
              </w:rPr>
              <w:t>70</w:t>
            </w:r>
            <w:r w:rsidR="00CE5053">
              <w:rPr>
                <w:noProof/>
                <w:webHidden/>
              </w:rPr>
              <w:fldChar w:fldCharType="end"/>
            </w:r>
          </w:hyperlink>
        </w:p>
        <w:p w14:paraId="4AE3F5A0" w14:textId="77777777" w:rsidR="00CE5053" w:rsidRDefault="0080349E" w:rsidP="00CE5053">
          <w:pPr>
            <w:pStyle w:val="TOC3"/>
            <w:tabs>
              <w:tab w:val="right" w:pos="9016"/>
            </w:tabs>
            <w:rPr>
              <w:rFonts w:eastAsiaTheme="minorEastAsia"/>
              <w:noProof/>
              <w:lang w:eastAsia="en-GB"/>
            </w:rPr>
          </w:pPr>
          <w:hyperlink w:anchor="_Toc56146048" w:history="1">
            <w:r w:rsidR="00CE5053" w:rsidRPr="00646936">
              <w:rPr>
                <w:rStyle w:val="Hyperlink"/>
                <w:noProof/>
              </w:rPr>
              <w:t>Local Energy Generation &amp; Distribution</w:t>
            </w:r>
            <w:r w:rsidR="00CE5053">
              <w:rPr>
                <w:noProof/>
                <w:webHidden/>
              </w:rPr>
              <w:tab/>
            </w:r>
            <w:r w:rsidR="00CE5053">
              <w:rPr>
                <w:noProof/>
                <w:webHidden/>
              </w:rPr>
              <w:fldChar w:fldCharType="begin"/>
            </w:r>
            <w:r w:rsidR="00CE5053">
              <w:rPr>
                <w:noProof/>
                <w:webHidden/>
              </w:rPr>
              <w:instrText xml:space="preserve"> PAGEREF _Toc56146048 \h </w:instrText>
            </w:r>
            <w:r w:rsidR="00CE5053">
              <w:rPr>
                <w:noProof/>
                <w:webHidden/>
              </w:rPr>
            </w:r>
            <w:r w:rsidR="00CE5053">
              <w:rPr>
                <w:noProof/>
                <w:webHidden/>
              </w:rPr>
              <w:fldChar w:fldCharType="separate"/>
            </w:r>
            <w:r w:rsidR="00CE5053">
              <w:rPr>
                <w:noProof/>
                <w:webHidden/>
              </w:rPr>
              <w:t>71</w:t>
            </w:r>
            <w:r w:rsidR="00CE5053">
              <w:rPr>
                <w:noProof/>
                <w:webHidden/>
              </w:rPr>
              <w:fldChar w:fldCharType="end"/>
            </w:r>
          </w:hyperlink>
        </w:p>
        <w:p w14:paraId="2652C5FB" w14:textId="77777777" w:rsidR="00CE5053" w:rsidRDefault="0080349E" w:rsidP="00CE5053">
          <w:pPr>
            <w:pStyle w:val="TOC2"/>
            <w:tabs>
              <w:tab w:val="left" w:pos="880"/>
              <w:tab w:val="right" w:pos="9016"/>
            </w:tabs>
            <w:rPr>
              <w:rFonts w:eastAsiaTheme="minorEastAsia"/>
              <w:i w:val="0"/>
              <w:noProof/>
              <w:lang w:eastAsia="en-GB"/>
            </w:rPr>
          </w:pPr>
          <w:hyperlink w:anchor="_Toc56146049" w:history="1">
            <w:r w:rsidR="00CE5053" w:rsidRPr="00646936">
              <w:rPr>
                <w:rStyle w:val="Hyperlink"/>
                <w:noProof/>
                <w14:scene3d>
                  <w14:camera w14:prst="orthographicFront"/>
                  <w14:lightRig w14:rig="threePt" w14:dir="t">
                    <w14:rot w14:lat="0" w14:lon="0" w14:rev="0"/>
                  </w14:lightRig>
                </w14:scene3d>
              </w:rPr>
              <w:t>6.2</w:t>
            </w:r>
            <w:r w:rsidR="00CE5053">
              <w:rPr>
                <w:rFonts w:eastAsiaTheme="minorEastAsia"/>
                <w:i w:val="0"/>
                <w:noProof/>
                <w:lang w:eastAsia="en-GB"/>
              </w:rPr>
              <w:tab/>
            </w:r>
            <w:r w:rsidR="00CE5053" w:rsidRPr="00646936">
              <w:rPr>
                <w:rStyle w:val="Hyperlink"/>
                <w:noProof/>
              </w:rPr>
              <w:t>Water infrastructure</w:t>
            </w:r>
            <w:r w:rsidR="00CE5053">
              <w:rPr>
                <w:noProof/>
                <w:webHidden/>
              </w:rPr>
              <w:tab/>
            </w:r>
            <w:r w:rsidR="00CE5053">
              <w:rPr>
                <w:noProof/>
                <w:webHidden/>
              </w:rPr>
              <w:fldChar w:fldCharType="begin"/>
            </w:r>
            <w:r w:rsidR="00CE5053">
              <w:rPr>
                <w:noProof/>
                <w:webHidden/>
              </w:rPr>
              <w:instrText xml:space="preserve"> PAGEREF _Toc56146049 \h </w:instrText>
            </w:r>
            <w:r w:rsidR="00CE5053">
              <w:rPr>
                <w:noProof/>
                <w:webHidden/>
              </w:rPr>
            </w:r>
            <w:r w:rsidR="00CE5053">
              <w:rPr>
                <w:noProof/>
                <w:webHidden/>
              </w:rPr>
              <w:fldChar w:fldCharType="separate"/>
            </w:r>
            <w:r w:rsidR="00CE5053">
              <w:rPr>
                <w:noProof/>
                <w:webHidden/>
              </w:rPr>
              <w:t>72</w:t>
            </w:r>
            <w:r w:rsidR="00CE5053">
              <w:rPr>
                <w:noProof/>
                <w:webHidden/>
              </w:rPr>
              <w:fldChar w:fldCharType="end"/>
            </w:r>
          </w:hyperlink>
        </w:p>
        <w:p w14:paraId="5081F344" w14:textId="77777777" w:rsidR="00CE5053" w:rsidRDefault="0080349E" w:rsidP="00CE5053">
          <w:pPr>
            <w:pStyle w:val="TOC3"/>
            <w:tabs>
              <w:tab w:val="right" w:pos="9016"/>
            </w:tabs>
            <w:rPr>
              <w:rFonts w:eastAsiaTheme="minorEastAsia"/>
              <w:noProof/>
              <w:lang w:eastAsia="en-GB"/>
            </w:rPr>
          </w:pPr>
          <w:hyperlink w:anchor="_Toc56146050" w:history="1">
            <w:r w:rsidR="00CE5053" w:rsidRPr="00646936">
              <w:rPr>
                <w:rStyle w:val="Hyperlink"/>
                <w:noProof/>
              </w:rPr>
              <w:t>Strategic water supply</w:t>
            </w:r>
            <w:r w:rsidR="00CE5053">
              <w:rPr>
                <w:noProof/>
                <w:webHidden/>
              </w:rPr>
              <w:tab/>
            </w:r>
            <w:r w:rsidR="00CE5053">
              <w:rPr>
                <w:noProof/>
                <w:webHidden/>
              </w:rPr>
              <w:fldChar w:fldCharType="begin"/>
            </w:r>
            <w:r w:rsidR="00CE5053">
              <w:rPr>
                <w:noProof/>
                <w:webHidden/>
              </w:rPr>
              <w:instrText xml:space="preserve"> PAGEREF _Toc56146050 \h </w:instrText>
            </w:r>
            <w:r w:rsidR="00CE5053">
              <w:rPr>
                <w:noProof/>
                <w:webHidden/>
              </w:rPr>
            </w:r>
            <w:r w:rsidR="00CE5053">
              <w:rPr>
                <w:noProof/>
                <w:webHidden/>
              </w:rPr>
              <w:fldChar w:fldCharType="separate"/>
            </w:r>
            <w:r w:rsidR="00CE5053">
              <w:rPr>
                <w:noProof/>
                <w:webHidden/>
              </w:rPr>
              <w:t>72</w:t>
            </w:r>
            <w:r w:rsidR="00CE5053">
              <w:rPr>
                <w:noProof/>
                <w:webHidden/>
              </w:rPr>
              <w:fldChar w:fldCharType="end"/>
            </w:r>
          </w:hyperlink>
        </w:p>
        <w:p w14:paraId="245E63AD" w14:textId="77777777" w:rsidR="00CE5053" w:rsidRDefault="0080349E" w:rsidP="00CE5053">
          <w:pPr>
            <w:pStyle w:val="TOC3"/>
            <w:tabs>
              <w:tab w:val="right" w:pos="9016"/>
            </w:tabs>
            <w:rPr>
              <w:rFonts w:eastAsiaTheme="minorEastAsia"/>
              <w:noProof/>
              <w:lang w:eastAsia="en-GB"/>
            </w:rPr>
          </w:pPr>
          <w:hyperlink w:anchor="_Toc56146051" w:history="1">
            <w:r w:rsidR="00CE5053" w:rsidRPr="00646936">
              <w:rPr>
                <w:rStyle w:val="Hyperlink"/>
                <w:noProof/>
              </w:rPr>
              <w:t>Wastewater infrastructure</w:t>
            </w:r>
            <w:r w:rsidR="00CE5053">
              <w:rPr>
                <w:noProof/>
                <w:webHidden/>
              </w:rPr>
              <w:tab/>
            </w:r>
            <w:r w:rsidR="00CE5053">
              <w:rPr>
                <w:noProof/>
                <w:webHidden/>
              </w:rPr>
              <w:fldChar w:fldCharType="begin"/>
            </w:r>
            <w:r w:rsidR="00CE5053">
              <w:rPr>
                <w:noProof/>
                <w:webHidden/>
              </w:rPr>
              <w:instrText xml:space="preserve"> PAGEREF _Toc56146051 \h </w:instrText>
            </w:r>
            <w:r w:rsidR="00CE5053">
              <w:rPr>
                <w:noProof/>
                <w:webHidden/>
              </w:rPr>
            </w:r>
            <w:r w:rsidR="00CE5053">
              <w:rPr>
                <w:noProof/>
                <w:webHidden/>
              </w:rPr>
              <w:fldChar w:fldCharType="separate"/>
            </w:r>
            <w:r w:rsidR="00CE5053">
              <w:rPr>
                <w:noProof/>
                <w:webHidden/>
              </w:rPr>
              <w:t>73</w:t>
            </w:r>
            <w:r w:rsidR="00CE5053">
              <w:rPr>
                <w:noProof/>
                <w:webHidden/>
              </w:rPr>
              <w:fldChar w:fldCharType="end"/>
            </w:r>
          </w:hyperlink>
        </w:p>
        <w:p w14:paraId="5422B3DF" w14:textId="77777777" w:rsidR="00CE5053" w:rsidRDefault="0080349E" w:rsidP="00CE5053">
          <w:pPr>
            <w:pStyle w:val="TOC3"/>
            <w:tabs>
              <w:tab w:val="right" w:pos="9016"/>
            </w:tabs>
            <w:rPr>
              <w:rFonts w:eastAsiaTheme="minorEastAsia"/>
              <w:noProof/>
              <w:lang w:eastAsia="en-GB"/>
            </w:rPr>
          </w:pPr>
          <w:hyperlink w:anchor="_Toc56146052" w:history="1">
            <w:r w:rsidR="00CE5053" w:rsidRPr="00646936">
              <w:rPr>
                <w:rStyle w:val="Hyperlink"/>
                <w:noProof/>
              </w:rPr>
              <w:t>Flood risk management and Waterways</w:t>
            </w:r>
            <w:r w:rsidR="00CE5053">
              <w:rPr>
                <w:noProof/>
                <w:webHidden/>
              </w:rPr>
              <w:tab/>
            </w:r>
            <w:r w:rsidR="00CE5053">
              <w:rPr>
                <w:noProof/>
                <w:webHidden/>
              </w:rPr>
              <w:fldChar w:fldCharType="begin"/>
            </w:r>
            <w:r w:rsidR="00CE5053">
              <w:rPr>
                <w:noProof/>
                <w:webHidden/>
              </w:rPr>
              <w:instrText xml:space="preserve"> PAGEREF _Toc56146052 \h </w:instrText>
            </w:r>
            <w:r w:rsidR="00CE5053">
              <w:rPr>
                <w:noProof/>
                <w:webHidden/>
              </w:rPr>
            </w:r>
            <w:r w:rsidR="00CE5053">
              <w:rPr>
                <w:noProof/>
                <w:webHidden/>
              </w:rPr>
              <w:fldChar w:fldCharType="separate"/>
            </w:r>
            <w:r w:rsidR="00CE5053">
              <w:rPr>
                <w:noProof/>
                <w:webHidden/>
              </w:rPr>
              <w:t>74</w:t>
            </w:r>
            <w:r w:rsidR="00CE5053">
              <w:rPr>
                <w:noProof/>
                <w:webHidden/>
              </w:rPr>
              <w:fldChar w:fldCharType="end"/>
            </w:r>
          </w:hyperlink>
        </w:p>
        <w:p w14:paraId="525B4B8D" w14:textId="77777777" w:rsidR="00CE5053" w:rsidRDefault="0080349E" w:rsidP="00CE5053">
          <w:pPr>
            <w:pStyle w:val="TOC3"/>
            <w:tabs>
              <w:tab w:val="right" w:pos="9016"/>
            </w:tabs>
            <w:rPr>
              <w:rFonts w:eastAsiaTheme="minorEastAsia"/>
              <w:noProof/>
              <w:lang w:eastAsia="en-GB"/>
            </w:rPr>
          </w:pPr>
          <w:hyperlink w:anchor="_Toc56146053" w:history="1">
            <w:r w:rsidR="00CE5053" w:rsidRPr="00646936">
              <w:rPr>
                <w:rStyle w:val="Hyperlink"/>
                <w:noProof/>
              </w:rPr>
              <w:t>Strategic infrastructure list for flood risk management infrastructure</w:t>
            </w:r>
            <w:r w:rsidR="00CE5053">
              <w:rPr>
                <w:noProof/>
                <w:webHidden/>
              </w:rPr>
              <w:tab/>
            </w:r>
            <w:r w:rsidR="00CE5053">
              <w:rPr>
                <w:noProof/>
                <w:webHidden/>
              </w:rPr>
              <w:fldChar w:fldCharType="begin"/>
            </w:r>
            <w:r w:rsidR="00CE5053">
              <w:rPr>
                <w:noProof/>
                <w:webHidden/>
              </w:rPr>
              <w:instrText xml:space="preserve"> PAGEREF _Toc56146053 \h </w:instrText>
            </w:r>
            <w:r w:rsidR="00CE5053">
              <w:rPr>
                <w:noProof/>
                <w:webHidden/>
              </w:rPr>
            </w:r>
            <w:r w:rsidR="00CE5053">
              <w:rPr>
                <w:noProof/>
                <w:webHidden/>
              </w:rPr>
              <w:fldChar w:fldCharType="separate"/>
            </w:r>
            <w:r w:rsidR="00CE5053">
              <w:rPr>
                <w:noProof/>
                <w:webHidden/>
              </w:rPr>
              <w:t>77</w:t>
            </w:r>
            <w:r w:rsidR="00CE5053">
              <w:rPr>
                <w:noProof/>
                <w:webHidden/>
              </w:rPr>
              <w:fldChar w:fldCharType="end"/>
            </w:r>
          </w:hyperlink>
        </w:p>
        <w:p w14:paraId="136E3C63" w14:textId="77777777" w:rsidR="00CE5053" w:rsidRDefault="0080349E" w:rsidP="00CE5053">
          <w:pPr>
            <w:pStyle w:val="TOC2"/>
            <w:tabs>
              <w:tab w:val="left" w:pos="880"/>
              <w:tab w:val="right" w:pos="9016"/>
            </w:tabs>
            <w:rPr>
              <w:rFonts w:eastAsiaTheme="minorEastAsia"/>
              <w:i w:val="0"/>
              <w:noProof/>
              <w:lang w:eastAsia="en-GB"/>
            </w:rPr>
          </w:pPr>
          <w:hyperlink w:anchor="_Toc56146054" w:history="1">
            <w:r w:rsidR="00CE5053" w:rsidRPr="00646936">
              <w:rPr>
                <w:rStyle w:val="Hyperlink"/>
                <w:noProof/>
                <w14:scene3d>
                  <w14:camera w14:prst="orthographicFront"/>
                  <w14:lightRig w14:rig="threePt" w14:dir="t">
                    <w14:rot w14:lat="0" w14:lon="0" w14:rev="0"/>
                  </w14:lightRig>
                </w14:scene3d>
              </w:rPr>
              <w:t>6.3</w:t>
            </w:r>
            <w:r w:rsidR="00CE5053">
              <w:rPr>
                <w:rFonts w:eastAsiaTheme="minorEastAsia"/>
                <w:i w:val="0"/>
                <w:noProof/>
                <w:lang w:eastAsia="en-GB"/>
              </w:rPr>
              <w:tab/>
            </w:r>
            <w:r w:rsidR="00CE5053" w:rsidRPr="00646936">
              <w:rPr>
                <w:rStyle w:val="Hyperlink"/>
                <w:noProof/>
              </w:rPr>
              <w:t>Waste infrastructure</w:t>
            </w:r>
            <w:r w:rsidR="00CE5053">
              <w:rPr>
                <w:noProof/>
                <w:webHidden/>
              </w:rPr>
              <w:tab/>
            </w:r>
            <w:r w:rsidR="00CE5053">
              <w:rPr>
                <w:noProof/>
                <w:webHidden/>
              </w:rPr>
              <w:fldChar w:fldCharType="begin"/>
            </w:r>
            <w:r w:rsidR="00CE5053">
              <w:rPr>
                <w:noProof/>
                <w:webHidden/>
              </w:rPr>
              <w:instrText xml:space="preserve"> PAGEREF _Toc56146054 \h </w:instrText>
            </w:r>
            <w:r w:rsidR="00CE5053">
              <w:rPr>
                <w:noProof/>
                <w:webHidden/>
              </w:rPr>
            </w:r>
            <w:r w:rsidR="00CE5053">
              <w:rPr>
                <w:noProof/>
                <w:webHidden/>
              </w:rPr>
              <w:fldChar w:fldCharType="separate"/>
            </w:r>
            <w:r w:rsidR="00CE5053">
              <w:rPr>
                <w:noProof/>
                <w:webHidden/>
              </w:rPr>
              <w:t>78</w:t>
            </w:r>
            <w:r w:rsidR="00CE5053">
              <w:rPr>
                <w:noProof/>
                <w:webHidden/>
              </w:rPr>
              <w:fldChar w:fldCharType="end"/>
            </w:r>
          </w:hyperlink>
        </w:p>
        <w:p w14:paraId="070F657B" w14:textId="77777777" w:rsidR="00CE5053" w:rsidRDefault="0080349E" w:rsidP="00CE5053">
          <w:pPr>
            <w:pStyle w:val="TOC3"/>
            <w:tabs>
              <w:tab w:val="right" w:pos="9016"/>
            </w:tabs>
            <w:rPr>
              <w:rFonts w:eastAsiaTheme="minorEastAsia"/>
              <w:noProof/>
              <w:lang w:eastAsia="en-GB"/>
            </w:rPr>
          </w:pPr>
          <w:hyperlink w:anchor="_Toc56146055" w:history="1">
            <w:r w:rsidR="00CE5053" w:rsidRPr="00646936">
              <w:rPr>
                <w:rStyle w:val="Hyperlink"/>
                <w:noProof/>
              </w:rPr>
              <w:t>Strategic infrastructure list for Waste infrastructure</w:t>
            </w:r>
            <w:r w:rsidR="00CE5053">
              <w:rPr>
                <w:noProof/>
                <w:webHidden/>
              </w:rPr>
              <w:tab/>
            </w:r>
            <w:r w:rsidR="00CE5053">
              <w:rPr>
                <w:noProof/>
                <w:webHidden/>
              </w:rPr>
              <w:fldChar w:fldCharType="begin"/>
            </w:r>
            <w:r w:rsidR="00CE5053">
              <w:rPr>
                <w:noProof/>
                <w:webHidden/>
              </w:rPr>
              <w:instrText xml:space="preserve"> PAGEREF _Toc56146055 \h </w:instrText>
            </w:r>
            <w:r w:rsidR="00CE5053">
              <w:rPr>
                <w:noProof/>
                <w:webHidden/>
              </w:rPr>
            </w:r>
            <w:r w:rsidR="00CE5053">
              <w:rPr>
                <w:noProof/>
                <w:webHidden/>
              </w:rPr>
              <w:fldChar w:fldCharType="separate"/>
            </w:r>
            <w:r w:rsidR="00CE5053">
              <w:rPr>
                <w:noProof/>
                <w:webHidden/>
              </w:rPr>
              <w:t>81</w:t>
            </w:r>
            <w:r w:rsidR="00CE5053">
              <w:rPr>
                <w:noProof/>
                <w:webHidden/>
              </w:rPr>
              <w:fldChar w:fldCharType="end"/>
            </w:r>
          </w:hyperlink>
        </w:p>
        <w:p w14:paraId="74B4C60B" w14:textId="77777777" w:rsidR="00CE5053" w:rsidRDefault="0080349E" w:rsidP="00CE5053">
          <w:pPr>
            <w:pStyle w:val="TOC2"/>
            <w:tabs>
              <w:tab w:val="left" w:pos="880"/>
              <w:tab w:val="right" w:pos="9016"/>
            </w:tabs>
            <w:rPr>
              <w:rFonts w:eastAsiaTheme="minorEastAsia"/>
              <w:i w:val="0"/>
              <w:noProof/>
              <w:lang w:eastAsia="en-GB"/>
            </w:rPr>
          </w:pPr>
          <w:hyperlink w:anchor="_Toc56146056" w:history="1">
            <w:r w:rsidR="00CE5053" w:rsidRPr="00646936">
              <w:rPr>
                <w:rStyle w:val="Hyperlink"/>
                <w:noProof/>
                <w14:scene3d>
                  <w14:camera w14:prst="orthographicFront"/>
                  <w14:lightRig w14:rig="threePt" w14:dir="t">
                    <w14:rot w14:lat="0" w14:lon="0" w14:rev="0"/>
                  </w14:lightRig>
                </w14:scene3d>
              </w:rPr>
              <w:t>6.4</w:t>
            </w:r>
            <w:r w:rsidR="00CE5053">
              <w:rPr>
                <w:rFonts w:eastAsiaTheme="minorEastAsia"/>
                <w:i w:val="0"/>
                <w:noProof/>
                <w:lang w:eastAsia="en-GB"/>
              </w:rPr>
              <w:tab/>
            </w:r>
            <w:r w:rsidR="00CE5053" w:rsidRPr="00646936">
              <w:rPr>
                <w:rStyle w:val="Hyperlink"/>
                <w:noProof/>
              </w:rPr>
              <w:t>Digital infrastructure</w:t>
            </w:r>
            <w:r w:rsidR="00CE5053">
              <w:rPr>
                <w:noProof/>
                <w:webHidden/>
              </w:rPr>
              <w:tab/>
            </w:r>
            <w:r w:rsidR="00CE5053">
              <w:rPr>
                <w:noProof/>
                <w:webHidden/>
              </w:rPr>
              <w:fldChar w:fldCharType="begin"/>
            </w:r>
            <w:r w:rsidR="00CE5053">
              <w:rPr>
                <w:noProof/>
                <w:webHidden/>
              </w:rPr>
              <w:instrText xml:space="preserve"> PAGEREF _Toc56146056 \h </w:instrText>
            </w:r>
            <w:r w:rsidR="00CE5053">
              <w:rPr>
                <w:noProof/>
                <w:webHidden/>
              </w:rPr>
            </w:r>
            <w:r w:rsidR="00CE5053">
              <w:rPr>
                <w:noProof/>
                <w:webHidden/>
              </w:rPr>
              <w:fldChar w:fldCharType="separate"/>
            </w:r>
            <w:r w:rsidR="00CE5053">
              <w:rPr>
                <w:noProof/>
                <w:webHidden/>
              </w:rPr>
              <w:t>82</w:t>
            </w:r>
            <w:r w:rsidR="00CE5053">
              <w:rPr>
                <w:noProof/>
                <w:webHidden/>
              </w:rPr>
              <w:fldChar w:fldCharType="end"/>
            </w:r>
          </w:hyperlink>
        </w:p>
        <w:p w14:paraId="561E9433" w14:textId="77777777" w:rsidR="00CE5053" w:rsidRDefault="0080349E" w:rsidP="00CE5053">
          <w:pPr>
            <w:pStyle w:val="TOC3"/>
            <w:tabs>
              <w:tab w:val="right" w:pos="9016"/>
            </w:tabs>
            <w:rPr>
              <w:rFonts w:eastAsiaTheme="minorEastAsia"/>
              <w:noProof/>
              <w:lang w:eastAsia="en-GB"/>
            </w:rPr>
          </w:pPr>
          <w:hyperlink w:anchor="_Toc56146057" w:history="1">
            <w:r w:rsidR="00CE5053" w:rsidRPr="00646936">
              <w:rPr>
                <w:rStyle w:val="Hyperlink"/>
                <w:noProof/>
              </w:rPr>
              <w:t>Strategic infrastructure list for digital infrastructure</w:t>
            </w:r>
            <w:r w:rsidR="00CE5053">
              <w:rPr>
                <w:noProof/>
                <w:webHidden/>
              </w:rPr>
              <w:tab/>
            </w:r>
            <w:r w:rsidR="00CE5053">
              <w:rPr>
                <w:noProof/>
                <w:webHidden/>
              </w:rPr>
              <w:fldChar w:fldCharType="begin"/>
            </w:r>
            <w:r w:rsidR="00CE5053">
              <w:rPr>
                <w:noProof/>
                <w:webHidden/>
              </w:rPr>
              <w:instrText xml:space="preserve"> PAGEREF _Toc56146057 \h </w:instrText>
            </w:r>
            <w:r w:rsidR="00CE5053">
              <w:rPr>
                <w:noProof/>
                <w:webHidden/>
              </w:rPr>
            </w:r>
            <w:r w:rsidR="00CE5053">
              <w:rPr>
                <w:noProof/>
                <w:webHidden/>
              </w:rPr>
              <w:fldChar w:fldCharType="separate"/>
            </w:r>
            <w:r w:rsidR="00CE5053">
              <w:rPr>
                <w:noProof/>
                <w:webHidden/>
              </w:rPr>
              <w:t>85</w:t>
            </w:r>
            <w:r w:rsidR="00CE5053">
              <w:rPr>
                <w:noProof/>
                <w:webHidden/>
              </w:rPr>
              <w:fldChar w:fldCharType="end"/>
            </w:r>
          </w:hyperlink>
        </w:p>
        <w:p w14:paraId="6E283A46" w14:textId="77777777" w:rsidR="00CE5053" w:rsidRDefault="0080349E" w:rsidP="00CE5053">
          <w:pPr>
            <w:pStyle w:val="TOC1"/>
            <w:tabs>
              <w:tab w:val="right" w:pos="9016"/>
            </w:tabs>
            <w:rPr>
              <w:rFonts w:eastAsiaTheme="minorEastAsia"/>
              <w:b w:val="0"/>
              <w:noProof/>
              <w:lang w:eastAsia="en-GB"/>
            </w:rPr>
          </w:pPr>
          <w:hyperlink w:anchor="_Toc56146058" w:history="1">
            <w:r w:rsidR="00CE5053" w:rsidRPr="00646936">
              <w:rPr>
                <w:rStyle w:val="Hyperlink"/>
                <w:noProof/>
              </w:rPr>
              <w:t>Appendix A – References</w:t>
            </w:r>
            <w:r w:rsidR="00CE5053">
              <w:rPr>
                <w:noProof/>
                <w:webHidden/>
              </w:rPr>
              <w:tab/>
            </w:r>
            <w:r w:rsidR="00CE5053">
              <w:rPr>
                <w:noProof/>
                <w:webHidden/>
              </w:rPr>
              <w:fldChar w:fldCharType="begin"/>
            </w:r>
            <w:r w:rsidR="00CE5053">
              <w:rPr>
                <w:noProof/>
                <w:webHidden/>
              </w:rPr>
              <w:instrText xml:space="preserve"> PAGEREF _Toc56146058 \h </w:instrText>
            </w:r>
            <w:r w:rsidR="00CE5053">
              <w:rPr>
                <w:noProof/>
                <w:webHidden/>
              </w:rPr>
            </w:r>
            <w:r w:rsidR="00CE5053">
              <w:rPr>
                <w:noProof/>
                <w:webHidden/>
              </w:rPr>
              <w:fldChar w:fldCharType="separate"/>
            </w:r>
            <w:r w:rsidR="00CE5053">
              <w:rPr>
                <w:noProof/>
                <w:webHidden/>
              </w:rPr>
              <w:t>86</w:t>
            </w:r>
            <w:r w:rsidR="00CE5053">
              <w:rPr>
                <w:noProof/>
                <w:webHidden/>
              </w:rPr>
              <w:fldChar w:fldCharType="end"/>
            </w:r>
          </w:hyperlink>
        </w:p>
        <w:p w14:paraId="52E56223" w14:textId="77777777" w:rsidR="00411931" w:rsidRDefault="00411931" w:rsidP="00CE5053">
          <w:r w:rsidRPr="00411931">
            <w:rPr>
              <w:rFonts w:cs="Arial"/>
              <w:b/>
              <w:bCs/>
              <w:noProof/>
              <w:sz w:val="24"/>
            </w:rPr>
            <w:fldChar w:fldCharType="end"/>
          </w:r>
        </w:p>
      </w:sdtContent>
    </w:sdt>
    <w:p w14:paraId="07547A01" w14:textId="77777777" w:rsidR="00411931" w:rsidRDefault="00411931" w:rsidP="00CE5053">
      <w:pPr>
        <w:rPr>
          <w:rFonts w:cs="Arial"/>
        </w:rPr>
        <w:sectPr w:rsidR="00411931" w:rsidSect="007B10F6">
          <w:pgSz w:w="11906" w:h="16838"/>
          <w:pgMar w:top="1440" w:right="1440" w:bottom="1440" w:left="1440" w:header="708" w:footer="708" w:gutter="0"/>
          <w:pgBorders w:offsetFrom="page">
            <w:top w:val="single" w:sz="4" w:space="24" w:color="FFFFFF" w:themeColor="background1"/>
            <w:bottom w:val="single" w:sz="4" w:space="24" w:color="FFFFFF" w:themeColor="background1"/>
          </w:pgBorders>
          <w:pgNumType w:fmt="lowerRoman"/>
          <w:cols w:space="708"/>
          <w:docGrid w:linePitch="360"/>
        </w:sectPr>
      </w:pPr>
      <w:r>
        <w:rPr>
          <w:rFonts w:cs="Arial"/>
        </w:rPr>
        <w:br w:type="page"/>
      </w:r>
    </w:p>
    <w:p w14:paraId="3E7A9F1C" w14:textId="77777777" w:rsidR="00411931" w:rsidRPr="00942DDE" w:rsidRDefault="00411931" w:rsidP="00CE5053">
      <w:pPr>
        <w:pStyle w:val="Heading1"/>
        <w:ind w:left="737" w:hanging="737"/>
      </w:pPr>
      <w:bookmarkStart w:id="0" w:name="_Toc56146000"/>
      <w:r>
        <w:lastRenderedPageBreak/>
        <w:t>Introduction</w:t>
      </w:r>
      <w:bookmarkEnd w:id="0"/>
    </w:p>
    <w:p w14:paraId="2E0A6F91" w14:textId="77777777" w:rsidR="00DF60C7" w:rsidRPr="003E0835" w:rsidRDefault="00DF60C7" w:rsidP="00CE5053">
      <w:pPr>
        <w:tabs>
          <w:tab w:val="left" w:pos="720"/>
          <w:tab w:val="left" w:pos="1440"/>
          <w:tab w:val="left" w:pos="2160"/>
          <w:tab w:val="left" w:pos="2713"/>
          <w:tab w:val="left" w:pos="3349"/>
        </w:tabs>
        <w:spacing w:after="120"/>
        <w:ind w:left="737" w:hanging="737"/>
        <w:rPr>
          <w:b/>
          <w:color w:val="333399"/>
          <w:szCs w:val="19"/>
        </w:rPr>
      </w:pPr>
      <w:bookmarkStart w:id="1" w:name="_Hlk3925036"/>
      <w:r w:rsidRPr="003E0835">
        <w:rPr>
          <w:b/>
          <w:color w:val="333399"/>
          <w:szCs w:val="19"/>
        </w:rPr>
        <w:tab/>
      </w:r>
      <w:r w:rsidRPr="00161816">
        <w:rPr>
          <w:b/>
        </w:rPr>
        <w:t>Background</w:t>
      </w:r>
      <w:r w:rsidR="00161816">
        <w:rPr>
          <w:b/>
          <w:color w:val="333399"/>
          <w:szCs w:val="19"/>
        </w:rPr>
        <w:tab/>
      </w:r>
    </w:p>
    <w:bookmarkEnd w:id="1"/>
    <w:p w14:paraId="1EEC689F" w14:textId="11986939" w:rsidR="00A107A1" w:rsidRDefault="00DF60C7" w:rsidP="00CE5053">
      <w:pPr>
        <w:pStyle w:val="ListParagraph"/>
        <w:numPr>
          <w:ilvl w:val="1"/>
          <w:numId w:val="13"/>
        </w:numPr>
        <w:spacing w:after="240"/>
        <w:ind w:left="737" w:hanging="737"/>
        <w:contextualSpacing w:val="0"/>
      </w:pPr>
      <w:r w:rsidRPr="00595E96">
        <w:t>Lewisham</w:t>
      </w:r>
      <w:r w:rsidR="00CE5053">
        <w:t xml:space="preserve"> Council</w:t>
      </w:r>
      <w:r w:rsidRPr="00595E96">
        <w:t xml:space="preserve"> (</w:t>
      </w:r>
      <w:r w:rsidR="00CE5053">
        <w:t>“</w:t>
      </w:r>
      <w:r w:rsidRPr="00595E96">
        <w:t xml:space="preserve">the </w:t>
      </w:r>
      <w:r w:rsidR="00C465B9" w:rsidRPr="00595E96">
        <w:t>Council</w:t>
      </w:r>
      <w:r w:rsidR="00CE5053">
        <w:t>”</w:t>
      </w:r>
      <w:r w:rsidRPr="00595E96">
        <w:t xml:space="preserve">) is in the process of producing a new Local Plan that will help guide future growth and developments in the borough over the next 20 years (from </w:t>
      </w:r>
      <w:r w:rsidR="00C465B9" w:rsidRPr="00595E96">
        <w:t xml:space="preserve">2020 </w:t>
      </w:r>
      <w:r w:rsidRPr="00595E96">
        <w:t xml:space="preserve">to 2040).  </w:t>
      </w:r>
      <w:r w:rsidR="00C465B9" w:rsidRPr="00595E96">
        <w:t xml:space="preserve">The </w:t>
      </w:r>
      <w:r w:rsidRPr="00595E96">
        <w:t>Infrastructure Delivery Plan (IDP) forms part of the evidence base for the new Local Plan, and has been produced as a</w:t>
      </w:r>
      <w:r w:rsidR="007549B1">
        <w:t>n evidence based</w:t>
      </w:r>
      <w:r w:rsidRPr="00595E96">
        <w:t xml:space="preserve"> document to </w:t>
      </w:r>
      <w:r w:rsidR="007549B1">
        <w:t>support the Lewisham</w:t>
      </w:r>
      <w:r w:rsidRPr="00595E96">
        <w:t xml:space="preserve"> Local Plan</w:t>
      </w:r>
      <w:r w:rsidR="00CE5053">
        <w:t>:</w:t>
      </w:r>
      <w:r w:rsidR="007549B1">
        <w:t xml:space="preserve"> ‘</w:t>
      </w:r>
      <w:r w:rsidR="00CE5053">
        <w:t xml:space="preserve">Main Issues and </w:t>
      </w:r>
      <w:r w:rsidR="007549B1">
        <w:t>Preferred Approach</w:t>
      </w:r>
      <w:r w:rsidR="00CE5053">
        <w:t>es</w:t>
      </w:r>
      <w:r w:rsidR="007549B1">
        <w:t xml:space="preserve">’ </w:t>
      </w:r>
      <w:r w:rsidR="00CE5053">
        <w:t>(</w:t>
      </w:r>
      <w:r w:rsidR="007549B1">
        <w:t>Regulation 18</w:t>
      </w:r>
      <w:r w:rsidR="00CE5053">
        <w:t>)</w:t>
      </w:r>
      <w:r w:rsidR="007549B1">
        <w:t xml:space="preserve"> document</w:t>
      </w:r>
      <w:r w:rsidR="00CE5053">
        <w:t xml:space="preserve"> (“draft Local Plan”)</w:t>
      </w:r>
      <w:r w:rsidRPr="00595E96">
        <w:t>.</w:t>
      </w:r>
    </w:p>
    <w:p w14:paraId="6F465151" w14:textId="77777777" w:rsidR="00DF60C7" w:rsidRPr="00595E96" w:rsidRDefault="00DF60C7" w:rsidP="00CE5053">
      <w:pPr>
        <w:pStyle w:val="ListParagraph"/>
        <w:numPr>
          <w:ilvl w:val="1"/>
          <w:numId w:val="13"/>
        </w:numPr>
        <w:spacing w:after="240"/>
        <w:ind w:left="737" w:hanging="737"/>
        <w:contextualSpacing w:val="0"/>
      </w:pPr>
      <w:r>
        <w:t>The London Plan include</w:t>
      </w:r>
      <w:r w:rsidR="00C465B9">
        <w:t>s</w:t>
      </w:r>
      <w:r>
        <w:t xml:space="preserve"> </w:t>
      </w:r>
      <w:r w:rsidR="005F5AF5">
        <w:t>requirement</w:t>
      </w:r>
      <w:r w:rsidR="007549B1">
        <w:t>s</w:t>
      </w:r>
      <w:r>
        <w:t xml:space="preserve"> for boroughs to assess the capacity of physical, environmental and social infrastructure to support growth, and to plan for the necessary infrastructure and improvements to capacity in the borough’s infrastructure delivery plans and programmes</w:t>
      </w:r>
      <w:r w:rsidR="004F785C">
        <w:t>.</w:t>
      </w:r>
      <w:r>
        <w:t xml:space="preserve"> Th</w:t>
      </w:r>
      <w:r w:rsidR="007549B1">
        <w:t>is</w:t>
      </w:r>
      <w:r>
        <w:t xml:space="preserve"> IDP seeks to provide details on the key</w:t>
      </w:r>
      <w:r w:rsidR="004F785C">
        <w:t xml:space="preserve"> strategic</w:t>
      </w:r>
      <w:r>
        <w:t xml:space="preserve"> infrastructure </w:t>
      </w:r>
      <w:r w:rsidR="005F5AF5">
        <w:t>requirement</w:t>
      </w:r>
      <w:r>
        <w:t xml:space="preserve"> identified for the new</w:t>
      </w:r>
      <w:r w:rsidR="007549B1">
        <w:t xml:space="preserve"> draft </w:t>
      </w:r>
      <w:r>
        <w:t xml:space="preserve">Local Plan. </w:t>
      </w:r>
      <w:r w:rsidR="00E93040">
        <w:t xml:space="preserve">It does not capture all the infrastructure </w:t>
      </w:r>
      <w:r w:rsidR="005F5AF5">
        <w:t>requirement</w:t>
      </w:r>
      <w:r w:rsidR="00F412DE">
        <w:t xml:space="preserve"> over the plan period;</w:t>
      </w:r>
      <w:r w:rsidR="00E93040">
        <w:t xml:space="preserve"> rather it focuses on strategic matters that underpin the delivery of the Local Plan. The Council will be undertaking </w:t>
      </w:r>
      <w:r w:rsidR="00F412DE">
        <w:t>further</w:t>
      </w:r>
      <w:r w:rsidR="00E93040">
        <w:t xml:space="preserve"> infrastructure planning in relation to the spending of S106 and CIL, and </w:t>
      </w:r>
      <w:r w:rsidR="00F412DE">
        <w:t>will continue to w</w:t>
      </w:r>
      <w:r w:rsidR="00E93040">
        <w:t xml:space="preserve">ork with residents, businesses, Neighbourhood Forums and other community groups and associations, </w:t>
      </w:r>
      <w:r w:rsidR="00952BC4">
        <w:t xml:space="preserve">to plan for the delivery of other supporting infrastructure that </w:t>
      </w:r>
      <w:r w:rsidR="00F412DE">
        <w:t>is not been covered in this</w:t>
      </w:r>
      <w:r w:rsidR="00952BC4">
        <w:t xml:space="preserve"> IDP.</w:t>
      </w:r>
      <w:r w:rsidR="00F412DE">
        <w:t xml:space="preserve"> </w:t>
      </w:r>
      <w:r w:rsidR="00952BC4">
        <w:t xml:space="preserve"> </w:t>
      </w:r>
    </w:p>
    <w:p w14:paraId="22F4E2D6" w14:textId="2220E0E4" w:rsidR="00DF60C7" w:rsidRPr="00595E96" w:rsidRDefault="00BF04C0" w:rsidP="00CE5053">
      <w:pPr>
        <w:pStyle w:val="ListParagraph"/>
        <w:numPr>
          <w:ilvl w:val="1"/>
          <w:numId w:val="13"/>
        </w:numPr>
        <w:spacing w:after="240"/>
        <w:ind w:left="737" w:hanging="737"/>
        <w:contextualSpacing w:val="0"/>
      </w:pPr>
      <w:r>
        <w:t>The majority of w</w:t>
      </w:r>
      <w:r w:rsidR="00DF60C7" w:rsidRPr="00595E96">
        <w:t xml:space="preserve">ork on the council’s infrastructure planning evidence took place between </w:t>
      </w:r>
      <w:r w:rsidR="00102014" w:rsidRPr="00595E96">
        <w:t xml:space="preserve">quarter four of </w:t>
      </w:r>
      <w:r w:rsidR="00DF60C7" w:rsidRPr="00595E96">
        <w:t xml:space="preserve">2018 and </w:t>
      </w:r>
      <w:r w:rsidR="00102014" w:rsidRPr="00595E96">
        <w:t>quarter four of 2</w:t>
      </w:r>
      <w:r w:rsidR="00DF60C7" w:rsidRPr="00595E96">
        <w:t xml:space="preserve">019, </w:t>
      </w:r>
      <w:r w:rsidR="00C465B9" w:rsidRPr="00595E96">
        <w:t xml:space="preserve">and is </w:t>
      </w:r>
      <w:r w:rsidR="00DF60C7" w:rsidRPr="00595E96">
        <w:t xml:space="preserve">informed by </w:t>
      </w:r>
      <w:r w:rsidR="00C465B9" w:rsidRPr="00595E96">
        <w:t xml:space="preserve">the </w:t>
      </w:r>
      <w:r w:rsidR="00DF60C7" w:rsidRPr="00595E96">
        <w:t xml:space="preserve">latest </w:t>
      </w:r>
      <w:r w:rsidR="00C465B9" w:rsidRPr="00595E96">
        <w:t xml:space="preserve">available </w:t>
      </w:r>
      <w:r w:rsidR="00DF60C7" w:rsidRPr="00595E96">
        <w:t xml:space="preserve">studies, </w:t>
      </w:r>
      <w:r w:rsidR="00C465B9" w:rsidRPr="00595E96">
        <w:t xml:space="preserve">Council </w:t>
      </w:r>
      <w:r w:rsidR="00DF60C7" w:rsidRPr="00595E96">
        <w:t xml:space="preserve">service strategies, and </w:t>
      </w:r>
      <w:r w:rsidR="00C465B9" w:rsidRPr="00595E96">
        <w:t xml:space="preserve">feedback </w:t>
      </w:r>
      <w:r w:rsidR="00DF60C7" w:rsidRPr="00595E96">
        <w:t>from infrastructure providers</w:t>
      </w:r>
      <w:r>
        <w:t xml:space="preserve"> and delivery partners</w:t>
      </w:r>
      <w:r w:rsidR="00DF60C7" w:rsidRPr="00595E96">
        <w:t xml:space="preserve">.  </w:t>
      </w:r>
      <w:r w:rsidR="007549B1">
        <w:t xml:space="preserve">This </w:t>
      </w:r>
      <w:r w:rsidR="00DF60C7" w:rsidRPr="00595E96">
        <w:t xml:space="preserve">IDP is a </w:t>
      </w:r>
      <w:r w:rsidR="00102014" w:rsidRPr="00595E96">
        <w:t>‘</w:t>
      </w:r>
      <w:r w:rsidR="00DF60C7" w:rsidRPr="00595E96">
        <w:t>live document</w:t>
      </w:r>
      <w:r w:rsidR="00102014" w:rsidRPr="00595E96">
        <w:t>’</w:t>
      </w:r>
      <w:r w:rsidR="00C465B9" w:rsidRPr="00595E96">
        <w:t>,</w:t>
      </w:r>
      <w:r w:rsidR="00DF60C7" w:rsidRPr="00595E96">
        <w:t xml:space="preserve"> and </w:t>
      </w:r>
      <w:r w:rsidR="004F785C" w:rsidRPr="00595E96">
        <w:t>as such</w:t>
      </w:r>
      <w:r w:rsidR="00DF60C7" w:rsidRPr="00595E96">
        <w:t xml:space="preserve"> capture</w:t>
      </w:r>
      <w:r w:rsidR="004F785C" w:rsidRPr="00595E96">
        <w:t>s</w:t>
      </w:r>
      <w:r w:rsidR="00DF60C7" w:rsidRPr="00595E96">
        <w:t xml:space="preserve"> </w:t>
      </w:r>
      <w:r w:rsidR="00C465B9" w:rsidRPr="00595E96">
        <w:t xml:space="preserve">the infrastructure need based on the best </w:t>
      </w:r>
      <w:r w:rsidR="00DF60C7" w:rsidRPr="00595E96">
        <w:t xml:space="preserve">information available at the time of writing. </w:t>
      </w:r>
      <w:r w:rsidR="004F785C" w:rsidRPr="00595E96">
        <w:t>As such, i</w:t>
      </w:r>
      <w:r w:rsidR="00DF60C7" w:rsidRPr="00595E96">
        <w:t>nformation included in this document</w:t>
      </w:r>
      <w:r w:rsidR="004F785C" w:rsidRPr="00595E96">
        <w:t xml:space="preserve">, </w:t>
      </w:r>
      <w:r w:rsidR="00DF60C7" w:rsidRPr="00595E96">
        <w:t xml:space="preserve">including assumptions on infrastructure </w:t>
      </w:r>
      <w:r w:rsidR="005F5AF5">
        <w:t>requirement</w:t>
      </w:r>
      <w:r w:rsidR="004F785C" w:rsidRPr="00595E96">
        <w:t>,</w:t>
      </w:r>
      <w:r w:rsidR="00DF60C7" w:rsidRPr="00595E96">
        <w:t xml:space="preserve"> may be subject to </w:t>
      </w:r>
      <w:r>
        <w:t>periodic review and updating</w:t>
      </w:r>
      <w:r w:rsidR="00A7488D" w:rsidRPr="00595E96">
        <w:t>. As strategic infrastructure priorities are likely to change</w:t>
      </w:r>
      <w:r w:rsidR="00EA77ED" w:rsidRPr="00595E96">
        <w:t xml:space="preserve"> over time</w:t>
      </w:r>
      <w:r w:rsidR="00A7488D" w:rsidRPr="00595E96">
        <w:t>, i</w:t>
      </w:r>
      <w:r w:rsidR="00C465B9" w:rsidRPr="00595E96">
        <w:t xml:space="preserve">t is Council’s intention to </w:t>
      </w:r>
      <w:r w:rsidR="00A7488D" w:rsidRPr="00595E96">
        <w:t xml:space="preserve">provide annual updates to the IDP in conjunction with the Infrastructure </w:t>
      </w:r>
      <w:r w:rsidR="00B46C13" w:rsidRPr="00595E96">
        <w:t>Funding</w:t>
      </w:r>
      <w:r w:rsidR="00A7488D" w:rsidRPr="00595E96">
        <w:t xml:space="preserve"> Statement</w:t>
      </w:r>
      <w:r>
        <w:t xml:space="preserve"> and/on Authority Monitoring Report (AMR)</w:t>
      </w:r>
      <w:r w:rsidR="00EA77ED" w:rsidRPr="00595E96">
        <w:t>.</w:t>
      </w:r>
      <w:r w:rsidR="00F412DE" w:rsidRPr="00595E96">
        <w:t xml:space="preserve"> </w:t>
      </w:r>
    </w:p>
    <w:p w14:paraId="58C19BA8" w14:textId="77777777" w:rsidR="00DF60C7" w:rsidRPr="00161816" w:rsidRDefault="00DF60C7" w:rsidP="00CE5053">
      <w:pPr>
        <w:tabs>
          <w:tab w:val="left" w:pos="720"/>
          <w:tab w:val="left" w:pos="1440"/>
          <w:tab w:val="left" w:pos="2160"/>
          <w:tab w:val="left" w:pos="2713"/>
          <w:tab w:val="left" w:pos="3349"/>
        </w:tabs>
        <w:spacing w:after="120"/>
        <w:ind w:left="720" w:hanging="720"/>
        <w:rPr>
          <w:b/>
        </w:rPr>
      </w:pPr>
      <w:r w:rsidRPr="00161816">
        <w:rPr>
          <w:b/>
        </w:rPr>
        <w:tab/>
        <w:t xml:space="preserve">Aim </w:t>
      </w:r>
      <w:r w:rsidR="00102014" w:rsidRPr="00161816">
        <w:rPr>
          <w:b/>
        </w:rPr>
        <w:t>and S</w:t>
      </w:r>
      <w:r w:rsidRPr="00161816">
        <w:rPr>
          <w:b/>
        </w:rPr>
        <w:t>cope</w:t>
      </w:r>
    </w:p>
    <w:p w14:paraId="20A20A94" w14:textId="77777777" w:rsidR="00DF60C7" w:rsidRPr="00595E96" w:rsidRDefault="00DF60C7" w:rsidP="00CE5053">
      <w:pPr>
        <w:pStyle w:val="ListParagraph"/>
        <w:numPr>
          <w:ilvl w:val="1"/>
          <w:numId w:val="13"/>
        </w:numPr>
        <w:spacing w:after="240"/>
        <w:ind w:left="737" w:hanging="737"/>
        <w:contextualSpacing w:val="0"/>
      </w:pPr>
      <w:r w:rsidRPr="00595E96">
        <w:t xml:space="preserve">The aim of this IDP is to support the </w:t>
      </w:r>
      <w:r w:rsidR="004F785C" w:rsidRPr="00595E96">
        <w:t>C</w:t>
      </w:r>
      <w:r w:rsidRPr="00595E96">
        <w:t xml:space="preserve">ouncil’s </w:t>
      </w:r>
      <w:r w:rsidR="004F785C" w:rsidRPr="00595E96">
        <w:t xml:space="preserve">strategic </w:t>
      </w:r>
      <w:r w:rsidRPr="00595E96">
        <w:t xml:space="preserve">infrastructure planning activities and to provide a joined-up approach to the planning of </w:t>
      </w:r>
      <w:r w:rsidR="004F785C" w:rsidRPr="00595E96">
        <w:t xml:space="preserve">strategic </w:t>
      </w:r>
      <w:r w:rsidRPr="00595E96">
        <w:t>infrastructure for the new Local Plan. Infrastructure planning is often complex</w:t>
      </w:r>
      <w:r w:rsidR="00321543" w:rsidRPr="00595E96">
        <w:t>,</w:t>
      </w:r>
      <w:r w:rsidRPr="00595E96">
        <w:t xml:space="preserve"> involving a wide range of organisations and bodies operating at different geographical levels and working to different timescales and delivery objectives. The IDP supports the </w:t>
      </w:r>
      <w:r w:rsidR="004F785C" w:rsidRPr="00595E96">
        <w:t>C</w:t>
      </w:r>
      <w:r w:rsidRPr="00595E96">
        <w:t xml:space="preserve">ouncil’s Local Plan process by bringing together </w:t>
      </w:r>
      <w:r w:rsidR="00102014" w:rsidRPr="00595E96">
        <w:t xml:space="preserve">relevant </w:t>
      </w:r>
      <w:r w:rsidRPr="00595E96">
        <w:t xml:space="preserve">information and </w:t>
      </w:r>
      <w:r w:rsidR="00102014" w:rsidRPr="00595E96">
        <w:t xml:space="preserve">by clearly </w:t>
      </w:r>
      <w:r w:rsidRPr="00595E96">
        <w:t xml:space="preserve">identifying the key </w:t>
      </w:r>
      <w:r w:rsidR="004F785C" w:rsidRPr="00595E96">
        <w:t xml:space="preserve">strategic </w:t>
      </w:r>
      <w:r w:rsidRPr="00595E96">
        <w:t xml:space="preserve">infrastructure </w:t>
      </w:r>
      <w:r w:rsidR="005F5AF5">
        <w:t>requirement</w:t>
      </w:r>
      <w:r w:rsidRPr="00595E96">
        <w:t xml:space="preserve"> to support growth in the area, as well as arrangements for delivery.</w:t>
      </w:r>
    </w:p>
    <w:p w14:paraId="25CC5608" w14:textId="77777777" w:rsidR="00DF60C7" w:rsidRPr="00595E96" w:rsidRDefault="00DF60C7" w:rsidP="00CE5053">
      <w:pPr>
        <w:pStyle w:val="ListParagraph"/>
        <w:numPr>
          <w:ilvl w:val="1"/>
          <w:numId w:val="13"/>
        </w:numPr>
        <w:spacing w:after="240"/>
        <w:ind w:left="737" w:hanging="737"/>
        <w:contextualSpacing w:val="0"/>
      </w:pPr>
      <w:r w:rsidRPr="00595E96">
        <w:t xml:space="preserve">The main output from the IDP work is an updated Infrastructure Delivery Schedule (IDS) – a list of the </w:t>
      </w:r>
      <w:r w:rsidR="00E93040" w:rsidRPr="00595E96">
        <w:t xml:space="preserve">strategic </w:t>
      </w:r>
      <w:r w:rsidRPr="00595E96">
        <w:t xml:space="preserve">infrastructure </w:t>
      </w:r>
      <w:r w:rsidR="005F5AF5">
        <w:t>requirement</w:t>
      </w:r>
      <w:r w:rsidRPr="00595E96">
        <w:t xml:space="preserve"> that have been identified or committed by infrastructure providers to support the delivery of the Local Plan.  The IDS will seek to capture the following information:</w:t>
      </w:r>
    </w:p>
    <w:p w14:paraId="603A3BB9" w14:textId="77777777" w:rsidR="00DF60C7" w:rsidRPr="00595E96" w:rsidRDefault="00DF60C7" w:rsidP="00CE5053">
      <w:pPr>
        <w:pStyle w:val="ListParagraph"/>
        <w:numPr>
          <w:ilvl w:val="0"/>
          <w:numId w:val="2"/>
        </w:numPr>
      </w:pPr>
      <w:r w:rsidRPr="00595E96">
        <w:t>What the infrastructure proposal or project entail</w:t>
      </w:r>
      <w:r w:rsidR="00102014" w:rsidRPr="00595E96">
        <w:t>s</w:t>
      </w:r>
      <w:r w:rsidR="00296A3F">
        <w:t>;</w:t>
      </w:r>
    </w:p>
    <w:p w14:paraId="2E1CEBE5" w14:textId="77777777" w:rsidR="00DF60C7" w:rsidRPr="00595E96" w:rsidRDefault="00DF60C7" w:rsidP="00CE5053">
      <w:pPr>
        <w:pStyle w:val="ListParagraph"/>
        <w:numPr>
          <w:ilvl w:val="0"/>
          <w:numId w:val="2"/>
        </w:numPr>
      </w:pPr>
      <w:r w:rsidRPr="00595E96">
        <w:t>The lead organisation responsible for its delivery</w:t>
      </w:r>
      <w:r w:rsidR="00296A3F">
        <w:t>;</w:t>
      </w:r>
    </w:p>
    <w:p w14:paraId="7904AEC3" w14:textId="77777777" w:rsidR="00DF60C7" w:rsidRPr="00595E96" w:rsidRDefault="00DF60C7" w:rsidP="00CE5053">
      <w:pPr>
        <w:pStyle w:val="ListParagraph"/>
        <w:numPr>
          <w:ilvl w:val="0"/>
          <w:numId w:val="2"/>
        </w:numPr>
      </w:pPr>
      <w:r w:rsidRPr="00595E96">
        <w:t>The location(s) identified for the infrastructure proposal or project</w:t>
      </w:r>
      <w:r w:rsidR="00296A3F">
        <w:t>;</w:t>
      </w:r>
    </w:p>
    <w:p w14:paraId="19EC704F" w14:textId="77777777" w:rsidR="00DF60C7" w:rsidRPr="00595E96" w:rsidRDefault="00DF60C7" w:rsidP="00CE5053">
      <w:pPr>
        <w:pStyle w:val="ListParagraph"/>
        <w:numPr>
          <w:ilvl w:val="0"/>
          <w:numId w:val="2"/>
        </w:numPr>
      </w:pPr>
      <w:r w:rsidRPr="00595E96">
        <w:t>The expected timescale for delivery (with regards to the Local Plan)</w:t>
      </w:r>
      <w:r w:rsidR="00296A3F">
        <w:t>; and</w:t>
      </w:r>
    </w:p>
    <w:p w14:paraId="0363B0E9" w14:textId="77777777" w:rsidR="00DF60C7" w:rsidRPr="00595E96" w:rsidRDefault="00DF60C7" w:rsidP="00CE5053">
      <w:pPr>
        <w:pStyle w:val="ListParagraph"/>
        <w:numPr>
          <w:ilvl w:val="0"/>
          <w:numId w:val="2"/>
        </w:numPr>
        <w:ind w:left="1451" w:hanging="357"/>
        <w:contextualSpacing w:val="0"/>
      </w:pPr>
      <w:r w:rsidRPr="00595E96">
        <w:lastRenderedPageBreak/>
        <w:t>The estimated cost/funding requirement for its delivery</w:t>
      </w:r>
    </w:p>
    <w:p w14:paraId="0FCBE020" w14:textId="77777777" w:rsidR="00DF60C7" w:rsidRPr="00595E96" w:rsidRDefault="00102014" w:rsidP="00CE5053">
      <w:pPr>
        <w:pStyle w:val="ListParagraph"/>
        <w:numPr>
          <w:ilvl w:val="1"/>
          <w:numId w:val="13"/>
        </w:numPr>
        <w:spacing w:after="240"/>
        <w:ind w:left="737" w:hanging="737"/>
        <w:contextualSpacing w:val="0"/>
      </w:pPr>
      <w:r w:rsidRPr="00595E96">
        <w:t>T</w:t>
      </w:r>
      <w:r w:rsidR="00DF60C7" w:rsidRPr="00595E96">
        <w:t xml:space="preserve">he IDS will be further developed with infrastructure providers and other stakeholders to refine the information included and ensure key </w:t>
      </w:r>
      <w:r w:rsidR="00E93040" w:rsidRPr="00595E96">
        <w:t xml:space="preserve">strategic </w:t>
      </w:r>
      <w:r w:rsidR="00DF60C7" w:rsidRPr="00595E96">
        <w:t xml:space="preserve">infrastructure </w:t>
      </w:r>
      <w:r w:rsidR="005F5AF5">
        <w:t>requirement</w:t>
      </w:r>
      <w:r w:rsidR="00DF60C7" w:rsidRPr="00595E96">
        <w:t xml:space="preserve"> are identified and planned for in the Local Plan. The IDS will also provide evidence for the preparation of the </w:t>
      </w:r>
      <w:r w:rsidRPr="00595E96">
        <w:t>C</w:t>
      </w:r>
      <w:r w:rsidR="00DF60C7" w:rsidRPr="00595E96">
        <w:t>ouncil’s Infrastructure Funding Statement (which will be published annually, setting out how developer contributions will be prioritised alongside other funding sources to support infrastructure delivery).</w:t>
      </w:r>
    </w:p>
    <w:p w14:paraId="5FB0008C" w14:textId="77777777" w:rsidR="00DF60C7" w:rsidRPr="00595E96" w:rsidRDefault="00DF60C7" w:rsidP="00CE5053">
      <w:pPr>
        <w:pStyle w:val="ListParagraph"/>
        <w:numPr>
          <w:ilvl w:val="1"/>
          <w:numId w:val="13"/>
        </w:numPr>
        <w:spacing w:after="240"/>
        <w:ind w:left="737" w:hanging="737"/>
        <w:contextualSpacing w:val="0"/>
      </w:pPr>
      <w:r w:rsidRPr="00595E96">
        <w:t xml:space="preserve">This IDP will also inform the preparation and development of the </w:t>
      </w:r>
      <w:r w:rsidR="00E93040" w:rsidRPr="00595E96">
        <w:t>C</w:t>
      </w:r>
      <w:r w:rsidRPr="00595E96">
        <w:t xml:space="preserve">ouncil’s Statement of Common Ground (SoCG) documents, which will highlight the relevant strategic cross-boundary infrastructure issues for the area, and set out how the </w:t>
      </w:r>
      <w:r w:rsidR="00E93040" w:rsidRPr="00595E96">
        <w:t>C</w:t>
      </w:r>
      <w:r w:rsidRPr="00595E96">
        <w:t xml:space="preserve">ouncil has engaged with infrastructure providers and strategic partners on any strategic planning issues, and the outcomes from joint-working activities. </w:t>
      </w:r>
    </w:p>
    <w:p w14:paraId="6D4B90C1" w14:textId="77777777" w:rsidR="00DF60C7" w:rsidRPr="00595E96" w:rsidRDefault="00DF60C7" w:rsidP="00CE5053">
      <w:pPr>
        <w:pStyle w:val="ListParagraph"/>
        <w:numPr>
          <w:ilvl w:val="1"/>
          <w:numId w:val="13"/>
        </w:numPr>
        <w:spacing w:after="240"/>
        <w:ind w:left="737" w:hanging="737"/>
        <w:contextualSpacing w:val="0"/>
      </w:pPr>
      <w:r>
        <w:t xml:space="preserve">Parallel to this IDP, the </w:t>
      </w:r>
      <w:r w:rsidR="00102014">
        <w:t>C</w:t>
      </w:r>
      <w:r>
        <w:t>ouncil is also progressing a number of area-based master</w:t>
      </w:r>
      <w:r w:rsidR="00933D82">
        <w:t xml:space="preserve"> </w:t>
      </w:r>
      <w:r>
        <w:t>plans and supporting neighbourhood plan</w:t>
      </w:r>
      <w:r w:rsidR="00933D82">
        <w:t>ning</w:t>
      </w:r>
      <w:r>
        <w:t xml:space="preserve"> across the borough to ensure local infrastructure </w:t>
      </w:r>
      <w:r w:rsidR="005F5AF5">
        <w:t>requirement</w:t>
      </w:r>
      <w:r w:rsidR="0A3E2E58">
        <w:t>s</w:t>
      </w:r>
      <w:r>
        <w:t xml:space="preserve"> are considered in an inclusive way.  Where appropriate, infrastructure proposals and projects identified through relevant area-based strategies and community-led plans have been reflected in this IDP.</w:t>
      </w:r>
    </w:p>
    <w:p w14:paraId="24512A86" w14:textId="77777777" w:rsidR="00DF60C7" w:rsidRPr="00161816" w:rsidRDefault="00DF60C7" w:rsidP="00CE5053">
      <w:pPr>
        <w:tabs>
          <w:tab w:val="left" w:pos="720"/>
          <w:tab w:val="left" w:pos="1440"/>
          <w:tab w:val="left" w:pos="2160"/>
          <w:tab w:val="left" w:pos="2713"/>
          <w:tab w:val="left" w:pos="3349"/>
        </w:tabs>
        <w:spacing w:after="120"/>
        <w:ind w:left="720" w:hanging="720"/>
        <w:rPr>
          <w:b/>
        </w:rPr>
      </w:pPr>
      <w:r w:rsidRPr="00161816">
        <w:rPr>
          <w:b/>
        </w:rPr>
        <w:tab/>
        <w:t>Relationship with previous IDPs</w:t>
      </w:r>
    </w:p>
    <w:p w14:paraId="61A176C1" w14:textId="77777777" w:rsidR="005944AA" w:rsidRDefault="00A107A1" w:rsidP="00CE5053">
      <w:pPr>
        <w:pStyle w:val="ListParagraph"/>
        <w:numPr>
          <w:ilvl w:val="1"/>
          <w:numId w:val="13"/>
        </w:numPr>
        <w:spacing w:after="240"/>
        <w:ind w:left="737" w:hanging="737"/>
        <w:contextualSpacing w:val="0"/>
      </w:pPr>
      <w:r>
        <w:t>W</w:t>
      </w:r>
      <w:r w:rsidR="00DF60C7">
        <w:t xml:space="preserve">here appropriate, this IDP </w:t>
      </w:r>
      <w:r w:rsidR="00102014">
        <w:t xml:space="preserve">has </w:t>
      </w:r>
      <w:r w:rsidR="00DF60C7">
        <w:t>buil</w:t>
      </w:r>
      <w:r w:rsidR="00883D35">
        <w:t>t</w:t>
      </w:r>
      <w:r w:rsidR="00DF60C7">
        <w:t xml:space="preserve"> upon the information gathered through other infrastructure planning evidence </w:t>
      </w:r>
      <w:r w:rsidR="00883D35">
        <w:t xml:space="preserve">bases </w:t>
      </w:r>
      <w:r w:rsidR="00DF60C7">
        <w:t>and</w:t>
      </w:r>
      <w:r w:rsidR="00883D35">
        <w:t xml:space="preserve"> discussion</w:t>
      </w:r>
      <w:r w:rsidR="00DF60C7">
        <w:t>s</w:t>
      </w:r>
      <w:r w:rsidR="00883D35">
        <w:t>. This</w:t>
      </w:r>
      <w:r w:rsidR="00DF60C7">
        <w:t xml:space="preserve"> includ</w:t>
      </w:r>
      <w:r w:rsidR="00883D35">
        <w:t>es</w:t>
      </w:r>
      <w:r w:rsidR="00DF60C7">
        <w:t xml:space="preserve"> the </w:t>
      </w:r>
      <w:r w:rsidR="00883D35">
        <w:t xml:space="preserve">previous IDP </w:t>
      </w:r>
      <w:r w:rsidR="0001528E">
        <w:t xml:space="preserve">that was published in August 2010 to support the submission version of the Lewisham Core Strategy (October 2010), which was updated in the form of the </w:t>
      </w:r>
      <w:r w:rsidR="00DF60C7">
        <w:t>IDP Framework Document</w:t>
      </w:r>
      <w:r w:rsidR="0001528E">
        <w:t xml:space="preserve"> in 2015 to </w:t>
      </w:r>
      <w:r w:rsidR="00DF60C7">
        <w:t>support</w:t>
      </w:r>
      <w:r w:rsidR="0001528E">
        <w:t xml:space="preserve"> a</w:t>
      </w:r>
      <w:r w:rsidR="00102014">
        <w:t xml:space="preserve"> previous</w:t>
      </w:r>
      <w:r w:rsidR="00DF60C7">
        <w:t xml:space="preserve"> Regulation 18 </w:t>
      </w:r>
      <w:r w:rsidR="00102014">
        <w:t xml:space="preserve">Local Plan </w:t>
      </w:r>
      <w:r w:rsidR="00DF60C7">
        <w:t>public consultation</w:t>
      </w:r>
      <w:r w:rsidR="0001528E">
        <w:t>. In preparing th</w:t>
      </w:r>
      <w:r w:rsidR="1D50AC4A">
        <w:t>e</w:t>
      </w:r>
      <w:r w:rsidR="0001528E">
        <w:t xml:space="preserve"> current IDP the Council has also</w:t>
      </w:r>
      <w:r w:rsidR="00102014">
        <w:t xml:space="preserve"> </w:t>
      </w:r>
      <w:r w:rsidR="0001528E">
        <w:t xml:space="preserve">drawn on work undertaken on the </w:t>
      </w:r>
      <w:r w:rsidR="00DF60C7">
        <w:t xml:space="preserve">Draft Infrastructure Delivery Schedule that supported the </w:t>
      </w:r>
      <w:r w:rsidR="00102014">
        <w:t>C</w:t>
      </w:r>
      <w:r w:rsidR="00DF60C7">
        <w:t>ouncil’s CIL Preliminary Draft Charging Schedule consultation</w:t>
      </w:r>
      <w:r w:rsidR="00102014">
        <w:t xml:space="preserve"> in 2019</w:t>
      </w:r>
      <w:r w:rsidR="0001528E">
        <w:t>, working with key infrastructure providers and delivery partners</w:t>
      </w:r>
      <w:r w:rsidR="00DF60C7">
        <w:t xml:space="preserve">. </w:t>
      </w:r>
    </w:p>
    <w:p w14:paraId="220B5A0D" w14:textId="77777777" w:rsidR="00DF60C7" w:rsidRPr="00161816" w:rsidRDefault="00DF60C7" w:rsidP="00CE5053">
      <w:pPr>
        <w:tabs>
          <w:tab w:val="left" w:pos="720"/>
          <w:tab w:val="left" w:pos="1440"/>
          <w:tab w:val="left" w:pos="2160"/>
          <w:tab w:val="left" w:pos="2713"/>
          <w:tab w:val="left" w:pos="3349"/>
        </w:tabs>
        <w:spacing w:after="120"/>
        <w:ind w:left="720" w:hanging="720"/>
        <w:rPr>
          <w:b/>
        </w:rPr>
      </w:pPr>
      <w:r w:rsidRPr="00161816">
        <w:rPr>
          <w:b/>
        </w:rPr>
        <w:tab/>
        <w:t>Overall approach to this IDP</w:t>
      </w:r>
    </w:p>
    <w:p w14:paraId="2851C0E5" w14:textId="77777777" w:rsidR="00DF60C7" w:rsidRPr="00595E96" w:rsidRDefault="00DF60C7" w:rsidP="00CE5053">
      <w:pPr>
        <w:pStyle w:val="ListParagraph"/>
        <w:numPr>
          <w:ilvl w:val="1"/>
          <w:numId w:val="13"/>
        </w:numPr>
        <w:spacing w:after="240"/>
        <w:ind w:left="737" w:hanging="737"/>
        <w:contextualSpacing w:val="0"/>
      </w:pPr>
      <w:r w:rsidRPr="00595E96">
        <w:t>The production of this IDP takes into account government’s latest planning framework and practice guidance on plan-making (</w:t>
      </w:r>
      <w:r w:rsidR="00F63DB7" w:rsidRPr="00595E96">
        <w:t xml:space="preserve">regarding </w:t>
      </w:r>
      <w:r w:rsidRPr="00595E96">
        <w:t xml:space="preserve">evidence base and strategic matters), relevant </w:t>
      </w:r>
      <w:r w:rsidR="005F5AF5">
        <w:t>requirement</w:t>
      </w:r>
      <w:r w:rsidRPr="00595E96">
        <w:t xml:space="preserve"> set out in the </w:t>
      </w:r>
      <w:r w:rsidRPr="006A7981">
        <w:t>Draft New London Plan</w:t>
      </w:r>
      <w:r w:rsidR="00002937" w:rsidRPr="00595E96">
        <w:t>,</w:t>
      </w:r>
      <w:r w:rsidRPr="00595E96">
        <w:t xml:space="preserve"> and guidance provided in adopted Supplementary Planning Guidance documents</w:t>
      </w:r>
      <w:r w:rsidR="00002937" w:rsidRPr="00595E96">
        <w:t>.</w:t>
      </w:r>
    </w:p>
    <w:p w14:paraId="4272273B" w14:textId="77777777" w:rsidR="005944AA" w:rsidRDefault="00DF60C7" w:rsidP="00CE5053">
      <w:pPr>
        <w:pStyle w:val="ListParagraph"/>
        <w:numPr>
          <w:ilvl w:val="1"/>
          <w:numId w:val="13"/>
        </w:numPr>
        <w:spacing w:after="240"/>
        <w:ind w:left="737" w:hanging="737"/>
        <w:contextualSpacing w:val="0"/>
      </w:pPr>
      <w:r w:rsidRPr="00595E96">
        <w:t>The overall approach to this IDP is set out below</w:t>
      </w:r>
      <w:r w:rsidR="000F7F0C" w:rsidRPr="00595E96">
        <w:t xml:space="preserve">. The IDP </w:t>
      </w:r>
      <w:r w:rsidR="00F63DB7" w:rsidRPr="00595E96">
        <w:t>has been prepared based o</w:t>
      </w:r>
      <w:r w:rsidR="00A107A1">
        <w:t>n information and input</w:t>
      </w:r>
      <w:r w:rsidR="00F63DB7" w:rsidRPr="00595E96">
        <w:t xml:space="preserve"> available from infrastructure providers at the time</w:t>
      </w:r>
      <w:r w:rsidRPr="00595E96">
        <w:t>. The preparation of this IDP has two broad stages, with each stage including a number of key tasks</w:t>
      </w:r>
      <w:r w:rsidR="00F63DB7" w:rsidRPr="00595E96">
        <w:t>:</w:t>
      </w:r>
    </w:p>
    <w:p w14:paraId="0B035B95" w14:textId="77777777" w:rsidR="00DF60C7" w:rsidRPr="00595E96" w:rsidRDefault="00DF60C7" w:rsidP="00CE5053">
      <w:pPr>
        <w:ind w:left="720" w:hanging="720"/>
        <w:rPr>
          <w:u w:val="single"/>
        </w:rPr>
      </w:pPr>
      <w:bookmarkStart w:id="2" w:name="_Hlk14350597"/>
      <w:r w:rsidRPr="00595E96">
        <w:tab/>
      </w:r>
      <w:r w:rsidRPr="00595E96">
        <w:rPr>
          <w:u w:val="single"/>
        </w:rPr>
        <w:t xml:space="preserve">Stage </w:t>
      </w:r>
      <w:r w:rsidR="00A107A1">
        <w:rPr>
          <w:u w:val="single"/>
        </w:rPr>
        <w:t>1</w:t>
      </w:r>
      <w:r w:rsidRPr="00595E96">
        <w:rPr>
          <w:u w:val="single"/>
        </w:rPr>
        <w:t>: Information gathering and initial review</w:t>
      </w:r>
    </w:p>
    <w:bookmarkEnd w:id="2"/>
    <w:p w14:paraId="2BCCCC32" w14:textId="77777777" w:rsidR="00DF60C7" w:rsidRPr="00595E96" w:rsidRDefault="00DF60C7" w:rsidP="00CE5053">
      <w:pPr>
        <w:pStyle w:val="ListParagraph"/>
        <w:numPr>
          <w:ilvl w:val="1"/>
          <w:numId w:val="13"/>
        </w:numPr>
        <w:spacing w:after="240"/>
        <w:ind w:left="737" w:hanging="737"/>
        <w:contextualSpacing w:val="0"/>
      </w:pPr>
      <w:r w:rsidRPr="00595E96">
        <w:t xml:space="preserve">The first stage of the IDP was primarily a desktop review of available information and data relating to the planning and delivery of </w:t>
      </w:r>
      <w:r w:rsidR="00E93040" w:rsidRPr="00595E96">
        <w:t xml:space="preserve">strategic </w:t>
      </w:r>
      <w:r w:rsidRPr="00595E96">
        <w:t xml:space="preserve">infrastructure in the area, including a review of relevant policy </w:t>
      </w:r>
      <w:r w:rsidR="005F5AF5">
        <w:t>requirement</w:t>
      </w:r>
      <w:r w:rsidRPr="00595E96">
        <w:t>, existing delivery plans and relevant service strategies. Infrastructure providers were also engaged to discuss any potential issues and key considerations that may need to be taken into account when planning for infrastructure in the area, including any additional requirement for evidence/technical studies as part of the evidence for the new Local Plan.</w:t>
      </w:r>
    </w:p>
    <w:p w14:paraId="0FE6C10B" w14:textId="77777777" w:rsidR="00DF60C7" w:rsidRPr="00595E96" w:rsidRDefault="00DF60C7" w:rsidP="00CE5053">
      <w:pPr>
        <w:pStyle w:val="ListParagraph"/>
        <w:numPr>
          <w:ilvl w:val="1"/>
          <w:numId w:val="13"/>
        </w:numPr>
        <w:spacing w:after="240"/>
        <w:ind w:left="737" w:hanging="737"/>
        <w:contextualSpacing w:val="0"/>
      </w:pPr>
      <w:r w:rsidRPr="00595E96">
        <w:lastRenderedPageBreak/>
        <w:t>It should be noted that in most instances infrastructure providers have their own processes and arrangements for infrastructure planning in the area. To support the infrastructure planning process, where relevant, information on potential development locations and projected population growth were made available to infrastructure providers.</w:t>
      </w:r>
    </w:p>
    <w:p w14:paraId="646729E2" w14:textId="77777777" w:rsidR="00DF60C7" w:rsidRPr="00595E96" w:rsidRDefault="00DF60C7" w:rsidP="00CE5053">
      <w:pPr>
        <w:ind w:left="720" w:hanging="720"/>
        <w:rPr>
          <w:u w:val="single"/>
        </w:rPr>
      </w:pPr>
      <w:r w:rsidRPr="00595E96">
        <w:tab/>
      </w:r>
      <w:r w:rsidRPr="00595E96">
        <w:rPr>
          <w:u w:val="single"/>
        </w:rPr>
        <w:t xml:space="preserve">Stage </w:t>
      </w:r>
      <w:r w:rsidR="00A107A1">
        <w:rPr>
          <w:u w:val="single"/>
        </w:rPr>
        <w:t>2</w:t>
      </w:r>
      <w:r w:rsidRPr="00595E96">
        <w:rPr>
          <w:u w:val="single"/>
        </w:rPr>
        <w:t xml:space="preserve">: Further engagement and identification of specific infrastructure </w:t>
      </w:r>
      <w:r w:rsidR="005F5AF5">
        <w:rPr>
          <w:u w:val="single"/>
        </w:rPr>
        <w:t>requirement</w:t>
      </w:r>
    </w:p>
    <w:p w14:paraId="529BAD29" w14:textId="77777777" w:rsidR="00DF60C7" w:rsidRPr="00595E96" w:rsidRDefault="00DF60C7" w:rsidP="00CE5053">
      <w:pPr>
        <w:pStyle w:val="ListParagraph"/>
        <w:numPr>
          <w:ilvl w:val="1"/>
          <w:numId w:val="13"/>
        </w:numPr>
        <w:spacing w:after="240"/>
        <w:ind w:left="737" w:hanging="737"/>
        <w:contextualSpacing w:val="0"/>
      </w:pPr>
      <w:r w:rsidRPr="00595E96">
        <w:t>The second stage of the IDP involve</w:t>
      </w:r>
      <w:r w:rsidR="00E93040" w:rsidRPr="00595E96">
        <w:t>d</w:t>
      </w:r>
      <w:r w:rsidRPr="00595E96">
        <w:t xml:space="preserve"> working with infrastructure providers and other key stakeholders to refine the information gathered in Stage </w:t>
      </w:r>
      <w:r w:rsidR="00A107A1">
        <w:t>1</w:t>
      </w:r>
      <w:r w:rsidRPr="00595E96">
        <w:t xml:space="preserve"> and to agree on the specific </w:t>
      </w:r>
      <w:r w:rsidR="005F5AF5">
        <w:t>requirement</w:t>
      </w:r>
      <w:r w:rsidRPr="00595E96">
        <w:t xml:space="preserve"> for the Local Plan</w:t>
      </w:r>
      <w:r w:rsidR="00E93040" w:rsidRPr="00595E96">
        <w:t xml:space="preserve">, </w:t>
      </w:r>
      <w:r w:rsidRPr="00595E96">
        <w:t>including land required for safeguarding, policy implications, latest funding arrangements</w:t>
      </w:r>
      <w:r w:rsidR="00E93040" w:rsidRPr="00595E96">
        <w:t>,</w:t>
      </w:r>
      <w:r w:rsidRPr="00595E96">
        <w:t xml:space="preserve"> and the total funding gap expected.</w:t>
      </w:r>
    </w:p>
    <w:p w14:paraId="28C4E2FA" w14:textId="77777777" w:rsidR="00DF60C7" w:rsidRPr="00595E96" w:rsidRDefault="00DF60C7" w:rsidP="00CE5053">
      <w:pPr>
        <w:pStyle w:val="ListParagraph"/>
        <w:numPr>
          <w:ilvl w:val="1"/>
          <w:numId w:val="13"/>
        </w:numPr>
        <w:spacing w:after="240"/>
        <w:ind w:left="737" w:hanging="737"/>
        <w:contextualSpacing w:val="0"/>
      </w:pPr>
      <w:r w:rsidRPr="00595E96">
        <w:t xml:space="preserve">Neighbouring planning authorities </w:t>
      </w:r>
      <w:r w:rsidR="00A107A1">
        <w:t>were</w:t>
      </w:r>
      <w:r w:rsidR="00E93040" w:rsidRPr="00595E96">
        <w:t xml:space="preserve"> </w:t>
      </w:r>
      <w:r w:rsidRPr="00595E96">
        <w:t>also engaged to discuss key findings and assumptions at this stage, and identify any cross-boundary dependencies that may exist in the local area, and how these may be best addressed.</w:t>
      </w:r>
      <w:r w:rsidR="00A107A1">
        <w:t xml:space="preserve"> These issues w</w:t>
      </w:r>
      <w:r w:rsidR="006A7981">
        <w:t xml:space="preserve">ere primarily discussed </w:t>
      </w:r>
      <w:r w:rsidR="00A107A1" w:rsidRPr="006A7981">
        <w:t>through the South East London Duty to Cooperate forum.</w:t>
      </w:r>
    </w:p>
    <w:p w14:paraId="3221212C" w14:textId="77777777" w:rsidR="00DF60C7" w:rsidRDefault="00DF60C7" w:rsidP="00CE5053">
      <w:pPr>
        <w:pStyle w:val="ListParagraph"/>
        <w:numPr>
          <w:ilvl w:val="1"/>
          <w:numId w:val="13"/>
        </w:numPr>
        <w:spacing w:after="240"/>
        <w:ind w:left="737" w:hanging="737"/>
        <w:contextualSpacing w:val="0"/>
      </w:pPr>
      <w:r w:rsidRPr="00595E96">
        <w:t xml:space="preserve">Where relevant, the </w:t>
      </w:r>
      <w:r w:rsidR="00B06F7D" w:rsidRPr="00595E96">
        <w:t>C</w:t>
      </w:r>
      <w:r w:rsidRPr="00595E96">
        <w:t>ouncil will undertake further work to identify any key risks for infrastructure delivery, their potential implications</w:t>
      </w:r>
      <w:r w:rsidR="00E93040" w:rsidRPr="00595E96">
        <w:t>,</w:t>
      </w:r>
      <w:r w:rsidRPr="00595E96">
        <w:t xml:space="preserve"> and reach common ground with infrastructure providers on the contingencies and alternative arrangement that will need to be in place or planned for in the new Local Plan. Further work will also be undertaken with infrastructure providers and landowners to understand opportunities for the provision of new infrastructure alongside proposed new developments, and </w:t>
      </w:r>
      <w:r w:rsidR="00E93040" w:rsidRPr="00595E96">
        <w:t xml:space="preserve">the </w:t>
      </w:r>
      <w:r w:rsidRPr="00595E96">
        <w:t>potential for the co-location of new infrastructure with existing facilities and uses.</w:t>
      </w:r>
    </w:p>
    <w:p w14:paraId="4AA832E7" w14:textId="77777777" w:rsidR="004F77BE" w:rsidRDefault="004F77BE" w:rsidP="00CE5053">
      <w:pPr>
        <w:pStyle w:val="ListParagraph"/>
        <w:numPr>
          <w:ilvl w:val="1"/>
          <w:numId w:val="13"/>
        </w:numPr>
        <w:spacing w:after="240"/>
        <w:ind w:left="737" w:hanging="737"/>
        <w:contextualSpacing w:val="0"/>
      </w:pPr>
      <w:r>
        <w:t xml:space="preserve">This document is intended to act as a ‘living document’, with the intention that the IDP will be updated on a periodic basis to reflect the changing prioritisation, or delivery, of infrastructure in the borough as Lewisham’s communities grow. </w:t>
      </w:r>
    </w:p>
    <w:p w14:paraId="5BF77AC5" w14:textId="77777777" w:rsidR="008D6D87" w:rsidRPr="0057143A" w:rsidRDefault="008D6D87" w:rsidP="00CE5053">
      <w:pPr>
        <w:tabs>
          <w:tab w:val="left" w:pos="720"/>
          <w:tab w:val="left" w:pos="1440"/>
          <w:tab w:val="left" w:pos="2160"/>
          <w:tab w:val="left" w:pos="2713"/>
          <w:tab w:val="left" w:pos="3349"/>
        </w:tabs>
        <w:spacing w:after="120"/>
        <w:ind w:left="720"/>
        <w:rPr>
          <w:b/>
        </w:rPr>
      </w:pPr>
      <w:r w:rsidRPr="0057143A">
        <w:rPr>
          <w:b/>
        </w:rPr>
        <w:t>Infrastructure covered by this study</w:t>
      </w:r>
    </w:p>
    <w:p w14:paraId="247B0F40" w14:textId="77777777" w:rsidR="008D6D87" w:rsidRDefault="008D6D87" w:rsidP="00CE5053">
      <w:pPr>
        <w:pStyle w:val="ListParagraph"/>
        <w:numPr>
          <w:ilvl w:val="1"/>
          <w:numId w:val="13"/>
        </w:numPr>
        <w:spacing w:after="240"/>
        <w:ind w:left="737" w:hanging="737"/>
        <w:contextualSpacing w:val="0"/>
      </w:pPr>
      <w:r>
        <w:t>The IDP outlines the strategic infrastructure need of the following i</w:t>
      </w:r>
      <w:r w:rsidRPr="00595E96">
        <w:t xml:space="preserve">nfrastructure </w:t>
      </w:r>
      <w:r w:rsidR="006A7981">
        <w:t xml:space="preserve">asset </w:t>
      </w:r>
      <w:r>
        <w:t>classes:</w:t>
      </w:r>
    </w:p>
    <w:tbl>
      <w:tblPr>
        <w:tblStyle w:val="ListTable3-Accent32"/>
        <w:tblW w:w="3174" w:type="pct"/>
        <w:jc w:val="center"/>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Infrastructure catagories"/>
      </w:tblPr>
      <w:tblGrid>
        <w:gridCol w:w="2763"/>
        <w:gridCol w:w="3421"/>
      </w:tblGrid>
      <w:tr w:rsidR="008D6D87" w:rsidRPr="00324C84" w14:paraId="01C90370"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FFFFFF" w:themeColor="background1"/>
              <w:left w:val="single" w:sz="4" w:space="0" w:color="FFFFFF" w:themeColor="background1"/>
              <w:bottom w:val="single" w:sz="4" w:space="0" w:color="FFFFFF" w:themeColor="background1"/>
            </w:tcBorders>
            <w:shd w:val="clear" w:color="auto" w:fill="002060"/>
          </w:tcPr>
          <w:p w14:paraId="6F19417A" w14:textId="77777777" w:rsidR="008D6D87" w:rsidRPr="00324C84" w:rsidRDefault="008D6D87" w:rsidP="00CE5053">
            <w:pPr>
              <w:tabs>
                <w:tab w:val="center" w:pos="3056"/>
                <w:tab w:val="left" w:pos="4975"/>
              </w:tabs>
              <w:spacing w:before="40" w:after="40"/>
              <w:rPr>
                <w:bCs w:val="0"/>
                <w:sz w:val="20"/>
                <w:szCs w:val="16"/>
              </w:rPr>
            </w:pPr>
            <w:r w:rsidRPr="00595E96">
              <w:tab/>
            </w:r>
            <w:r w:rsidRPr="00324C84">
              <w:rPr>
                <w:sz w:val="20"/>
                <w:szCs w:val="16"/>
              </w:rPr>
              <w:t>Infrastructure categories</w:t>
            </w:r>
            <w:r w:rsidRPr="00324C84">
              <w:rPr>
                <w:sz w:val="20"/>
                <w:szCs w:val="16"/>
              </w:rPr>
              <w:tab/>
            </w:r>
          </w:p>
        </w:tc>
      </w:tr>
      <w:tr w:rsidR="008D6D87" w:rsidRPr="00324C84" w14:paraId="64195502" w14:textId="77777777" w:rsidTr="00087A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4" w:type="pct"/>
            <w:vMerge w:val="restart"/>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57CF5C1F" w14:textId="77777777" w:rsidR="008D6D87" w:rsidRPr="00324C84" w:rsidRDefault="008D6D87" w:rsidP="00CE5053">
            <w:pPr>
              <w:spacing w:before="40" w:after="40"/>
              <w:rPr>
                <w:sz w:val="20"/>
                <w:szCs w:val="20"/>
              </w:rPr>
            </w:pPr>
            <w:r>
              <w:rPr>
                <w:sz w:val="20"/>
                <w:szCs w:val="20"/>
              </w:rPr>
              <w:t>Social infrastructure</w:t>
            </w: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531A847C" w14:textId="77777777" w:rsidR="008D6D87" w:rsidRPr="00324C84" w:rsidRDefault="008D6D87"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Education and childcare</w:t>
            </w:r>
          </w:p>
        </w:tc>
      </w:tr>
      <w:tr w:rsidR="006A7981" w:rsidRPr="00324C84" w14:paraId="2E3A6E61" w14:textId="77777777" w:rsidTr="00087ACD">
        <w:trPr>
          <w:jc w:val="center"/>
        </w:trPr>
        <w:tc>
          <w:tcPr>
            <w:cnfStyle w:val="001000000000" w:firstRow="0" w:lastRow="0" w:firstColumn="1" w:lastColumn="0" w:oddVBand="0" w:evenVBand="0" w:oddHBand="0" w:evenHBand="0" w:firstRowFirstColumn="0" w:firstRowLastColumn="0" w:lastRowFirstColumn="0" w:lastRowLastColumn="0"/>
            <w:tcW w:w="2234" w:type="pct"/>
            <w:vMerge/>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5043CB0F" w14:textId="77777777" w:rsidR="006A7981" w:rsidRDefault="006A7981" w:rsidP="00CE5053">
            <w:pPr>
              <w:spacing w:before="40" w:after="40"/>
              <w:rPr>
                <w:sz w:val="20"/>
                <w:szCs w:val="20"/>
              </w:rPr>
            </w:pP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2005AE94" w14:textId="77777777" w:rsidR="006A7981" w:rsidRDefault="006A798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Health and care</w:t>
            </w:r>
          </w:p>
        </w:tc>
      </w:tr>
      <w:tr w:rsidR="008D6D87" w:rsidRPr="00324C84" w14:paraId="309C4CCA" w14:textId="77777777" w:rsidTr="00087A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4" w:type="pct"/>
            <w:vMerge/>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07459315" w14:textId="77777777" w:rsidR="008D6D87" w:rsidRDefault="008D6D87" w:rsidP="00CE5053">
            <w:pPr>
              <w:spacing w:before="40" w:after="40"/>
              <w:rPr>
                <w:sz w:val="20"/>
                <w:szCs w:val="20"/>
              </w:rPr>
            </w:pP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29259DC2" w14:textId="77777777" w:rsidR="008D6D87" w:rsidRDefault="006A798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Libraries, Archives and Local History Services</w:t>
            </w:r>
          </w:p>
        </w:tc>
      </w:tr>
      <w:tr w:rsidR="008D6D87" w:rsidRPr="00324C84" w14:paraId="6B4B0D68" w14:textId="77777777" w:rsidTr="00087ACD">
        <w:trPr>
          <w:jc w:val="center"/>
        </w:trPr>
        <w:tc>
          <w:tcPr>
            <w:cnfStyle w:val="001000000000" w:firstRow="0" w:lastRow="0" w:firstColumn="1" w:lastColumn="0" w:oddVBand="0" w:evenVBand="0" w:oddHBand="0" w:evenHBand="0" w:firstRowFirstColumn="0" w:firstRowLastColumn="0" w:lastRowFirstColumn="0" w:lastRowLastColumn="0"/>
            <w:tcW w:w="2234" w:type="pct"/>
            <w:vMerge/>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6537F28F" w14:textId="77777777" w:rsidR="008D6D87" w:rsidRDefault="008D6D87" w:rsidP="00CE5053">
            <w:pPr>
              <w:spacing w:before="40" w:after="40"/>
              <w:rPr>
                <w:sz w:val="20"/>
                <w:szCs w:val="20"/>
              </w:rPr>
            </w:pP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2285F252" w14:textId="77777777" w:rsidR="008D6D87" w:rsidRPr="00324C84" w:rsidRDefault="006A798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Sports and recreation</w:t>
            </w:r>
          </w:p>
        </w:tc>
      </w:tr>
      <w:tr w:rsidR="006A7981" w:rsidRPr="00324C84" w14:paraId="04110424" w14:textId="77777777" w:rsidTr="00087ACD">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2234" w:type="pct"/>
            <w:vMerge/>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6DFB9E20" w14:textId="77777777" w:rsidR="006A7981" w:rsidRDefault="006A7981" w:rsidP="00CE5053">
            <w:pPr>
              <w:spacing w:before="40" w:after="40"/>
              <w:rPr>
                <w:sz w:val="20"/>
                <w:szCs w:val="20"/>
              </w:rPr>
            </w:pP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5BFE09E7" w14:textId="77777777" w:rsidR="006A7981" w:rsidRDefault="006A798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Youth and Community</w:t>
            </w:r>
          </w:p>
        </w:tc>
      </w:tr>
      <w:tr w:rsidR="008D6D87" w:rsidRPr="00324C84" w14:paraId="1366C915" w14:textId="77777777" w:rsidTr="00087ACD">
        <w:trPr>
          <w:jc w:val="center"/>
        </w:trPr>
        <w:tc>
          <w:tcPr>
            <w:cnfStyle w:val="001000000000" w:firstRow="0" w:lastRow="0" w:firstColumn="1" w:lastColumn="0" w:oddVBand="0" w:evenVBand="0" w:oddHBand="0" w:evenHBand="0" w:firstRowFirstColumn="0" w:firstRowLastColumn="0" w:lastRowFirstColumn="0" w:lastRowLastColumn="0"/>
            <w:tcW w:w="2234" w:type="pct"/>
            <w:vMerge w:val="restart"/>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22FD0D3F" w14:textId="77777777" w:rsidR="008D6D87" w:rsidRPr="00324C84" w:rsidRDefault="008D6D87" w:rsidP="00CE5053">
            <w:pPr>
              <w:spacing w:before="40" w:after="40"/>
              <w:rPr>
                <w:sz w:val="20"/>
                <w:szCs w:val="20"/>
              </w:rPr>
            </w:pPr>
            <w:r>
              <w:rPr>
                <w:sz w:val="20"/>
                <w:szCs w:val="20"/>
              </w:rPr>
              <w:t>Green infrastructure</w:t>
            </w: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107F116C" w14:textId="77777777" w:rsidR="008D6D87" w:rsidRPr="00324C84" w:rsidRDefault="006A798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Parks and open space</w:t>
            </w:r>
          </w:p>
        </w:tc>
      </w:tr>
      <w:tr w:rsidR="008D6D87" w:rsidRPr="00324C84" w14:paraId="666913E1" w14:textId="77777777" w:rsidTr="00087A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4" w:type="pct"/>
            <w:vMerge/>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70DF9E56" w14:textId="77777777" w:rsidR="008D6D87" w:rsidRDefault="008D6D87" w:rsidP="00CE5053">
            <w:pPr>
              <w:spacing w:before="40" w:after="40"/>
              <w:rPr>
                <w:sz w:val="20"/>
                <w:szCs w:val="20"/>
              </w:rPr>
            </w:pP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5C210AF4" w14:textId="77777777" w:rsidR="008D6D87" w:rsidRPr="00324C84" w:rsidRDefault="008D6D87"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Biodiversity corridors</w:t>
            </w:r>
          </w:p>
        </w:tc>
      </w:tr>
      <w:tr w:rsidR="00087ACD" w:rsidRPr="00324C84" w14:paraId="532070D3" w14:textId="77777777" w:rsidTr="00087ACD">
        <w:trPr>
          <w:jc w:val="center"/>
        </w:trPr>
        <w:tc>
          <w:tcPr>
            <w:cnfStyle w:val="001000000000" w:firstRow="0" w:lastRow="0" w:firstColumn="1" w:lastColumn="0" w:oddVBand="0" w:evenVBand="0" w:oddHBand="0" w:evenHBand="0" w:firstRowFirstColumn="0" w:firstRowLastColumn="0" w:lastRowFirstColumn="0" w:lastRowLastColumn="0"/>
            <w:tcW w:w="2234" w:type="pct"/>
            <w:vMerge/>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44E871BC" w14:textId="77777777" w:rsidR="00087ACD" w:rsidRDefault="00087ACD" w:rsidP="00CE5053">
            <w:pPr>
              <w:spacing w:before="40" w:after="40"/>
              <w:rPr>
                <w:sz w:val="20"/>
                <w:szCs w:val="20"/>
              </w:rPr>
            </w:pP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4AC305F9" w14:textId="77777777" w:rsidR="00087ACD" w:rsidRDefault="00087ACD"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Allotments</w:t>
            </w:r>
          </w:p>
        </w:tc>
      </w:tr>
      <w:tr w:rsidR="008D6D87" w:rsidRPr="00324C84" w14:paraId="0DFEAE2C" w14:textId="77777777" w:rsidTr="00087A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4" w:type="pct"/>
            <w:vMerge/>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144A5D23" w14:textId="77777777" w:rsidR="008D6D87" w:rsidRDefault="008D6D87" w:rsidP="00CE5053">
            <w:pPr>
              <w:spacing w:before="40" w:after="40"/>
              <w:rPr>
                <w:sz w:val="20"/>
                <w:szCs w:val="20"/>
              </w:rPr>
            </w:pP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16BCBCC3" w14:textId="77777777" w:rsidR="008D6D87" w:rsidRPr="00324C84" w:rsidRDefault="00087ACD"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Cemeteries and burial space</w:t>
            </w:r>
          </w:p>
        </w:tc>
      </w:tr>
      <w:tr w:rsidR="00087ACD" w:rsidRPr="00324C84" w14:paraId="2BA3BAD3" w14:textId="77777777" w:rsidTr="00F301F0">
        <w:trPr>
          <w:jc w:val="center"/>
        </w:trPr>
        <w:tc>
          <w:tcPr>
            <w:cnfStyle w:val="001000000000" w:firstRow="0" w:lastRow="0" w:firstColumn="1" w:lastColumn="0" w:oddVBand="0" w:evenVBand="0" w:oddHBand="0" w:evenHBand="0" w:firstRowFirstColumn="0" w:firstRowLastColumn="0" w:lastRowFirstColumn="0" w:lastRowLastColumn="0"/>
            <w:tcW w:w="2234" w:type="pct"/>
            <w:vMerge w:val="restart"/>
            <w:tcBorders>
              <w:top w:val="single" w:sz="4" w:space="0" w:color="FFFFFF" w:themeColor="background1"/>
              <w:left w:val="nil"/>
              <w:right w:val="single" w:sz="4" w:space="0" w:color="FFFFFF" w:themeColor="background1"/>
            </w:tcBorders>
            <w:shd w:val="clear" w:color="auto" w:fill="F2F2F2" w:themeFill="background1" w:themeFillShade="F2"/>
            <w:vAlign w:val="center"/>
          </w:tcPr>
          <w:p w14:paraId="215BA92F" w14:textId="77777777" w:rsidR="00087ACD" w:rsidRPr="00087ACD" w:rsidRDefault="00087ACD" w:rsidP="00CE5053">
            <w:pPr>
              <w:spacing w:before="40" w:after="40"/>
              <w:rPr>
                <w:b w:val="0"/>
                <w:bCs w:val="0"/>
                <w:sz w:val="20"/>
                <w:szCs w:val="20"/>
              </w:rPr>
            </w:pPr>
            <w:r>
              <w:rPr>
                <w:sz w:val="20"/>
                <w:szCs w:val="20"/>
              </w:rPr>
              <w:t>Transport infrastructure</w:t>
            </w: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391E2A2A" w14:textId="77777777" w:rsidR="00087ACD" w:rsidRPr="00324C84" w:rsidRDefault="00087ACD"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Regional and sub-regional transport</w:t>
            </w:r>
          </w:p>
        </w:tc>
      </w:tr>
      <w:tr w:rsidR="00087ACD" w:rsidRPr="00324C84" w14:paraId="1395FF43" w14:textId="77777777" w:rsidTr="00F301F0">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2234" w:type="pct"/>
            <w:vMerge/>
            <w:tcBorders>
              <w:left w:val="nil"/>
              <w:bottom w:val="single" w:sz="4" w:space="0" w:color="FFFFFF" w:themeColor="background1"/>
              <w:right w:val="single" w:sz="4" w:space="0" w:color="FFFFFF" w:themeColor="background1"/>
            </w:tcBorders>
            <w:shd w:val="clear" w:color="auto" w:fill="F2F2F2" w:themeFill="background1" w:themeFillShade="F2"/>
            <w:vAlign w:val="center"/>
          </w:tcPr>
          <w:p w14:paraId="738610EB" w14:textId="77777777" w:rsidR="00087ACD" w:rsidRDefault="00087ACD" w:rsidP="00CE5053">
            <w:pPr>
              <w:spacing w:before="40" w:after="40"/>
              <w:rPr>
                <w:sz w:val="20"/>
                <w:szCs w:val="20"/>
              </w:rPr>
            </w:pP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2F63C7FB" w14:textId="77777777" w:rsidR="00087ACD" w:rsidRPr="00324C84" w:rsidRDefault="00087ACD"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Local transport</w:t>
            </w:r>
          </w:p>
        </w:tc>
      </w:tr>
      <w:tr w:rsidR="008D6D87" w:rsidRPr="00324C84" w14:paraId="0222AE84" w14:textId="77777777" w:rsidTr="00087ACD">
        <w:trPr>
          <w:jc w:val="center"/>
        </w:trPr>
        <w:tc>
          <w:tcPr>
            <w:cnfStyle w:val="001000000000" w:firstRow="0" w:lastRow="0" w:firstColumn="1" w:lastColumn="0" w:oddVBand="0" w:evenVBand="0" w:oddHBand="0" w:evenHBand="0" w:firstRowFirstColumn="0" w:firstRowLastColumn="0" w:lastRowFirstColumn="0" w:lastRowLastColumn="0"/>
            <w:tcW w:w="2234" w:type="pct"/>
            <w:vMerge w:val="restart"/>
            <w:tcBorders>
              <w:top w:val="single" w:sz="4" w:space="0" w:color="FFFFFF" w:themeColor="background1"/>
              <w:left w:val="nil"/>
              <w:bottom w:val="nil"/>
              <w:right w:val="single" w:sz="4" w:space="0" w:color="FFFFFF" w:themeColor="background1"/>
            </w:tcBorders>
            <w:shd w:val="clear" w:color="auto" w:fill="F2F2F2" w:themeFill="background1" w:themeFillShade="F2"/>
            <w:vAlign w:val="center"/>
          </w:tcPr>
          <w:p w14:paraId="7B14265C" w14:textId="77777777" w:rsidR="008D6D87" w:rsidRPr="00324C84" w:rsidRDefault="008D6D87" w:rsidP="00CE5053">
            <w:pPr>
              <w:spacing w:before="40" w:after="40"/>
              <w:rPr>
                <w:sz w:val="20"/>
                <w:szCs w:val="20"/>
              </w:rPr>
            </w:pPr>
            <w:r>
              <w:rPr>
                <w:sz w:val="20"/>
                <w:szCs w:val="20"/>
              </w:rPr>
              <w:t>Utility infrastructure</w:t>
            </w: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1CE1A636" w14:textId="77777777" w:rsidR="008D6D87" w:rsidRPr="00324C84" w:rsidRDefault="008D6D87"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Energy</w:t>
            </w:r>
          </w:p>
        </w:tc>
      </w:tr>
      <w:tr w:rsidR="008D6D87" w:rsidRPr="00324C84" w14:paraId="708A6980" w14:textId="77777777" w:rsidTr="00087A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4" w:type="pct"/>
            <w:vMerge/>
            <w:tcBorders>
              <w:top w:val="single" w:sz="4" w:space="0" w:color="FFFFFF" w:themeColor="background1"/>
              <w:left w:val="nil"/>
              <w:bottom w:val="nil"/>
              <w:right w:val="single" w:sz="4" w:space="0" w:color="FFFFFF" w:themeColor="background1"/>
            </w:tcBorders>
            <w:shd w:val="clear" w:color="auto" w:fill="F2F2F2" w:themeFill="background1" w:themeFillShade="F2"/>
            <w:vAlign w:val="center"/>
          </w:tcPr>
          <w:p w14:paraId="637805D2" w14:textId="77777777" w:rsidR="008D6D87" w:rsidRDefault="008D6D87" w:rsidP="00CE5053">
            <w:pPr>
              <w:spacing w:before="40" w:after="40"/>
              <w:rPr>
                <w:sz w:val="20"/>
                <w:szCs w:val="20"/>
              </w:rPr>
            </w:pP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1465E1BA" w14:textId="77777777" w:rsidR="008D6D87" w:rsidRPr="00324C84" w:rsidRDefault="008D6D87"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Water</w:t>
            </w:r>
          </w:p>
        </w:tc>
      </w:tr>
      <w:tr w:rsidR="008D6D87" w:rsidRPr="00324C84" w14:paraId="48847928" w14:textId="77777777" w:rsidTr="00087ACD">
        <w:trPr>
          <w:jc w:val="center"/>
        </w:trPr>
        <w:tc>
          <w:tcPr>
            <w:cnfStyle w:val="001000000000" w:firstRow="0" w:lastRow="0" w:firstColumn="1" w:lastColumn="0" w:oddVBand="0" w:evenVBand="0" w:oddHBand="0" w:evenHBand="0" w:firstRowFirstColumn="0" w:firstRowLastColumn="0" w:lastRowFirstColumn="0" w:lastRowLastColumn="0"/>
            <w:tcW w:w="2234" w:type="pct"/>
            <w:vMerge/>
            <w:tcBorders>
              <w:top w:val="single" w:sz="4" w:space="0" w:color="FFFFFF" w:themeColor="background1"/>
              <w:left w:val="nil"/>
              <w:bottom w:val="nil"/>
              <w:right w:val="single" w:sz="4" w:space="0" w:color="FFFFFF" w:themeColor="background1"/>
            </w:tcBorders>
            <w:shd w:val="clear" w:color="auto" w:fill="F2F2F2" w:themeFill="background1" w:themeFillShade="F2"/>
            <w:vAlign w:val="center"/>
          </w:tcPr>
          <w:p w14:paraId="463F29E8" w14:textId="77777777" w:rsidR="008D6D87" w:rsidRDefault="008D6D87" w:rsidP="00CE5053">
            <w:pPr>
              <w:spacing w:before="40" w:after="40"/>
              <w:rPr>
                <w:sz w:val="20"/>
                <w:szCs w:val="20"/>
              </w:rPr>
            </w:pPr>
          </w:p>
        </w:tc>
        <w:tc>
          <w:tcPr>
            <w:tcW w:w="2766" w:type="pct"/>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4DF315D8" w14:textId="77777777" w:rsidR="008D6D87" w:rsidRPr="00324C84" w:rsidRDefault="00087ACD"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Waste</w:t>
            </w:r>
          </w:p>
        </w:tc>
      </w:tr>
      <w:tr w:rsidR="008D6D87" w:rsidRPr="00324C84" w14:paraId="6A722B83" w14:textId="77777777" w:rsidTr="006A79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4" w:type="pct"/>
            <w:vMerge/>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tcPr>
          <w:p w14:paraId="3B7B4B86" w14:textId="77777777" w:rsidR="008D6D87" w:rsidRDefault="008D6D87" w:rsidP="00CE5053">
            <w:pPr>
              <w:spacing w:before="40" w:after="40"/>
              <w:rPr>
                <w:sz w:val="20"/>
                <w:szCs w:val="20"/>
              </w:rPr>
            </w:pPr>
          </w:p>
        </w:tc>
        <w:tc>
          <w:tcPr>
            <w:tcW w:w="27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9DEE10" w14:textId="77777777" w:rsidR="008D6D87" w:rsidRPr="00324C84" w:rsidRDefault="00087ACD"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Digital</w:t>
            </w:r>
          </w:p>
        </w:tc>
      </w:tr>
    </w:tbl>
    <w:p w14:paraId="3A0FF5F2" w14:textId="77777777" w:rsidR="008D6D87" w:rsidRPr="00595E96" w:rsidRDefault="008D6D87" w:rsidP="00CE5053">
      <w:pPr>
        <w:ind w:left="720" w:hanging="720"/>
      </w:pPr>
    </w:p>
    <w:p w14:paraId="606B7835" w14:textId="77777777" w:rsidR="008D6D87" w:rsidRDefault="008D6D87" w:rsidP="00CE5053">
      <w:pPr>
        <w:pStyle w:val="ListParagraph"/>
        <w:numPr>
          <w:ilvl w:val="1"/>
          <w:numId w:val="13"/>
        </w:numPr>
        <w:spacing w:after="240"/>
        <w:ind w:left="737" w:hanging="737"/>
        <w:contextualSpacing w:val="0"/>
      </w:pPr>
      <w:r>
        <w:t>This IDP identifies two levels of infrastructure that are pertinent to delivering the growth anticipated in the London Plan and Lewisham’s new draft Local Plan:</w:t>
      </w:r>
    </w:p>
    <w:p w14:paraId="1EE40B10" w14:textId="77777777" w:rsidR="008D6D87" w:rsidRDefault="008D6D87" w:rsidP="00CE5053">
      <w:pPr>
        <w:pStyle w:val="ListParagraph"/>
        <w:numPr>
          <w:ilvl w:val="0"/>
          <w:numId w:val="2"/>
        </w:numPr>
      </w:pPr>
      <w:r>
        <w:t>Regional or sub-regional infrastructure: infrastructure that services (or is needed) to meet the forecast growth in Greater London generally, or its sub-regions; and</w:t>
      </w:r>
    </w:p>
    <w:p w14:paraId="6D21811A" w14:textId="77777777" w:rsidR="008D6D87" w:rsidRDefault="008D6D87" w:rsidP="00CE5053">
      <w:pPr>
        <w:pStyle w:val="ListParagraph"/>
        <w:numPr>
          <w:ilvl w:val="0"/>
          <w:numId w:val="2"/>
        </w:numPr>
      </w:pPr>
      <w:r>
        <w:t xml:space="preserve">Borough-level infrastructure: infrastructure that is needed to meet the forecast growth in Lewisham over the life of the new Local Plan period (2020-2040). </w:t>
      </w:r>
    </w:p>
    <w:p w14:paraId="5630AD66" w14:textId="77777777" w:rsidR="008D6D87" w:rsidRDefault="008D6D87" w:rsidP="00CE5053">
      <w:pPr>
        <w:pStyle w:val="ListParagraph"/>
        <w:numPr>
          <w:ilvl w:val="0"/>
          <w:numId w:val="0"/>
        </w:numPr>
        <w:ind w:left="1457"/>
      </w:pPr>
    </w:p>
    <w:p w14:paraId="43A5FB9F" w14:textId="77777777" w:rsidR="008D6D87" w:rsidRDefault="008D6D87" w:rsidP="00CE5053">
      <w:pPr>
        <w:pStyle w:val="ListParagraph"/>
        <w:numPr>
          <w:ilvl w:val="0"/>
          <w:numId w:val="0"/>
        </w:numPr>
        <w:spacing w:after="240"/>
        <w:ind w:left="737"/>
        <w:contextualSpacing w:val="0"/>
      </w:pPr>
      <w:r>
        <w:rPr>
          <w:b/>
        </w:rPr>
        <w:t>Structure of the document</w:t>
      </w:r>
      <w:r>
        <w:t xml:space="preserve"> </w:t>
      </w:r>
    </w:p>
    <w:p w14:paraId="11417DA6" w14:textId="77777777" w:rsidR="008D6D87" w:rsidRDefault="008D6D87" w:rsidP="00CE5053">
      <w:pPr>
        <w:pStyle w:val="ListParagraph"/>
        <w:numPr>
          <w:ilvl w:val="1"/>
          <w:numId w:val="13"/>
        </w:numPr>
        <w:spacing w:after="240"/>
        <w:ind w:left="737" w:hanging="737"/>
        <w:contextualSpacing w:val="0"/>
      </w:pPr>
      <w:r>
        <w:t>The structure of the document is as follows:</w:t>
      </w:r>
    </w:p>
    <w:p w14:paraId="17C7822E" w14:textId="77777777" w:rsidR="008D6D87" w:rsidRDefault="008D6D87" w:rsidP="00CE5053">
      <w:pPr>
        <w:pStyle w:val="ListParagraph"/>
        <w:numPr>
          <w:ilvl w:val="0"/>
          <w:numId w:val="2"/>
        </w:numPr>
      </w:pPr>
      <w:r w:rsidRPr="008D6D87">
        <w:rPr>
          <w:b/>
        </w:rPr>
        <w:t>Section 2</w:t>
      </w:r>
      <w:r>
        <w:t xml:space="preserve"> addresses the </w:t>
      </w:r>
      <w:r w:rsidRPr="008D6D87">
        <w:t>policy context</w:t>
      </w:r>
      <w:r>
        <w:t xml:space="preserve"> of </w:t>
      </w:r>
      <w:r w:rsidRPr="00933D82">
        <w:rPr>
          <w:b/>
        </w:rPr>
        <w:t>planning for infrastructure</w:t>
      </w:r>
      <w:r w:rsidR="00933D82" w:rsidRPr="00933D82">
        <w:rPr>
          <w:b/>
        </w:rPr>
        <w:t xml:space="preserve"> delivery</w:t>
      </w:r>
      <w:r>
        <w:t xml:space="preserve"> through the plan making process;</w:t>
      </w:r>
    </w:p>
    <w:p w14:paraId="61829076" w14:textId="77777777" w:rsidR="00CD1374" w:rsidRDefault="00CD1374" w:rsidP="00CE5053">
      <w:pPr>
        <w:pStyle w:val="ListParagraph"/>
        <w:numPr>
          <w:ilvl w:val="0"/>
          <w:numId w:val="0"/>
        </w:numPr>
        <w:ind w:left="1457"/>
      </w:pPr>
    </w:p>
    <w:p w14:paraId="0558927E" w14:textId="77777777" w:rsidR="008D6D87" w:rsidRDefault="008D6D87" w:rsidP="00CE5053">
      <w:pPr>
        <w:pStyle w:val="ListParagraph"/>
        <w:numPr>
          <w:ilvl w:val="0"/>
          <w:numId w:val="2"/>
        </w:numPr>
      </w:pPr>
      <w:r w:rsidRPr="008D6D87">
        <w:rPr>
          <w:b/>
        </w:rPr>
        <w:t>Section 3</w:t>
      </w:r>
      <w:r>
        <w:t xml:space="preserve"> addresses the Council’s current </w:t>
      </w:r>
      <w:r>
        <w:rPr>
          <w:b/>
        </w:rPr>
        <w:t>social infrastructure</w:t>
      </w:r>
      <w:r w:rsidRPr="008D6D87">
        <w:t xml:space="preserve"> provision across the borough, and forecast infrastructure requirement to 2040;</w:t>
      </w:r>
    </w:p>
    <w:p w14:paraId="2BA226A1" w14:textId="77777777" w:rsidR="00CD1374" w:rsidRDefault="00CD1374" w:rsidP="00CE5053">
      <w:pPr>
        <w:pStyle w:val="ListParagraph"/>
        <w:numPr>
          <w:ilvl w:val="0"/>
          <w:numId w:val="0"/>
        </w:numPr>
        <w:ind w:left="1457"/>
      </w:pPr>
    </w:p>
    <w:p w14:paraId="34F6ED6E" w14:textId="77777777" w:rsidR="008D6D87" w:rsidRDefault="008D6D87" w:rsidP="00CE5053">
      <w:pPr>
        <w:pStyle w:val="ListParagraph"/>
        <w:numPr>
          <w:ilvl w:val="0"/>
          <w:numId w:val="2"/>
        </w:numPr>
      </w:pPr>
      <w:r w:rsidRPr="008D6D87">
        <w:rPr>
          <w:b/>
        </w:rPr>
        <w:t>Section 4</w:t>
      </w:r>
      <w:r>
        <w:t xml:space="preserve"> addresses the Council’s current </w:t>
      </w:r>
      <w:r>
        <w:rPr>
          <w:b/>
        </w:rPr>
        <w:t>green infrastructure</w:t>
      </w:r>
      <w:r w:rsidRPr="008D6D87">
        <w:t xml:space="preserve"> provision across the borough, and forecast infrastructure requirement to 2040;</w:t>
      </w:r>
    </w:p>
    <w:p w14:paraId="17AD93B2" w14:textId="77777777" w:rsidR="00CD1374" w:rsidRDefault="00CD1374" w:rsidP="00CE5053">
      <w:pPr>
        <w:pStyle w:val="ListParagraph"/>
        <w:numPr>
          <w:ilvl w:val="0"/>
          <w:numId w:val="0"/>
        </w:numPr>
        <w:ind w:left="1457"/>
      </w:pPr>
    </w:p>
    <w:p w14:paraId="68A70A25" w14:textId="77777777" w:rsidR="008D6D87" w:rsidRDefault="008D6D87" w:rsidP="00CE5053">
      <w:pPr>
        <w:pStyle w:val="ListParagraph"/>
        <w:numPr>
          <w:ilvl w:val="0"/>
          <w:numId w:val="2"/>
        </w:numPr>
      </w:pPr>
      <w:r w:rsidRPr="008D6D87">
        <w:rPr>
          <w:b/>
        </w:rPr>
        <w:t>Section 5</w:t>
      </w:r>
      <w:r>
        <w:t xml:space="preserve"> addresses the Council’s current </w:t>
      </w:r>
      <w:r>
        <w:rPr>
          <w:b/>
        </w:rPr>
        <w:t>transport infrastructure</w:t>
      </w:r>
      <w:r w:rsidRPr="008D6D87">
        <w:t xml:space="preserve"> provision across the borough, and forecast infrastructure requirement to 2040;</w:t>
      </w:r>
    </w:p>
    <w:p w14:paraId="0DE4B5B7" w14:textId="77777777" w:rsidR="00CD1374" w:rsidRDefault="00CD1374" w:rsidP="00CE5053">
      <w:pPr>
        <w:pStyle w:val="ListParagraph"/>
        <w:numPr>
          <w:ilvl w:val="0"/>
          <w:numId w:val="0"/>
        </w:numPr>
        <w:ind w:left="1457"/>
      </w:pPr>
    </w:p>
    <w:p w14:paraId="19D198CC" w14:textId="77777777" w:rsidR="008D6D87" w:rsidRDefault="008D6D87" w:rsidP="00CE5053">
      <w:pPr>
        <w:pStyle w:val="ListParagraph"/>
        <w:numPr>
          <w:ilvl w:val="0"/>
          <w:numId w:val="2"/>
        </w:numPr>
      </w:pPr>
      <w:r w:rsidRPr="008D6D87">
        <w:rPr>
          <w:b/>
        </w:rPr>
        <w:t>Section 6</w:t>
      </w:r>
      <w:r>
        <w:t xml:space="preserve"> addresses the Council’s current </w:t>
      </w:r>
      <w:r>
        <w:rPr>
          <w:b/>
        </w:rPr>
        <w:t>sustainable infrastructure and utilities</w:t>
      </w:r>
      <w:r w:rsidRPr="008D6D87">
        <w:t xml:space="preserve"> provision across the borough, and forecast infrastructure requirement to 2040;</w:t>
      </w:r>
    </w:p>
    <w:p w14:paraId="66204FF1" w14:textId="77777777" w:rsidR="00CD1374" w:rsidRDefault="00CD1374" w:rsidP="00CE5053">
      <w:pPr>
        <w:pStyle w:val="ListParagraph"/>
        <w:numPr>
          <w:ilvl w:val="0"/>
          <w:numId w:val="0"/>
        </w:numPr>
        <w:ind w:left="1457"/>
      </w:pPr>
    </w:p>
    <w:p w14:paraId="35ACA64D" w14:textId="77777777" w:rsidR="008D6D87" w:rsidRPr="00754999" w:rsidRDefault="008D6D87" w:rsidP="00CE5053">
      <w:pPr>
        <w:pStyle w:val="ListParagraph"/>
        <w:numPr>
          <w:ilvl w:val="0"/>
          <w:numId w:val="2"/>
        </w:numPr>
      </w:pPr>
      <w:r w:rsidRPr="008D6D87">
        <w:rPr>
          <w:b/>
        </w:rPr>
        <w:t xml:space="preserve">Appendix </w:t>
      </w:r>
      <w:r w:rsidR="006D1FCD">
        <w:rPr>
          <w:b/>
        </w:rPr>
        <w:t>A</w:t>
      </w:r>
      <w:r>
        <w:t xml:space="preserve"> provides a list of </w:t>
      </w:r>
      <w:r w:rsidRPr="008D6D87">
        <w:rPr>
          <w:b/>
        </w:rPr>
        <w:t>sources of information</w:t>
      </w:r>
      <w:r>
        <w:t xml:space="preserve"> that were used to prepare this document.</w:t>
      </w:r>
    </w:p>
    <w:p w14:paraId="2DBF0D7D" w14:textId="77777777" w:rsidR="008D6D87" w:rsidRPr="00595E96" w:rsidRDefault="008D6D87" w:rsidP="00CE5053">
      <w:pPr>
        <w:spacing w:after="240"/>
      </w:pPr>
    </w:p>
    <w:p w14:paraId="6B62F1B3" w14:textId="77777777" w:rsidR="005944AA" w:rsidRPr="00595E96" w:rsidRDefault="005944AA" w:rsidP="00CE5053">
      <w:pPr>
        <w:ind w:left="720" w:hanging="720"/>
      </w:pPr>
    </w:p>
    <w:p w14:paraId="02F2C34E" w14:textId="77777777" w:rsidR="005944AA" w:rsidRPr="00595E96" w:rsidRDefault="005944AA" w:rsidP="00CE5053">
      <w:r w:rsidRPr="00595E96">
        <w:br w:type="page"/>
      </w:r>
    </w:p>
    <w:p w14:paraId="608B20E4" w14:textId="77777777" w:rsidR="00D87FCB" w:rsidRPr="00D87FCB" w:rsidRDefault="00DF60C7" w:rsidP="00CE5053">
      <w:pPr>
        <w:pStyle w:val="Heading1"/>
      </w:pPr>
      <w:r w:rsidRPr="00D87FCB">
        <w:lastRenderedPageBreak/>
        <w:tab/>
      </w:r>
      <w:bookmarkStart w:id="3" w:name="_Toc56146001"/>
      <w:r w:rsidR="006E08AE" w:rsidRPr="00D87FCB">
        <w:t xml:space="preserve">Policy </w:t>
      </w:r>
      <w:r w:rsidR="008D6D87">
        <w:t>context</w:t>
      </w:r>
      <w:bookmarkEnd w:id="3"/>
    </w:p>
    <w:p w14:paraId="2113476D" w14:textId="77777777" w:rsidR="00DF60C7" w:rsidRPr="00161816" w:rsidRDefault="00DF60C7" w:rsidP="00CE5053">
      <w:pPr>
        <w:tabs>
          <w:tab w:val="left" w:pos="720"/>
          <w:tab w:val="left" w:pos="1440"/>
          <w:tab w:val="left" w:pos="2160"/>
          <w:tab w:val="left" w:pos="2713"/>
          <w:tab w:val="left" w:pos="3349"/>
        </w:tabs>
        <w:spacing w:after="120"/>
        <w:ind w:left="720" w:hanging="720"/>
        <w:rPr>
          <w:sz w:val="19"/>
          <w:szCs w:val="19"/>
          <w:u w:val="single"/>
        </w:rPr>
      </w:pPr>
      <w:r w:rsidRPr="00161816">
        <w:rPr>
          <w:sz w:val="19"/>
          <w:szCs w:val="19"/>
        </w:rPr>
        <w:tab/>
      </w:r>
      <w:r w:rsidRPr="00161816">
        <w:rPr>
          <w:b/>
          <w:szCs w:val="19"/>
        </w:rPr>
        <w:t>National planning policy and guidance</w:t>
      </w:r>
    </w:p>
    <w:p w14:paraId="680A4E5D" w14:textId="77777777" w:rsidR="00011D58" w:rsidRPr="00011D58" w:rsidRDefault="00011D58" w:rsidP="00CE5053">
      <w:pPr>
        <w:pStyle w:val="ListParagraph"/>
        <w:numPr>
          <w:ilvl w:val="0"/>
          <w:numId w:val="13"/>
        </w:numPr>
        <w:spacing w:after="240"/>
        <w:contextualSpacing w:val="0"/>
        <w:rPr>
          <w:vanish/>
        </w:rPr>
      </w:pPr>
    </w:p>
    <w:p w14:paraId="2E224F53" w14:textId="77777777" w:rsidR="00011D58" w:rsidRDefault="00011D58" w:rsidP="00CE5053">
      <w:pPr>
        <w:pStyle w:val="ListParagraph"/>
        <w:numPr>
          <w:ilvl w:val="1"/>
          <w:numId w:val="13"/>
        </w:numPr>
        <w:spacing w:after="240"/>
        <w:ind w:left="737" w:hanging="737"/>
        <w:contextualSpacing w:val="0"/>
      </w:pPr>
      <w:r>
        <w:t xml:space="preserve">The Government’s National Planning Policy Framework (NPPF) requires all development plans to be prepared with the objective of contributing to the achievement of sustainable development, and to seek opportunities to meet the development and infrastructure needs in their area. Development plans are also expected to be shaped by early, proportionate and effective engagement between plan-makers and other stakeholders, including with infrastructure providers and statutory consultees in the area.  </w:t>
      </w:r>
    </w:p>
    <w:p w14:paraId="4081655B" w14:textId="77777777" w:rsidR="004F77BE" w:rsidRPr="00087ACD" w:rsidRDefault="00DF60C7" w:rsidP="00CE5053">
      <w:pPr>
        <w:pStyle w:val="ListParagraph"/>
        <w:numPr>
          <w:ilvl w:val="1"/>
          <w:numId w:val="13"/>
        </w:numPr>
        <w:spacing w:after="240"/>
        <w:ind w:left="737" w:hanging="737"/>
        <w:contextualSpacing w:val="0"/>
      </w:pPr>
      <w:r>
        <w:t>The development plan taken as a whole is expected to provide a spatial strategy that addresses relevant s</w:t>
      </w:r>
      <w:r w:rsidR="00296A3F">
        <w:t>trategic priorities in the area,</w:t>
      </w:r>
      <w:r>
        <w:t xml:space="preserve"> include adequate provision for infrastructure</w:t>
      </w:r>
      <w:r w:rsidR="00B06F7D">
        <w:t>,</w:t>
      </w:r>
      <w:r>
        <w:t xml:space="preserve"> and allocate sufficient sites for development</w:t>
      </w:r>
      <w:r w:rsidR="00B06F7D">
        <w:t xml:space="preserve">, </w:t>
      </w:r>
      <w:r w:rsidR="00296A3F">
        <w:t xml:space="preserve">having </w:t>
      </w:r>
      <w:r w:rsidR="00B06F7D">
        <w:t>consider</w:t>
      </w:r>
      <w:r w:rsidR="00296A3F">
        <w:t>ed</w:t>
      </w:r>
      <w:r>
        <w:t xml:space="preserve"> cross-boundary needs/issues. All plan policies are expected to be supported by relevant, up-to-date and proportionate evidence. </w:t>
      </w:r>
    </w:p>
    <w:p w14:paraId="5BDEEEA5" w14:textId="77777777" w:rsidR="00296A3F" w:rsidRPr="00087ACD" w:rsidRDefault="00DF60C7" w:rsidP="00CE5053">
      <w:pPr>
        <w:pStyle w:val="ListParagraph"/>
        <w:numPr>
          <w:ilvl w:val="1"/>
          <w:numId w:val="13"/>
        </w:numPr>
        <w:spacing w:after="240"/>
        <w:ind w:left="737" w:hanging="737"/>
        <w:contextualSpacing w:val="0"/>
      </w:pPr>
      <w:r>
        <w:t xml:space="preserve">The </w:t>
      </w:r>
      <w:r w:rsidR="00296A3F">
        <w:t>G</w:t>
      </w:r>
      <w:r>
        <w:t xml:space="preserve">overnment’s </w:t>
      </w:r>
      <w:r w:rsidR="00011D58">
        <w:t xml:space="preserve">National </w:t>
      </w:r>
      <w:r>
        <w:t xml:space="preserve">Planning Practice Guidance </w:t>
      </w:r>
      <w:r w:rsidR="00296A3F">
        <w:t>(</w:t>
      </w:r>
      <w:r w:rsidR="00011D58">
        <w:t>N</w:t>
      </w:r>
      <w:r w:rsidR="00296A3F">
        <w:t xml:space="preserve">PPG) </w:t>
      </w:r>
      <w:r>
        <w:t>provide</w:t>
      </w:r>
      <w:r w:rsidR="00296A3F">
        <w:t>s further detail</w:t>
      </w:r>
      <w:r>
        <w:t xml:space="preserve"> regarding these </w:t>
      </w:r>
      <w:r w:rsidR="005F5AF5">
        <w:t>requirement</w:t>
      </w:r>
      <w:r w:rsidR="00296A3F">
        <w:t>s</w:t>
      </w:r>
      <w:r w:rsidR="00B06F7D">
        <w:t xml:space="preserve">. The </w:t>
      </w:r>
      <w:r w:rsidR="00011D58">
        <w:t>N</w:t>
      </w:r>
      <w:r w:rsidR="00B06F7D">
        <w:t xml:space="preserve">PPG </w:t>
      </w:r>
      <w:r>
        <w:t>advise</w:t>
      </w:r>
      <w:r w:rsidR="00B06F7D">
        <w:t>s</w:t>
      </w:r>
      <w:r>
        <w:t xml:space="preserve"> that to demonstrate a plan is capable of delivering strategic matters, including the provision for infrastructure</w:t>
      </w:r>
      <w:r w:rsidR="00B06F7D">
        <w:t xml:space="preserve">, that </w:t>
      </w:r>
      <w:r>
        <w:t>strategic plan-making authorities should work with infrastructure providers and relevant stakeholders</w:t>
      </w:r>
      <w:r w:rsidR="00296A3F">
        <w:t xml:space="preserve"> early in the plan making process to </w:t>
      </w:r>
      <w:r>
        <w:t xml:space="preserve">ensure </w:t>
      </w:r>
      <w:r w:rsidR="00A31F8E">
        <w:t xml:space="preserve">that </w:t>
      </w:r>
      <w:r>
        <w:t>a collaborative approach is taken to</w:t>
      </w:r>
      <w:r w:rsidR="00296A3F">
        <w:t>:</w:t>
      </w:r>
    </w:p>
    <w:p w14:paraId="32E66CD9" w14:textId="77777777" w:rsidR="00DF60C7" w:rsidRPr="00595E96" w:rsidRDefault="00B06F7D" w:rsidP="00CE5053">
      <w:pPr>
        <w:pStyle w:val="ListParagraph"/>
        <w:numPr>
          <w:ilvl w:val="0"/>
          <w:numId w:val="2"/>
        </w:numPr>
      </w:pPr>
      <w:r w:rsidRPr="00087ACD">
        <w:t>A</w:t>
      </w:r>
      <w:r w:rsidR="00DF60C7" w:rsidRPr="00087ACD">
        <w:t>ssess the quality</w:t>
      </w:r>
      <w:r w:rsidR="00DF60C7" w:rsidRPr="00595E96">
        <w:t xml:space="preserve"> and capacity of </w:t>
      </w:r>
      <w:r w:rsidR="00296A3F">
        <w:t xml:space="preserve">existing </w:t>
      </w:r>
      <w:r w:rsidR="00DF60C7" w:rsidRPr="00595E96">
        <w:t>infrastructure, and its ability to meet forecast demands</w:t>
      </w:r>
      <w:r w:rsidR="00296A3F">
        <w:t>.</w:t>
      </w:r>
      <w:r w:rsidR="00DF60C7" w:rsidRPr="00595E96">
        <w:t xml:space="preserve"> </w:t>
      </w:r>
      <w:r w:rsidR="00296A3F">
        <w:t>W</w:t>
      </w:r>
      <w:r w:rsidR="00DF60C7" w:rsidRPr="00595E96">
        <w:t>here deficiencies are identified, policies should set out how those deficiencies will be addressed;</w:t>
      </w:r>
      <w:r w:rsidR="00296A3F">
        <w:t xml:space="preserve"> and</w:t>
      </w:r>
    </w:p>
    <w:p w14:paraId="2F0365F7" w14:textId="77777777" w:rsidR="00397530" w:rsidRPr="00595E96" w:rsidRDefault="00B06F7D" w:rsidP="00CE5053">
      <w:pPr>
        <w:pStyle w:val="ListParagraph"/>
        <w:numPr>
          <w:ilvl w:val="0"/>
          <w:numId w:val="2"/>
        </w:numPr>
        <w:ind w:left="1451" w:hanging="357"/>
        <w:contextualSpacing w:val="0"/>
      </w:pPr>
      <w:r w:rsidRPr="00595E96">
        <w:t>T</w:t>
      </w:r>
      <w:r w:rsidR="00DF60C7" w:rsidRPr="00595E96">
        <w:t>ake</w:t>
      </w:r>
      <w:r w:rsidR="00397530">
        <w:t>s into</w:t>
      </w:r>
      <w:r w:rsidR="00DF60C7" w:rsidRPr="00595E96">
        <w:t xml:space="preserve"> account the need for strategic infrastructure, including nationally significant infrastructure, within their area</w:t>
      </w:r>
      <w:r w:rsidRPr="00595E96">
        <w:t>.</w:t>
      </w:r>
    </w:p>
    <w:p w14:paraId="086508BE" w14:textId="77777777" w:rsidR="00D87FCB" w:rsidRDefault="00397530" w:rsidP="00CE5053">
      <w:pPr>
        <w:pStyle w:val="ListParagraph"/>
        <w:numPr>
          <w:ilvl w:val="1"/>
          <w:numId w:val="13"/>
        </w:numPr>
        <w:spacing w:after="240"/>
        <w:ind w:left="737" w:hanging="737"/>
        <w:contextualSpacing w:val="0"/>
      </w:pPr>
      <w:r>
        <w:t>S</w:t>
      </w:r>
      <w:r w:rsidR="00DF60C7">
        <w:t>trategic policy-making authorities</w:t>
      </w:r>
      <w:r w:rsidR="257D2A79">
        <w:t xml:space="preserve"> (including the Council)</w:t>
      </w:r>
      <w:r w:rsidR="00DF60C7">
        <w:t xml:space="preserve"> are also expected to use evidence of infrastructure </w:t>
      </w:r>
      <w:r w:rsidR="005F5AF5">
        <w:t>requirement</w:t>
      </w:r>
      <w:r w:rsidR="00DF60C7">
        <w:t xml:space="preserve"> to prepare an Infrastructure Funding Statement</w:t>
      </w:r>
      <w:r w:rsidR="00B06F7D">
        <w:t xml:space="preserve"> (IFS)</w:t>
      </w:r>
      <w:r w:rsidR="00DF60C7">
        <w:t>, setting out how developer contributions, including S106 and funding from the Community Infrastructure Levy</w:t>
      </w:r>
      <w:r w:rsidR="003F397A">
        <w:t>,</w:t>
      </w:r>
      <w:r w:rsidR="00DF60C7">
        <w:t xml:space="preserve"> will be </w:t>
      </w:r>
      <w:r w:rsidR="00A31F8E">
        <w:t xml:space="preserve">allocated </w:t>
      </w:r>
      <w:r w:rsidR="00DF60C7">
        <w:t>alongside other funding sources to support local infrastructure delivery</w:t>
      </w:r>
      <w:r w:rsidR="003F397A">
        <w:t>.</w:t>
      </w:r>
      <w:r w:rsidR="00DF60C7">
        <w:t xml:space="preserve"> </w:t>
      </w:r>
      <w:r w:rsidR="00B06F7D">
        <w:t xml:space="preserve">The Council is required to produce an IFS by December 2020, and the IDP has been developed with this future requirement in mind. </w:t>
      </w:r>
    </w:p>
    <w:p w14:paraId="3401C761" w14:textId="77777777" w:rsidR="00DF60C7" w:rsidRPr="00161816" w:rsidRDefault="00DF60C7" w:rsidP="00CE5053">
      <w:pPr>
        <w:tabs>
          <w:tab w:val="left" w:pos="720"/>
          <w:tab w:val="left" w:pos="1440"/>
          <w:tab w:val="left" w:pos="2160"/>
          <w:tab w:val="left" w:pos="2713"/>
          <w:tab w:val="left" w:pos="3349"/>
        </w:tabs>
        <w:spacing w:after="120"/>
        <w:ind w:left="720" w:hanging="720"/>
        <w:rPr>
          <w:b/>
        </w:rPr>
      </w:pPr>
      <w:r w:rsidRPr="00161816">
        <w:rPr>
          <w:i/>
        </w:rPr>
        <w:tab/>
      </w:r>
      <w:r w:rsidRPr="00161816">
        <w:rPr>
          <w:b/>
        </w:rPr>
        <w:t xml:space="preserve">London Plan </w:t>
      </w:r>
    </w:p>
    <w:p w14:paraId="28E4681F" w14:textId="77777777" w:rsidR="00CD1374" w:rsidRDefault="003F397A" w:rsidP="00CE5053">
      <w:pPr>
        <w:pStyle w:val="ListParagraph"/>
        <w:numPr>
          <w:ilvl w:val="1"/>
          <w:numId w:val="13"/>
        </w:numPr>
        <w:spacing w:after="240"/>
        <w:ind w:left="737" w:hanging="737"/>
        <w:contextualSpacing w:val="0"/>
      </w:pPr>
      <w:r>
        <w:t xml:space="preserve">The </w:t>
      </w:r>
      <w:r w:rsidR="00DF60C7">
        <w:t xml:space="preserve">London Plan </w:t>
      </w:r>
      <w:r>
        <w:t xml:space="preserve">is the regional spatial strategy for Greater London, </w:t>
      </w:r>
      <w:r w:rsidR="00DF60C7">
        <w:t xml:space="preserve">and provides the planning framework for addressing issues of strategic importance to the </w:t>
      </w:r>
      <w:r>
        <w:t>Capital</w:t>
      </w:r>
      <w:r w:rsidR="00DF60C7">
        <w:t xml:space="preserve">. </w:t>
      </w:r>
      <w:r>
        <w:t>London boroughs</w:t>
      </w:r>
      <w:r w:rsidR="00726625">
        <w:t>’</w:t>
      </w:r>
      <w:r>
        <w:t xml:space="preserve"> local planning frameworks</w:t>
      </w:r>
      <w:r w:rsidR="00DF60C7">
        <w:t>, including Local Plans</w:t>
      </w:r>
      <w:r>
        <w:t>,</w:t>
      </w:r>
      <w:r w:rsidR="00DF60C7">
        <w:t xml:space="preserve"> are required to be in </w:t>
      </w:r>
      <w:r w:rsidR="002B4BE3">
        <w:t>‘</w:t>
      </w:r>
      <w:r w:rsidR="00DF60C7">
        <w:t>general conformity</w:t>
      </w:r>
      <w:r w:rsidR="002B4BE3">
        <w:t>’</w:t>
      </w:r>
      <w:r w:rsidR="00DF60C7">
        <w:t xml:space="preserve"> with the strategic policies set out in the London Plan.</w:t>
      </w:r>
    </w:p>
    <w:p w14:paraId="291E7696" w14:textId="77777777" w:rsidR="00CD1374" w:rsidRPr="00710C18" w:rsidRDefault="00CD1374" w:rsidP="00CE5053">
      <w:pPr>
        <w:pStyle w:val="ListParagraph"/>
        <w:numPr>
          <w:ilvl w:val="1"/>
          <w:numId w:val="13"/>
        </w:numPr>
        <w:spacing w:after="240"/>
        <w:ind w:left="737" w:hanging="737"/>
        <w:contextualSpacing w:val="0"/>
      </w:pPr>
      <w:r>
        <w:t>The current London Plan, which came into force in March 2016, is in the process of being replaced. The Examination in Public (EiP) on the draft new London Plan was held between 15th January and 22nd May 2019.  The Panel of Inspectors appointed by the Secretary of State issued their report and recommendations on 8th October 2019.</w:t>
      </w:r>
    </w:p>
    <w:p w14:paraId="06CCF1EE" w14:textId="77777777" w:rsidR="00DF60C7" w:rsidRPr="00595E96" w:rsidRDefault="00CD1374" w:rsidP="00CE5053">
      <w:pPr>
        <w:pStyle w:val="ListParagraph"/>
        <w:numPr>
          <w:ilvl w:val="1"/>
          <w:numId w:val="13"/>
        </w:numPr>
        <w:spacing w:after="240"/>
        <w:ind w:left="737" w:hanging="737"/>
        <w:contextualSpacing w:val="0"/>
      </w:pPr>
      <w:r>
        <w:t>On the 9th December 2019, the London Mayor issued to the Secretary of State his intention to publish the London Plan. On 13</w:t>
      </w:r>
      <w:r w:rsidRPr="7839D2B6">
        <w:rPr>
          <w:vertAlign w:val="superscript"/>
        </w:rPr>
        <w:t>th</w:t>
      </w:r>
      <w:r>
        <w:t xml:space="preserve"> March 2020, the Secretary of State wrote to the Mayor setting out his consideration of the Mayor’s Intend to Publish London Plan. The London Mayor considered the Secretary of States response and sent a letter to the Secretary on 24</w:t>
      </w:r>
      <w:r w:rsidRPr="7839D2B6">
        <w:rPr>
          <w:vertAlign w:val="superscript"/>
        </w:rPr>
        <w:t>th</w:t>
      </w:r>
      <w:r>
        <w:t xml:space="preserve"> </w:t>
      </w:r>
      <w:r>
        <w:lastRenderedPageBreak/>
        <w:t>April outlining the statutory steps to finalise the plan. At the time of the preparation of this report the London plan has not been formally adopted and the plan in its entirety has not come into full force.</w:t>
      </w:r>
    </w:p>
    <w:p w14:paraId="7D4CC58F" w14:textId="77777777" w:rsidR="00CD1374" w:rsidRDefault="00CD1374" w:rsidP="00CE5053">
      <w:pPr>
        <w:pStyle w:val="ListParagraph"/>
        <w:numPr>
          <w:ilvl w:val="1"/>
          <w:numId w:val="13"/>
        </w:numPr>
        <w:spacing w:after="240"/>
        <w:ind w:left="737" w:hanging="737"/>
        <w:contextualSpacing w:val="0"/>
      </w:pPr>
      <w:r>
        <w:t>The London Plan referred to in this IDP is to be taken as the new London Plan (Intend to Publish) version, unless otherwise specified.</w:t>
      </w:r>
    </w:p>
    <w:p w14:paraId="6A7A2C9A" w14:textId="77777777" w:rsidR="00DF60C7" w:rsidRPr="00595E96" w:rsidRDefault="00DF60C7" w:rsidP="00CE5053">
      <w:pPr>
        <w:pStyle w:val="ListParagraph"/>
        <w:numPr>
          <w:ilvl w:val="1"/>
          <w:numId w:val="13"/>
        </w:numPr>
        <w:spacing w:after="240"/>
        <w:ind w:left="737" w:hanging="737"/>
        <w:contextualSpacing w:val="0"/>
      </w:pPr>
      <w:r>
        <w:t xml:space="preserve">In general, strategic transport infrastructure and other major infrastructure in London </w:t>
      </w:r>
      <w:r w:rsidR="00683F50">
        <w:t xml:space="preserve">is </w:t>
      </w:r>
      <w:r>
        <w:t>identified and planned for in the London Plan</w:t>
      </w:r>
      <w:r w:rsidR="00726625">
        <w:t xml:space="preserve">, led by the </w:t>
      </w:r>
      <w:r w:rsidR="00683F50">
        <w:t xml:space="preserve">Mayor of </w:t>
      </w:r>
      <w:r>
        <w:t xml:space="preserve">London </w:t>
      </w:r>
      <w:r w:rsidR="00726625">
        <w:t>in partnership with providers and other partners</w:t>
      </w:r>
      <w:r>
        <w:t>. Instances where additional work and evidence are required from boroughs on local infrastructure planning are set out in relevant London Plan policies (key relevant plan policies are highlighted in the beginning of each infrastructure section of this IDP document).</w:t>
      </w:r>
    </w:p>
    <w:p w14:paraId="3151C0B9" w14:textId="77777777" w:rsidR="00DF60C7" w:rsidRPr="00595E96" w:rsidRDefault="00DF60C7" w:rsidP="00CE5053">
      <w:pPr>
        <w:pStyle w:val="ListParagraph"/>
        <w:numPr>
          <w:ilvl w:val="1"/>
          <w:numId w:val="13"/>
        </w:numPr>
        <w:spacing w:after="240"/>
        <w:ind w:left="737" w:hanging="737"/>
        <w:contextualSpacing w:val="0"/>
      </w:pPr>
      <w:r>
        <w:t>The London Plan place</w:t>
      </w:r>
      <w:r w:rsidR="00377537">
        <w:t>s</w:t>
      </w:r>
      <w:r>
        <w:t xml:space="preserve"> a particular requirement on boroughs to assess the capacity of existing and planned physical, environmental and social infrastructure, and to plan for the necessary improvements to support growth identified in the development plan</w:t>
      </w:r>
      <w:r w:rsidR="00726625">
        <w:t xml:space="preserve">, </w:t>
      </w:r>
      <w:r>
        <w:t>through borough’s infrastructure delivery plans or programmes</w:t>
      </w:r>
      <w:r w:rsidR="00683F50">
        <w:t>.</w:t>
      </w:r>
      <w:r w:rsidR="00726625">
        <w:t xml:space="preserve"> T</w:t>
      </w:r>
      <w:r>
        <w:t>here is also an emphasis on boroughs to plan for and provide the necessary infrastructure along growth corridors and Opportunity Areas</w:t>
      </w:r>
      <w:r w:rsidR="00726625">
        <w:t>,</w:t>
      </w:r>
      <w:r>
        <w:t xml:space="preserve"> advocating an area-based approach, and to engage local communities and stakeholders at an early stage</w:t>
      </w:r>
      <w:r w:rsidR="00683F50">
        <w:t>.</w:t>
      </w:r>
    </w:p>
    <w:p w14:paraId="56C2F020" w14:textId="77777777" w:rsidR="00DF60C7" w:rsidRPr="00161816" w:rsidRDefault="00161816" w:rsidP="00CE5053">
      <w:pPr>
        <w:tabs>
          <w:tab w:val="left" w:pos="720"/>
          <w:tab w:val="left" w:pos="1440"/>
          <w:tab w:val="left" w:pos="2160"/>
          <w:tab w:val="left" w:pos="2713"/>
          <w:tab w:val="left" w:pos="3349"/>
        </w:tabs>
        <w:spacing w:after="120"/>
        <w:ind w:left="720" w:hanging="720"/>
        <w:rPr>
          <w:u w:val="single"/>
        </w:rPr>
      </w:pPr>
      <w:r>
        <w:rPr>
          <w:b/>
          <w:color w:val="333399"/>
        </w:rPr>
        <w:tab/>
      </w:r>
      <w:r w:rsidR="00DF60C7" w:rsidRPr="00161816">
        <w:rPr>
          <w:b/>
        </w:rPr>
        <w:t>Duty to Co-operate</w:t>
      </w:r>
    </w:p>
    <w:p w14:paraId="3F09DEDE" w14:textId="77777777" w:rsidR="00DF60C7" w:rsidRPr="00595E96" w:rsidRDefault="00F021EF" w:rsidP="00CE5053">
      <w:pPr>
        <w:pStyle w:val="ListParagraph"/>
        <w:numPr>
          <w:ilvl w:val="1"/>
          <w:numId w:val="13"/>
        </w:numPr>
        <w:spacing w:after="240"/>
        <w:ind w:left="737" w:hanging="737"/>
        <w:contextualSpacing w:val="0"/>
      </w:pPr>
      <w:r>
        <w:t>The Localism Act 2011 introduced new statutory obligations, known as “</w:t>
      </w:r>
      <w:r w:rsidR="00524918">
        <w:t>D</w:t>
      </w:r>
      <w:r>
        <w:t xml:space="preserve">uty to </w:t>
      </w:r>
      <w:r w:rsidR="00524918">
        <w:t>C</w:t>
      </w:r>
      <w:r>
        <w:t>o-operate”, where it must be demonstrated that local authorities</w:t>
      </w:r>
      <w:r w:rsidR="00DF60C7">
        <w:t xml:space="preserve"> </w:t>
      </w:r>
      <w:r>
        <w:t xml:space="preserve">are </w:t>
      </w:r>
      <w:r w:rsidR="00DF60C7">
        <w:t>engag</w:t>
      </w:r>
      <w:r>
        <w:t>ing and working effectively throughout the plan making process</w:t>
      </w:r>
      <w:r w:rsidR="00DF60C7">
        <w:t xml:space="preserve"> </w:t>
      </w:r>
      <w:r>
        <w:t>w</w:t>
      </w:r>
      <w:r w:rsidR="00DF60C7">
        <w:t xml:space="preserve">ith </w:t>
      </w:r>
      <w:r w:rsidR="00BD3D8D">
        <w:t>adjoining</w:t>
      </w:r>
      <w:r w:rsidR="00DF60C7">
        <w:t xml:space="preserve"> authorities, relevant strategic policy-making authorities</w:t>
      </w:r>
      <w:r w:rsidR="00726625">
        <w:t>,</w:t>
      </w:r>
      <w:r w:rsidR="00DF60C7">
        <w:t xml:space="preserve"> and prescribed bodies on strategic matters that cross administrative boundaries.</w:t>
      </w:r>
    </w:p>
    <w:p w14:paraId="2700E028" w14:textId="77777777" w:rsidR="00DF60C7" w:rsidRDefault="00DF60C7" w:rsidP="00CE5053">
      <w:pPr>
        <w:pStyle w:val="ListParagraph"/>
        <w:numPr>
          <w:ilvl w:val="1"/>
          <w:numId w:val="13"/>
        </w:numPr>
        <w:spacing w:after="240"/>
        <w:ind w:left="737" w:hanging="737"/>
        <w:contextualSpacing w:val="0"/>
      </w:pPr>
      <w:r>
        <w:t>The IDP seeks to identify the specific infrastructure that may have cross-boundary implications and support other work relating to this requirement (including joint-working activities, the preparation and updating of Statement of Common Ground documents through the plan-making process).</w:t>
      </w:r>
    </w:p>
    <w:p w14:paraId="56B46C6C" w14:textId="77777777" w:rsidR="00DF60C7" w:rsidRPr="00161816" w:rsidRDefault="00525D6A" w:rsidP="00CE5053">
      <w:pPr>
        <w:ind w:left="720" w:hanging="720"/>
        <w:rPr>
          <w:b/>
        </w:rPr>
      </w:pPr>
      <w:r w:rsidRPr="00595E96">
        <w:t xml:space="preserve"> </w:t>
      </w:r>
      <w:r w:rsidR="00DF60C7" w:rsidRPr="00161816">
        <w:rPr>
          <w:b/>
        </w:rPr>
        <w:tab/>
        <w:t>Growth assumptions for this IDP</w:t>
      </w:r>
    </w:p>
    <w:p w14:paraId="2DA8EFE8" w14:textId="77777777" w:rsidR="00BC1266" w:rsidRDefault="006B2846" w:rsidP="00CE5053">
      <w:pPr>
        <w:pStyle w:val="ListParagraph"/>
        <w:numPr>
          <w:ilvl w:val="1"/>
          <w:numId w:val="13"/>
        </w:numPr>
        <w:spacing w:after="240"/>
        <w:ind w:left="737" w:hanging="737"/>
        <w:contextualSpacing w:val="0"/>
      </w:pPr>
      <w:r>
        <w:t>T</w:t>
      </w:r>
      <w:r w:rsidR="00DF60C7">
        <w:t>he London Plan</w:t>
      </w:r>
      <w:r>
        <w:t xml:space="preserve"> has identified that</w:t>
      </w:r>
      <w:r w:rsidR="00DF60C7">
        <w:t xml:space="preserve"> the borough has a housing target to provide </w:t>
      </w:r>
      <w:r w:rsidR="00CD1374">
        <w:t>16,670</w:t>
      </w:r>
      <w:r w:rsidR="00DF60C7">
        <w:t xml:space="preserve"> additional homes (equivalent to </w:t>
      </w:r>
      <w:r w:rsidR="00CD1374">
        <w:t xml:space="preserve">1,667 </w:t>
      </w:r>
      <w:r w:rsidR="00DF60C7">
        <w:t xml:space="preserve">additional homes per year) </w:t>
      </w:r>
      <w:r w:rsidR="00CD1374">
        <w:t xml:space="preserve">over the 10-year period </w:t>
      </w:r>
      <w:r w:rsidR="00BC1266">
        <w:t>0</w:t>
      </w:r>
      <w:r w:rsidR="00DF60C7">
        <w:t>1 April 2019 and 31 March 2029</w:t>
      </w:r>
      <w:r w:rsidR="002C5D72">
        <w:t>.</w:t>
      </w:r>
      <w:r w:rsidR="00DF60C7">
        <w:t xml:space="preserve"> </w:t>
      </w:r>
      <w:r w:rsidR="00BC1266">
        <w:t>The new Local Plan is being prepared in the context of meeting and exceeding this strategic housing requirement.</w:t>
      </w:r>
    </w:p>
    <w:p w14:paraId="52AAABCB" w14:textId="77777777" w:rsidR="00DF60C7" w:rsidRPr="00595E96" w:rsidRDefault="00BC1266" w:rsidP="00CE5053">
      <w:pPr>
        <w:pStyle w:val="ListParagraph"/>
        <w:numPr>
          <w:ilvl w:val="1"/>
          <w:numId w:val="13"/>
        </w:numPr>
        <w:spacing w:after="240"/>
        <w:ind w:left="737" w:hanging="737"/>
        <w:contextualSpacing w:val="0"/>
      </w:pPr>
      <w:r>
        <w:t xml:space="preserve">The council has been working with the GLA to establish borough-level population projections to inform the preparation of the Local Plan and this IDP. </w:t>
      </w:r>
      <w:r w:rsidR="006B2846">
        <w:t>The p</w:t>
      </w:r>
      <w:r w:rsidR="00DF60C7">
        <w:t xml:space="preserve">opulation in the borough is projected to </w:t>
      </w:r>
      <w:r w:rsidR="006B2846">
        <w:t xml:space="preserve">grow </w:t>
      </w:r>
      <w:r w:rsidR="00DF60C7">
        <w:t xml:space="preserve">from 314,000 people </w:t>
      </w:r>
      <w:r w:rsidR="006B2846">
        <w:t>(</w:t>
      </w:r>
      <w:r w:rsidR="00DF60C7">
        <w:t>mid-2019</w:t>
      </w:r>
      <w:r w:rsidR="006B2846">
        <w:t xml:space="preserve"> estimate)</w:t>
      </w:r>
      <w:r w:rsidR="00DF60C7">
        <w:t xml:space="preserve">, to 332,000 people </w:t>
      </w:r>
      <w:r w:rsidR="006B2846">
        <w:t>(</w:t>
      </w:r>
      <w:r w:rsidR="00DF60C7">
        <w:t>mid-2029</w:t>
      </w:r>
      <w:r w:rsidR="006B2846">
        <w:t xml:space="preserve"> estimate; end of the London Plan period)</w:t>
      </w:r>
      <w:r w:rsidR="00DF60C7">
        <w:t xml:space="preserve">, and to 342,500 people </w:t>
      </w:r>
      <w:r w:rsidR="006B2846">
        <w:t>(</w:t>
      </w:r>
      <w:r w:rsidR="00DF60C7">
        <w:t>mid-2034</w:t>
      </w:r>
      <w:r w:rsidR="006B2846">
        <w:t xml:space="preserve"> estimate; </w:t>
      </w:r>
      <w:r w:rsidR="00DF60C7">
        <w:t xml:space="preserve">end of 15 year </w:t>
      </w:r>
      <w:r w:rsidR="006B2846">
        <w:t xml:space="preserve">plan </w:t>
      </w:r>
      <w:r w:rsidR="00DF60C7">
        <w:t>period)</w:t>
      </w:r>
      <w:r w:rsidR="00DB2FC9">
        <w:t>.</w:t>
      </w:r>
    </w:p>
    <w:p w14:paraId="436E2192" w14:textId="77777777" w:rsidR="00DF60C7" w:rsidRPr="00595E96" w:rsidRDefault="00DF60C7" w:rsidP="00CE5053">
      <w:pPr>
        <w:pStyle w:val="ListParagraph"/>
        <w:numPr>
          <w:ilvl w:val="1"/>
          <w:numId w:val="13"/>
        </w:numPr>
        <w:spacing w:after="240"/>
        <w:ind w:left="737" w:hanging="737"/>
        <w:contextualSpacing w:val="0"/>
      </w:pPr>
      <w:r>
        <w:t xml:space="preserve">Between mid-2019 to mid-2034 the number of children aged 11 or below is expected to fall steadily from 51,700 people (16% of total population) to 49,000 people (14% of total population), however the number of children aged 11-18 years old is projected to increase from 26,500 people to 29,300 people (9% of total population). The number of people aged </w:t>
      </w:r>
      <w:r>
        <w:lastRenderedPageBreak/>
        <w:t>65 and over is expected to increase from 29,300 people (9% of total population) to 44,300 people (13% of total population).</w:t>
      </w:r>
    </w:p>
    <w:p w14:paraId="36B49E1D" w14:textId="77777777" w:rsidR="00DF60C7" w:rsidRPr="00595E96" w:rsidRDefault="00F17896" w:rsidP="00CE5053">
      <w:pPr>
        <w:pStyle w:val="ListParagraph"/>
        <w:numPr>
          <w:ilvl w:val="1"/>
          <w:numId w:val="13"/>
        </w:numPr>
        <w:spacing w:after="240"/>
        <w:ind w:left="737" w:hanging="737"/>
        <w:contextualSpacing w:val="0"/>
      </w:pPr>
      <w:r>
        <w:t>C</w:t>
      </w:r>
      <w:r w:rsidR="00DF60C7">
        <w:t>onsistent with assumptions from</w:t>
      </w:r>
      <w:r w:rsidR="00D73250">
        <w:t xml:space="preserve"> the</w:t>
      </w:r>
      <w:r w:rsidR="00DF60C7">
        <w:t xml:space="preserve"> GLA’s Strategic Housing Land Availability Assessment</w:t>
      </w:r>
      <w:r w:rsidR="00D73250">
        <w:t>,</w:t>
      </w:r>
      <w:r w:rsidR="0053701E">
        <w:t xml:space="preserve"> over the Local Plan period</w:t>
      </w:r>
      <w:r w:rsidR="00DF60C7">
        <w:t xml:space="preserve"> population growth is expected to</w:t>
      </w:r>
      <w:r w:rsidR="00D73250">
        <w:t xml:space="preserve"> be</w:t>
      </w:r>
      <w:r w:rsidR="00DF60C7">
        <w:t xml:space="preserve"> concentrate</w:t>
      </w:r>
      <w:r w:rsidR="00D73250">
        <w:t>d</w:t>
      </w:r>
      <w:r w:rsidR="00DF60C7">
        <w:t xml:space="preserve"> within </w:t>
      </w:r>
      <w:r w:rsidR="00D73250">
        <w:t xml:space="preserve">the </w:t>
      </w:r>
      <w:r w:rsidR="00DF60C7">
        <w:t>identified Opportunity Areas, particularly in and around areas of New Cross/Deptford, Catford</w:t>
      </w:r>
      <w:r w:rsidR="00D73250">
        <w:t>,</w:t>
      </w:r>
      <w:r w:rsidR="00DF60C7">
        <w:t xml:space="preserve"> and Lewisham.</w:t>
      </w:r>
    </w:p>
    <w:p w14:paraId="500647B1" w14:textId="77777777" w:rsidR="00DF60C7" w:rsidRPr="00754999" w:rsidRDefault="00DF60C7" w:rsidP="00CE5053">
      <w:pPr>
        <w:pStyle w:val="ListParagraph"/>
        <w:numPr>
          <w:ilvl w:val="1"/>
          <w:numId w:val="13"/>
        </w:numPr>
        <w:spacing w:after="240"/>
        <w:ind w:left="737" w:hanging="737"/>
        <w:contextualSpacing w:val="0"/>
      </w:pPr>
      <w:r>
        <w:t>To support the long-term planning and assessment of infrastructure in the area, working assumptions on potential sites, their location</w:t>
      </w:r>
      <w:r w:rsidR="000D421B">
        <w:t>,</w:t>
      </w:r>
      <w:r>
        <w:t xml:space="preserve"> and</w:t>
      </w:r>
      <w:r w:rsidR="000D421B">
        <w:t xml:space="preserve"> the</w:t>
      </w:r>
      <w:r>
        <w:t xml:space="preserve"> phasing of future developments (and population change) over</w:t>
      </w:r>
      <w:r w:rsidR="000D421B">
        <w:t xml:space="preserve"> the</w:t>
      </w:r>
      <w:r>
        <w:t xml:space="preserve"> plan period were also shared </w:t>
      </w:r>
      <w:r w:rsidR="000D421B">
        <w:t xml:space="preserve">by the Council </w:t>
      </w:r>
      <w:r>
        <w:t>with</w:t>
      </w:r>
      <w:r w:rsidR="00D73250">
        <w:t xml:space="preserve"> relevant</w:t>
      </w:r>
      <w:r>
        <w:t xml:space="preserve"> infrastructure providers and </w:t>
      </w:r>
      <w:r w:rsidR="000D421B">
        <w:t xml:space="preserve">delivery </w:t>
      </w:r>
      <w:r>
        <w:t>partners</w:t>
      </w:r>
      <w:r w:rsidR="000D421B">
        <w:t xml:space="preserve">. </w:t>
      </w:r>
    </w:p>
    <w:p w14:paraId="19219836" w14:textId="77777777" w:rsidR="00666D80" w:rsidRPr="008277FD" w:rsidRDefault="00666D80" w:rsidP="00CE5053">
      <w:pPr>
        <w:numPr>
          <w:ilvl w:val="1"/>
          <w:numId w:val="3"/>
        </w:numPr>
        <w:spacing w:after="60"/>
        <w:ind w:left="1797" w:hanging="357"/>
        <w:contextualSpacing/>
        <w:rPr>
          <w:bCs/>
          <w:sz w:val="19"/>
          <w:szCs w:val="19"/>
        </w:rPr>
      </w:pPr>
      <w:r w:rsidRPr="008277FD">
        <w:rPr>
          <w:bCs/>
          <w:sz w:val="19"/>
          <w:szCs w:val="19"/>
        </w:rPr>
        <w:br w:type="page"/>
      </w:r>
    </w:p>
    <w:p w14:paraId="1AE225E7" w14:textId="77777777" w:rsidR="00DF60C7" w:rsidRPr="00DF60C7" w:rsidRDefault="00DF60C7" w:rsidP="00CE5053">
      <w:pPr>
        <w:pStyle w:val="Heading1"/>
        <w:ind w:left="737" w:hanging="737"/>
      </w:pPr>
      <w:bookmarkStart w:id="4" w:name="_Toc56146002"/>
      <w:r w:rsidRPr="00DF60C7">
        <w:lastRenderedPageBreak/>
        <w:t>Social infrastructure</w:t>
      </w:r>
      <w:bookmarkEnd w:id="4"/>
    </w:p>
    <w:p w14:paraId="7DA10B81" w14:textId="77777777" w:rsidR="00DF60C7" w:rsidRPr="003E0835" w:rsidRDefault="00DF60C7" w:rsidP="00CE5053">
      <w:pPr>
        <w:pStyle w:val="Heading2"/>
      </w:pPr>
      <w:bookmarkStart w:id="5" w:name="_Toc56146003"/>
      <w:r w:rsidRPr="003E0835">
        <w:t>Education and childcare facilities</w:t>
      </w:r>
      <w:bookmarkEnd w:id="5"/>
    </w:p>
    <w:p w14:paraId="296FEF7D" w14:textId="77777777" w:rsidR="008277FD" w:rsidRPr="008277FD" w:rsidRDefault="008277FD" w:rsidP="00CE5053">
      <w:pPr>
        <w:pStyle w:val="ListParagraph"/>
        <w:numPr>
          <w:ilvl w:val="0"/>
          <w:numId w:val="13"/>
        </w:numPr>
        <w:spacing w:after="240"/>
        <w:contextualSpacing w:val="0"/>
        <w:rPr>
          <w:vanish/>
        </w:rPr>
      </w:pPr>
    </w:p>
    <w:p w14:paraId="1EED14E7" w14:textId="77777777" w:rsidR="00B15E21" w:rsidRDefault="00B15E21" w:rsidP="00CE5053">
      <w:pPr>
        <w:pStyle w:val="ListParagraph"/>
        <w:numPr>
          <w:ilvl w:val="2"/>
          <w:numId w:val="13"/>
        </w:numPr>
        <w:spacing w:after="240"/>
        <w:ind w:left="737" w:hanging="737"/>
        <w:contextualSpacing w:val="0"/>
      </w:pPr>
      <w:r w:rsidRPr="00595E96">
        <w:t>Local authorities in England have a statutory duty to provide sufficient school places for pupils of statutory school age within their local authority area. London Plan Policy S3 ‘Education &amp; Childcare Facilities’ sets out the requirement for London’s boroughs to identify and address local needs and any shortages in supply both locally and sub-regionally, and to identify sites for future provision, particularly in areas w</w:t>
      </w:r>
      <w:r w:rsidR="00CD7C15">
        <w:t>ith significant planned growth.</w:t>
      </w:r>
    </w:p>
    <w:p w14:paraId="51E7C640" w14:textId="77777777" w:rsidR="00B15E21" w:rsidRDefault="00B15E21" w:rsidP="00CE5053">
      <w:pPr>
        <w:pStyle w:val="Heading3"/>
      </w:pPr>
      <w:bookmarkStart w:id="6" w:name="_Hlk6399239"/>
      <w:bookmarkStart w:id="7" w:name="_Toc56146004"/>
      <w:r w:rsidRPr="006E08AE">
        <w:t>Childcare and Early Education</w:t>
      </w:r>
      <w:bookmarkEnd w:id="6"/>
      <w:bookmarkEnd w:id="7"/>
    </w:p>
    <w:p w14:paraId="3A47E463" w14:textId="77777777" w:rsidR="00B15E21" w:rsidRPr="00BD4F99" w:rsidRDefault="00B15E21" w:rsidP="00CE5053">
      <w:pPr>
        <w:tabs>
          <w:tab w:val="left" w:pos="720"/>
          <w:tab w:val="left" w:pos="1440"/>
          <w:tab w:val="left" w:pos="2160"/>
          <w:tab w:val="left" w:pos="2713"/>
          <w:tab w:val="left" w:pos="3349"/>
        </w:tabs>
        <w:spacing w:after="120"/>
        <w:ind w:left="720" w:hanging="720"/>
        <w:rPr>
          <w:b/>
        </w:rPr>
      </w:pPr>
      <w:r w:rsidRPr="00595E96">
        <w:tab/>
      </w:r>
      <w:r w:rsidRPr="00595E96">
        <w:rPr>
          <w:b/>
        </w:rPr>
        <w:t>Policy context</w:t>
      </w:r>
    </w:p>
    <w:p w14:paraId="4CEE6D4E" w14:textId="77777777" w:rsidR="00B15E21" w:rsidRPr="008277FD" w:rsidRDefault="00B15E21" w:rsidP="00CE5053">
      <w:pPr>
        <w:pStyle w:val="ListParagraph"/>
        <w:numPr>
          <w:ilvl w:val="2"/>
          <w:numId w:val="13"/>
        </w:numPr>
        <w:spacing w:after="240"/>
        <w:ind w:left="737" w:hanging="737"/>
        <w:contextualSpacing w:val="0"/>
      </w:pPr>
      <w:r w:rsidRPr="008277FD">
        <w:t xml:space="preserve">Childcare and early years education typically refers to nursery provisions for children under 5 years old, delivered through a range of settings, including nursery schools, primary schools with nursery classes, private, voluntary and independent (PVI) and child-minding businesses. All children aged between three and four years old in England are entitled to 570 hours of funded early education per year (usually taken as 15 hours a week for 38 weeks of the year) with an approved childcare provider (some two year olds from families receiving some forms of support are also eligible). In September 2017 this </w:t>
      </w:r>
      <w:r w:rsidR="003F58AF">
        <w:t>provision</w:t>
      </w:r>
      <w:r w:rsidRPr="008277FD">
        <w:t xml:space="preserve"> increased to 30 hours per week for children aged 3 and 4 f</w:t>
      </w:r>
      <w:r w:rsidR="003F58AF">
        <w:t>or</w:t>
      </w:r>
      <w:r w:rsidRPr="008277FD">
        <w:t xml:space="preserve"> eligible households.</w:t>
      </w:r>
    </w:p>
    <w:p w14:paraId="11291FD3" w14:textId="77777777" w:rsidR="00B15E21" w:rsidRPr="008277FD" w:rsidRDefault="00B15E21" w:rsidP="00CE5053">
      <w:pPr>
        <w:pStyle w:val="ListParagraph"/>
        <w:numPr>
          <w:ilvl w:val="2"/>
          <w:numId w:val="13"/>
        </w:numPr>
        <w:spacing w:after="240"/>
        <w:ind w:left="737" w:hanging="737"/>
        <w:contextualSpacing w:val="0"/>
      </w:pPr>
      <w:r w:rsidRPr="008277FD">
        <w:t xml:space="preserve">The Council’s 2019 Childcare Sufficiency Assessment provides an overall assessment of childcare provision and demand in the borough and identifies the priorities for the coming years. The Council’s Place Planning Strategy 2017-2022 sets out the Council’s overall principles and strategy for ensuring sufficient childcare provision in the area over the relevant period. </w:t>
      </w:r>
      <w:bookmarkStart w:id="8" w:name="_Hlk5202694"/>
      <w:r w:rsidRPr="008277FD">
        <w:t>Progress against the Place Planning Strategy 2017-2022 is reviewed on a yearly basis in an update report to the council’s Children &amp; Young People Select Committee.</w:t>
      </w:r>
      <w:bookmarkEnd w:id="8"/>
    </w:p>
    <w:p w14:paraId="284FAE61" w14:textId="77777777" w:rsidR="00B15E21" w:rsidRDefault="00B15E21" w:rsidP="00CE5053">
      <w:pPr>
        <w:spacing w:before="240" w:after="120" w:line="252" w:lineRule="auto"/>
        <w:ind w:left="720"/>
        <w:rPr>
          <w:rFonts w:cs="Arial"/>
          <w:b/>
          <w:bCs/>
        </w:rPr>
      </w:pPr>
      <w:r>
        <w:rPr>
          <w:rFonts w:cs="Arial"/>
          <w:b/>
          <w:bCs/>
        </w:rPr>
        <w:t>Current situation</w:t>
      </w:r>
    </w:p>
    <w:p w14:paraId="53FDC9FA" w14:textId="77777777" w:rsidR="00B15E21" w:rsidRPr="008277FD" w:rsidRDefault="00B15E21" w:rsidP="00CE5053">
      <w:pPr>
        <w:pStyle w:val="ListParagraph"/>
        <w:numPr>
          <w:ilvl w:val="2"/>
          <w:numId w:val="13"/>
        </w:numPr>
        <w:spacing w:after="240"/>
        <w:ind w:left="737" w:hanging="737"/>
        <w:contextualSpacing w:val="0"/>
      </w:pPr>
      <w:r w:rsidRPr="008277FD">
        <w:t>The Council’s 2019 Childcare Sufficiency Assessment estimated that at September 2019 there were over 9,724 early education places in the borough. More than half of children in early education in the borough attend places within private, voluntary and independent (PVI) settings, with around 30% attending places within schools, and 10% through childminders. The 2019 early years census also reported that while 82% of eligible three to four year olds accessed funded places (with 96% doing so in good or/and outstanding quality settings), a lower level of 56% of eligible two year olds accessed funded places (with 97% doing so in good or outstanding quality settings).</w:t>
      </w:r>
    </w:p>
    <w:p w14:paraId="7259E27A" w14:textId="77777777" w:rsidR="00B15E21" w:rsidRDefault="00B15E21" w:rsidP="00CE5053">
      <w:pPr>
        <w:spacing w:before="240" w:after="120" w:line="252" w:lineRule="auto"/>
        <w:ind w:left="720"/>
        <w:rPr>
          <w:rFonts w:cs="Arial"/>
          <w:b/>
          <w:bCs/>
        </w:rPr>
      </w:pPr>
      <w:r>
        <w:rPr>
          <w:rFonts w:cs="Arial"/>
          <w:b/>
          <w:bCs/>
        </w:rPr>
        <w:t>Future requirement</w:t>
      </w:r>
    </w:p>
    <w:p w14:paraId="112D0995" w14:textId="77777777" w:rsidR="00B15E21" w:rsidRPr="008277FD" w:rsidRDefault="00B15E21" w:rsidP="00CE5053">
      <w:pPr>
        <w:pStyle w:val="ListParagraph"/>
        <w:numPr>
          <w:ilvl w:val="2"/>
          <w:numId w:val="13"/>
        </w:numPr>
        <w:spacing w:after="240"/>
        <w:ind w:left="737" w:hanging="737"/>
        <w:contextualSpacing w:val="0"/>
      </w:pPr>
      <w:r>
        <w:t xml:space="preserve">The Council’s Place Planning Strategy 2017-2022 indicates that </w:t>
      </w:r>
      <w:r w:rsidR="07DC9B2B">
        <w:t>overall,</w:t>
      </w:r>
      <w:r>
        <w:t xml:space="preserve"> </w:t>
      </w:r>
      <w:r w:rsidR="1B46C9EA">
        <w:t xml:space="preserve">it is likely </w:t>
      </w:r>
      <w:r>
        <w:t>there will  be sufficient childcare and early education places to meet anticipated demand  (including the extended entitlement) over the strategy’s period. Despite the strategy determining that there is not a current need for additional places, additional investment has been made to improve the flexibility of the service, as well as improving the quality of provision, particularly for children with special or additional learning needs.</w:t>
      </w:r>
    </w:p>
    <w:p w14:paraId="33324289" w14:textId="77777777" w:rsidR="00B15E21" w:rsidRPr="008277FD" w:rsidRDefault="00B15E21" w:rsidP="00CE5053">
      <w:pPr>
        <w:pStyle w:val="ListParagraph"/>
        <w:numPr>
          <w:ilvl w:val="2"/>
          <w:numId w:val="13"/>
        </w:numPr>
        <w:spacing w:after="240"/>
        <w:ind w:left="737" w:hanging="737"/>
        <w:contextualSpacing w:val="0"/>
      </w:pPr>
      <w:r>
        <w:t>For the purpose of this IDP no specific infrastructure requirement ha</w:t>
      </w:r>
      <w:r w:rsidR="29A40077">
        <w:t>s</w:t>
      </w:r>
      <w:r>
        <w:t xml:space="preserve"> been identified for childcare and early education provision. It is however noted that given that the demand for </w:t>
      </w:r>
      <w:r>
        <w:lastRenderedPageBreak/>
        <w:t>formal childcare across London is projected to increase over the longer term, requirement for additional childcare and early education provisions and facilities may need to be considered alongside larger development proposals to improve choice and ensure sufficient access to affordable and high-quality childcare. This will be monitored in future IDP updates.</w:t>
      </w:r>
    </w:p>
    <w:p w14:paraId="112AF8D2" w14:textId="77777777" w:rsidR="00B15E21" w:rsidRPr="008277FD" w:rsidRDefault="00B15E21" w:rsidP="00CE5053">
      <w:pPr>
        <w:pStyle w:val="Heading3"/>
      </w:pPr>
      <w:bookmarkStart w:id="9" w:name="_Toc56146005"/>
      <w:r w:rsidRPr="008277FD">
        <w:t>Primary education</w:t>
      </w:r>
      <w:bookmarkEnd w:id="9"/>
    </w:p>
    <w:p w14:paraId="14D76DF4" w14:textId="77777777" w:rsidR="00B15E21" w:rsidRPr="005A0648" w:rsidRDefault="00B15E21" w:rsidP="00CE5053">
      <w:pPr>
        <w:tabs>
          <w:tab w:val="left" w:pos="720"/>
          <w:tab w:val="left" w:pos="1440"/>
          <w:tab w:val="left" w:pos="2160"/>
          <w:tab w:val="left" w:pos="2713"/>
          <w:tab w:val="left" w:pos="3349"/>
        </w:tabs>
        <w:spacing w:after="120"/>
        <w:ind w:left="720" w:hanging="720"/>
        <w:rPr>
          <w:b/>
        </w:rPr>
      </w:pPr>
      <w:r w:rsidRPr="00595E96">
        <w:tab/>
      </w:r>
      <w:r w:rsidRPr="00595E96">
        <w:rPr>
          <w:b/>
        </w:rPr>
        <w:t xml:space="preserve">Policy </w:t>
      </w:r>
      <w:r w:rsidRPr="005A0648">
        <w:rPr>
          <w:b/>
        </w:rPr>
        <w:t>context</w:t>
      </w:r>
    </w:p>
    <w:p w14:paraId="4E296B2B" w14:textId="77777777" w:rsidR="00B15E21" w:rsidRDefault="00B15E21" w:rsidP="00CE5053">
      <w:pPr>
        <w:pStyle w:val="ListParagraph"/>
        <w:numPr>
          <w:ilvl w:val="2"/>
          <w:numId w:val="13"/>
        </w:numPr>
        <w:spacing w:after="240"/>
        <w:ind w:left="737" w:hanging="737"/>
        <w:contextualSpacing w:val="0"/>
      </w:pPr>
      <w:r>
        <w:t xml:space="preserve">Lewisham’s </w:t>
      </w:r>
      <w:r w:rsidRPr="00595E96">
        <w:t xml:space="preserve">Place Planning Strategy 2017-22 outlines </w:t>
      </w:r>
      <w:r>
        <w:t>the Council’s</w:t>
      </w:r>
      <w:r w:rsidRPr="00595E96">
        <w:t xml:space="preserve"> approach to school place planning</w:t>
      </w:r>
      <w:r>
        <w:t>.</w:t>
      </w:r>
      <w:r w:rsidRPr="00595E96">
        <w:t xml:space="preserve"> The strategy assesses the capacity of schools using either the school’s Net Capacity or the school’s Published Admission Number (PAN). The Net Capacity is a standard government calculation made based on a school’s available teaching area, with the PAN being the number of places available at the normal point of entry.</w:t>
      </w:r>
    </w:p>
    <w:p w14:paraId="5569C448" w14:textId="77777777" w:rsidR="00B15E21" w:rsidRPr="005A0648" w:rsidRDefault="00B15E21" w:rsidP="00CE5053">
      <w:pPr>
        <w:tabs>
          <w:tab w:val="left" w:pos="720"/>
          <w:tab w:val="left" w:pos="1440"/>
          <w:tab w:val="left" w:pos="2160"/>
          <w:tab w:val="left" w:pos="2713"/>
          <w:tab w:val="left" w:pos="3349"/>
        </w:tabs>
        <w:spacing w:before="240" w:after="120"/>
        <w:ind w:left="720" w:hanging="720"/>
        <w:rPr>
          <w:b/>
        </w:rPr>
      </w:pPr>
      <w:r w:rsidRPr="005A0648">
        <w:rPr>
          <w:b/>
        </w:rPr>
        <w:tab/>
        <w:t>Current situation</w:t>
      </w:r>
    </w:p>
    <w:p w14:paraId="4806A8E8" w14:textId="77777777" w:rsidR="00B15E21" w:rsidRPr="00595E96" w:rsidRDefault="00B15E21" w:rsidP="00CE5053">
      <w:pPr>
        <w:pStyle w:val="ListParagraph"/>
        <w:numPr>
          <w:ilvl w:val="2"/>
          <w:numId w:val="13"/>
        </w:numPr>
        <w:spacing w:after="240"/>
        <w:ind w:left="737" w:hanging="737"/>
        <w:contextualSpacing w:val="0"/>
      </w:pPr>
      <w:r>
        <w:t xml:space="preserve">As of the 2018/19 school year there were 64 state-funded primary schools in the borough providing a net capacity of 25,974 places. As of </w:t>
      </w:r>
      <w:r w:rsidR="2D280F62">
        <w:t xml:space="preserve">the </w:t>
      </w:r>
      <w:r>
        <w:t>May 2018 School Census there were 23,377 pupils on roll (NOR). Based on net capacity, 10 primary schools were identified to be either at capacity, or have a NOR in excess of the school’s capacity. Within the borough 54 schools were identified to have one or more unfilled places, with the total number of 2,695 unfilled places (10.4% of total places).</w:t>
      </w:r>
      <w:bookmarkStart w:id="10" w:name="_Hlk5715985"/>
      <w:bookmarkEnd w:id="10"/>
    </w:p>
    <w:p w14:paraId="43EB24B4" w14:textId="77777777" w:rsidR="00B15E21" w:rsidRDefault="00B15E21" w:rsidP="00CE5053">
      <w:pPr>
        <w:pStyle w:val="ListParagraph"/>
        <w:numPr>
          <w:ilvl w:val="2"/>
          <w:numId w:val="13"/>
        </w:numPr>
        <w:spacing w:after="480"/>
        <w:ind w:left="720" w:hanging="720"/>
        <w:contextualSpacing w:val="0"/>
      </w:pPr>
      <w:r>
        <w:t>In terms of new entrants, the Council’s Revised Forecast for Summer 2018 found that the total PAN for the borough was estimated to be 3,900 places, with a forecasted 3,617 students expected to enrol. As a general principle the Council seeks to maintain a 3% surplus in school places to account for parental preference in choosing a school, and to accommodate additional admissions throughout the year. The Council’s forecasts suggest that there are sufficient places to meet pupil demand in the 2018/2019 academic year including a 3% surplus allowance.</w:t>
      </w:r>
    </w:p>
    <w:tbl>
      <w:tblPr>
        <w:tblStyle w:val="ListTable3-Accent32"/>
        <w:tblW w:w="4590"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Estimate of pupil demand"/>
      </w:tblPr>
      <w:tblGrid>
        <w:gridCol w:w="1787"/>
        <w:gridCol w:w="1787"/>
        <w:gridCol w:w="1788"/>
        <w:gridCol w:w="1788"/>
        <w:gridCol w:w="1788"/>
      </w:tblGrid>
      <w:tr w:rsidR="00B15E21" w:rsidRPr="00324C84" w14:paraId="6A5E64B8"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000" w:type="pct"/>
            <w:tcBorders>
              <w:bottom w:val="single" w:sz="4" w:space="0" w:color="FFFFFF" w:themeColor="background1"/>
            </w:tcBorders>
            <w:shd w:val="clear" w:color="auto" w:fill="002060"/>
          </w:tcPr>
          <w:p w14:paraId="7194DBDC" w14:textId="77777777" w:rsidR="00B15E21" w:rsidRPr="00AF31D5" w:rsidRDefault="00B15E21" w:rsidP="00CE5053">
            <w:pPr>
              <w:tabs>
                <w:tab w:val="center" w:pos="3056"/>
                <w:tab w:val="left" w:pos="4975"/>
              </w:tabs>
              <w:spacing w:before="40" w:after="40"/>
              <w:rPr>
                <w:b w:val="0"/>
                <w:sz w:val="20"/>
                <w:szCs w:val="20"/>
              </w:rPr>
            </w:pPr>
          </w:p>
        </w:tc>
        <w:tc>
          <w:tcPr>
            <w:tcW w:w="1000" w:type="pct"/>
            <w:tcBorders>
              <w:bottom w:val="single" w:sz="4" w:space="0" w:color="FFFFFF" w:themeColor="background1"/>
            </w:tcBorders>
            <w:shd w:val="clear" w:color="auto" w:fill="002060"/>
          </w:tcPr>
          <w:p w14:paraId="4DE87F86"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20"/>
                <w:szCs w:val="20"/>
              </w:rPr>
            </w:pPr>
            <w:r w:rsidRPr="00AF31D5">
              <w:rPr>
                <w:sz w:val="20"/>
                <w:szCs w:val="20"/>
              </w:rPr>
              <w:t>PAN (class places)</w:t>
            </w:r>
          </w:p>
        </w:tc>
        <w:tc>
          <w:tcPr>
            <w:tcW w:w="1000" w:type="pct"/>
            <w:tcBorders>
              <w:bottom w:val="single" w:sz="4" w:space="0" w:color="FFFFFF" w:themeColor="background1"/>
            </w:tcBorders>
            <w:shd w:val="clear" w:color="auto" w:fill="002060"/>
          </w:tcPr>
          <w:p w14:paraId="10E9EFFD"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F31D5">
              <w:rPr>
                <w:sz w:val="20"/>
                <w:szCs w:val="20"/>
              </w:rPr>
              <w:t>Forecast demand</w:t>
            </w:r>
          </w:p>
        </w:tc>
        <w:tc>
          <w:tcPr>
            <w:tcW w:w="1000" w:type="pct"/>
            <w:tcBorders>
              <w:bottom w:val="single" w:sz="4" w:space="0" w:color="FFFFFF" w:themeColor="background1"/>
            </w:tcBorders>
            <w:shd w:val="clear" w:color="auto" w:fill="002060"/>
          </w:tcPr>
          <w:p w14:paraId="46748DCF"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F31D5">
              <w:rPr>
                <w:sz w:val="20"/>
                <w:szCs w:val="20"/>
              </w:rPr>
              <w:t>Forecast demand + 3%</w:t>
            </w:r>
          </w:p>
        </w:tc>
        <w:tc>
          <w:tcPr>
            <w:tcW w:w="1000" w:type="pct"/>
            <w:tcBorders>
              <w:bottom w:val="single" w:sz="4" w:space="0" w:color="FFFFFF" w:themeColor="background1"/>
            </w:tcBorders>
            <w:shd w:val="clear" w:color="auto" w:fill="002060"/>
          </w:tcPr>
          <w:p w14:paraId="6EDD415D"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F31D5">
              <w:rPr>
                <w:sz w:val="20"/>
                <w:szCs w:val="20"/>
              </w:rPr>
              <w:t>Implied oversupply</w:t>
            </w:r>
          </w:p>
        </w:tc>
      </w:tr>
      <w:tr w:rsidR="00B15E21" w:rsidRPr="00324C84" w14:paraId="65732884" w14:textId="77777777" w:rsidTr="00CD7C15">
        <w:trPr>
          <w:cnfStyle w:val="000000100000" w:firstRow="0" w:lastRow="0" w:firstColumn="0" w:lastColumn="0" w:oddVBand="0" w:evenVBand="0" w:oddHBand="1" w:evenHBand="0" w:firstRowFirstColumn="0" w:firstRowLastColumn="0" w:lastRowFirstColumn="0" w:lastRowLastColumn="0"/>
          <w:trHeight w:val="92"/>
          <w:jc w:val="right"/>
        </w:trPr>
        <w:tc>
          <w:tcPr>
            <w:cnfStyle w:val="001000000000" w:firstRow="0" w:lastRow="0" w:firstColumn="1" w:lastColumn="0" w:oddVBand="0" w:evenVBand="0" w:oddHBand="0" w:evenHBand="0" w:firstRowFirstColumn="0" w:firstRowLastColumn="0" w:lastRowFirstColumn="0" w:lastRowLastColumn="0"/>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AE1F118" w14:textId="77777777" w:rsidR="00B15E21" w:rsidRPr="00324C84" w:rsidRDefault="00B15E21" w:rsidP="00CE5053">
            <w:pPr>
              <w:spacing w:before="40" w:after="40"/>
              <w:rPr>
                <w:sz w:val="20"/>
                <w:szCs w:val="20"/>
              </w:rPr>
            </w:pPr>
            <w:r>
              <w:rPr>
                <w:sz w:val="20"/>
                <w:szCs w:val="20"/>
              </w:rPr>
              <w:t>Centre &amp; NE</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0021F309"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990</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31AF060A"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999</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781E2B53"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1,029</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4106E4E4"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- 9</w:t>
            </w:r>
          </w:p>
        </w:tc>
      </w:tr>
      <w:tr w:rsidR="00B15E21" w:rsidRPr="00324C84" w14:paraId="34FC9F22" w14:textId="77777777" w:rsidTr="00CD7C15">
        <w:trPr>
          <w:jc w:val="right"/>
        </w:trPr>
        <w:tc>
          <w:tcPr>
            <w:cnfStyle w:val="001000000000" w:firstRow="0" w:lastRow="0" w:firstColumn="1" w:lastColumn="0" w:oddVBand="0" w:evenVBand="0" w:oddHBand="0" w:evenHBand="0" w:firstRowFirstColumn="0" w:firstRowLastColumn="0" w:lastRowFirstColumn="0" w:lastRowLastColumn="0"/>
            <w:tcW w:w="1000" w:type="pct"/>
            <w:shd w:val="clear" w:color="auto" w:fill="F2F2F2" w:themeFill="background1" w:themeFillShade="F2"/>
            <w:vAlign w:val="center"/>
          </w:tcPr>
          <w:p w14:paraId="550FC9BB" w14:textId="77777777" w:rsidR="00B15E21" w:rsidRPr="00324C84" w:rsidRDefault="00B15E21" w:rsidP="00CE5053">
            <w:pPr>
              <w:spacing w:before="40" w:after="40"/>
              <w:rPr>
                <w:sz w:val="20"/>
                <w:szCs w:val="20"/>
              </w:rPr>
            </w:pPr>
            <w:r>
              <w:rPr>
                <w:sz w:val="20"/>
                <w:szCs w:val="20"/>
              </w:rPr>
              <w:t>North West</w:t>
            </w:r>
          </w:p>
        </w:tc>
        <w:tc>
          <w:tcPr>
            <w:tcW w:w="1000" w:type="pct"/>
            <w:shd w:val="clear" w:color="auto" w:fill="F2F2F2" w:themeFill="background1" w:themeFillShade="F2"/>
          </w:tcPr>
          <w:p w14:paraId="0710BD0B"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990</w:t>
            </w:r>
          </w:p>
        </w:tc>
        <w:tc>
          <w:tcPr>
            <w:tcW w:w="1000" w:type="pct"/>
            <w:shd w:val="clear" w:color="auto" w:fill="F2F2F2" w:themeFill="background1" w:themeFillShade="F2"/>
          </w:tcPr>
          <w:p w14:paraId="53704596"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828</w:t>
            </w:r>
          </w:p>
        </w:tc>
        <w:tc>
          <w:tcPr>
            <w:tcW w:w="1000" w:type="pct"/>
            <w:shd w:val="clear" w:color="auto" w:fill="F2F2F2" w:themeFill="background1" w:themeFillShade="F2"/>
          </w:tcPr>
          <w:p w14:paraId="3A2396BF"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853</w:t>
            </w:r>
          </w:p>
        </w:tc>
        <w:tc>
          <w:tcPr>
            <w:tcW w:w="1000" w:type="pct"/>
            <w:shd w:val="clear" w:color="auto" w:fill="F2F2F2" w:themeFill="background1" w:themeFillShade="F2"/>
          </w:tcPr>
          <w:p w14:paraId="1DCDD72D"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162</w:t>
            </w:r>
          </w:p>
        </w:tc>
      </w:tr>
      <w:tr w:rsidR="00B15E21" w:rsidRPr="00324C84" w14:paraId="09F230C6" w14:textId="77777777" w:rsidTr="00CD7C1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34CD0DF" w14:textId="77777777" w:rsidR="00B15E21" w:rsidRDefault="00B15E21" w:rsidP="00CE5053">
            <w:pPr>
              <w:spacing w:before="40" w:after="40"/>
              <w:rPr>
                <w:sz w:val="20"/>
                <w:szCs w:val="20"/>
              </w:rPr>
            </w:pPr>
            <w:r>
              <w:rPr>
                <w:sz w:val="20"/>
                <w:szCs w:val="20"/>
              </w:rPr>
              <w:t>South East</w:t>
            </w:r>
          </w:p>
        </w:tc>
        <w:tc>
          <w:tcPr>
            <w:tcW w:w="1000" w:type="pct"/>
            <w:tcBorders>
              <w:top w:val="single" w:sz="4" w:space="0" w:color="FFFFFF" w:themeColor="background1"/>
              <w:bottom w:val="single" w:sz="4" w:space="0" w:color="FFFFFF" w:themeColor="background1"/>
            </w:tcBorders>
            <w:shd w:val="clear" w:color="auto" w:fill="EDEDED" w:themeFill="accent3" w:themeFillTint="33"/>
          </w:tcPr>
          <w:p w14:paraId="5D9FA01A"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1,020</w:t>
            </w:r>
          </w:p>
        </w:tc>
        <w:tc>
          <w:tcPr>
            <w:tcW w:w="1000" w:type="pct"/>
            <w:tcBorders>
              <w:top w:val="single" w:sz="4" w:space="0" w:color="FFFFFF" w:themeColor="background1"/>
              <w:bottom w:val="single" w:sz="4" w:space="0" w:color="FFFFFF" w:themeColor="background1"/>
            </w:tcBorders>
            <w:shd w:val="clear" w:color="auto" w:fill="EDEDED" w:themeFill="accent3" w:themeFillTint="33"/>
          </w:tcPr>
          <w:p w14:paraId="372C2A13"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934</w:t>
            </w:r>
          </w:p>
        </w:tc>
        <w:tc>
          <w:tcPr>
            <w:tcW w:w="1000" w:type="pct"/>
            <w:tcBorders>
              <w:top w:val="single" w:sz="4" w:space="0" w:color="FFFFFF" w:themeColor="background1"/>
              <w:bottom w:val="single" w:sz="4" w:space="0" w:color="FFFFFF" w:themeColor="background1"/>
            </w:tcBorders>
            <w:shd w:val="clear" w:color="auto" w:fill="EDEDED" w:themeFill="accent3" w:themeFillTint="33"/>
          </w:tcPr>
          <w:p w14:paraId="038555E6"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962</w:t>
            </w:r>
          </w:p>
        </w:tc>
        <w:tc>
          <w:tcPr>
            <w:tcW w:w="1000" w:type="pct"/>
            <w:tcBorders>
              <w:top w:val="single" w:sz="4" w:space="0" w:color="FFFFFF" w:themeColor="background1"/>
              <w:bottom w:val="single" w:sz="4" w:space="0" w:color="FFFFFF" w:themeColor="background1"/>
            </w:tcBorders>
            <w:shd w:val="clear" w:color="auto" w:fill="EDEDED" w:themeFill="accent3" w:themeFillTint="33"/>
          </w:tcPr>
          <w:p w14:paraId="4894D1EF"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86</w:t>
            </w:r>
          </w:p>
        </w:tc>
      </w:tr>
      <w:tr w:rsidR="00B15E21" w:rsidRPr="00324C84" w14:paraId="1709C1C1" w14:textId="77777777" w:rsidTr="00CD7C15">
        <w:trPr>
          <w:jc w:val="right"/>
        </w:trPr>
        <w:tc>
          <w:tcPr>
            <w:cnfStyle w:val="001000000000" w:firstRow="0" w:lastRow="0" w:firstColumn="1" w:lastColumn="0" w:oddVBand="0" w:evenVBand="0" w:oddHBand="0" w:evenHBand="0" w:firstRowFirstColumn="0" w:firstRowLastColumn="0" w:lastRowFirstColumn="0" w:lastRowLastColumn="0"/>
            <w:tcW w:w="1000" w:type="pct"/>
            <w:shd w:val="clear" w:color="auto" w:fill="F2F2F2" w:themeFill="background1" w:themeFillShade="F2"/>
            <w:vAlign w:val="center"/>
          </w:tcPr>
          <w:p w14:paraId="053D625E" w14:textId="77777777" w:rsidR="00B15E21" w:rsidRDefault="00B15E21" w:rsidP="00CE5053">
            <w:pPr>
              <w:spacing w:before="40" w:after="40"/>
              <w:rPr>
                <w:sz w:val="20"/>
                <w:szCs w:val="20"/>
              </w:rPr>
            </w:pPr>
            <w:r>
              <w:rPr>
                <w:sz w:val="20"/>
                <w:szCs w:val="20"/>
              </w:rPr>
              <w:t>South West</w:t>
            </w:r>
          </w:p>
        </w:tc>
        <w:tc>
          <w:tcPr>
            <w:tcW w:w="1000" w:type="pct"/>
            <w:shd w:val="clear" w:color="auto" w:fill="F2F2F2" w:themeFill="background1" w:themeFillShade="F2"/>
          </w:tcPr>
          <w:p w14:paraId="71E46982"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900</w:t>
            </w:r>
          </w:p>
        </w:tc>
        <w:tc>
          <w:tcPr>
            <w:tcW w:w="1000" w:type="pct"/>
            <w:shd w:val="clear" w:color="auto" w:fill="F2F2F2" w:themeFill="background1" w:themeFillShade="F2"/>
          </w:tcPr>
          <w:p w14:paraId="58D49981"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856</w:t>
            </w:r>
          </w:p>
        </w:tc>
        <w:tc>
          <w:tcPr>
            <w:tcW w:w="1000" w:type="pct"/>
            <w:shd w:val="clear" w:color="auto" w:fill="F2F2F2" w:themeFill="background1" w:themeFillShade="F2"/>
          </w:tcPr>
          <w:p w14:paraId="4D29F78B"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882</w:t>
            </w:r>
          </w:p>
        </w:tc>
        <w:tc>
          <w:tcPr>
            <w:tcW w:w="1000" w:type="pct"/>
            <w:shd w:val="clear" w:color="auto" w:fill="F2F2F2" w:themeFill="background1" w:themeFillShade="F2"/>
          </w:tcPr>
          <w:p w14:paraId="64397A95"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44</w:t>
            </w:r>
          </w:p>
        </w:tc>
      </w:tr>
      <w:tr w:rsidR="00B15E21" w:rsidRPr="00324C84" w14:paraId="2C07664E" w14:textId="77777777" w:rsidTr="00CD7C1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03E48D3" w14:textId="77777777" w:rsidR="00B15E21" w:rsidRDefault="00B15E21" w:rsidP="00CE5053">
            <w:pPr>
              <w:spacing w:before="40" w:after="40"/>
              <w:rPr>
                <w:sz w:val="20"/>
                <w:szCs w:val="20"/>
              </w:rPr>
            </w:pPr>
            <w:r>
              <w:rPr>
                <w:sz w:val="20"/>
                <w:szCs w:val="20"/>
              </w:rPr>
              <w:t>LB Lewisham Total</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1A222CCA"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3,900</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4438EA0C"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3,617</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71D24966"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3,726</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72A1D356"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283</w:t>
            </w:r>
          </w:p>
        </w:tc>
      </w:tr>
    </w:tbl>
    <w:p w14:paraId="021A5BFE" w14:textId="77777777" w:rsidR="00B15E21" w:rsidRDefault="00B15E21" w:rsidP="00CE5053">
      <w:pPr>
        <w:pStyle w:val="Caption"/>
        <w:spacing w:before="120" w:after="480"/>
        <w:ind w:firstLine="737"/>
        <w:rPr>
          <w:i w:val="0"/>
          <w:color w:val="auto"/>
        </w:rPr>
      </w:pPr>
      <w:r w:rsidRPr="005A0648">
        <w:rPr>
          <w:b/>
          <w:i w:val="0"/>
          <w:color w:val="auto"/>
        </w:rPr>
        <w:t xml:space="preserve">Table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1</w:t>
      </w:r>
      <w:r>
        <w:rPr>
          <w:b/>
          <w:i w:val="0"/>
          <w:color w:val="auto"/>
        </w:rPr>
        <w:fldChar w:fldCharType="end"/>
      </w:r>
      <w:r w:rsidRPr="005A0648">
        <w:rPr>
          <w:i w:val="0"/>
          <w:color w:val="auto"/>
        </w:rPr>
        <w:t xml:space="preserve"> Estimate of pupil demand and PAN at reception, 2018/19. Source: London Borough of Lewisham</w:t>
      </w:r>
    </w:p>
    <w:p w14:paraId="4B45ABFD" w14:textId="77777777" w:rsidR="00CD7C15" w:rsidRDefault="00B15E21" w:rsidP="00CE5053">
      <w:pPr>
        <w:pStyle w:val="ListParagraph"/>
        <w:numPr>
          <w:ilvl w:val="2"/>
          <w:numId w:val="13"/>
        </w:numPr>
        <w:spacing w:after="240"/>
        <w:ind w:left="737" w:hanging="737"/>
        <w:contextualSpacing w:val="0"/>
      </w:pPr>
      <w:r>
        <w:t>As of January 2018, 89.4% of students living in the borough attend state-funded primary schools in Lewisham, with the remaining 10.6% attending schools in other local authorities. According to available DfE data, approximately 9% of school places provided by Lewisham’s primary schools were taken up by students from other local authority areas. The number of students that enrol in schools within a local authorit</w:t>
      </w:r>
      <w:r w:rsidR="42C012CA">
        <w:t>y</w:t>
      </w:r>
      <w:r>
        <w:t xml:space="preserve"> </w:t>
      </w:r>
      <w:r w:rsidR="63C42EE4">
        <w:t>which</w:t>
      </w:r>
      <w:r>
        <w:t xml:space="preserve"> they do</w:t>
      </w:r>
      <w:r w:rsidR="14B25E97">
        <w:t xml:space="preserve"> </w:t>
      </w:r>
      <w:r>
        <w:t>n</w:t>
      </w:r>
      <w:r w:rsidR="22146BA1">
        <w:t>o</w:t>
      </w:r>
      <w:r>
        <w:t>t reside in is considered to be relatively low and is not a significant factor to consider when planning for current and future need</w:t>
      </w:r>
      <w:r w:rsidR="00CD7C15">
        <w:t>.</w:t>
      </w:r>
    </w:p>
    <w:p w14:paraId="4EF70927" w14:textId="77777777" w:rsidR="00B15E21" w:rsidRPr="00763D35" w:rsidRDefault="00B15E21" w:rsidP="00CE5053">
      <w:pPr>
        <w:tabs>
          <w:tab w:val="left" w:pos="720"/>
          <w:tab w:val="left" w:pos="1440"/>
          <w:tab w:val="left" w:pos="2160"/>
          <w:tab w:val="left" w:pos="2713"/>
          <w:tab w:val="left" w:pos="3349"/>
        </w:tabs>
        <w:spacing w:before="240" w:after="120"/>
        <w:ind w:left="720" w:hanging="720"/>
        <w:rPr>
          <w:b/>
        </w:rPr>
      </w:pPr>
      <w:r w:rsidRPr="00981C77">
        <w:rPr>
          <w:b/>
        </w:rPr>
        <w:lastRenderedPageBreak/>
        <w:tab/>
      </w:r>
      <w:r w:rsidRPr="00763D35">
        <w:rPr>
          <w:b/>
        </w:rPr>
        <w:t xml:space="preserve">Future </w:t>
      </w:r>
      <w:r>
        <w:rPr>
          <w:b/>
        </w:rPr>
        <w:t>requirement</w:t>
      </w:r>
    </w:p>
    <w:p w14:paraId="37086C81" w14:textId="77777777" w:rsidR="00B15E21" w:rsidRPr="00595E96" w:rsidRDefault="00B15E21" w:rsidP="00CE5053">
      <w:pPr>
        <w:pStyle w:val="ListParagraph"/>
        <w:numPr>
          <w:ilvl w:val="2"/>
          <w:numId w:val="13"/>
        </w:numPr>
        <w:spacing w:after="240"/>
        <w:ind w:left="737" w:hanging="737"/>
        <w:contextualSpacing w:val="0"/>
      </w:pPr>
      <w:r>
        <w:t xml:space="preserve">Revised forecasting shows that no further primary school places should be required through to 2025. The Council are working with schools to reduce the supply of places to bring the surplus places closer to 3%. At the time of writing, two schools have reduced their PAN (St. Georges Academy and Holbeach Primary School), with a further two schools reducing from September 2019 (Adamsrill Primary School and Forster Park Primary School). </w:t>
      </w:r>
    </w:p>
    <w:p w14:paraId="1064901C" w14:textId="77777777" w:rsidR="00B15E21" w:rsidRDefault="00B15E21" w:rsidP="00CE5053">
      <w:pPr>
        <w:pStyle w:val="ListParagraph"/>
        <w:numPr>
          <w:ilvl w:val="2"/>
          <w:numId w:val="13"/>
        </w:numPr>
        <w:spacing w:after="240"/>
        <w:ind w:left="737" w:hanging="737"/>
        <w:contextualSpacing w:val="0"/>
      </w:pPr>
      <w:r w:rsidRPr="00595E96">
        <w:t>At the time of writing the GLA has identified issues with the underlying population assumptions used in its school roll projection models, which resulted in higher than expected population numbers for the 2017 and 2018 school roll projections. The GLA ha</w:t>
      </w:r>
      <w:r>
        <w:t>ve</w:t>
      </w:r>
      <w:r w:rsidRPr="00595E96">
        <w:t xml:space="preserve"> </w:t>
      </w:r>
      <w:r>
        <w:t xml:space="preserve">since </w:t>
      </w:r>
      <w:r w:rsidRPr="00595E96">
        <w:t>revised</w:t>
      </w:r>
      <w:r>
        <w:t xml:space="preserve"> its </w:t>
      </w:r>
      <w:r w:rsidRPr="00595E96">
        <w:t>assumptions for 2019</w:t>
      </w:r>
      <w:r>
        <w:t xml:space="preserve">, and this will be </w:t>
      </w:r>
      <w:r w:rsidRPr="00595E96">
        <w:t xml:space="preserve">considered in the Council’s next round of forecasting. </w:t>
      </w:r>
    </w:p>
    <w:p w14:paraId="54594AD4" w14:textId="77777777" w:rsidR="00B15E21" w:rsidRPr="00763D35" w:rsidRDefault="00B15E21" w:rsidP="00CE5053">
      <w:pPr>
        <w:tabs>
          <w:tab w:val="left" w:pos="720"/>
          <w:tab w:val="left" w:pos="1440"/>
          <w:tab w:val="left" w:pos="2160"/>
          <w:tab w:val="left" w:pos="2713"/>
          <w:tab w:val="left" w:pos="3349"/>
        </w:tabs>
        <w:spacing w:before="240" w:after="120"/>
        <w:ind w:left="720" w:hanging="720"/>
        <w:rPr>
          <w:b/>
        </w:rPr>
      </w:pPr>
      <w:r w:rsidRPr="00595E96">
        <w:rPr>
          <w:i/>
        </w:rPr>
        <w:tab/>
      </w:r>
      <w:r w:rsidRPr="00763D35">
        <w:rPr>
          <w:b/>
        </w:rPr>
        <w:t>Forecasting of demand for school places</w:t>
      </w:r>
    </w:p>
    <w:p w14:paraId="40A559DA" w14:textId="77777777" w:rsidR="00B15E21" w:rsidRPr="00595E96" w:rsidRDefault="00B15E21" w:rsidP="00CE5053">
      <w:pPr>
        <w:pStyle w:val="ListParagraph"/>
        <w:numPr>
          <w:ilvl w:val="2"/>
          <w:numId w:val="13"/>
        </w:numPr>
        <w:spacing w:after="240"/>
        <w:ind w:left="737" w:hanging="737"/>
        <w:contextualSpacing w:val="0"/>
      </w:pPr>
      <w:r w:rsidRPr="00595E96">
        <w:t>The planning of school places in the borough is informed by projections from the GLA’s School Roll Projection Service. The service models demand for state-funded places within boroughs over a 15-year period, and is updated each year to incorporate the latest population projections, demographic trends in the region, and data from DfE’s National Pupil Database. The projections are then further refined by the council’s CYP Service to produce its own forecasting of pupil demand within the borough, taking into account local considerations, including the flow and movement of pupi</w:t>
      </w:r>
      <w:r w:rsidR="00A03CF3">
        <w:t>ls and planned housing growth.</w:t>
      </w:r>
    </w:p>
    <w:p w14:paraId="12D7E2C3" w14:textId="77777777" w:rsidR="00A03CF3" w:rsidRPr="00595E96" w:rsidRDefault="00B15E21" w:rsidP="00CE5053">
      <w:pPr>
        <w:pStyle w:val="ListParagraph"/>
        <w:numPr>
          <w:ilvl w:val="2"/>
          <w:numId w:val="13"/>
        </w:numPr>
        <w:spacing w:after="360"/>
        <w:ind w:left="737" w:hanging="737"/>
        <w:contextualSpacing w:val="0"/>
      </w:pPr>
      <w:r>
        <w:t xml:space="preserve">The 2018 forecasting indicates that in the 2018/19 to 2022/23 period </w:t>
      </w:r>
      <w:r w:rsidR="00011D58">
        <w:t xml:space="preserve">it is </w:t>
      </w:r>
      <w:r w:rsidR="75632487">
        <w:t>likely that there will be</w:t>
      </w:r>
      <w:r>
        <w:t xml:space="preserve"> sufficient mainstream school places to meet demand in the borough. The forecast notes that there could be pressure for school places within the Central &amp; NE catchment, and at certain schools over that period, which will be monitored by the Council in future updates.</w:t>
      </w:r>
      <w:bookmarkStart w:id="11" w:name="_Hlk5669694"/>
    </w:p>
    <w:bookmarkEnd w:id="11"/>
    <w:tbl>
      <w:tblPr>
        <w:tblStyle w:val="ListTable3-Accent32"/>
        <w:tblW w:w="4590"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Forcasting of pupil demand"/>
      </w:tblPr>
      <w:tblGrid>
        <w:gridCol w:w="1787"/>
        <w:gridCol w:w="1787"/>
        <w:gridCol w:w="1788"/>
        <w:gridCol w:w="1788"/>
        <w:gridCol w:w="1788"/>
      </w:tblGrid>
      <w:tr w:rsidR="00B15E21" w:rsidRPr="00324C84" w14:paraId="654725D4"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000" w:type="pct"/>
            <w:tcBorders>
              <w:bottom w:val="single" w:sz="4" w:space="0" w:color="FFFFFF" w:themeColor="background1"/>
            </w:tcBorders>
            <w:shd w:val="clear" w:color="auto" w:fill="002060"/>
          </w:tcPr>
          <w:p w14:paraId="769D0D3C" w14:textId="77777777" w:rsidR="00B15E21" w:rsidRPr="00AF31D5" w:rsidRDefault="00B15E21" w:rsidP="00CE5053">
            <w:pPr>
              <w:tabs>
                <w:tab w:val="center" w:pos="3056"/>
                <w:tab w:val="left" w:pos="4975"/>
              </w:tabs>
              <w:spacing w:before="40" w:after="40"/>
              <w:rPr>
                <w:b w:val="0"/>
                <w:sz w:val="20"/>
                <w:szCs w:val="20"/>
              </w:rPr>
            </w:pPr>
          </w:p>
        </w:tc>
        <w:tc>
          <w:tcPr>
            <w:tcW w:w="1000" w:type="pct"/>
            <w:tcBorders>
              <w:bottom w:val="single" w:sz="4" w:space="0" w:color="FFFFFF" w:themeColor="background1"/>
            </w:tcBorders>
            <w:shd w:val="clear" w:color="auto" w:fill="002060"/>
          </w:tcPr>
          <w:p w14:paraId="6A1B1E87"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20"/>
                <w:szCs w:val="20"/>
              </w:rPr>
            </w:pPr>
            <w:r w:rsidRPr="00AF31D5">
              <w:rPr>
                <w:sz w:val="20"/>
                <w:szCs w:val="20"/>
              </w:rPr>
              <w:t>PAN (class places)</w:t>
            </w:r>
          </w:p>
        </w:tc>
        <w:tc>
          <w:tcPr>
            <w:tcW w:w="1000" w:type="pct"/>
            <w:tcBorders>
              <w:bottom w:val="single" w:sz="4" w:space="0" w:color="FFFFFF" w:themeColor="background1"/>
            </w:tcBorders>
            <w:shd w:val="clear" w:color="auto" w:fill="002060"/>
          </w:tcPr>
          <w:p w14:paraId="075A40A1"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F31D5">
              <w:rPr>
                <w:sz w:val="20"/>
                <w:szCs w:val="20"/>
              </w:rPr>
              <w:t>Forecast demand</w:t>
            </w:r>
          </w:p>
        </w:tc>
        <w:tc>
          <w:tcPr>
            <w:tcW w:w="1000" w:type="pct"/>
            <w:tcBorders>
              <w:bottom w:val="single" w:sz="4" w:space="0" w:color="FFFFFF" w:themeColor="background1"/>
            </w:tcBorders>
            <w:shd w:val="clear" w:color="auto" w:fill="002060"/>
          </w:tcPr>
          <w:p w14:paraId="014D4C7B"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F31D5">
              <w:rPr>
                <w:sz w:val="20"/>
                <w:szCs w:val="20"/>
              </w:rPr>
              <w:t>Forecast demand + 3%</w:t>
            </w:r>
          </w:p>
        </w:tc>
        <w:tc>
          <w:tcPr>
            <w:tcW w:w="1000" w:type="pct"/>
            <w:tcBorders>
              <w:bottom w:val="single" w:sz="4" w:space="0" w:color="FFFFFF" w:themeColor="background1"/>
            </w:tcBorders>
            <w:shd w:val="clear" w:color="auto" w:fill="002060"/>
          </w:tcPr>
          <w:p w14:paraId="0ED133E1"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F31D5">
              <w:rPr>
                <w:sz w:val="20"/>
                <w:szCs w:val="20"/>
              </w:rPr>
              <w:t>Implied oversupply</w:t>
            </w:r>
          </w:p>
        </w:tc>
      </w:tr>
      <w:tr w:rsidR="00B15E21" w:rsidRPr="00324C84" w14:paraId="3C7CCD30" w14:textId="77777777" w:rsidTr="007B6A77">
        <w:trPr>
          <w:cnfStyle w:val="000000100000" w:firstRow="0" w:lastRow="0" w:firstColumn="0" w:lastColumn="0" w:oddVBand="0" w:evenVBand="0" w:oddHBand="1" w:evenHBand="0" w:firstRowFirstColumn="0" w:firstRowLastColumn="0" w:lastRowFirstColumn="0" w:lastRowLastColumn="0"/>
          <w:trHeight w:val="92"/>
          <w:jc w:val="right"/>
        </w:trPr>
        <w:tc>
          <w:tcPr>
            <w:cnfStyle w:val="001000000000" w:firstRow="0" w:lastRow="0" w:firstColumn="1" w:lastColumn="0" w:oddVBand="0" w:evenVBand="0" w:oddHBand="0" w:evenHBand="0" w:firstRowFirstColumn="0" w:firstRowLastColumn="0" w:lastRowFirstColumn="0" w:lastRowLastColumn="0"/>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308FF98" w14:textId="77777777" w:rsidR="00B15E21" w:rsidRPr="00324C84" w:rsidRDefault="00B15E21" w:rsidP="00CE5053">
            <w:pPr>
              <w:spacing w:before="40" w:after="40"/>
              <w:rPr>
                <w:sz w:val="20"/>
                <w:szCs w:val="20"/>
              </w:rPr>
            </w:pPr>
            <w:r>
              <w:rPr>
                <w:sz w:val="20"/>
                <w:szCs w:val="20"/>
              </w:rPr>
              <w:t>Centre &amp; NE</w:t>
            </w:r>
          </w:p>
        </w:tc>
        <w:tc>
          <w:tcPr>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DA7CF92"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960</w:t>
            </w:r>
          </w:p>
        </w:tc>
        <w:tc>
          <w:tcPr>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AC86852"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1,033</w:t>
            </w:r>
          </w:p>
        </w:tc>
        <w:tc>
          <w:tcPr>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1B38E78"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1,064</w:t>
            </w:r>
          </w:p>
        </w:tc>
        <w:tc>
          <w:tcPr>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F7B333A"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-73</w:t>
            </w:r>
          </w:p>
        </w:tc>
      </w:tr>
      <w:tr w:rsidR="00B15E21" w:rsidRPr="00324C84" w14:paraId="244E7748" w14:textId="77777777" w:rsidTr="007B6A77">
        <w:trPr>
          <w:jc w:val="right"/>
        </w:trPr>
        <w:tc>
          <w:tcPr>
            <w:cnfStyle w:val="001000000000" w:firstRow="0" w:lastRow="0" w:firstColumn="1" w:lastColumn="0" w:oddVBand="0" w:evenVBand="0" w:oddHBand="0" w:evenHBand="0" w:firstRowFirstColumn="0" w:firstRowLastColumn="0" w:lastRowFirstColumn="0" w:lastRowLastColumn="0"/>
            <w:tcW w:w="1000" w:type="pct"/>
            <w:shd w:val="clear" w:color="auto" w:fill="F2F2F2" w:themeFill="background1" w:themeFillShade="F2"/>
            <w:vAlign w:val="center"/>
          </w:tcPr>
          <w:p w14:paraId="1FCC7302" w14:textId="77777777" w:rsidR="00B15E21" w:rsidRPr="00324C84" w:rsidRDefault="00B15E21" w:rsidP="00CE5053">
            <w:pPr>
              <w:spacing w:before="40" w:after="40"/>
              <w:rPr>
                <w:sz w:val="20"/>
                <w:szCs w:val="20"/>
              </w:rPr>
            </w:pPr>
            <w:r>
              <w:rPr>
                <w:sz w:val="20"/>
                <w:szCs w:val="20"/>
              </w:rPr>
              <w:t>North West</w:t>
            </w:r>
          </w:p>
        </w:tc>
        <w:tc>
          <w:tcPr>
            <w:tcW w:w="1000" w:type="pct"/>
            <w:shd w:val="clear" w:color="auto" w:fill="F2F2F2" w:themeFill="background1" w:themeFillShade="F2"/>
            <w:vAlign w:val="center"/>
          </w:tcPr>
          <w:p w14:paraId="077775D8"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990</w:t>
            </w:r>
          </w:p>
        </w:tc>
        <w:tc>
          <w:tcPr>
            <w:tcW w:w="1000" w:type="pct"/>
            <w:shd w:val="clear" w:color="auto" w:fill="F2F2F2" w:themeFill="background1" w:themeFillShade="F2"/>
            <w:vAlign w:val="center"/>
          </w:tcPr>
          <w:p w14:paraId="1C6F2136"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849</w:t>
            </w:r>
          </w:p>
        </w:tc>
        <w:tc>
          <w:tcPr>
            <w:tcW w:w="1000" w:type="pct"/>
            <w:shd w:val="clear" w:color="auto" w:fill="F2F2F2" w:themeFill="background1" w:themeFillShade="F2"/>
            <w:vAlign w:val="center"/>
          </w:tcPr>
          <w:p w14:paraId="7B7F1B9F"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874</w:t>
            </w:r>
          </w:p>
        </w:tc>
        <w:tc>
          <w:tcPr>
            <w:tcW w:w="1000" w:type="pct"/>
            <w:shd w:val="clear" w:color="auto" w:fill="F2F2F2" w:themeFill="background1" w:themeFillShade="F2"/>
            <w:vAlign w:val="center"/>
          </w:tcPr>
          <w:p w14:paraId="6F5909ED"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141</w:t>
            </w:r>
          </w:p>
        </w:tc>
      </w:tr>
      <w:tr w:rsidR="00B15E21" w:rsidRPr="00324C84" w14:paraId="5B29F84B" w14:textId="77777777" w:rsidTr="007B6A7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476F8B0" w14:textId="77777777" w:rsidR="00B15E21" w:rsidRDefault="00B15E21" w:rsidP="00CE5053">
            <w:pPr>
              <w:spacing w:before="40" w:after="40"/>
              <w:rPr>
                <w:sz w:val="20"/>
                <w:szCs w:val="20"/>
              </w:rPr>
            </w:pPr>
            <w:r>
              <w:rPr>
                <w:sz w:val="20"/>
                <w:szCs w:val="20"/>
              </w:rPr>
              <w:t>South East</w:t>
            </w:r>
          </w:p>
        </w:tc>
        <w:tc>
          <w:tcPr>
            <w:tcW w:w="1000" w:type="pct"/>
            <w:tcBorders>
              <w:top w:val="single" w:sz="4" w:space="0" w:color="FFFFFF" w:themeColor="background1"/>
              <w:bottom w:val="single" w:sz="4" w:space="0" w:color="FFFFFF" w:themeColor="background1"/>
            </w:tcBorders>
            <w:shd w:val="clear" w:color="auto" w:fill="EDEDED" w:themeFill="accent3" w:themeFillTint="33"/>
            <w:vAlign w:val="center"/>
          </w:tcPr>
          <w:p w14:paraId="245FE8E3"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1,020</w:t>
            </w:r>
          </w:p>
        </w:tc>
        <w:tc>
          <w:tcPr>
            <w:tcW w:w="1000" w:type="pct"/>
            <w:tcBorders>
              <w:top w:val="single" w:sz="4" w:space="0" w:color="FFFFFF" w:themeColor="background1"/>
              <w:bottom w:val="single" w:sz="4" w:space="0" w:color="FFFFFF" w:themeColor="background1"/>
            </w:tcBorders>
            <w:shd w:val="clear" w:color="auto" w:fill="EDEDED" w:themeFill="accent3" w:themeFillTint="33"/>
            <w:vAlign w:val="center"/>
          </w:tcPr>
          <w:p w14:paraId="77167D32"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941</w:t>
            </w:r>
          </w:p>
        </w:tc>
        <w:tc>
          <w:tcPr>
            <w:tcW w:w="1000" w:type="pct"/>
            <w:tcBorders>
              <w:top w:val="single" w:sz="4" w:space="0" w:color="FFFFFF" w:themeColor="background1"/>
              <w:bottom w:val="single" w:sz="4" w:space="0" w:color="FFFFFF" w:themeColor="background1"/>
            </w:tcBorders>
            <w:shd w:val="clear" w:color="auto" w:fill="EDEDED" w:themeFill="accent3" w:themeFillTint="33"/>
            <w:vAlign w:val="center"/>
          </w:tcPr>
          <w:p w14:paraId="3DC3D1AF"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969</w:t>
            </w:r>
          </w:p>
        </w:tc>
        <w:tc>
          <w:tcPr>
            <w:tcW w:w="1000" w:type="pct"/>
            <w:tcBorders>
              <w:top w:val="single" w:sz="4" w:space="0" w:color="FFFFFF" w:themeColor="background1"/>
              <w:bottom w:val="single" w:sz="4" w:space="0" w:color="FFFFFF" w:themeColor="background1"/>
            </w:tcBorders>
            <w:shd w:val="clear" w:color="auto" w:fill="EDEDED" w:themeFill="accent3" w:themeFillTint="33"/>
            <w:vAlign w:val="center"/>
          </w:tcPr>
          <w:p w14:paraId="43F02807"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79</w:t>
            </w:r>
          </w:p>
        </w:tc>
      </w:tr>
      <w:tr w:rsidR="00B15E21" w:rsidRPr="00324C84" w14:paraId="37FBD048" w14:textId="77777777" w:rsidTr="007B6A77">
        <w:trPr>
          <w:jc w:val="right"/>
        </w:trPr>
        <w:tc>
          <w:tcPr>
            <w:cnfStyle w:val="001000000000" w:firstRow="0" w:lastRow="0" w:firstColumn="1" w:lastColumn="0" w:oddVBand="0" w:evenVBand="0" w:oddHBand="0" w:evenHBand="0" w:firstRowFirstColumn="0" w:firstRowLastColumn="0" w:lastRowFirstColumn="0" w:lastRowLastColumn="0"/>
            <w:tcW w:w="1000" w:type="pct"/>
            <w:shd w:val="clear" w:color="auto" w:fill="F2F2F2" w:themeFill="background1" w:themeFillShade="F2"/>
            <w:vAlign w:val="center"/>
          </w:tcPr>
          <w:p w14:paraId="7BCD4D94" w14:textId="77777777" w:rsidR="00B15E21" w:rsidRDefault="00B15E21" w:rsidP="00CE5053">
            <w:pPr>
              <w:spacing w:before="40" w:after="40"/>
              <w:rPr>
                <w:sz w:val="20"/>
                <w:szCs w:val="20"/>
              </w:rPr>
            </w:pPr>
            <w:r>
              <w:rPr>
                <w:sz w:val="20"/>
                <w:szCs w:val="20"/>
              </w:rPr>
              <w:t>South West</w:t>
            </w:r>
          </w:p>
        </w:tc>
        <w:tc>
          <w:tcPr>
            <w:tcW w:w="1000" w:type="pct"/>
            <w:shd w:val="clear" w:color="auto" w:fill="F2F2F2" w:themeFill="background1" w:themeFillShade="F2"/>
            <w:vAlign w:val="center"/>
          </w:tcPr>
          <w:p w14:paraId="686A1351"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900</w:t>
            </w:r>
          </w:p>
        </w:tc>
        <w:tc>
          <w:tcPr>
            <w:tcW w:w="1000" w:type="pct"/>
            <w:shd w:val="clear" w:color="auto" w:fill="F2F2F2" w:themeFill="background1" w:themeFillShade="F2"/>
            <w:vAlign w:val="center"/>
          </w:tcPr>
          <w:p w14:paraId="3157EDF7"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867</w:t>
            </w:r>
          </w:p>
        </w:tc>
        <w:tc>
          <w:tcPr>
            <w:tcW w:w="1000" w:type="pct"/>
            <w:shd w:val="clear" w:color="auto" w:fill="F2F2F2" w:themeFill="background1" w:themeFillShade="F2"/>
            <w:vAlign w:val="center"/>
          </w:tcPr>
          <w:p w14:paraId="28436D9D"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893</w:t>
            </w:r>
          </w:p>
        </w:tc>
        <w:tc>
          <w:tcPr>
            <w:tcW w:w="1000" w:type="pct"/>
            <w:shd w:val="clear" w:color="auto" w:fill="F2F2F2" w:themeFill="background1" w:themeFillShade="F2"/>
            <w:vAlign w:val="center"/>
          </w:tcPr>
          <w:p w14:paraId="7CE58F48" w14:textId="77777777" w:rsidR="00B15E21" w:rsidRPr="00AF31D5"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F31D5">
              <w:rPr>
                <w:sz w:val="20"/>
              </w:rPr>
              <w:t>33</w:t>
            </w:r>
          </w:p>
        </w:tc>
      </w:tr>
      <w:tr w:rsidR="00B15E21" w:rsidRPr="00324C84" w14:paraId="06B36502" w14:textId="77777777" w:rsidTr="007B6A7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F1C6F49" w14:textId="77777777" w:rsidR="00B15E21" w:rsidRDefault="00B15E21" w:rsidP="00CE5053">
            <w:pPr>
              <w:spacing w:before="40" w:after="40"/>
              <w:rPr>
                <w:sz w:val="20"/>
                <w:szCs w:val="20"/>
              </w:rPr>
            </w:pPr>
            <w:r>
              <w:rPr>
                <w:sz w:val="20"/>
                <w:szCs w:val="20"/>
              </w:rPr>
              <w:t>LB Lewisham Total</w:t>
            </w:r>
          </w:p>
        </w:tc>
        <w:tc>
          <w:tcPr>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FF418AC"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3,870</w:t>
            </w:r>
          </w:p>
        </w:tc>
        <w:tc>
          <w:tcPr>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13B9096"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3,690</w:t>
            </w:r>
          </w:p>
        </w:tc>
        <w:tc>
          <w:tcPr>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8FC67FB"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3,801</w:t>
            </w:r>
          </w:p>
        </w:tc>
        <w:tc>
          <w:tcPr>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F789D83"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rPr>
              <w:t>180</w:t>
            </w:r>
          </w:p>
        </w:tc>
      </w:tr>
    </w:tbl>
    <w:p w14:paraId="7039259B" w14:textId="77777777" w:rsidR="00B15E21" w:rsidRPr="00981C77" w:rsidRDefault="00B15E21" w:rsidP="00CE5053">
      <w:pPr>
        <w:pStyle w:val="Caption"/>
        <w:spacing w:before="120" w:after="480"/>
        <w:ind w:left="720"/>
        <w:rPr>
          <w:i w:val="0"/>
          <w:color w:val="auto"/>
        </w:rPr>
      </w:pPr>
      <w:r w:rsidRPr="00981C77">
        <w:rPr>
          <w:b/>
          <w:i w:val="0"/>
          <w:color w:val="auto"/>
        </w:rPr>
        <w:t xml:space="preserve">Table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2</w:t>
      </w:r>
      <w:r>
        <w:rPr>
          <w:b/>
          <w:i w:val="0"/>
          <w:color w:val="auto"/>
        </w:rPr>
        <w:fldChar w:fldCharType="end"/>
      </w:r>
      <w:r w:rsidRPr="00981C77">
        <w:rPr>
          <w:i w:val="0"/>
          <w:color w:val="auto"/>
        </w:rPr>
        <w:t xml:space="preserve"> Forecasting of pupil demand and PAN at reception, at 2022/23. Source: London Borough of Lewisham</w:t>
      </w:r>
    </w:p>
    <w:p w14:paraId="231380D4" w14:textId="77777777" w:rsidR="00B15E21" w:rsidRPr="00595E96" w:rsidRDefault="00B15E21" w:rsidP="00CE5053">
      <w:pPr>
        <w:pStyle w:val="ListParagraph"/>
        <w:numPr>
          <w:ilvl w:val="2"/>
          <w:numId w:val="13"/>
        </w:numPr>
        <w:spacing w:after="240"/>
        <w:ind w:left="737" w:hanging="737"/>
        <w:contextualSpacing w:val="0"/>
      </w:pPr>
      <w:r>
        <w:t>Based on the assumptions for the new Local Plan</w:t>
      </w:r>
      <w:r w:rsidR="007B6A77">
        <w:t>,</w:t>
      </w:r>
      <w:r>
        <w:t xml:space="preserve"> </w:t>
      </w:r>
      <w:r w:rsidR="00212A34">
        <w:t>the Council</w:t>
      </w:r>
      <w:r>
        <w:t xml:space="preserve"> consider</w:t>
      </w:r>
      <w:r w:rsidR="00011D58">
        <w:t>s that over the next five years</w:t>
      </w:r>
      <w:r w:rsidR="3026110E">
        <w:t xml:space="preserve"> it is like</w:t>
      </w:r>
      <w:r w:rsidR="009454C4">
        <w:t>ly</w:t>
      </w:r>
      <w:r w:rsidR="3026110E">
        <w:t xml:space="preserve"> that there will be</w:t>
      </w:r>
      <w:r>
        <w:t xml:space="preserve"> sufficient mainstream primary places to meet the anticipated demand from pupils without the need for additional permanent school places in the borough. Given the risk of large oversupply in some areas, it was also advised the 3</w:t>
      </w:r>
      <w:r w:rsidR="3BD41C56">
        <w:t xml:space="preserve"> form entry</w:t>
      </w:r>
      <w:r>
        <w:t xml:space="preserve"> free school currently approved for ‘pre-opening’ is considered to be unnecessary to meet pupil demand in the borough and the Council has been communicating with the Department for Education on this matter.</w:t>
      </w:r>
    </w:p>
    <w:p w14:paraId="3E714C33" w14:textId="77777777" w:rsidR="00B15E21" w:rsidRDefault="00A03CF3" w:rsidP="00CE5053">
      <w:pPr>
        <w:pStyle w:val="ListParagraph"/>
        <w:numPr>
          <w:ilvl w:val="2"/>
          <w:numId w:val="13"/>
        </w:numPr>
        <w:spacing w:after="240"/>
        <w:ind w:left="737" w:hanging="737"/>
        <w:contextualSpacing w:val="0"/>
      </w:pPr>
      <w:r>
        <w:t>T</w:t>
      </w:r>
      <w:r w:rsidR="00B15E21" w:rsidRPr="00595E96">
        <w:t>he planning of primary school places beyond the next five years is likely to require further review within the Local Plan period</w:t>
      </w:r>
      <w:r w:rsidR="00B15E21">
        <w:t>,</w:t>
      </w:r>
      <w:r w:rsidR="00B15E21" w:rsidRPr="00595E96">
        <w:t xml:space="preserve"> and will be considered alongside larger development </w:t>
      </w:r>
      <w:r w:rsidR="00B15E21" w:rsidRPr="00595E96">
        <w:lastRenderedPageBreak/>
        <w:t>proposals over that period</w:t>
      </w:r>
      <w:r w:rsidR="00B15E21">
        <w:t xml:space="preserve">, as well as </w:t>
      </w:r>
      <w:r w:rsidR="00B15E21" w:rsidRPr="00595E96">
        <w:t>future IDP updates</w:t>
      </w:r>
      <w:r w:rsidR="00B15E21">
        <w:t>,</w:t>
      </w:r>
      <w:r w:rsidR="00B15E21" w:rsidRPr="00595E96">
        <w:t xml:space="preserve"> to ensure school places and other related educational facilities are provided in a timely manner.</w:t>
      </w:r>
    </w:p>
    <w:p w14:paraId="10850056" w14:textId="77777777" w:rsidR="00B15E21" w:rsidRPr="006E08AE" w:rsidRDefault="00B15E21" w:rsidP="00CE5053">
      <w:pPr>
        <w:pStyle w:val="Heading3"/>
      </w:pPr>
      <w:bookmarkStart w:id="12" w:name="_Toc56146006"/>
      <w:r w:rsidRPr="006E08AE">
        <w:t>Secondary education</w:t>
      </w:r>
      <w:bookmarkEnd w:id="12"/>
      <w:r w:rsidR="00D35244">
        <w:tab/>
      </w:r>
    </w:p>
    <w:p w14:paraId="6577CB7D" w14:textId="77777777" w:rsidR="00B15E21" w:rsidRDefault="00B15E21" w:rsidP="00CE5053">
      <w:pPr>
        <w:pStyle w:val="ListParagraph"/>
        <w:numPr>
          <w:ilvl w:val="2"/>
          <w:numId w:val="13"/>
        </w:numPr>
        <w:spacing w:after="240"/>
        <w:ind w:left="737" w:hanging="737"/>
        <w:contextualSpacing w:val="0"/>
      </w:pPr>
      <w:r>
        <w:t>This section outlines the existing provision and future need for secondary education facilities. The information provided in this section is based on GLA 2017/18 School Roll projections as a baseline dataset. The capacity of secondary schools in the borough has been assessed by the school’s Net Capacity and the school’s identified Published Admission Number (PAN). The PAN in this case is the number of class places available at Year 7 identified by the school/Council.</w:t>
      </w:r>
    </w:p>
    <w:p w14:paraId="143544BF" w14:textId="77777777" w:rsidR="00B15E21" w:rsidRPr="006D56CB" w:rsidRDefault="00B15E21" w:rsidP="00CE5053">
      <w:pPr>
        <w:tabs>
          <w:tab w:val="left" w:pos="720"/>
          <w:tab w:val="left" w:pos="1440"/>
          <w:tab w:val="left" w:pos="2160"/>
          <w:tab w:val="left" w:pos="2713"/>
          <w:tab w:val="left" w:pos="3349"/>
          <w:tab w:val="left" w:pos="5492"/>
        </w:tabs>
        <w:spacing w:before="240" w:after="120"/>
        <w:ind w:left="720" w:hanging="720"/>
        <w:rPr>
          <w:b/>
        </w:rPr>
      </w:pPr>
      <w:r w:rsidRPr="006D56CB">
        <w:rPr>
          <w:b/>
        </w:rPr>
        <w:tab/>
        <w:t>Current situation</w:t>
      </w:r>
    </w:p>
    <w:p w14:paraId="73C36325" w14:textId="77777777" w:rsidR="00B15E21" w:rsidRPr="00595E96" w:rsidRDefault="00B15E21" w:rsidP="00CE5053">
      <w:pPr>
        <w:pStyle w:val="ListParagraph"/>
        <w:numPr>
          <w:ilvl w:val="2"/>
          <w:numId w:val="13"/>
        </w:numPr>
        <w:spacing w:after="240"/>
        <w:ind w:left="737" w:hanging="737"/>
        <w:contextualSpacing w:val="0"/>
      </w:pPr>
      <w:r w:rsidRPr="00595E96">
        <w:t>In the 2017/18 school year there were 14 state-funded secondary schools in the borough, providing a net capacity of 17,649 places for 11-16 year old students, with 14,398 enrolments according to the May 2018 School Census. Based on the net capacity calculated for secondary schools, two secondary schools were identified to be at capacity or have a NOR in excess of the school’s capacity, with the total number of pupils in excess of school capacity at 33 pupils (0.2% of total places). It was identified that 12 schools were identified to have one or more unfilled places, with the total number of unfilled places at 3,284 places (18.6% of total places).</w:t>
      </w:r>
    </w:p>
    <w:p w14:paraId="22BA9876" w14:textId="77777777" w:rsidR="00B15E21" w:rsidRDefault="00B15E21" w:rsidP="00CE5053">
      <w:pPr>
        <w:pStyle w:val="ListParagraph"/>
        <w:numPr>
          <w:ilvl w:val="2"/>
          <w:numId w:val="13"/>
        </w:numPr>
        <w:spacing w:after="480"/>
        <w:ind w:left="737" w:hanging="737"/>
        <w:contextualSpacing w:val="0"/>
      </w:pPr>
      <w:r w:rsidRPr="00595E96">
        <w:t>In terms of new entrants</w:t>
      </w:r>
      <w:r>
        <w:t>,</w:t>
      </w:r>
      <w:r w:rsidRPr="00595E96">
        <w:t xml:space="preserve"> the Council’s Revised Forecast for Summer 2018</w:t>
      </w:r>
      <w:r>
        <w:t>/19</w:t>
      </w:r>
      <w:r w:rsidRPr="00595E96">
        <w:t xml:space="preserve"> found that</w:t>
      </w:r>
      <w:r>
        <w:t xml:space="preserve"> the total</w:t>
      </w:r>
      <w:r w:rsidRPr="00595E96">
        <w:t xml:space="preserve"> PAN for the borough is estimated to be 2,636 places, with 2,333 students forecasted to commence Year 7. The Council seeks to maintain a 3% surplus in school places to allow for parental choice and manage of any in-year admissions. </w:t>
      </w:r>
      <w:r>
        <w:t xml:space="preserve">Council’s forecasting indicates </w:t>
      </w:r>
      <w:r w:rsidRPr="00595E96">
        <w:t>that even af</w:t>
      </w:r>
      <w:r>
        <w:t xml:space="preserve">ter a 3% allowance is made, current provision as measured through </w:t>
      </w:r>
      <w:r w:rsidRPr="00595E96">
        <w:t>PAN offers sufficient places to meet pupil demand in 2018/2019</w:t>
      </w:r>
      <w:r>
        <w:t>.</w:t>
      </w:r>
    </w:p>
    <w:tbl>
      <w:tblPr>
        <w:tblStyle w:val="ListTable3-Accent32"/>
        <w:tblW w:w="4590"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Estimate of pupil demand"/>
      </w:tblPr>
      <w:tblGrid>
        <w:gridCol w:w="1787"/>
        <w:gridCol w:w="1787"/>
        <w:gridCol w:w="1788"/>
        <w:gridCol w:w="1788"/>
        <w:gridCol w:w="1788"/>
      </w:tblGrid>
      <w:tr w:rsidR="00B15E21" w:rsidRPr="00324C84" w14:paraId="56DFD21B"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000" w:type="pct"/>
            <w:tcBorders>
              <w:bottom w:val="single" w:sz="4" w:space="0" w:color="FFFFFF" w:themeColor="background1"/>
            </w:tcBorders>
            <w:shd w:val="clear" w:color="auto" w:fill="002060"/>
          </w:tcPr>
          <w:p w14:paraId="54CD245A" w14:textId="77777777" w:rsidR="00B15E21" w:rsidRPr="00AF31D5" w:rsidRDefault="00B15E21" w:rsidP="00CE5053">
            <w:pPr>
              <w:tabs>
                <w:tab w:val="center" w:pos="3056"/>
                <w:tab w:val="left" w:pos="4975"/>
              </w:tabs>
              <w:spacing w:before="40" w:after="40"/>
              <w:rPr>
                <w:b w:val="0"/>
                <w:sz w:val="20"/>
                <w:szCs w:val="20"/>
              </w:rPr>
            </w:pPr>
          </w:p>
        </w:tc>
        <w:tc>
          <w:tcPr>
            <w:tcW w:w="1000" w:type="pct"/>
            <w:tcBorders>
              <w:bottom w:val="single" w:sz="4" w:space="0" w:color="FFFFFF" w:themeColor="background1"/>
            </w:tcBorders>
            <w:shd w:val="clear" w:color="auto" w:fill="002060"/>
          </w:tcPr>
          <w:p w14:paraId="3213498E"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20"/>
                <w:szCs w:val="20"/>
              </w:rPr>
            </w:pPr>
            <w:r w:rsidRPr="00AF31D5">
              <w:rPr>
                <w:sz w:val="20"/>
                <w:szCs w:val="20"/>
              </w:rPr>
              <w:t>PAN (class places)</w:t>
            </w:r>
          </w:p>
        </w:tc>
        <w:tc>
          <w:tcPr>
            <w:tcW w:w="1000" w:type="pct"/>
            <w:tcBorders>
              <w:bottom w:val="single" w:sz="4" w:space="0" w:color="FFFFFF" w:themeColor="background1"/>
            </w:tcBorders>
            <w:shd w:val="clear" w:color="auto" w:fill="002060"/>
          </w:tcPr>
          <w:p w14:paraId="07A8A56E"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F31D5">
              <w:rPr>
                <w:sz w:val="20"/>
                <w:szCs w:val="20"/>
              </w:rPr>
              <w:t>Forecast demand</w:t>
            </w:r>
          </w:p>
        </w:tc>
        <w:tc>
          <w:tcPr>
            <w:tcW w:w="1000" w:type="pct"/>
            <w:tcBorders>
              <w:bottom w:val="single" w:sz="4" w:space="0" w:color="FFFFFF" w:themeColor="background1"/>
            </w:tcBorders>
            <w:shd w:val="clear" w:color="auto" w:fill="002060"/>
          </w:tcPr>
          <w:p w14:paraId="15788BFA"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F31D5">
              <w:rPr>
                <w:sz w:val="20"/>
                <w:szCs w:val="20"/>
              </w:rPr>
              <w:t>Forecast demand + 3%</w:t>
            </w:r>
          </w:p>
        </w:tc>
        <w:tc>
          <w:tcPr>
            <w:tcW w:w="1000" w:type="pct"/>
            <w:tcBorders>
              <w:bottom w:val="single" w:sz="4" w:space="0" w:color="FFFFFF" w:themeColor="background1"/>
            </w:tcBorders>
            <w:shd w:val="clear" w:color="auto" w:fill="002060"/>
          </w:tcPr>
          <w:p w14:paraId="6EFF56CA" w14:textId="77777777" w:rsidR="00B15E21" w:rsidRPr="00AF31D5"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AF31D5">
              <w:rPr>
                <w:sz w:val="20"/>
                <w:szCs w:val="20"/>
              </w:rPr>
              <w:t>Implied oversupply</w:t>
            </w:r>
          </w:p>
        </w:tc>
      </w:tr>
      <w:tr w:rsidR="00B15E21" w:rsidRPr="00324C84" w14:paraId="06A2F052" w14:textId="77777777" w:rsidTr="00B15E2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10B8D79" w14:textId="77777777" w:rsidR="00B15E21" w:rsidRPr="00AF31D5" w:rsidRDefault="00B15E21" w:rsidP="00CE5053">
            <w:pPr>
              <w:spacing w:before="40" w:after="40"/>
              <w:rPr>
                <w:sz w:val="20"/>
                <w:szCs w:val="20"/>
              </w:rPr>
            </w:pPr>
            <w:r w:rsidRPr="00AF31D5">
              <w:rPr>
                <w:sz w:val="20"/>
                <w:szCs w:val="20"/>
              </w:rPr>
              <w:t>LB Lewisham Total</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3BECF83A"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AF31D5">
              <w:rPr>
                <w:sz w:val="20"/>
                <w:szCs w:val="20"/>
              </w:rPr>
              <w:t>2,636</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4CEA4C88"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2,333</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5EF77A3E"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2,403</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65BA75C7" w14:textId="77777777" w:rsidR="00B15E21" w:rsidRPr="00AF31D5"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303</w:t>
            </w:r>
          </w:p>
        </w:tc>
      </w:tr>
    </w:tbl>
    <w:p w14:paraId="215BD228" w14:textId="77777777" w:rsidR="00B15E21" w:rsidRPr="00212A34" w:rsidRDefault="00B15E21" w:rsidP="00CE5053">
      <w:pPr>
        <w:pStyle w:val="Caption"/>
        <w:spacing w:before="120" w:after="480"/>
        <w:ind w:left="720"/>
        <w:rPr>
          <w:b/>
          <w:i w:val="0"/>
          <w:color w:val="auto"/>
        </w:rPr>
      </w:pPr>
      <w:r>
        <w:rPr>
          <w:b/>
          <w:i w:val="0"/>
          <w:color w:val="auto"/>
        </w:rPr>
        <w:t>T</w:t>
      </w:r>
      <w:r w:rsidRPr="00F067AD">
        <w:rPr>
          <w:b/>
          <w:i w:val="0"/>
          <w:color w:val="auto"/>
        </w:rPr>
        <w:t xml:space="preserve">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3</w:t>
      </w:r>
      <w:r>
        <w:rPr>
          <w:b/>
          <w:i w:val="0"/>
          <w:color w:val="auto"/>
        </w:rPr>
        <w:fldChar w:fldCharType="end"/>
      </w:r>
      <w:r w:rsidRPr="00C43DD5">
        <w:rPr>
          <w:i w:val="0"/>
          <w:color w:val="auto"/>
        </w:rPr>
        <w:t xml:space="preserve"> Estimate of pupil demand and PAN at Year 7, at 2018/2019. Source: London Borough of Lewisham</w:t>
      </w:r>
    </w:p>
    <w:p w14:paraId="700E23A0" w14:textId="77777777" w:rsidR="00B15E21" w:rsidRDefault="00B15E21" w:rsidP="00CE5053">
      <w:pPr>
        <w:pStyle w:val="ListParagraph"/>
        <w:numPr>
          <w:ilvl w:val="2"/>
          <w:numId w:val="13"/>
        </w:numPr>
        <w:spacing w:after="240"/>
        <w:ind w:left="737" w:hanging="737"/>
        <w:contextualSpacing w:val="0"/>
      </w:pPr>
      <w:r w:rsidRPr="00595E96">
        <w:t>As of January 2018 the percentage of pupils living and attending state-funded secondary schools in the borough was approximately 70%, with 30% of pupils living in the borough attending state-funded schools in other local authorities. The borough is considered to be a net exporter of secondary age students, with local schools only importing around 13.5% of their students from other local authorities in 2018. The Council works closely with neighbouring boroughs when planning for the provision of secondary school places to ensure that there is adequate provision across council boundaries.</w:t>
      </w:r>
    </w:p>
    <w:p w14:paraId="27753BA9" w14:textId="77777777" w:rsidR="00B15E21" w:rsidRPr="00763D35" w:rsidRDefault="00B15E21" w:rsidP="00CE5053">
      <w:pPr>
        <w:tabs>
          <w:tab w:val="left" w:pos="720"/>
          <w:tab w:val="left" w:pos="1440"/>
          <w:tab w:val="left" w:pos="2160"/>
          <w:tab w:val="left" w:pos="2713"/>
          <w:tab w:val="left" w:pos="3349"/>
        </w:tabs>
        <w:spacing w:before="240" w:after="120"/>
        <w:ind w:left="720" w:hanging="720"/>
        <w:rPr>
          <w:b/>
        </w:rPr>
      </w:pPr>
      <w:r>
        <w:rPr>
          <w:b/>
        </w:rPr>
        <w:tab/>
      </w:r>
      <w:r w:rsidRPr="00763D35">
        <w:rPr>
          <w:b/>
        </w:rPr>
        <w:t xml:space="preserve">Future </w:t>
      </w:r>
      <w:r>
        <w:rPr>
          <w:b/>
        </w:rPr>
        <w:t>requirement</w:t>
      </w:r>
    </w:p>
    <w:p w14:paraId="740C87FB" w14:textId="77777777" w:rsidR="00B15E21" w:rsidRPr="00A4753C" w:rsidRDefault="00B15E21" w:rsidP="00CE5053">
      <w:pPr>
        <w:pStyle w:val="ListParagraph"/>
        <w:numPr>
          <w:ilvl w:val="2"/>
          <w:numId w:val="13"/>
        </w:numPr>
        <w:spacing w:after="240"/>
        <w:ind w:left="737" w:hanging="737"/>
        <w:contextualSpacing w:val="0"/>
      </w:pPr>
      <w:r>
        <w:t>Revised forecasts show that there should be sufficient places within s</w:t>
      </w:r>
      <w:r w:rsidR="00CD7C15">
        <w:t>chools through to 2025. O</w:t>
      </w:r>
      <w:r>
        <w:t xml:space="preserve">nce </w:t>
      </w:r>
      <w:r w:rsidR="00CD7C15">
        <w:t xml:space="preserve">the capacity </w:t>
      </w:r>
      <w:r>
        <w:t>in existing schools is exhausted</w:t>
      </w:r>
      <w:r w:rsidR="00CD7C15">
        <w:t xml:space="preserve"> beyond 2025,</w:t>
      </w:r>
      <w:r>
        <w:t xml:space="preserve"> there may be a need for an </w:t>
      </w:r>
      <w:r w:rsidR="00CD7C15">
        <w:t>additional secondary school in the borough. This will</w:t>
      </w:r>
      <w:r w:rsidRPr="00A4753C">
        <w:t xml:space="preserve"> be kept under review, along with</w:t>
      </w:r>
      <w:r w:rsidR="00CD7C15">
        <w:t xml:space="preserve"> the need to identify </w:t>
      </w:r>
      <w:r w:rsidRPr="00A4753C">
        <w:t xml:space="preserve">suitable sites </w:t>
      </w:r>
      <w:r w:rsidR="00CD7C15">
        <w:t xml:space="preserve">capable of providing </w:t>
      </w:r>
      <w:r w:rsidRPr="00A4753C">
        <w:t xml:space="preserve">a 6-8FE </w:t>
      </w:r>
      <w:r w:rsidR="00CD7C15">
        <w:t>s</w:t>
      </w:r>
      <w:r w:rsidRPr="00A4753C">
        <w:t xml:space="preserve">econdary </w:t>
      </w:r>
      <w:r w:rsidR="00CD7C15">
        <w:t>s</w:t>
      </w:r>
      <w:r w:rsidRPr="00A4753C">
        <w:t xml:space="preserve">chool </w:t>
      </w:r>
      <w:r w:rsidR="00CD7C15">
        <w:t xml:space="preserve">post- 2025. </w:t>
      </w:r>
      <w:r w:rsidRPr="00A4753C">
        <w:lastRenderedPageBreak/>
        <w:t xml:space="preserve">Under the national government’s free school presumption, to provide additional school places in the borough the Council can only expand the capacity of existing schools or support applications for academies/free schools in the area. </w:t>
      </w:r>
    </w:p>
    <w:p w14:paraId="3A23E291" w14:textId="77777777" w:rsidR="00212A34" w:rsidRDefault="00212A34" w:rsidP="00CE5053">
      <w:pPr>
        <w:pStyle w:val="ListParagraph"/>
        <w:numPr>
          <w:ilvl w:val="2"/>
          <w:numId w:val="13"/>
        </w:numPr>
        <w:spacing w:after="240"/>
        <w:ind w:left="737" w:hanging="737"/>
        <w:contextualSpacing w:val="0"/>
      </w:pPr>
      <w:r>
        <w:t xml:space="preserve">The Place Planning Strategy considers the option of meeting some of the demand for secondary school places by considering opportunities available through free schools (as the scope to expand existing secondary schools in the borough could be limited, with most of the secondary schools in the borough recently rebuilt through the Building Schools for the Future Programme, and large number of the schools having potentially restrictive contractual arrangements).  </w:t>
      </w:r>
    </w:p>
    <w:p w14:paraId="7348F2C1" w14:textId="77777777" w:rsidR="00212A34" w:rsidRDefault="00212A34" w:rsidP="00CE5053">
      <w:pPr>
        <w:pStyle w:val="ListParagraph"/>
        <w:numPr>
          <w:ilvl w:val="2"/>
          <w:numId w:val="13"/>
        </w:numPr>
        <w:spacing w:after="240"/>
        <w:ind w:left="737" w:hanging="737"/>
        <w:contextualSpacing w:val="0"/>
      </w:pPr>
      <w:r>
        <w:t xml:space="preserve">Since the Place Planning Strategy was published revised forecasting has pushed back the need for additional places. To manage the risk of a large oversupply, the Council has decided not to take forward the planned expansion of Addey and Stanhope School, and has supported a reduction in PAN at both Prendergast Ladywell School and Deptford Green School. </w:t>
      </w:r>
    </w:p>
    <w:p w14:paraId="6AE741D1" w14:textId="77777777" w:rsidR="00212A34" w:rsidRDefault="00212A34" w:rsidP="00CE5053">
      <w:pPr>
        <w:pStyle w:val="ListParagraph"/>
        <w:numPr>
          <w:ilvl w:val="2"/>
          <w:numId w:val="13"/>
        </w:numPr>
        <w:spacing w:after="240"/>
        <w:ind w:left="737" w:hanging="737"/>
        <w:contextualSpacing w:val="0"/>
      </w:pPr>
      <w:r>
        <w:t>In general the forecasting of secondary places is more reliable as the methodology takes into account children registered from the primary level. However</w:t>
      </w:r>
      <w:r w:rsidR="661D1DB9">
        <w:t>,</w:t>
      </w:r>
      <w:r>
        <w:t xml:space="preserve"> the impact of the GLA’s revisions to the 2019 school roll projection model will be considered in the Council’s next round of forecasting and yearly reporting. It was also noted that there could be a number of factors affecting the borough’s current NOR and application number for secondary places (against the latest round of forecasting), including delays in major developments coming forward, and academies in neighbouring authorities increasing their PAN/school places available for secondary education.   </w:t>
      </w:r>
    </w:p>
    <w:p w14:paraId="4C65C7CA" w14:textId="77777777" w:rsidR="00B15E21" w:rsidRPr="00A4753C" w:rsidRDefault="00B15E21" w:rsidP="00CE5053">
      <w:pPr>
        <w:tabs>
          <w:tab w:val="left" w:pos="720"/>
          <w:tab w:val="left" w:pos="1440"/>
          <w:tab w:val="left" w:pos="2160"/>
          <w:tab w:val="left" w:pos="2713"/>
          <w:tab w:val="left" w:pos="3349"/>
          <w:tab w:val="left" w:pos="5492"/>
        </w:tabs>
        <w:spacing w:before="240" w:after="120"/>
        <w:ind w:left="720" w:hanging="720"/>
        <w:rPr>
          <w:b/>
        </w:rPr>
      </w:pPr>
      <w:r w:rsidRPr="00A4753C">
        <w:rPr>
          <w:i/>
        </w:rPr>
        <w:tab/>
      </w:r>
      <w:r w:rsidRPr="00A4753C">
        <w:rPr>
          <w:b/>
        </w:rPr>
        <w:t>Forecasting of demand for school places</w:t>
      </w:r>
    </w:p>
    <w:p w14:paraId="5E1EAE5C" w14:textId="77777777" w:rsidR="00B15E21" w:rsidRPr="00B77400" w:rsidRDefault="00B15E21" w:rsidP="00CE5053">
      <w:pPr>
        <w:pStyle w:val="ListParagraph"/>
        <w:numPr>
          <w:ilvl w:val="2"/>
          <w:numId w:val="13"/>
        </w:numPr>
        <w:spacing w:after="360"/>
        <w:ind w:left="737" w:hanging="737"/>
        <w:contextualSpacing w:val="0"/>
      </w:pPr>
      <w:r>
        <w:t xml:space="preserve">Forecasting indicates that between 2018/19 and 2024/25 </w:t>
      </w:r>
      <w:r w:rsidR="0F03E23D">
        <w:t>that it is like</w:t>
      </w:r>
      <w:r w:rsidR="009454C4">
        <w:t>ly</w:t>
      </w:r>
      <w:r w:rsidR="0F03E23D">
        <w:t xml:space="preserve"> that there will be</w:t>
      </w:r>
      <w:r>
        <w:t xml:space="preserve"> sufficient mainstream school places to meet demand in the borough. However, there could be pressure for school places at individual schools over that period, which will be monitored by the Council in partnership with relevant schools.</w:t>
      </w:r>
    </w:p>
    <w:tbl>
      <w:tblPr>
        <w:tblStyle w:val="ListTable3-Accent32"/>
        <w:tblW w:w="4590"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Forcasting of pupil demand"/>
      </w:tblPr>
      <w:tblGrid>
        <w:gridCol w:w="1787"/>
        <w:gridCol w:w="1787"/>
        <w:gridCol w:w="1788"/>
        <w:gridCol w:w="1788"/>
        <w:gridCol w:w="1788"/>
      </w:tblGrid>
      <w:tr w:rsidR="00B15E21" w:rsidRPr="00B77400" w14:paraId="766A9D92"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000" w:type="pct"/>
            <w:tcBorders>
              <w:bottom w:val="single" w:sz="4" w:space="0" w:color="FFFFFF" w:themeColor="background1"/>
            </w:tcBorders>
            <w:shd w:val="clear" w:color="auto" w:fill="002060"/>
          </w:tcPr>
          <w:p w14:paraId="1231BE67" w14:textId="77777777" w:rsidR="00B15E21" w:rsidRPr="00B77400" w:rsidRDefault="00B15E21" w:rsidP="00CE5053">
            <w:pPr>
              <w:tabs>
                <w:tab w:val="center" w:pos="3056"/>
                <w:tab w:val="left" w:pos="4975"/>
              </w:tabs>
              <w:spacing w:before="40" w:after="40"/>
              <w:rPr>
                <w:b w:val="0"/>
                <w:sz w:val="20"/>
                <w:szCs w:val="16"/>
              </w:rPr>
            </w:pPr>
          </w:p>
        </w:tc>
        <w:tc>
          <w:tcPr>
            <w:tcW w:w="1000" w:type="pct"/>
            <w:tcBorders>
              <w:bottom w:val="single" w:sz="4" w:space="0" w:color="FFFFFF" w:themeColor="background1"/>
            </w:tcBorders>
            <w:shd w:val="clear" w:color="auto" w:fill="002060"/>
          </w:tcPr>
          <w:p w14:paraId="239A969D" w14:textId="77777777" w:rsidR="00B15E21" w:rsidRPr="00B77400"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20"/>
                <w:szCs w:val="20"/>
              </w:rPr>
            </w:pPr>
            <w:r w:rsidRPr="00B77400">
              <w:rPr>
                <w:sz w:val="20"/>
                <w:szCs w:val="20"/>
              </w:rPr>
              <w:t>PAN (class places)</w:t>
            </w:r>
          </w:p>
        </w:tc>
        <w:tc>
          <w:tcPr>
            <w:tcW w:w="1000" w:type="pct"/>
            <w:tcBorders>
              <w:bottom w:val="single" w:sz="4" w:space="0" w:color="FFFFFF" w:themeColor="background1"/>
            </w:tcBorders>
            <w:shd w:val="clear" w:color="auto" w:fill="002060"/>
          </w:tcPr>
          <w:p w14:paraId="7608ED93" w14:textId="77777777" w:rsidR="00B15E21" w:rsidRPr="00B77400"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B77400">
              <w:rPr>
                <w:sz w:val="20"/>
                <w:szCs w:val="20"/>
              </w:rPr>
              <w:t>Forecast demand</w:t>
            </w:r>
          </w:p>
        </w:tc>
        <w:tc>
          <w:tcPr>
            <w:tcW w:w="1000" w:type="pct"/>
            <w:tcBorders>
              <w:bottom w:val="single" w:sz="4" w:space="0" w:color="FFFFFF" w:themeColor="background1"/>
            </w:tcBorders>
            <w:shd w:val="clear" w:color="auto" w:fill="002060"/>
          </w:tcPr>
          <w:p w14:paraId="5DE9CE2A" w14:textId="77777777" w:rsidR="00B15E21" w:rsidRPr="00B77400"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B77400">
              <w:rPr>
                <w:sz w:val="20"/>
                <w:szCs w:val="20"/>
              </w:rPr>
              <w:t>Forecast demand + 3%</w:t>
            </w:r>
          </w:p>
        </w:tc>
        <w:tc>
          <w:tcPr>
            <w:tcW w:w="1000" w:type="pct"/>
            <w:tcBorders>
              <w:bottom w:val="single" w:sz="4" w:space="0" w:color="FFFFFF" w:themeColor="background1"/>
            </w:tcBorders>
            <w:shd w:val="clear" w:color="auto" w:fill="002060"/>
          </w:tcPr>
          <w:p w14:paraId="25F0D104" w14:textId="77777777" w:rsidR="00B15E21" w:rsidRPr="00B77400" w:rsidRDefault="00B15E2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B77400">
              <w:rPr>
                <w:sz w:val="20"/>
                <w:szCs w:val="20"/>
              </w:rPr>
              <w:t>Implied oversupply</w:t>
            </w:r>
          </w:p>
        </w:tc>
      </w:tr>
      <w:tr w:rsidR="00B15E21" w:rsidRPr="00B77400" w14:paraId="39E72D47" w14:textId="77777777" w:rsidTr="00B15E2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0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B01A8A7" w14:textId="77777777" w:rsidR="00B15E21" w:rsidRPr="00B77400" w:rsidRDefault="00B15E21" w:rsidP="00CE5053">
            <w:pPr>
              <w:spacing w:before="40" w:after="40"/>
              <w:rPr>
                <w:sz w:val="20"/>
                <w:szCs w:val="20"/>
              </w:rPr>
            </w:pPr>
            <w:r w:rsidRPr="00B77400">
              <w:rPr>
                <w:sz w:val="20"/>
                <w:szCs w:val="20"/>
              </w:rPr>
              <w:t>LB Lewisham Total</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13907031" w14:textId="77777777" w:rsidR="00B15E21" w:rsidRPr="00B77400"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B77400">
              <w:rPr>
                <w:sz w:val="20"/>
              </w:rPr>
              <w:t>2,582</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45051864" w14:textId="77777777" w:rsidR="00B15E21" w:rsidRPr="00B77400"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B77400">
              <w:rPr>
                <w:sz w:val="20"/>
              </w:rPr>
              <w:t>2,622</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253BC69D" w14:textId="77777777" w:rsidR="00B15E21" w:rsidRPr="00B77400"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B77400">
              <w:rPr>
                <w:sz w:val="20"/>
              </w:rPr>
              <w:t>2,701</w:t>
            </w:r>
          </w:p>
        </w:tc>
        <w:tc>
          <w:tcPr>
            <w:tcW w:w="1000" w:type="pct"/>
            <w:tcBorders>
              <w:top w:val="single" w:sz="4" w:space="0" w:color="FFFFFF" w:themeColor="background1"/>
              <w:bottom w:val="single" w:sz="4" w:space="0" w:color="FFFFFF" w:themeColor="background1"/>
            </w:tcBorders>
            <w:shd w:val="clear" w:color="auto" w:fill="F2F2F2" w:themeFill="background1" w:themeFillShade="F2"/>
          </w:tcPr>
          <w:p w14:paraId="5DF01DCE" w14:textId="77777777" w:rsidR="00B15E21" w:rsidRPr="00B77400"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B77400">
              <w:rPr>
                <w:sz w:val="20"/>
              </w:rPr>
              <w:t>-40</w:t>
            </w:r>
          </w:p>
        </w:tc>
      </w:tr>
    </w:tbl>
    <w:p w14:paraId="1C2804D9" w14:textId="77777777" w:rsidR="00B15E21" w:rsidRPr="00A4753C" w:rsidRDefault="00B15E21" w:rsidP="00CE5053">
      <w:pPr>
        <w:pStyle w:val="Caption"/>
        <w:spacing w:before="120" w:after="360"/>
        <w:ind w:left="720"/>
      </w:pPr>
      <w:r w:rsidRPr="00B77400">
        <w:rPr>
          <w:b/>
          <w:i w:val="0"/>
          <w:color w:val="auto"/>
        </w:rPr>
        <w:t xml:space="preserve">Table </w:t>
      </w:r>
      <w:r w:rsidRPr="00B77400">
        <w:rPr>
          <w:b/>
          <w:i w:val="0"/>
          <w:color w:val="auto"/>
        </w:rPr>
        <w:fldChar w:fldCharType="begin"/>
      </w:r>
      <w:r w:rsidRPr="00B77400">
        <w:rPr>
          <w:b/>
          <w:i w:val="0"/>
          <w:color w:val="auto"/>
        </w:rPr>
        <w:instrText xml:space="preserve"> SEQ Table \* ARABIC </w:instrText>
      </w:r>
      <w:r w:rsidRPr="00B77400">
        <w:rPr>
          <w:b/>
          <w:i w:val="0"/>
          <w:color w:val="auto"/>
        </w:rPr>
        <w:fldChar w:fldCharType="separate"/>
      </w:r>
      <w:r w:rsidR="00C93475">
        <w:rPr>
          <w:b/>
          <w:i w:val="0"/>
          <w:noProof/>
          <w:color w:val="auto"/>
        </w:rPr>
        <w:t>4</w:t>
      </w:r>
      <w:r w:rsidRPr="00B77400">
        <w:rPr>
          <w:b/>
          <w:i w:val="0"/>
          <w:color w:val="auto"/>
        </w:rPr>
        <w:fldChar w:fldCharType="end"/>
      </w:r>
      <w:r w:rsidRPr="00B77400">
        <w:rPr>
          <w:i w:val="0"/>
          <w:color w:val="auto"/>
        </w:rPr>
        <w:t xml:space="preserve"> Forecasting of pupil demand and PAN at Year 7, at 2022/23. Source: London Borough of Lewisham</w:t>
      </w:r>
    </w:p>
    <w:p w14:paraId="79003AF8" w14:textId="77777777" w:rsidR="00B15E21" w:rsidRPr="00A4753C" w:rsidRDefault="00B15E21" w:rsidP="00CE5053">
      <w:pPr>
        <w:pStyle w:val="ListParagraph"/>
        <w:numPr>
          <w:ilvl w:val="2"/>
          <w:numId w:val="13"/>
        </w:numPr>
        <w:spacing w:after="240"/>
        <w:ind w:left="737" w:hanging="737"/>
        <w:contextualSpacing w:val="0"/>
        <w:rPr>
          <w:rFonts w:asciiTheme="minorHAnsi" w:eastAsiaTheme="minorEastAsia" w:hAnsiTheme="minorHAnsi"/>
        </w:rPr>
      </w:pPr>
      <w:r>
        <w:t>Based on the assumptions for the new Local Plan</w:t>
      </w:r>
      <w:r w:rsidR="001D3A91">
        <w:t xml:space="preserve">, </w:t>
      </w:r>
      <w:r>
        <w:t>Council</w:t>
      </w:r>
      <w:r w:rsidR="001D3A91">
        <w:t xml:space="preserve"> </w:t>
      </w:r>
      <w:r>
        <w:t xml:space="preserve">considers that over the next five years </w:t>
      </w:r>
      <w:r w:rsidR="12234DCD">
        <w:t>it is like</w:t>
      </w:r>
      <w:r w:rsidR="009454C4">
        <w:t>ly</w:t>
      </w:r>
      <w:r w:rsidR="12234DCD">
        <w:t xml:space="preserve"> that there will be</w:t>
      </w:r>
      <w:r>
        <w:t xml:space="preserve"> sufficient secondary places to meet the anticipated demand from pupils. The Council considers that capacity/intake could be increased if </w:t>
      </w:r>
      <w:r w:rsidR="1468332F">
        <w:t>necessary,</w:t>
      </w:r>
      <w:r>
        <w:t xml:space="preserve"> by increasing the PAN for Prendergast Ladywell School and Deptford Green School (which have recently reduced their PAN). At the time of writing, the 8</w:t>
      </w:r>
      <w:r w:rsidR="70B338D5">
        <w:t xml:space="preserve"> form entry (</w:t>
      </w:r>
      <w:r>
        <w:t>FE</w:t>
      </w:r>
      <w:r w:rsidR="7D80BF5E">
        <w:t>)</w:t>
      </w:r>
      <w:r>
        <w:t xml:space="preserve"> free school with approval for ‘pre-opening’ in the borough is considered to be unnecessary to meet pupil demand forecasted in the borough over the next five years.  </w:t>
      </w:r>
    </w:p>
    <w:p w14:paraId="35A1A41F" w14:textId="77777777" w:rsidR="00B15E21" w:rsidRDefault="00B15E21" w:rsidP="00CE5053">
      <w:pPr>
        <w:pStyle w:val="ListParagraph"/>
        <w:numPr>
          <w:ilvl w:val="2"/>
          <w:numId w:val="13"/>
        </w:numPr>
        <w:spacing w:after="240"/>
        <w:ind w:left="737" w:hanging="737"/>
        <w:contextualSpacing w:val="0"/>
      </w:pPr>
      <w:r>
        <w:t>Given the</w:t>
      </w:r>
      <w:r w:rsidR="001D3A91">
        <w:t xml:space="preserve"> expected </w:t>
      </w:r>
      <w:r>
        <w:t xml:space="preserve">level of </w:t>
      </w:r>
      <w:r w:rsidR="001D3A91">
        <w:t xml:space="preserve">population growth </w:t>
      </w:r>
      <w:r>
        <w:t>anticipated in the longer term</w:t>
      </w:r>
      <w:r w:rsidR="001D3A91">
        <w:t>,</w:t>
      </w:r>
      <w:r>
        <w:t xml:space="preserve"> the need to accommodate additional secondary school places beyond 2025 will be monitored and reflected in future </w:t>
      </w:r>
      <w:r w:rsidR="008C2E91">
        <w:t xml:space="preserve">iterations </w:t>
      </w:r>
      <w:r>
        <w:t>of the IDP. Given the nature of secondary school enrolments</w:t>
      </w:r>
      <w:r w:rsidR="008C2E91">
        <w:t>,</w:t>
      </w:r>
      <w:r>
        <w:t xml:space="preserve"> </w:t>
      </w:r>
      <w:r>
        <w:lastRenderedPageBreak/>
        <w:t xml:space="preserve">the Council will continue to work with neighbouring authorities and the Mayor </w:t>
      </w:r>
      <w:r w:rsidR="008C2E91">
        <w:t xml:space="preserve">of London </w:t>
      </w:r>
      <w:r>
        <w:t>when planning for additional secondary places.</w:t>
      </w:r>
    </w:p>
    <w:p w14:paraId="6388A4C6" w14:textId="77777777" w:rsidR="00B15E21" w:rsidRPr="006E08AE" w:rsidRDefault="00B15E21" w:rsidP="00CE5053">
      <w:pPr>
        <w:pStyle w:val="Heading3"/>
      </w:pPr>
      <w:bookmarkStart w:id="13" w:name="_Toc56146007"/>
      <w:r w:rsidRPr="006E08AE">
        <w:t>Special education</w:t>
      </w:r>
      <w:bookmarkEnd w:id="13"/>
    </w:p>
    <w:p w14:paraId="55EA787B" w14:textId="77777777" w:rsidR="00B15E21" w:rsidRDefault="00B15E21" w:rsidP="00CE5053">
      <w:pPr>
        <w:pStyle w:val="ListParagraph"/>
        <w:numPr>
          <w:ilvl w:val="2"/>
          <w:numId w:val="13"/>
        </w:numPr>
        <w:spacing w:after="240"/>
        <w:ind w:left="737" w:hanging="737"/>
        <w:contextualSpacing w:val="0"/>
      </w:pPr>
      <w:r>
        <w:t>This section outlines the existing provision and future need for the Council’s special education facilities that provide for children and young people under 25 years old with special education needs and disabilities (SEND).</w:t>
      </w:r>
    </w:p>
    <w:p w14:paraId="6C17B321" w14:textId="77777777" w:rsidR="00B15E21" w:rsidRPr="00595E96" w:rsidRDefault="00B15E21" w:rsidP="00CE5053">
      <w:pPr>
        <w:tabs>
          <w:tab w:val="left" w:pos="720"/>
          <w:tab w:val="left" w:pos="1440"/>
          <w:tab w:val="left" w:pos="2160"/>
          <w:tab w:val="left" w:pos="2713"/>
          <w:tab w:val="left" w:pos="3349"/>
          <w:tab w:val="left" w:pos="5492"/>
        </w:tabs>
        <w:spacing w:before="240" w:after="120"/>
        <w:ind w:left="720" w:hanging="720"/>
        <w:rPr>
          <w:b/>
        </w:rPr>
      </w:pPr>
      <w:r w:rsidRPr="00595E96">
        <w:tab/>
      </w:r>
      <w:r w:rsidRPr="00595E96">
        <w:rPr>
          <w:b/>
        </w:rPr>
        <w:t>Policy context</w:t>
      </w:r>
    </w:p>
    <w:p w14:paraId="4B0BFD3D" w14:textId="77777777" w:rsidR="00B15E21" w:rsidRDefault="00B15E21" w:rsidP="00CE5053">
      <w:pPr>
        <w:pStyle w:val="ListParagraph"/>
        <w:numPr>
          <w:ilvl w:val="2"/>
          <w:numId w:val="13"/>
        </w:numPr>
        <w:spacing w:after="240"/>
        <w:ind w:left="737" w:hanging="737"/>
        <w:contextualSpacing w:val="0"/>
      </w:pPr>
      <w:r>
        <w:t>The council’s SEND Strategy 2019-22 sets out the partnership’s vision and priorities for improving life outcomes for children and young people with SEND, and their families and carers. The provision of specialist education places is also covered by the Council’s Place Planning Strategy 2017-2022. Progress against the SEND strategy/place planning strategy is reviewed on a yearly basis. Specialist education provision is provided for children and young people identified with particularly complex special educational needs and disabilities.</w:t>
      </w:r>
    </w:p>
    <w:p w14:paraId="2A94A6EB" w14:textId="77777777" w:rsidR="00B15E21" w:rsidRPr="00763D35" w:rsidRDefault="00B15E21" w:rsidP="00CE5053">
      <w:pPr>
        <w:tabs>
          <w:tab w:val="left" w:pos="720"/>
          <w:tab w:val="left" w:pos="1440"/>
          <w:tab w:val="left" w:pos="2160"/>
          <w:tab w:val="left" w:pos="2713"/>
          <w:tab w:val="left" w:pos="3349"/>
          <w:tab w:val="left" w:pos="5492"/>
        </w:tabs>
        <w:spacing w:before="240" w:after="120"/>
        <w:ind w:left="720" w:hanging="720"/>
        <w:rPr>
          <w:b/>
        </w:rPr>
      </w:pPr>
      <w:r w:rsidRPr="006D56CB">
        <w:rPr>
          <w:b/>
        </w:rPr>
        <w:tab/>
        <w:t xml:space="preserve">Current </w:t>
      </w:r>
      <w:r w:rsidRPr="00763D35">
        <w:rPr>
          <w:b/>
        </w:rPr>
        <w:t>situation</w:t>
      </w:r>
    </w:p>
    <w:p w14:paraId="3B038CB7" w14:textId="77777777" w:rsidR="00B15E21" w:rsidRDefault="00B15E21" w:rsidP="00CE5053">
      <w:pPr>
        <w:pStyle w:val="ListParagraph"/>
        <w:numPr>
          <w:ilvl w:val="2"/>
          <w:numId w:val="13"/>
        </w:numPr>
        <w:spacing w:after="240"/>
        <w:ind w:left="737" w:hanging="737"/>
        <w:contextualSpacing w:val="0"/>
      </w:pPr>
      <w:r>
        <w:t>There are five specialist schools offering placements for children and young p</w:t>
      </w:r>
      <w:r w:rsidR="008C2E91">
        <w:t>eople with SEND in the borough:</w:t>
      </w:r>
    </w:p>
    <w:p w14:paraId="1B7500D5" w14:textId="77777777" w:rsidR="00B15E21" w:rsidRPr="008C2E91" w:rsidRDefault="00B15E21" w:rsidP="00CE5053">
      <w:pPr>
        <w:pStyle w:val="ListParagraph"/>
        <w:numPr>
          <w:ilvl w:val="0"/>
          <w:numId w:val="2"/>
        </w:numPr>
      </w:pPr>
      <w:r w:rsidRPr="008C2E91">
        <w:t>Watergate School caters for primary aged pupils with severe learning difficulties (SLD) and profound and multip</w:t>
      </w:r>
      <w:r w:rsidR="008C2E91">
        <w:t>le learning difficulties (PMLD);</w:t>
      </w:r>
    </w:p>
    <w:p w14:paraId="25D49E60" w14:textId="77777777" w:rsidR="00B15E21" w:rsidRPr="008C2E91" w:rsidRDefault="00B15E21" w:rsidP="00CE5053">
      <w:pPr>
        <w:pStyle w:val="ListParagraph"/>
        <w:numPr>
          <w:ilvl w:val="0"/>
          <w:numId w:val="2"/>
        </w:numPr>
      </w:pPr>
      <w:r w:rsidRPr="008C2E91">
        <w:t>Greenvale School caters for secondary aged pupils with SLD and PMLD</w:t>
      </w:r>
      <w:r w:rsidR="008C2E91">
        <w:t>;</w:t>
      </w:r>
    </w:p>
    <w:p w14:paraId="79D3E253" w14:textId="77777777" w:rsidR="00B15E21" w:rsidRPr="008C2E91" w:rsidRDefault="00B15E21" w:rsidP="00CE5053">
      <w:pPr>
        <w:pStyle w:val="ListParagraph"/>
        <w:numPr>
          <w:ilvl w:val="0"/>
          <w:numId w:val="2"/>
        </w:numPr>
      </w:pPr>
      <w:r w:rsidRPr="008C2E91">
        <w:t>New Woodlands School caters for pupils with social, emotional and mental health needs (SEMH)</w:t>
      </w:r>
      <w:r w:rsidR="008C2E91">
        <w:t>;</w:t>
      </w:r>
    </w:p>
    <w:p w14:paraId="66638AC2" w14:textId="77777777" w:rsidR="00B15E21" w:rsidRPr="008C2E91" w:rsidRDefault="00B15E21" w:rsidP="00CE5053">
      <w:pPr>
        <w:pStyle w:val="ListParagraph"/>
        <w:numPr>
          <w:ilvl w:val="0"/>
          <w:numId w:val="2"/>
        </w:numPr>
      </w:pPr>
      <w:r w:rsidRPr="008C2E91">
        <w:t>Brent Knoll School caters for pupils with a wide range of needs including autism spectrum disorder (ASD), speech and language nee</w:t>
      </w:r>
      <w:r w:rsidR="008C2E91">
        <w:t>ds, and for non-ambulant pupils; and</w:t>
      </w:r>
    </w:p>
    <w:p w14:paraId="35BD14EF" w14:textId="77777777" w:rsidR="00B15E21" w:rsidRPr="008C2E91" w:rsidRDefault="00B15E21" w:rsidP="00CE5053">
      <w:pPr>
        <w:pStyle w:val="ListParagraph"/>
        <w:numPr>
          <w:ilvl w:val="0"/>
          <w:numId w:val="2"/>
        </w:numPr>
        <w:spacing w:after="240"/>
        <w:ind w:left="1451" w:hanging="357"/>
        <w:contextualSpacing w:val="0"/>
      </w:pPr>
      <w:r w:rsidRPr="008C2E91">
        <w:t>Drumbeat School caters for pupils wit</w:t>
      </w:r>
      <w:r w:rsidR="008C2E91">
        <w:t>h ASD.</w:t>
      </w:r>
    </w:p>
    <w:p w14:paraId="7F685906" w14:textId="77777777" w:rsidR="00B15E21" w:rsidRDefault="00B15E21" w:rsidP="00CE5053">
      <w:pPr>
        <w:pStyle w:val="ListParagraph"/>
        <w:numPr>
          <w:ilvl w:val="2"/>
          <w:numId w:val="13"/>
        </w:numPr>
        <w:spacing w:after="240"/>
        <w:ind w:left="737" w:hanging="737"/>
        <w:contextualSpacing w:val="0"/>
      </w:pPr>
      <w:r>
        <w:t>As of March 2018, there were 670 children and young people residing in the borough accessing specialist provision. 487 placements were provided in specialist schools in the borough, with the remaining 183 residents taking up placements outside the borough.</w:t>
      </w:r>
    </w:p>
    <w:p w14:paraId="51212338" w14:textId="77777777" w:rsidR="00B15E21" w:rsidRPr="00763D35" w:rsidRDefault="00B15E21" w:rsidP="00CE5053">
      <w:pPr>
        <w:tabs>
          <w:tab w:val="left" w:pos="720"/>
          <w:tab w:val="left" w:pos="1440"/>
          <w:tab w:val="left" w:pos="2160"/>
          <w:tab w:val="left" w:pos="2713"/>
          <w:tab w:val="left" w:pos="3349"/>
          <w:tab w:val="left" w:pos="5492"/>
        </w:tabs>
        <w:spacing w:before="240" w:after="120"/>
        <w:ind w:left="720" w:hanging="720"/>
        <w:rPr>
          <w:b/>
        </w:rPr>
      </w:pPr>
      <w:r w:rsidRPr="00763D35">
        <w:rPr>
          <w:b/>
        </w:rPr>
        <w:tab/>
        <w:t xml:space="preserve">Future </w:t>
      </w:r>
      <w:r>
        <w:rPr>
          <w:b/>
        </w:rPr>
        <w:t>requirement</w:t>
      </w:r>
    </w:p>
    <w:p w14:paraId="545798F5" w14:textId="77777777" w:rsidR="00B15E21" w:rsidRPr="00595E96" w:rsidRDefault="00B15E21" w:rsidP="00CE5053">
      <w:pPr>
        <w:pStyle w:val="ListParagraph"/>
        <w:numPr>
          <w:ilvl w:val="2"/>
          <w:numId w:val="13"/>
        </w:numPr>
        <w:spacing w:after="240"/>
        <w:ind w:left="737" w:hanging="737"/>
        <w:contextualSpacing w:val="0"/>
      </w:pPr>
      <w:r>
        <w:t>Demand for speciali</w:t>
      </w:r>
      <w:r w:rsidR="00DF3F5F">
        <w:t>st school places in the borough</w:t>
      </w:r>
      <w:r w:rsidR="34DAF0B4">
        <w:t xml:space="preserve"> is expected to increase</w:t>
      </w:r>
      <w:r>
        <w:t xml:space="preserve"> in the short to medium term, increasing the reliance for placements outside the borough if no additional capacity is provided. The Council’s strategy has highlighted a need to ensure specialist schools are able to meet the range of complex needs identified in the borough, including SEMH needs for children and young people across key stages, as well as alternative provision.</w:t>
      </w:r>
    </w:p>
    <w:p w14:paraId="497645FB" w14:textId="77777777" w:rsidR="00B15E21" w:rsidRPr="001A17CA" w:rsidRDefault="00B15E21" w:rsidP="00CE5053">
      <w:pPr>
        <w:pStyle w:val="ListParagraph"/>
        <w:numPr>
          <w:ilvl w:val="2"/>
          <w:numId w:val="13"/>
        </w:numPr>
        <w:spacing w:after="240"/>
        <w:ind w:left="737" w:hanging="737"/>
        <w:contextualSpacing w:val="0"/>
      </w:pPr>
      <w:r>
        <w:t xml:space="preserve">The Council undertook a review of </w:t>
      </w:r>
      <w:r w:rsidR="00E3456F">
        <w:t>ASD</w:t>
      </w:r>
      <w:r w:rsidR="0034047A">
        <w:t xml:space="preserve"> need</w:t>
      </w:r>
      <w:r>
        <w:t xml:space="preserve"> in </w:t>
      </w:r>
      <w:r w:rsidR="0034047A">
        <w:t>summer</w:t>
      </w:r>
      <w:r>
        <w:t xml:space="preserve"> 2017, which recommended a re-profiling of SEN schools along with wider works to cater for young people with ASD in mainstream education provisions. The focus for specialist provision currently within the borough is to provide additional SLD/PMLD places, provide additional resourcing to address SEMH needs, and to better provide for the needs of children and young people within their own communities. As a result, in the short term Council will:</w:t>
      </w:r>
    </w:p>
    <w:p w14:paraId="66CCAF33" w14:textId="77777777" w:rsidR="00B15E21" w:rsidRPr="001A17CA" w:rsidRDefault="00B15E21" w:rsidP="00CE5053">
      <w:pPr>
        <w:pStyle w:val="ListParagraph"/>
        <w:numPr>
          <w:ilvl w:val="0"/>
          <w:numId w:val="2"/>
        </w:numPr>
      </w:pPr>
      <w:r w:rsidRPr="001A17CA">
        <w:lastRenderedPageBreak/>
        <w:t>Expand provisions at Watergate Special School to provide an additional 59 pla</w:t>
      </w:r>
      <w:r>
        <w:t>ces for primary aged children from</w:t>
      </w:r>
      <w:r w:rsidRPr="001A17CA">
        <w:t xml:space="preserve"> September 2019;</w:t>
      </w:r>
    </w:p>
    <w:p w14:paraId="3F5D992E" w14:textId="77777777" w:rsidR="00B15E21" w:rsidRPr="001A17CA" w:rsidRDefault="00B15E21" w:rsidP="00CE5053">
      <w:pPr>
        <w:pStyle w:val="ListParagraph"/>
        <w:numPr>
          <w:ilvl w:val="0"/>
          <w:numId w:val="2"/>
        </w:numPr>
      </w:pPr>
      <w:r w:rsidRPr="001A17CA">
        <w:t>Expand provisions at Greenvale Special School to provide an additional 93 place</w:t>
      </w:r>
      <w:r>
        <w:t>s for secondary aged children from</w:t>
      </w:r>
      <w:r w:rsidRPr="001A17CA">
        <w:t xml:space="preserve"> September 2019;</w:t>
      </w:r>
      <w:r w:rsidR="00A03CF3">
        <w:t xml:space="preserve"> and</w:t>
      </w:r>
    </w:p>
    <w:p w14:paraId="7255E332" w14:textId="77777777" w:rsidR="00B15E21" w:rsidRPr="001A17CA" w:rsidRDefault="00B15E21" w:rsidP="00CE5053">
      <w:pPr>
        <w:pStyle w:val="ListParagraph"/>
        <w:numPr>
          <w:ilvl w:val="0"/>
          <w:numId w:val="2"/>
        </w:numPr>
        <w:spacing w:after="240"/>
        <w:ind w:left="1451" w:hanging="357"/>
        <w:contextualSpacing w:val="0"/>
      </w:pPr>
      <w:r>
        <w:t>Re-profile the provision, and extend the age range, at New Woodlands School to cater for pupils with SEMH from Key Stage 1 through to Key Stage 4.</w:t>
      </w:r>
    </w:p>
    <w:p w14:paraId="19BD8843" w14:textId="77777777" w:rsidR="00B15E21" w:rsidRPr="001A17CA" w:rsidRDefault="00B15E21" w:rsidP="00CE5053">
      <w:pPr>
        <w:pStyle w:val="ListParagraph"/>
        <w:numPr>
          <w:ilvl w:val="2"/>
          <w:numId w:val="13"/>
        </w:numPr>
        <w:spacing w:after="240"/>
        <w:ind w:left="737" w:hanging="737"/>
        <w:contextualSpacing w:val="0"/>
      </w:pPr>
      <w:r>
        <w:t xml:space="preserve">Expansions to Watergate Special School and Greenvale Special School are currently in progress. From the 2019/20 school year Watergate School will be able to cater for additional demand, with a permanent expansion of the school planned from the 2020/21 school year. The expansion of Greenvale School will be delivered on a satellite site on Mayow Road from September 2020. The extension of the age range at New Woodlands School has been in operation since September 2018, and further work to remodel existing facilities and the provision of additional accommodation at the school is being planned to enable a full KS4 cohort to be in place from September 2019. </w:t>
      </w:r>
    </w:p>
    <w:p w14:paraId="4D12C092" w14:textId="77777777" w:rsidR="00B15E21" w:rsidRDefault="00B15E21" w:rsidP="00CE5053">
      <w:pPr>
        <w:pStyle w:val="ListParagraph"/>
        <w:numPr>
          <w:ilvl w:val="2"/>
          <w:numId w:val="13"/>
        </w:numPr>
        <w:spacing w:after="240"/>
        <w:ind w:left="737" w:hanging="737"/>
        <w:contextualSpacing w:val="0"/>
      </w:pPr>
      <w:r>
        <w:t>Further work is being undertaken to monitor resourcing for pupils requiring SEND provision in the borough. So far this has also identified the need for additional 16-25 year old provision, as well as a review of ‘resource bases’ in mainstream schools to better suit the current cohort. As this work progresses, it may result in additional requirement for SEND provisions in the borough over the Local Plan period, which will be reflected in future reviews of the IDP.</w:t>
      </w:r>
    </w:p>
    <w:p w14:paraId="008AB6EF" w14:textId="77777777" w:rsidR="00B15E21" w:rsidRPr="006E08AE" w:rsidRDefault="00B15E21" w:rsidP="00CE5053">
      <w:pPr>
        <w:pStyle w:val="Heading3"/>
      </w:pPr>
      <w:bookmarkStart w:id="14" w:name="_Toc56146008"/>
      <w:r w:rsidRPr="006E08AE">
        <w:t>Alternative provision</w:t>
      </w:r>
      <w:bookmarkEnd w:id="14"/>
    </w:p>
    <w:p w14:paraId="7E19044A" w14:textId="77777777" w:rsidR="00B15E21" w:rsidRPr="001A17CA" w:rsidRDefault="00B15E21" w:rsidP="00CE5053">
      <w:pPr>
        <w:ind w:left="1440" w:hanging="720"/>
        <w:rPr>
          <w:b/>
        </w:rPr>
      </w:pPr>
      <w:r w:rsidRPr="001A17CA">
        <w:rPr>
          <w:b/>
        </w:rPr>
        <w:t>Background</w:t>
      </w:r>
    </w:p>
    <w:p w14:paraId="24EA0DFD" w14:textId="77777777" w:rsidR="00B15E21" w:rsidRPr="00595E96" w:rsidRDefault="00B15E21" w:rsidP="00CE5053">
      <w:pPr>
        <w:pStyle w:val="ListParagraph"/>
        <w:numPr>
          <w:ilvl w:val="2"/>
          <w:numId w:val="13"/>
        </w:numPr>
        <w:spacing w:after="240"/>
        <w:ind w:left="737" w:hanging="737"/>
        <w:contextualSpacing w:val="0"/>
      </w:pPr>
      <w:r>
        <w:t>Alternative provision is defined as a setting that children and young people attend on a part-time or full-time basis away from their regular school, where they are not able to engage in mainstream education. Any school that is established and maintained by a local authority for alternative provision is known as a Pupil Referral Unit (PRU). SEN schools for pupils with emotional and behavioural difficulties are also a form of alternative provision. Statutory guidance sets out the government’s expectations of local authorities and maintained schools who commission Alternative Provision and Pupil Referral Units. The Council is responsible for arranging suitable full-time education for permanently excluded pupils, and for other pupils who because of illness or other reasons would not receive suitable education without such arrangements being made.</w:t>
      </w:r>
    </w:p>
    <w:p w14:paraId="51C9623C" w14:textId="77777777" w:rsidR="00B15E21" w:rsidRPr="00763D35" w:rsidRDefault="00B15E21" w:rsidP="00CE5053">
      <w:pPr>
        <w:tabs>
          <w:tab w:val="left" w:pos="720"/>
          <w:tab w:val="left" w:pos="1440"/>
          <w:tab w:val="left" w:pos="2160"/>
          <w:tab w:val="left" w:pos="2713"/>
          <w:tab w:val="left" w:pos="3349"/>
          <w:tab w:val="left" w:pos="5492"/>
        </w:tabs>
        <w:spacing w:before="240" w:after="120"/>
        <w:ind w:left="720" w:hanging="720"/>
        <w:rPr>
          <w:b/>
        </w:rPr>
      </w:pPr>
      <w:r w:rsidRPr="00763D35">
        <w:rPr>
          <w:b/>
        </w:rPr>
        <w:tab/>
        <w:t>Current situation</w:t>
      </w:r>
    </w:p>
    <w:p w14:paraId="71E2D5F6" w14:textId="77777777" w:rsidR="00B15E21" w:rsidRDefault="00B15E21" w:rsidP="00CE5053">
      <w:pPr>
        <w:pStyle w:val="ListParagraph"/>
        <w:numPr>
          <w:ilvl w:val="2"/>
          <w:numId w:val="13"/>
        </w:numPr>
        <w:spacing w:after="240"/>
        <w:ind w:left="737" w:hanging="737"/>
        <w:contextualSpacing w:val="0"/>
      </w:pPr>
      <w:r>
        <w:t xml:space="preserve">There is currently one PRU in the borough, Abbey Manor College (for 11 to 19 year olds across two campuses). Alternative provision is also available at Lewisham Southwark College and other off-site provisions. In 2017/2018, 79% of pupils permanently excluded from schools were referred to Abbey Manor College, and 21% of pupils were referred either elsewhere in the borough or to neighbouring authorities.  </w:t>
      </w:r>
    </w:p>
    <w:p w14:paraId="3F8F0450" w14:textId="77777777" w:rsidR="00B15E21" w:rsidRPr="00A03CF3" w:rsidRDefault="00B15E21" w:rsidP="00CE5053">
      <w:pPr>
        <w:tabs>
          <w:tab w:val="left" w:pos="720"/>
          <w:tab w:val="left" w:pos="1440"/>
          <w:tab w:val="left" w:pos="2160"/>
          <w:tab w:val="left" w:pos="2713"/>
          <w:tab w:val="left" w:pos="3349"/>
          <w:tab w:val="left" w:pos="5492"/>
        </w:tabs>
        <w:spacing w:before="240" w:after="120"/>
        <w:ind w:left="720"/>
        <w:rPr>
          <w:b/>
        </w:rPr>
      </w:pPr>
      <w:r w:rsidRPr="00A03CF3">
        <w:rPr>
          <w:b/>
        </w:rPr>
        <w:t>Future requirement</w:t>
      </w:r>
    </w:p>
    <w:p w14:paraId="10F3CE6A" w14:textId="77777777" w:rsidR="00B15E21" w:rsidRPr="00595E96" w:rsidRDefault="00B15E21" w:rsidP="00CE5053">
      <w:pPr>
        <w:pStyle w:val="ListParagraph"/>
        <w:numPr>
          <w:ilvl w:val="2"/>
          <w:numId w:val="13"/>
        </w:numPr>
        <w:spacing w:after="240"/>
        <w:ind w:left="737" w:hanging="737"/>
        <w:contextualSpacing w:val="0"/>
      </w:pPr>
      <w:r>
        <w:t xml:space="preserve">In the last two years the borough has seen a marked decrease in the number of permanent exclusions. This has been attributed to the implementation of reintegration programmes, and partnership initiatives to reduce permanent exclusion. Following a review of alternative provision in 2016, a key action for the Council was to develop and implement provisions that </w:t>
      </w:r>
      <w:r>
        <w:lastRenderedPageBreak/>
        <w:t>addresses the gaps identified in the review, specifically to address needs that are not being met locally by the borough’s PRU and alternative provisions. The Council’s Place Planning Strategy 2017-2022 also reaffirms the need to develop plans for SEND and alternative provisions in the borough.</w:t>
      </w:r>
    </w:p>
    <w:p w14:paraId="44272D06" w14:textId="77777777" w:rsidR="00DF60C7" w:rsidRPr="00A03CF3" w:rsidRDefault="00B15E21" w:rsidP="00CE5053">
      <w:pPr>
        <w:pStyle w:val="ListParagraph"/>
        <w:numPr>
          <w:ilvl w:val="2"/>
          <w:numId w:val="13"/>
        </w:numPr>
        <w:spacing w:after="240"/>
        <w:ind w:left="737" w:hanging="737"/>
        <w:contextualSpacing w:val="0"/>
        <w:sectPr w:rsidR="00DF60C7" w:rsidRPr="00A03CF3" w:rsidSect="007B10F6">
          <w:headerReference w:type="default" r:id="rId15"/>
          <w:footerReference w:type="default" r:id="rId16"/>
          <w:pgSz w:w="11906" w:h="16838"/>
          <w:pgMar w:top="1440" w:right="1080" w:bottom="1440" w:left="1080" w:header="708" w:footer="708" w:gutter="0"/>
          <w:pgBorders w:offsetFrom="page">
            <w:top w:val="single" w:sz="4" w:space="24" w:color="FFFFFF" w:themeColor="background1"/>
            <w:bottom w:val="single" w:sz="4" w:space="24" w:color="FFFFFF" w:themeColor="background1"/>
          </w:pgBorders>
          <w:pgNumType w:start="1"/>
          <w:cols w:space="708"/>
          <w:docGrid w:linePitch="360"/>
        </w:sectPr>
      </w:pPr>
      <w:r>
        <w:t>To meet future demand for alternative provision placements in the borough over the Local Plan period there is a requirement for a new alternative provision facility for both primary and secondary aged students to improve outcomes, and to meet demand for placements. No specific location or funding has yet been identified the new alternative provision facilities, and potential projects will be included in future updates to the IDP.</w:t>
      </w:r>
    </w:p>
    <w:p w14:paraId="03A63A00" w14:textId="77777777" w:rsidR="00DF60C7" w:rsidRPr="002D28DF" w:rsidRDefault="0071357A" w:rsidP="00CE5053">
      <w:pPr>
        <w:pStyle w:val="Heading3"/>
      </w:pPr>
      <w:bookmarkStart w:id="15" w:name="_Toc56146009"/>
      <w:r>
        <w:lastRenderedPageBreak/>
        <w:t xml:space="preserve">Strategic infrastructure </w:t>
      </w:r>
      <w:r w:rsidR="00DF60C7" w:rsidRPr="002D28DF">
        <w:t>list for education and childcare facilities</w:t>
      </w:r>
      <w:bookmarkEnd w:id="15"/>
    </w:p>
    <w:tbl>
      <w:tblPr>
        <w:tblStyle w:val="ListTable3-Accent32"/>
        <w:tblW w:w="4774" w:type="pct"/>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Strategic infrastructure list for education and childcare facilities"/>
      </w:tblPr>
      <w:tblGrid>
        <w:gridCol w:w="2343"/>
        <w:gridCol w:w="1757"/>
        <w:gridCol w:w="5941"/>
        <w:gridCol w:w="2414"/>
        <w:gridCol w:w="872"/>
        <w:gridCol w:w="8"/>
        <w:gridCol w:w="852"/>
        <w:gridCol w:w="12"/>
        <w:gridCol w:w="872"/>
        <w:gridCol w:w="25"/>
        <w:gridCol w:w="852"/>
        <w:gridCol w:w="1182"/>
        <w:gridCol w:w="1034"/>
        <w:gridCol w:w="1038"/>
        <w:gridCol w:w="1468"/>
      </w:tblGrid>
      <w:tr w:rsidR="00A375C7" w:rsidRPr="004400BC" w14:paraId="40037F89"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61DF494A" w14:textId="77777777" w:rsidR="00A375C7" w:rsidRPr="00356AF3" w:rsidRDefault="00A375C7" w:rsidP="00CE5053">
            <w:pPr>
              <w:spacing w:before="40" w:after="40"/>
              <w:rPr>
                <w:b w:val="0"/>
                <w:bCs w:val="0"/>
                <w:sz w:val="18"/>
                <w:szCs w:val="18"/>
              </w:rPr>
            </w:pPr>
            <w:r w:rsidRPr="00356AF3">
              <w:rPr>
                <w:sz w:val="18"/>
                <w:szCs w:val="18"/>
              </w:rPr>
              <w:t>Planned provision</w:t>
            </w:r>
          </w:p>
        </w:tc>
        <w:tc>
          <w:tcPr>
            <w:tcW w:w="425"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15BB4D6F"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Proposed location</w:t>
            </w:r>
          </w:p>
        </w:tc>
        <w:tc>
          <w:tcPr>
            <w:tcW w:w="143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792EFE8C"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356AF3">
              <w:rPr>
                <w:bCs w:val="0"/>
                <w:sz w:val="18"/>
                <w:szCs w:val="18"/>
              </w:rPr>
              <w:t xml:space="preserve">Description of </w:t>
            </w:r>
            <w:r w:rsidRPr="00356AF3">
              <w:rPr>
                <w:bCs w:val="0"/>
                <w:noProof/>
                <w:sz w:val="18"/>
                <w:szCs w:val="18"/>
              </w:rPr>
              <w:t>project/proposal</w:t>
            </w:r>
          </w:p>
        </w:tc>
        <w:tc>
          <w:tcPr>
            <w:tcW w:w="58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3573C001"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356AF3">
              <w:rPr>
                <w:bCs w:val="0"/>
                <w:sz w:val="18"/>
                <w:szCs w:val="18"/>
              </w:rPr>
              <w:t>Project lead (and delivery partners)</w:t>
            </w:r>
          </w:p>
        </w:tc>
        <w:tc>
          <w:tcPr>
            <w:tcW w:w="845"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18EB51C"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Indicative timescale</w:t>
            </w:r>
          </w:p>
        </w:tc>
        <w:tc>
          <w:tcPr>
            <w:tcW w:w="286"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E286D95"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Total cost (indicative)</w:t>
            </w:r>
          </w:p>
        </w:tc>
        <w:tc>
          <w:tcPr>
            <w:tcW w:w="250"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69B3F996"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Total funding available</w:t>
            </w:r>
          </w:p>
        </w:tc>
        <w:tc>
          <w:tcPr>
            <w:tcW w:w="251"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33E70789"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8"/>
              </w:rPr>
            </w:pPr>
            <w:r w:rsidRPr="00356AF3">
              <w:rPr>
                <w:sz w:val="18"/>
                <w:szCs w:val="18"/>
              </w:rPr>
              <w:t>Funding gap</w:t>
            </w:r>
          </w:p>
        </w:tc>
        <w:tc>
          <w:tcPr>
            <w:tcW w:w="355" w:type="pct"/>
            <w:vMerge w:val="restart"/>
            <w:tcBorders>
              <w:top w:val="single" w:sz="4" w:space="0" w:color="FFFFFF" w:themeColor="background1"/>
              <w:left w:val="single" w:sz="4" w:space="0" w:color="FFFFFF" w:themeColor="background1"/>
              <w:right w:val="nil"/>
            </w:tcBorders>
            <w:shd w:val="clear" w:color="auto" w:fill="002060"/>
          </w:tcPr>
          <w:p w14:paraId="0385349D"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Prioritisation</w:t>
            </w:r>
          </w:p>
          <w:p w14:paraId="45F0E523"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(3) Critical</w:t>
            </w:r>
          </w:p>
          <w:p w14:paraId="19BD6925"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(2) Essential</w:t>
            </w:r>
          </w:p>
          <w:p w14:paraId="5CCC9260"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(1) Important</w:t>
            </w:r>
          </w:p>
        </w:tc>
      </w:tr>
      <w:tr w:rsidR="00CD1374" w:rsidRPr="004400BC" w14:paraId="53807D71"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 w:type="pct"/>
            <w:vMerge/>
          </w:tcPr>
          <w:p w14:paraId="36FEB5B0" w14:textId="77777777" w:rsidR="00A375C7" w:rsidRPr="00356AF3" w:rsidRDefault="00A375C7" w:rsidP="00CE5053">
            <w:pPr>
              <w:spacing w:before="40" w:after="40"/>
              <w:rPr>
                <w:sz w:val="18"/>
                <w:szCs w:val="18"/>
              </w:rPr>
            </w:pPr>
          </w:p>
        </w:tc>
        <w:tc>
          <w:tcPr>
            <w:tcW w:w="425" w:type="pct"/>
            <w:vMerge/>
          </w:tcPr>
          <w:p w14:paraId="30D7AA69"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1437" w:type="pct"/>
            <w:vMerge/>
          </w:tcPr>
          <w:p w14:paraId="7196D064"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p>
        </w:tc>
        <w:tc>
          <w:tcPr>
            <w:tcW w:w="584" w:type="pct"/>
            <w:vMerge/>
          </w:tcPr>
          <w:p w14:paraId="34FF1C98"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p>
        </w:tc>
        <w:tc>
          <w:tcPr>
            <w:tcW w:w="2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9FFBE6F"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2020/25</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CCCF354"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2025/30</w:t>
            </w:r>
          </w:p>
        </w:tc>
        <w:tc>
          <w:tcPr>
            <w:tcW w:w="22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87041E2"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2030/35</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95080EE"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2035/40</w:t>
            </w:r>
          </w:p>
        </w:tc>
        <w:tc>
          <w:tcPr>
            <w:tcW w:w="286" w:type="pct"/>
            <w:vMerge/>
          </w:tcPr>
          <w:p w14:paraId="6D072C0D"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250" w:type="pct"/>
            <w:vMerge/>
          </w:tcPr>
          <w:p w14:paraId="48A21919"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251" w:type="pct"/>
            <w:vMerge/>
          </w:tcPr>
          <w:p w14:paraId="6BD18F9B"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355" w:type="pct"/>
            <w:vMerge/>
          </w:tcPr>
          <w:p w14:paraId="238601FE" w14:textId="77777777" w:rsidR="00A375C7" w:rsidRPr="00356AF3" w:rsidRDefault="00A375C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r>
      <w:tr w:rsidR="00B15E21" w:rsidRPr="004400BC" w14:paraId="0367865B" w14:textId="77777777" w:rsidTr="7839D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7EBE5C" w14:textId="77777777" w:rsidR="00B15E21" w:rsidRPr="00356AF3" w:rsidRDefault="00B15E21" w:rsidP="00CE5053">
            <w:pPr>
              <w:spacing w:before="40" w:after="40"/>
              <w:rPr>
                <w:sz w:val="18"/>
                <w:szCs w:val="18"/>
              </w:rPr>
            </w:pPr>
            <w:r w:rsidRPr="00356AF3">
              <w:rPr>
                <w:sz w:val="18"/>
                <w:szCs w:val="18"/>
              </w:rPr>
              <w:t>Additional secondary education provision</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FC991B"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 xml:space="preserve">Potential land </w:t>
            </w:r>
            <w:r w:rsidR="00281672" w:rsidRPr="00356AF3">
              <w:rPr>
                <w:sz w:val="18"/>
                <w:szCs w:val="18"/>
              </w:rPr>
              <w:t>requirement under options C &amp; D</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E99D3E"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Potential options:</w:t>
            </w:r>
          </w:p>
          <w:p w14:paraId="49BBAB83" w14:textId="77777777" w:rsidR="00B15E21" w:rsidRPr="00356AF3" w:rsidRDefault="00281672" w:rsidP="00CE5053">
            <w:pPr>
              <w:pStyle w:val="ListParagraph"/>
              <w:numPr>
                <w:ilvl w:val="0"/>
                <w:numId w:val="4"/>
              </w:num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I</w:t>
            </w:r>
            <w:r w:rsidR="00B15E21" w:rsidRPr="00356AF3">
              <w:rPr>
                <w:sz w:val="18"/>
                <w:szCs w:val="18"/>
              </w:rPr>
              <w:t>ncrease intake/PAN at Prendergast Ladywell School and Deptford Green School;</w:t>
            </w:r>
          </w:p>
          <w:p w14:paraId="1C3C40D3" w14:textId="77777777" w:rsidR="00B15E21" w:rsidRPr="00356AF3" w:rsidRDefault="00281672" w:rsidP="00CE5053">
            <w:pPr>
              <w:pStyle w:val="ListParagraph"/>
              <w:numPr>
                <w:ilvl w:val="0"/>
                <w:numId w:val="4"/>
              </w:num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Ad</w:t>
            </w:r>
            <w:r w:rsidR="00B15E21" w:rsidRPr="00356AF3">
              <w:rPr>
                <w:sz w:val="18"/>
                <w:szCs w:val="18"/>
              </w:rPr>
              <w:t>dress demand for places through secondary schools in neighbouring areas;</w:t>
            </w:r>
          </w:p>
          <w:p w14:paraId="6583EAAB" w14:textId="77777777" w:rsidR="00281672" w:rsidRPr="00356AF3" w:rsidRDefault="00281672" w:rsidP="00CE5053">
            <w:pPr>
              <w:pStyle w:val="ListParagraph"/>
              <w:numPr>
                <w:ilvl w:val="0"/>
                <w:numId w:val="4"/>
              </w:num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E</w:t>
            </w:r>
            <w:r w:rsidR="00B15E21" w:rsidRPr="00356AF3">
              <w:rPr>
                <w:sz w:val="18"/>
                <w:szCs w:val="18"/>
              </w:rPr>
              <w:t>xpand the capacities of existing secondary schools in the borough;</w:t>
            </w:r>
          </w:p>
          <w:p w14:paraId="7FC44B86" w14:textId="77777777" w:rsidR="00B15E21" w:rsidRPr="00356AF3" w:rsidRDefault="00281672" w:rsidP="00CE5053">
            <w:pPr>
              <w:pStyle w:val="ListParagraph"/>
              <w:numPr>
                <w:ilvl w:val="0"/>
                <w:numId w:val="4"/>
              </w:num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S</w:t>
            </w:r>
            <w:r w:rsidR="00B15E21" w:rsidRPr="00356AF3">
              <w:rPr>
                <w:sz w:val="18"/>
                <w:szCs w:val="18"/>
              </w:rPr>
              <w:t>upport for a new “free school” in the borough</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BBCBA8"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LB Lewisham, neighbouring local authorities, affected schools, free school proposer</w:t>
            </w:r>
          </w:p>
        </w:tc>
        <w:tc>
          <w:tcPr>
            <w:tcW w:w="2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3CABC7"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096EF0"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X</w:t>
            </w:r>
          </w:p>
        </w:tc>
        <w:tc>
          <w:tcPr>
            <w:tcW w:w="22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0CB7FE"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X</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08B5D1"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9E9CAB"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TBC</w:t>
            </w: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662C6C" w14:textId="77777777" w:rsidR="00B15E21" w:rsidRPr="00356AF3" w:rsidRDefault="008C326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ADA3A6"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44751B"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2</w:t>
            </w:r>
          </w:p>
        </w:tc>
      </w:tr>
      <w:tr w:rsidR="009B51BF" w:rsidRPr="004400BC" w14:paraId="63929D13" w14:textId="77777777" w:rsidTr="7839D2B6">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14EDB6" w14:textId="77777777" w:rsidR="009B51BF" w:rsidRPr="00356AF3" w:rsidRDefault="009B51BF" w:rsidP="00CE5053">
            <w:pPr>
              <w:spacing w:before="40" w:after="40"/>
              <w:rPr>
                <w:sz w:val="18"/>
                <w:szCs w:val="18"/>
              </w:rPr>
            </w:pPr>
            <w:r w:rsidRPr="00356AF3">
              <w:rPr>
                <w:sz w:val="18"/>
                <w:szCs w:val="18"/>
              </w:rPr>
              <w:t>Expansion of Watergate School</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5DDAC7"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356AF3">
              <w:rPr>
                <w:sz w:val="18"/>
                <w:szCs w:val="18"/>
              </w:rPr>
              <w:t>On land adjacent to main school site</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EAE80C"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356AF3">
              <w:rPr>
                <w:sz w:val="18"/>
                <w:szCs w:val="18"/>
              </w:rPr>
              <w:t>Expansion to provide 59 SEN places for primary aged children</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74E2E3"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Watergate School, LB Lewisham</w:t>
            </w:r>
          </w:p>
        </w:tc>
        <w:tc>
          <w:tcPr>
            <w:tcW w:w="2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E61A33"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X</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DEB4AB"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2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D9C6F4"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1F511A"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78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1CB83B"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Funding identified</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CD5EC4"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3</w:t>
            </w:r>
          </w:p>
        </w:tc>
      </w:tr>
      <w:tr w:rsidR="009B51BF" w:rsidRPr="004400BC" w14:paraId="0AD8B385" w14:textId="77777777" w:rsidTr="7839D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53C594" w14:textId="77777777" w:rsidR="009B51BF" w:rsidRPr="00356AF3" w:rsidRDefault="009B51BF" w:rsidP="00CE5053">
            <w:pPr>
              <w:spacing w:before="40" w:after="40"/>
              <w:rPr>
                <w:sz w:val="18"/>
                <w:szCs w:val="18"/>
              </w:rPr>
            </w:pPr>
            <w:r w:rsidRPr="00356AF3">
              <w:rPr>
                <w:sz w:val="18"/>
                <w:szCs w:val="18"/>
              </w:rPr>
              <w:t>Expansion of Greenvale School</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B3AC6A" w14:textId="77777777" w:rsidR="009B51BF" w:rsidRPr="00356AF3" w:rsidRDefault="009B51B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On a “satellite site” site at Mayow Road (former Brent Knoll School Building)</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09A960" w14:textId="77777777" w:rsidR="009B51BF" w:rsidRPr="00356AF3" w:rsidRDefault="009B51B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Expansion to provide 93 SEN places for secondary aged children</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96EFC1" w14:textId="77777777" w:rsidR="009B51BF" w:rsidRPr="00356AF3" w:rsidRDefault="009B51B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Greenvale School, LB Lewisham</w:t>
            </w:r>
          </w:p>
          <w:p w14:paraId="65F9C3DC" w14:textId="77777777" w:rsidR="009B51BF" w:rsidRPr="00356AF3" w:rsidRDefault="009B51B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5697B1" w14:textId="77777777" w:rsidR="009B51BF" w:rsidRPr="00356AF3" w:rsidRDefault="009B51B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X</w:t>
            </w:r>
          </w:p>
        </w:tc>
        <w:tc>
          <w:tcPr>
            <w:tcW w:w="211"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23141B" w14:textId="77777777" w:rsidR="009B51BF" w:rsidRPr="00356AF3" w:rsidRDefault="009B51B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3B1409" w14:textId="77777777" w:rsidR="009B51BF" w:rsidRPr="00356AF3" w:rsidRDefault="009B51B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2C75D1" w14:textId="77777777" w:rsidR="009B51BF" w:rsidRPr="00356AF3" w:rsidRDefault="009B51B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78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4D4740" w14:textId="77777777" w:rsidR="009B51BF" w:rsidRPr="00356AF3" w:rsidRDefault="009B51B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Funding identified</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778152" w14:textId="77777777" w:rsidR="009B51BF" w:rsidRPr="00356AF3" w:rsidRDefault="009B51B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3</w:t>
            </w:r>
          </w:p>
        </w:tc>
      </w:tr>
      <w:tr w:rsidR="009B51BF" w:rsidRPr="004400BC" w14:paraId="47EE2F57" w14:textId="77777777" w:rsidTr="7839D2B6">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289034" w14:textId="77777777" w:rsidR="009B51BF" w:rsidRPr="00356AF3" w:rsidRDefault="009B51BF" w:rsidP="00CE5053">
            <w:pPr>
              <w:spacing w:before="40" w:after="40"/>
              <w:rPr>
                <w:sz w:val="18"/>
                <w:szCs w:val="18"/>
              </w:rPr>
            </w:pPr>
            <w:r w:rsidRPr="00356AF3">
              <w:rPr>
                <w:sz w:val="18"/>
                <w:szCs w:val="18"/>
              </w:rPr>
              <w:t>16-25 year old SEND provision</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84961B"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BB98FC" w14:textId="77777777" w:rsidR="009B51BF" w:rsidRPr="00356AF3" w:rsidRDefault="0625DEE0"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7839D2B6">
              <w:rPr>
                <w:sz w:val="18"/>
                <w:szCs w:val="18"/>
              </w:rPr>
              <w:t>A new provision to cater for</w:t>
            </w:r>
            <w:r w:rsidR="5A81E594" w:rsidRPr="7839D2B6">
              <w:rPr>
                <w:sz w:val="18"/>
                <w:szCs w:val="18"/>
              </w:rPr>
              <w:t xml:space="preserve"> pupils</w:t>
            </w:r>
            <w:r w:rsidRPr="7839D2B6">
              <w:rPr>
                <w:sz w:val="18"/>
                <w:szCs w:val="18"/>
              </w:rPr>
              <w:t xml:space="preserve"> with SEND post 16 (or post-19) within the borough</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0EBE9D"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LB Lewisham</w:t>
            </w:r>
          </w:p>
        </w:tc>
        <w:tc>
          <w:tcPr>
            <w:tcW w:w="845"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B89FED"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B4D5BF"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F82587"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A99888"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A036E3D"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3</w:t>
            </w:r>
          </w:p>
        </w:tc>
      </w:tr>
      <w:tr w:rsidR="00B15E21" w:rsidRPr="004400BC" w14:paraId="0361F731" w14:textId="77777777" w:rsidTr="7839D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8AD466" w14:textId="77777777" w:rsidR="00B15E21" w:rsidRPr="00356AF3" w:rsidRDefault="00B15E21" w:rsidP="00CE5053">
            <w:pPr>
              <w:spacing w:before="40" w:after="40"/>
              <w:rPr>
                <w:sz w:val="18"/>
                <w:szCs w:val="18"/>
              </w:rPr>
            </w:pPr>
            <w:r w:rsidRPr="00356AF3">
              <w:rPr>
                <w:sz w:val="18"/>
                <w:szCs w:val="18"/>
              </w:rPr>
              <w:t>New Alternative Provision facility for primary age pupils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E7F436"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TBC</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8EDCFF"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A new alternative provision facility for primary age pupils, to improve conditions of alternative provisions and meet demand for placements in the borough</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DE0D13"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LB Lewisham, AP providers</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A7E729"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X</w:t>
            </w:r>
          </w:p>
        </w:tc>
        <w:tc>
          <w:tcPr>
            <w:tcW w:w="211"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4355AD"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965116"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F4E37C"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E3B614" w14:textId="77777777" w:rsidR="00B15E21" w:rsidRPr="00356AF3" w:rsidRDefault="008C326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192F20" w14:textId="77777777" w:rsidR="00B15E21" w:rsidRPr="00356AF3" w:rsidRDefault="008C326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3C0E65"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£4m</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D9363B"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3</w:t>
            </w:r>
          </w:p>
        </w:tc>
      </w:tr>
      <w:tr w:rsidR="00B15E21" w:rsidRPr="004400BC" w14:paraId="10D6EC9F" w14:textId="77777777" w:rsidTr="7839D2B6">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7E431A" w14:textId="77777777" w:rsidR="00B15E21" w:rsidRPr="00356AF3" w:rsidRDefault="00B15E21" w:rsidP="00CE5053">
            <w:pPr>
              <w:spacing w:before="40" w:after="40"/>
              <w:rPr>
                <w:sz w:val="18"/>
                <w:szCs w:val="18"/>
              </w:rPr>
            </w:pPr>
            <w:r w:rsidRPr="00356AF3">
              <w:rPr>
                <w:sz w:val="18"/>
                <w:szCs w:val="18"/>
              </w:rPr>
              <w:t>New Alternative Provision facility for secondary age pupils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474E81" w14:textId="77777777" w:rsidR="00B15E21" w:rsidRPr="00356AF3"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Potential land requirement (TBC)</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3D7A9E" w14:textId="77777777" w:rsidR="00B15E21" w:rsidRPr="00356AF3"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 xml:space="preserve">A new / expanded alternative provision facility for secondary age pupils, to improve conditions of alternative provisions and meet demand for placements in the borough </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E260A0" w14:textId="77777777" w:rsidR="00B15E21" w:rsidRPr="00356AF3"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LB Lewisham, AP providers</w:t>
            </w:r>
          </w:p>
        </w:tc>
        <w:tc>
          <w:tcPr>
            <w:tcW w:w="845"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D45030" w14:textId="77777777" w:rsidR="00B15E21" w:rsidRPr="00356AF3"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CADE0C1" w14:textId="77777777" w:rsidR="00B15E21" w:rsidRPr="00356AF3" w:rsidRDefault="008C326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857EC2" w14:textId="77777777" w:rsidR="00B15E21" w:rsidRPr="00356AF3" w:rsidRDefault="008C326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75B41B" w14:textId="77777777" w:rsidR="00B15E21" w:rsidRPr="00356AF3"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£10m</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E884CA" w14:textId="77777777" w:rsidR="00B15E21" w:rsidRPr="00356AF3"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2</w:t>
            </w:r>
          </w:p>
        </w:tc>
      </w:tr>
      <w:tr w:rsidR="00B15E21" w:rsidRPr="004400BC" w14:paraId="7EF6F5D8" w14:textId="77777777" w:rsidTr="7839D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D2F26D" w14:textId="77777777" w:rsidR="00B15E21" w:rsidRPr="00356AF3" w:rsidRDefault="00B15E21" w:rsidP="00CE5053">
            <w:pPr>
              <w:spacing w:before="40" w:after="40"/>
              <w:rPr>
                <w:sz w:val="18"/>
                <w:szCs w:val="18"/>
              </w:rPr>
            </w:pPr>
            <w:r w:rsidRPr="00356AF3">
              <w:rPr>
                <w:sz w:val="18"/>
                <w:szCs w:val="18"/>
              </w:rPr>
              <w:t>Additional and remodelling of existing resource bases for SEND</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A6E72EC"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On existing sites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8D780B"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7839D2B6">
              <w:rPr>
                <w:sz w:val="18"/>
                <w:szCs w:val="18"/>
              </w:rPr>
              <w:t xml:space="preserve">Additional specialist places needed within </w:t>
            </w:r>
            <w:r w:rsidR="7069C6FA" w:rsidRPr="7839D2B6">
              <w:rPr>
                <w:sz w:val="18"/>
                <w:szCs w:val="18"/>
              </w:rPr>
              <w:t>m</w:t>
            </w:r>
            <w:r w:rsidRPr="7839D2B6">
              <w:rPr>
                <w:sz w:val="18"/>
                <w:szCs w:val="18"/>
              </w:rPr>
              <w:t>ainstream schools to help cater for children with SEND that do not need to be in a special school</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735059"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LB Lewisham</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E3BE76"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X</w:t>
            </w:r>
          </w:p>
        </w:tc>
        <w:tc>
          <w:tcPr>
            <w:tcW w:w="211"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FB30F8"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A6542E"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41E394"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932461" w14:textId="77777777" w:rsidR="00B15E21" w:rsidRPr="00356AF3" w:rsidRDefault="008C326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3ED444" w14:textId="77777777" w:rsidR="00B15E21" w:rsidRPr="00356AF3" w:rsidRDefault="008C326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213BD2"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£1.5m</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AB7477" w14:textId="77777777" w:rsidR="00B15E21" w:rsidRPr="00356AF3" w:rsidRDefault="00B15E2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3</w:t>
            </w:r>
          </w:p>
        </w:tc>
      </w:tr>
      <w:tr w:rsidR="00B15E21" w:rsidRPr="004400BC" w14:paraId="160A0400" w14:textId="77777777" w:rsidTr="7839D2B6">
        <w:tc>
          <w:tcPr>
            <w:cnfStyle w:val="001000000000" w:firstRow="0" w:lastRow="0" w:firstColumn="1" w:lastColumn="0" w:oddVBand="0" w:evenVBand="0" w:oddHBand="0" w:evenHBand="0" w:firstRowFirstColumn="0" w:firstRowLastColumn="0" w:lastRowFirstColumn="0" w:lastRowLastColumn="0"/>
            <w:tcW w:w="3435"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22B00AE" w14:textId="77777777" w:rsidR="00B15E21" w:rsidRPr="00356AF3" w:rsidRDefault="00B15E21" w:rsidP="00CE5053">
            <w:pPr>
              <w:spacing w:before="40" w:after="40"/>
              <w:rPr>
                <w:sz w:val="18"/>
                <w:szCs w:val="18"/>
              </w:rPr>
            </w:pPr>
          </w:p>
        </w:tc>
        <w:tc>
          <w:tcPr>
            <w:tcW w:w="4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214F66" w14:textId="77777777" w:rsidR="00B15E21" w:rsidRPr="00356AF3" w:rsidRDefault="000A581C" w:rsidP="00CE5053">
            <w:pPr>
              <w:spacing w:before="40" w:after="40"/>
              <w:cnfStyle w:val="000000000000" w:firstRow="0" w:lastRow="0" w:firstColumn="0" w:lastColumn="0" w:oddVBand="0" w:evenVBand="0" w:oddHBand="0" w:evenHBand="0" w:firstRowFirstColumn="0" w:firstRowLastColumn="0" w:lastRowFirstColumn="0" w:lastRowLastColumn="0"/>
              <w:rPr>
                <w:b/>
                <w:sz w:val="18"/>
                <w:szCs w:val="18"/>
              </w:rPr>
            </w:pPr>
            <w:r w:rsidRPr="00356AF3">
              <w:rPr>
                <w:b/>
                <w:sz w:val="18"/>
                <w:szCs w:val="18"/>
              </w:rPr>
              <w:t>Sub-total</w:t>
            </w: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9E0B1C" w14:textId="77777777" w:rsidR="00B15E21" w:rsidRPr="00356AF3" w:rsidRDefault="008C326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F59C41" w14:textId="77777777" w:rsidR="00B15E21" w:rsidRPr="00356AF3" w:rsidRDefault="008C326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9BE05C" w14:textId="77777777" w:rsidR="00B15E21" w:rsidRPr="00356AF3" w:rsidRDefault="004C2DCE"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£15.5m</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2C6D796" w14:textId="77777777" w:rsidR="00B15E21" w:rsidRPr="00356AF3" w:rsidRDefault="00B15E21" w:rsidP="00CE5053">
            <w:pPr>
              <w:spacing w:before="40" w:after="40"/>
              <w:cnfStyle w:val="000000000000" w:firstRow="0" w:lastRow="0" w:firstColumn="0" w:lastColumn="0" w:oddVBand="0" w:evenVBand="0" w:oddHBand="0" w:evenHBand="0" w:firstRowFirstColumn="0" w:firstRowLastColumn="0" w:lastRowFirstColumn="0" w:lastRowLastColumn="0"/>
              <w:rPr>
                <w:b/>
                <w:sz w:val="18"/>
                <w:szCs w:val="18"/>
              </w:rPr>
            </w:pPr>
          </w:p>
        </w:tc>
      </w:tr>
    </w:tbl>
    <w:p w14:paraId="6E1831B3" w14:textId="77777777" w:rsidR="00DF60C7" w:rsidRDefault="00DF60C7" w:rsidP="00CE5053">
      <w:pPr>
        <w:ind w:left="720" w:hanging="720"/>
        <w:rPr>
          <w:sz w:val="19"/>
          <w:szCs w:val="19"/>
        </w:rPr>
      </w:pPr>
    </w:p>
    <w:p w14:paraId="54E11D2A" w14:textId="77777777" w:rsidR="00A375C7" w:rsidRDefault="00A375C7" w:rsidP="00CE5053">
      <w:pPr>
        <w:ind w:left="720" w:hanging="720"/>
        <w:rPr>
          <w:sz w:val="19"/>
          <w:szCs w:val="19"/>
        </w:rPr>
      </w:pPr>
    </w:p>
    <w:p w14:paraId="31126E5D" w14:textId="77777777" w:rsidR="00A375C7" w:rsidRPr="005E51CB" w:rsidRDefault="00A375C7" w:rsidP="00CE5053">
      <w:pPr>
        <w:ind w:left="720" w:hanging="720"/>
        <w:rPr>
          <w:sz w:val="19"/>
          <w:szCs w:val="19"/>
        </w:rPr>
        <w:sectPr w:rsidR="00A375C7" w:rsidRPr="005E51CB" w:rsidSect="007B10F6">
          <w:pgSz w:w="23814" w:h="16839" w:orient="landscape" w:code="8"/>
          <w:pgMar w:top="1440" w:right="1080" w:bottom="1440" w:left="1080" w:header="709" w:footer="709" w:gutter="0"/>
          <w:pgBorders w:offsetFrom="page">
            <w:top w:val="single" w:sz="4" w:space="24" w:color="FFFFFF" w:themeColor="background1"/>
            <w:bottom w:val="single" w:sz="4" w:space="24" w:color="FFFFFF" w:themeColor="background1"/>
          </w:pgBorders>
          <w:cols w:space="708"/>
          <w:docGrid w:linePitch="360"/>
        </w:sectPr>
      </w:pPr>
    </w:p>
    <w:p w14:paraId="7177C9A2" w14:textId="77777777" w:rsidR="00D61BF1" w:rsidRPr="00D61BF1" w:rsidRDefault="00D61BF1" w:rsidP="00CE5053">
      <w:pPr>
        <w:pStyle w:val="Heading2"/>
      </w:pPr>
      <w:bookmarkStart w:id="16" w:name="_Toc56146010"/>
      <w:r w:rsidRPr="003E0835">
        <w:lastRenderedPageBreak/>
        <w:t xml:space="preserve">Health </w:t>
      </w:r>
      <w:r>
        <w:t>and</w:t>
      </w:r>
      <w:r w:rsidRPr="003E0835">
        <w:t xml:space="preserve"> </w:t>
      </w:r>
      <w:r>
        <w:t>c</w:t>
      </w:r>
      <w:r w:rsidRPr="003E0835">
        <w:t xml:space="preserve">are </w:t>
      </w:r>
      <w:r>
        <w:t>f</w:t>
      </w:r>
      <w:r w:rsidRPr="003E0835">
        <w:t>acilities</w:t>
      </w:r>
      <w:bookmarkEnd w:id="16"/>
    </w:p>
    <w:p w14:paraId="58369C88" w14:textId="77777777" w:rsidR="00905A60" w:rsidRPr="00905A60" w:rsidRDefault="00905A60" w:rsidP="00CE5053">
      <w:pPr>
        <w:tabs>
          <w:tab w:val="left" w:pos="720"/>
          <w:tab w:val="left" w:pos="1440"/>
          <w:tab w:val="left" w:pos="2160"/>
          <w:tab w:val="left" w:pos="2713"/>
          <w:tab w:val="left" w:pos="3349"/>
        </w:tabs>
        <w:spacing w:after="120"/>
        <w:ind w:left="720" w:hanging="720"/>
        <w:rPr>
          <w:b/>
          <w:u w:val="single"/>
        </w:rPr>
      </w:pPr>
      <w:r>
        <w:rPr>
          <w:b/>
        </w:rPr>
        <w:tab/>
      </w:r>
      <w:r w:rsidRPr="00AE472A">
        <w:rPr>
          <w:b/>
        </w:rPr>
        <w:t>Background</w:t>
      </w:r>
    </w:p>
    <w:p w14:paraId="2DE403A5" w14:textId="77777777" w:rsidR="00905A60" w:rsidRPr="00905A60" w:rsidRDefault="00905A60" w:rsidP="00CE5053">
      <w:pPr>
        <w:pStyle w:val="ListParagraph"/>
        <w:numPr>
          <w:ilvl w:val="0"/>
          <w:numId w:val="32"/>
        </w:numPr>
        <w:spacing w:after="240"/>
        <w:rPr>
          <w:vanish/>
        </w:rPr>
      </w:pPr>
    </w:p>
    <w:p w14:paraId="62431CDC" w14:textId="77777777" w:rsidR="00905A60" w:rsidRPr="00905A60" w:rsidRDefault="00905A60" w:rsidP="00CE5053">
      <w:pPr>
        <w:pStyle w:val="ListParagraph"/>
        <w:numPr>
          <w:ilvl w:val="0"/>
          <w:numId w:val="32"/>
        </w:numPr>
        <w:spacing w:after="240"/>
        <w:rPr>
          <w:vanish/>
        </w:rPr>
      </w:pPr>
    </w:p>
    <w:p w14:paraId="49E398E2" w14:textId="77777777" w:rsidR="00905A60" w:rsidRPr="00905A60" w:rsidRDefault="00905A60" w:rsidP="00CE5053">
      <w:pPr>
        <w:pStyle w:val="ListParagraph"/>
        <w:numPr>
          <w:ilvl w:val="0"/>
          <w:numId w:val="32"/>
        </w:numPr>
        <w:spacing w:after="240"/>
        <w:rPr>
          <w:vanish/>
        </w:rPr>
      </w:pPr>
    </w:p>
    <w:p w14:paraId="16287F21" w14:textId="77777777" w:rsidR="00905A60" w:rsidRPr="00905A60" w:rsidRDefault="00905A60" w:rsidP="00CE5053">
      <w:pPr>
        <w:pStyle w:val="ListParagraph"/>
        <w:numPr>
          <w:ilvl w:val="1"/>
          <w:numId w:val="32"/>
        </w:numPr>
        <w:spacing w:after="240"/>
        <w:rPr>
          <w:vanish/>
        </w:rPr>
      </w:pPr>
    </w:p>
    <w:p w14:paraId="5BE93A62" w14:textId="77777777" w:rsidR="00905A60" w:rsidRPr="00905A60" w:rsidRDefault="00905A60" w:rsidP="00CE5053">
      <w:pPr>
        <w:pStyle w:val="ListParagraph"/>
        <w:numPr>
          <w:ilvl w:val="1"/>
          <w:numId w:val="32"/>
        </w:numPr>
        <w:spacing w:after="240"/>
        <w:rPr>
          <w:vanish/>
        </w:rPr>
      </w:pPr>
    </w:p>
    <w:p w14:paraId="6B91AE6F" w14:textId="77777777" w:rsidR="00905A60" w:rsidRPr="00AE472A" w:rsidRDefault="00905A60" w:rsidP="00CE5053">
      <w:pPr>
        <w:pStyle w:val="ListParagraph"/>
        <w:numPr>
          <w:ilvl w:val="2"/>
          <w:numId w:val="32"/>
        </w:numPr>
        <w:spacing w:after="240"/>
        <w:ind w:left="737" w:hanging="737"/>
        <w:contextualSpacing w:val="0"/>
      </w:pPr>
      <w:r w:rsidRPr="00AE472A">
        <w:t>London Plan Policy S2 ‘Health &amp; Care Facilities’ states that boroughs are expected to work with Clinical Commissioning Groups and other local health organisations to:</w:t>
      </w:r>
    </w:p>
    <w:p w14:paraId="4DC5DA9E" w14:textId="77777777" w:rsidR="00905A60" w:rsidRPr="00AE472A" w:rsidRDefault="00905A60" w:rsidP="00CE5053">
      <w:pPr>
        <w:pStyle w:val="ListParagraph"/>
        <w:numPr>
          <w:ilvl w:val="0"/>
          <w:numId w:val="28"/>
        </w:numPr>
      </w:pPr>
      <w:r w:rsidRPr="00AE472A">
        <w:rPr>
          <w:noProof/>
        </w:rPr>
        <w:t>Identify</w:t>
      </w:r>
      <w:r w:rsidRPr="00AE472A">
        <w:t xml:space="preserve"> the need for health and care facilities in their area;</w:t>
      </w:r>
    </w:p>
    <w:p w14:paraId="246F596E" w14:textId="77777777" w:rsidR="00905A60" w:rsidRPr="00AE472A" w:rsidRDefault="00905A60" w:rsidP="00CE5053">
      <w:pPr>
        <w:pStyle w:val="ListParagraph"/>
        <w:numPr>
          <w:ilvl w:val="0"/>
          <w:numId w:val="28"/>
        </w:numPr>
      </w:pPr>
      <w:r w:rsidRPr="00AE472A">
        <w:t>Take into account the impact of the latest forward planning strategies and new models of care; and</w:t>
      </w:r>
    </w:p>
    <w:p w14:paraId="55972BD4" w14:textId="77777777" w:rsidR="00905A60" w:rsidRDefault="00905A60" w:rsidP="00CE5053">
      <w:pPr>
        <w:pStyle w:val="ListParagraph"/>
        <w:numPr>
          <w:ilvl w:val="0"/>
          <w:numId w:val="28"/>
        </w:numPr>
      </w:pPr>
      <w:r w:rsidRPr="00AE472A">
        <w:t>I</w:t>
      </w:r>
      <w:r w:rsidRPr="00AE472A">
        <w:rPr>
          <w:noProof/>
        </w:rPr>
        <w:t>dentify</w:t>
      </w:r>
      <w:r w:rsidRPr="00AE472A">
        <w:t xml:space="preserve"> sites for future provision (including consideration for co-location or reconfiguration of services through new infrastructure), particularly in areas with significant planned growth.</w:t>
      </w:r>
    </w:p>
    <w:p w14:paraId="384BA73E" w14:textId="77777777" w:rsidR="00AB7701" w:rsidRPr="00AE472A" w:rsidRDefault="00AB7701" w:rsidP="00CE5053">
      <w:pPr>
        <w:pStyle w:val="ListParagraph"/>
        <w:numPr>
          <w:ilvl w:val="0"/>
          <w:numId w:val="0"/>
        </w:numPr>
        <w:ind w:left="1080"/>
      </w:pPr>
    </w:p>
    <w:p w14:paraId="35B248D3" w14:textId="77777777" w:rsidR="00905A60" w:rsidRDefault="00905A60" w:rsidP="00CE5053">
      <w:pPr>
        <w:pStyle w:val="ListParagraph"/>
        <w:numPr>
          <w:ilvl w:val="2"/>
          <w:numId w:val="32"/>
        </w:numPr>
        <w:spacing w:after="240"/>
        <w:ind w:left="737" w:hanging="737"/>
        <w:contextualSpacing w:val="0"/>
      </w:pPr>
      <w:r w:rsidRPr="00AE472A">
        <w:t>The London Plan refers to four broad types of health infrastructure: primary care, community healthcare, acute provision, and specialist provision.</w:t>
      </w:r>
    </w:p>
    <w:p w14:paraId="2C94B212" w14:textId="77777777" w:rsidR="00A274AF" w:rsidRDefault="00905A60" w:rsidP="00CE5053">
      <w:pPr>
        <w:pStyle w:val="ListParagraph"/>
        <w:numPr>
          <w:ilvl w:val="2"/>
          <w:numId w:val="32"/>
        </w:numPr>
        <w:spacing w:after="240"/>
        <w:ind w:left="737" w:hanging="737"/>
        <w:contextualSpacing w:val="0"/>
      </w:pPr>
      <w:r w:rsidRPr="00AE472A">
        <w:t>Lewisham’s Health and Wellbeing Board has a statutory duty to encourage integrated partnerships between health and care providers in the borough, and is responsible for producing a Health and Wellbeing Strategy that is based on health and care needs identified through the Jo</w:t>
      </w:r>
      <w:r w:rsidR="00A274AF">
        <w:t>int Strategic Needs Assessment.</w:t>
      </w:r>
    </w:p>
    <w:p w14:paraId="27B2F5E8" w14:textId="77777777" w:rsidR="00A274AF" w:rsidRDefault="00905A60" w:rsidP="00CE5053">
      <w:pPr>
        <w:pStyle w:val="ListParagraph"/>
        <w:numPr>
          <w:ilvl w:val="2"/>
          <w:numId w:val="32"/>
        </w:numPr>
        <w:spacing w:after="240"/>
        <w:ind w:left="737" w:hanging="737"/>
        <w:contextualSpacing w:val="0"/>
      </w:pPr>
      <w:r w:rsidRPr="00AE472A">
        <w:t>In April 2020, a South East London Clin</w:t>
      </w:r>
      <w:r w:rsidR="004E1689">
        <w:t xml:space="preserve">ical Commissioning Group was formed from the merger of the previous </w:t>
      </w:r>
      <w:r w:rsidRPr="00AE472A">
        <w:t>six south east London CCGs.  The new CCG will be responsible for the commissioning of health services for its population with decision-making for primary, community (mental and physical), prescribing and all client group commissioning formally delegated to a Borough Based Board as a prime committee of the CCG.  Lewisham Council, which also has commissioning responsibilities, including for social care and public health services, will continue to work closely with the ne</w:t>
      </w:r>
      <w:r w:rsidR="00A274AF">
        <w:t>w CCG and borough based boards.</w:t>
      </w:r>
    </w:p>
    <w:p w14:paraId="5CDD4B9B" w14:textId="77777777" w:rsidR="00A274AF" w:rsidRDefault="00905A60" w:rsidP="00CE5053">
      <w:pPr>
        <w:pStyle w:val="ListParagraph"/>
        <w:numPr>
          <w:ilvl w:val="2"/>
          <w:numId w:val="32"/>
        </w:numPr>
        <w:spacing w:after="240"/>
        <w:ind w:left="737" w:hanging="737"/>
        <w:contextualSpacing w:val="0"/>
      </w:pPr>
      <w:r w:rsidRPr="00AE472A">
        <w:t>Health and care services in the borough are provided through a network of 35 local GP practices, Lewisham &amp; Greenwich NHS Trust (LGT) (acute and community services from health centres), South London &amp; Maudsley NHS Foundation Trust (SLaM) (mental health services). Specialist hospital services are provided through Guy’s &amp; St Thomas’ NHS Foundation Trust and King’s College NHS Foundation Trust.  These partners work closely with the Council which provides other health and care services, such as social care and public health.</w:t>
      </w:r>
    </w:p>
    <w:p w14:paraId="5AD1E7CF" w14:textId="77777777" w:rsidR="00A274AF" w:rsidRDefault="00905A60" w:rsidP="00CE5053">
      <w:pPr>
        <w:pStyle w:val="ListParagraph"/>
        <w:numPr>
          <w:ilvl w:val="2"/>
          <w:numId w:val="32"/>
        </w:numPr>
        <w:spacing w:after="240"/>
        <w:ind w:left="737" w:hanging="737"/>
        <w:contextualSpacing w:val="0"/>
      </w:pPr>
      <w:r w:rsidRPr="00AE472A">
        <w:t xml:space="preserve">Lewisham has ambitious plans to modernise, reconfigure, rationalise its health and care estate and make it fit for purpose and for the future. It is recognised that external support, from a number of source of funding will </w:t>
      </w:r>
      <w:r w:rsidR="00A274AF">
        <w:t>be required to facilitate this.</w:t>
      </w:r>
    </w:p>
    <w:p w14:paraId="13BA4BA7" w14:textId="77777777" w:rsidR="00A274AF" w:rsidRPr="00A274AF" w:rsidRDefault="00A274AF" w:rsidP="00CE5053">
      <w:pPr>
        <w:pStyle w:val="ListParagraph"/>
        <w:numPr>
          <w:ilvl w:val="0"/>
          <w:numId w:val="0"/>
        </w:numPr>
        <w:spacing w:after="240"/>
        <w:ind w:left="737"/>
        <w:contextualSpacing w:val="0"/>
      </w:pPr>
      <w:r>
        <w:rPr>
          <w:b/>
        </w:rPr>
        <w:t>Policy context</w:t>
      </w:r>
    </w:p>
    <w:p w14:paraId="0428B4F6" w14:textId="77777777" w:rsidR="00905A60" w:rsidRPr="00A274AF" w:rsidRDefault="00905A60" w:rsidP="00CE5053">
      <w:pPr>
        <w:pStyle w:val="ListParagraph"/>
        <w:numPr>
          <w:ilvl w:val="2"/>
          <w:numId w:val="32"/>
        </w:numPr>
        <w:spacing w:after="240"/>
        <w:ind w:left="737" w:hanging="737"/>
        <w:contextualSpacing w:val="0"/>
      </w:pPr>
      <w:r>
        <w:t>In January 2019, the NHS long-term plan was published setting out key ambitions for health and care over the next 10 years.</w:t>
      </w:r>
      <w:r w:rsidRPr="7839D2B6">
        <w:rPr>
          <w:b/>
          <w:bCs/>
        </w:rPr>
        <w:t> </w:t>
      </w:r>
      <w:r>
        <w:t>The plan builds on the policy platform laid out in the </w:t>
      </w:r>
      <w:r w:rsidRPr="7839D2B6">
        <w:rPr>
          <w:i/>
          <w:iCs/>
        </w:rPr>
        <w:t>NHS five year forward view</w:t>
      </w:r>
      <w:r>
        <w:t> (Forward View) which articulated the need to integrate care to meet the needs of a changing population and commits, amongst other things, to reducing pressure on A&amp;E departments, establishing primary care networks and to developing fully integrated community</w:t>
      </w:r>
      <w:r w:rsidR="491E8685">
        <w:t>-</w:t>
      </w:r>
      <w:r>
        <w:t>based health care.</w:t>
      </w:r>
    </w:p>
    <w:p w14:paraId="7597145B" w14:textId="77777777" w:rsidR="00905A60" w:rsidRPr="000E5AD6" w:rsidRDefault="00905A60" w:rsidP="00CE5053">
      <w:pPr>
        <w:pStyle w:val="ListParagraph"/>
        <w:numPr>
          <w:ilvl w:val="2"/>
          <w:numId w:val="32"/>
        </w:numPr>
        <w:spacing w:after="240"/>
        <w:ind w:left="737" w:hanging="737"/>
        <w:contextualSpacing w:val="0"/>
      </w:pPr>
      <w:r w:rsidRPr="00AE472A">
        <w:lastRenderedPageBreak/>
        <w:t>The South East London Integrated Care System (SEL) which is a partnership of NHS providers and Clinical Commissioning Groups serving the boroughs of Bexley, Bromley, Greenwich, Lambeth, Lewisham and Southwark have responded to the Long Term plan.  With regard to estates, the commentary is as follows:</w:t>
      </w:r>
    </w:p>
    <w:p w14:paraId="0E4091D4" w14:textId="77777777" w:rsidR="00905A60" w:rsidRPr="00AE472A" w:rsidRDefault="00905A60" w:rsidP="00CE5053">
      <w:pPr>
        <w:pStyle w:val="Default"/>
        <w:numPr>
          <w:ilvl w:val="0"/>
          <w:numId w:val="31"/>
        </w:numPr>
        <w:spacing w:before="120"/>
        <w:ind w:left="993"/>
        <w:rPr>
          <w:rFonts w:ascii="Arial" w:eastAsia="Arial Unicode MS" w:hAnsi="Arial" w:cs="Arial"/>
          <w:bCs/>
          <w:i/>
          <w:color w:val="auto"/>
          <w:sz w:val="22"/>
          <w:szCs w:val="22"/>
        </w:rPr>
      </w:pPr>
      <w:r w:rsidRPr="00AE472A">
        <w:rPr>
          <w:rFonts w:ascii="Arial" w:eastAsia="Arial Unicode MS" w:hAnsi="Arial" w:cs="Arial"/>
          <w:bCs/>
          <w:i/>
          <w:color w:val="auto"/>
          <w:sz w:val="22"/>
          <w:szCs w:val="22"/>
        </w:rPr>
        <w:t xml:space="preserve">Of the more than 200 buildings in SEL located outside main hospital sites, many have reached the end of their useful lives. </w:t>
      </w:r>
    </w:p>
    <w:p w14:paraId="2C9BDAA1" w14:textId="77777777" w:rsidR="00905A60" w:rsidRPr="00AE472A" w:rsidRDefault="00905A60" w:rsidP="00CE5053">
      <w:pPr>
        <w:pStyle w:val="Default"/>
        <w:numPr>
          <w:ilvl w:val="0"/>
          <w:numId w:val="31"/>
        </w:numPr>
        <w:spacing w:before="120"/>
        <w:ind w:left="993"/>
        <w:rPr>
          <w:rFonts w:ascii="Arial" w:eastAsia="Arial Unicode MS" w:hAnsi="Arial" w:cs="Arial"/>
          <w:bCs/>
          <w:i/>
          <w:color w:val="auto"/>
          <w:sz w:val="22"/>
          <w:szCs w:val="22"/>
        </w:rPr>
      </w:pPr>
      <w:r w:rsidRPr="00AE472A">
        <w:rPr>
          <w:rFonts w:ascii="Arial" w:eastAsia="Arial Unicode MS" w:hAnsi="Arial" w:cs="Arial"/>
          <w:bCs/>
          <w:i/>
          <w:color w:val="auto"/>
          <w:sz w:val="22"/>
          <w:szCs w:val="22"/>
        </w:rPr>
        <w:t>Whilst as a system we aspire to reduce our overall estate footprint to reduce running costs and enable investment in our core buildings, in some cases, estate capacity will also need to be expanded to meet growing demand, particularly for planned care.</w:t>
      </w:r>
    </w:p>
    <w:p w14:paraId="7ED707FE" w14:textId="77777777" w:rsidR="00905A60" w:rsidRPr="00AE472A" w:rsidRDefault="00905A60" w:rsidP="00CE5053">
      <w:pPr>
        <w:pStyle w:val="Default"/>
        <w:numPr>
          <w:ilvl w:val="0"/>
          <w:numId w:val="31"/>
        </w:numPr>
        <w:spacing w:before="120"/>
        <w:ind w:left="993"/>
        <w:rPr>
          <w:rFonts w:ascii="Arial" w:eastAsia="Arial Unicode MS" w:hAnsi="Arial" w:cs="Arial"/>
          <w:bCs/>
          <w:i/>
          <w:color w:val="auto"/>
          <w:sz w:val="22"/>
          <w:szCs w:val="22"/>
        </w:rPr>
      </w:pPr>
      <w:r w:rsidRPr="00AE472A">
        <w:rPr>
          <w:rFonts w:ascii="Arial" w:eastAsia="Arial Unicode MS" w:hAnsi="Arial" w:cs="Arial"/>
          <w:bCs/>
          <w:i/>
          <w:color w:val="auto"/>
          <w:sz w:val="22"/>
          <w:szCs w:val="22"/>
        </w:rPr>
        <w:t>We must change how we plan and manage our properties and other assets across SEL, moving to a co-ordinated and strategic whole system approach.</w:t>
      </w:r>
    </w:p>
    <w:p w14:paraId="34B3F2EB" w14:textId="77777777" w:rsidR="00905A60" w:rsidRPr="00AE472A" w:rsidRDefault="00905A60" w:rsidP="00CE5053">
      <w:pPr>
        <w:pStyle w:val="Default"/>
        <w:ind w:left="720"/>
        <w:rPr>
          <w:i/>
        </w:rPr>
      </w:pPr>
    </w:p>
    <w:p w14:paraId="6823AA96" w14:textId="77777777" w:rsidR="00905A60" w:rsidRPr="00D661DA" w:rsidRDefault="00905A60" w:rsidP="00CE5053">
      <w:pPr>
        <w:pStyle w:val="Default"/>
        <w:ind w:left="720"/>
      </w:pPr>
      <w:r w:rsidRPr="00D661DA">
        <w:t>The SEL priorities are:</w:t>
      </w:r>
    </w:p>
    <w:p w14:paraId="7D34F5C7" w14:textId="77777777" w:rsidR="00905A60" w:rsidRPr="00AE472A" w:rsidRDefault="00905A60" w:rsidP="00CE5053">
      <w:pPr>
        <w:pStyle w:val="Default"/>
        <w:ind w:left="720"/>
        <w:rPr>
          <w:i/>
        </w:rPr>
      </w:pPr>
    </w:p>
    <w:p w14:paraId="085A003B" w14:textId="77777777" w:rsidR="00905A60" w:rsidRPr="00AE472A" w:rsidRDefault="00905A60" w:rsidP="00CE5053">
      <w:pPr>
        <w:pStyle w:val="Default"/>
        <w:numPr>
          <w:ilvl w:val="0"/>
          <w:numId w:val="31"/>
        </w:numPr>
        <w:spacing w:before="120"/>
        <w:ind w:left="993"/>
        <w:rPr>
          <w:rFonts w:ascii="Arial" w:eastAsia="Arial Unicode MS" w:hAnsi="Arial" w:cs="Arial"/>
          <w:i/>
          <w:color w:val="auto"/>
          <w:sz w:val="22"/>
          <w:szCs w:val="22"/>
        </w:rPr>
      </w:pPr>
      <w:r w:rsidRPr="00AE472A">
        <w:rPr>
          <w:bCs/>
          <w:i/>
          <w:color w:val="auto"/>
          <w:sz w:val="22"/>
          <w:szCs w:val="22"/>
        </w:rPr>
        <w:t xml:space="preserve"> </w:t>
      </w:r>
      <w:r w:rsidRPr="00AE472A">
        <w:rPr>
          <w:rFonts w:ascii="Arial" w:eastAsia="Arial Unicode MS" w:hAnsi="Arial" w:cs="Arial"/>
          <w:bCs/>
          <w:i/>
          <w:color w:val="auto"/>
          <w:sz w:val="22"/>
          <w:szCs w:val="22"/>
        </w:rPr>
        <w:t>Improving the utilisation and efficiency of our core estate</w:t>
      </w:r>
    </w:p>
    <w:p w14:paraId="5F4E1250" w14:textId="77777777" w:rsidR="00905A60" w:rsidRPr="00AE472A" w:rsidRDefault="00905A60" w:rsidP="00CE5053">
      <w:pPr>
        <w:pStyle w:val="Default"/>
        <w:numPr>
          <w:ilvl w:val="0"/>
          <w:numId w:val="31"/>
        </w:numPr>
        <w:spacing w:before="120"/>
        <w:ind w:left="993"/>
        <w:rPr>
          <w:rFonts w:ascii="Arial" w:eastAsia="Arial Unicode MS" w:hAnsi="Arial" w:cs="Arial"/>
          <w:bCs/>
          <w:i/>
          <w:color w:val="auto"/>
          <w:sz w:val="22"/>
          <w:szCs w:val="22"/>
        </w:rPr>
      </w:pPr>
      <w:r w:rsidRPr="00AE472A">
        <w:rPr>
          <w:rFonts w:ascii="Arial" w:eastAsia="Arial Unicode MS" w:hAnsi="Arial" w:cs="Arial"/>
          <w:bCs/>
          <w:i/>
          <w:color w:val="auto"/>
          <w:sz w:val="22"/>
          <w:szCs w:val="22"/>
        </w:rPr>
        <w:t>Identifying opportunities to share estate between health and care</w:t>
      </w:r>
    </w:p>
    <w:p w14:paraId="34363FB3" w14:textId="77777777" w:rsidR="00905A60" w:rsidRPr="00AE472A" w:rsidRDefault="00905A60" w:rsidP="00CE5053">
      <w:pPr>
        <w:pStyle w:val="Default"/>
        <w:numPr>
          <w:ilvl w:val="0"/>
          <w:numId w:val="31"/>
        </w:numPr>
        <w:spacing w:before="120"/>
        <w:ind w:left="993"/>
        <w:rPr>
          <w:rFonts w:ascii="Arial" w:eastAsia="Arial Unicode MS" w:hAnsi="Arial" w:cs="Arial"/>
          <w:i/>
          <w:color w:val="auto"/>
          <w:sz w:val="22"/>
          <w:szCs w:val="22"/>
        </w:rPr>
      </w:pPr>
      <w:r w:rsidRPr="00AE472A">
        <w:rPr>
          <w:rFonts w:ascii="Arial" w:eastAsia="Arial Unicode MS" w:hAnsi="Arial" w:cs="Arial"/>
          <w:bCs/>
          <w:i/>
          <w:color w:val="auto"/>
          <w:sz w:val="22"/>
          <w:szCs w:val="22"/>
        </w:rPr>
        <w:t>Make better use of capital investment to enhance community based care</w:t>
      </w:r>
    </w:p>
    <w:p w14:paraId="30CA6096" w14:textId="77777777" w:rsidR="00905A60" w:rsidRPr="00AE472A" w:rsidRDefault="00905A60" w:rsidP="00CE5053">
      <w:pPr>
        <w:pStyle w:val="Default"/>
        <w:numPr>
          <w:ilvl w:val="0"/>
          <w:numId w:val="31"/>
        </w:numPr>
        <w:spacing w:before="120"/>
        <w:ind w:left="993"/>
        <w:rPr>
          <w:rFonts w:ascii="Arial" w:eastAsia="Arial Unicode MS" w:hAnsi="Arial" w:cs="Arial"/>
          <w:i/>
          <w:color w:val="auto"/>
          <w:sz w:val="22"/>
          <w:szCs w:val="22"/>
        </w:rPr>
      </w:pPr>
      <w:r w:rsidRPr="00AE472A">
        <w:rPr>
          <w:rFonts w:ascii="Arial" w:eastAsia="Arial Unicode MS" w:hAnsi="Arial" w:cs="Arial"/>
          <w:bCs/>
          <w:i/>
          <w:color w:val="auto"/>
          <w:sz w:val="22"/>
          <w:szCs w:val="22"/>
        </w:rPr>
        <w:t xml:space="preserve">Realising value from unused and under-utilised estate </w:t>
      </w:r>
    </w:p>
    <w:p w14:paraId="6E00EB38" w14:textId="77777777" w:rsidR="00905A60" w:rsidRPr="00AE472A" w:rsidRDefault="00905A60" w:rsidP="00CE5053">
      <w:pPr>
        <w:pStyle w:val="Default"/>
        <w:numPr>
          <w:ilvl w:val="0"/>
          <w:numId w:val="31"/>
        </w:numPr>
        <w:spacing w:before="120"/>
        <w:ind w:left="993"/>
        <w:rPr>
          <w:rFonts w:ascii="Arial" w:eastAsia="Arial Unicode MS" w:hAnsi="Arial" w:cs="Arial"/>
          <w:i/>
          <w:color w:val="auto"/>
          <w:sz w:val="22"/>
          <w:szCs w:val="22"/>
        </w:rPr>
      </w:pPr>
      <w:r w:rsidRPr="00AE472A">
        <w:rPr>
          <w:rFonts w:ascii="Arial" w:eastAsia="Arial Unicode MS" w:hAnsi="Arial" w:cs="Arial"/>
          <w:bCs/>
          <w:i/>
          <w:color w:val="auto"/>
          <w:sz w:val="22"/>
          <w:szCs w:val="22"/>
        </w:rPr>
        <w:t>Expand estate capacity to meet growing demand for planned care</w:t>
      </w:r>
    </w:p>
    <w:p w14:paraId="0B4020A7" w14:textId="77777777" w:rsidR="00905A60" w:rsidRPr="00AE472A" w:rsidRDefault="00905A60" w:rsidP="00CE5053">
      <w:pPr>
        <w:pStyle w:val="ListParagraph"/>
        <w:numPr>
          <w:ilvl w:val="0"/>
          <w:numId w:val="0"/>
        </w:numPr>
        <w:ind w:left="720"/>
        <w:rPr>
          <w:rFonts w:ascii="Tahoma" w:hAnsi="Tahoma" w:cs="Tahoma"/>
          <w:color w:val="141414"/>
          <w:sz w:val="33"/>
          <w:szCs w:val="33"/>
          <w:shd w:val="clear" w:color="auto" w:fill="FFFFFF"/>
        </w:rPr>
      </w:pPr>
    </w:p>
    <w:p w14:paraId="31639E38" w14:textId="77777777" w:rsidR="000E5AD6" w:rsidRDefault="00905A60" w:rsidP="00CE5053">
      <w:pPr>
        <w:pStyle w:val="ListParagraph"/>
        <w:numPr>
          <w:ilvl w:val="2"/>
          <w:numId w:val="32"/>
        </w:numPr>
        <w:spacing w:after="240"/>
        <w:ind w:left="737" w:hanging="737"/>
        <w:contextualSpacing w:val="0"/>
      </w:pPr>
      <w:r w:rsidRPr="00AE472A">
        <w:t xml:space="preserve">Lewisham fully endorses these priorities.  Much of the work to promote better integration between health and care services is taken forward by Lewisham Health and Care Partners (LHCP), which includes health and care commissioners and providers.  The LHCP Estate Steering Group (ESG) which reports to the board is responsible for </w:t>
      </w:r>
      <w:r w:rsidRPr="00AE472A">
        <w:rPr>
          <w:noProof/>
        </w:rPr>
        <w:t>coordinating</w:t>
      </w:r>
      <w:r w:rsidRPr="00AE472A">
        <w:t xml:space="preserve"> the delivery of estate projects in Lewisham.  These project priorities are articulated in the STP London and South East Estat</w:t>
      </w:r>
      <w:r w:rsidR="000E5AD6">
        <w:t xml:space="preserve">e Strategy and provider (SLaM, </w:t>
      </w:r>
      <w:r w:rsidRPr="00AE472A">
        <w:t>LGT and NHS Property Services</w:t>
      </w:r>
      <w:r w:rsidR="000E5AD6">
        <w:t>).</w:t>
      </w:r>
    </w:p>
    <w:p w14:paraId="2EBCA1B7" w14:textId="77777777" w:rsidR="000E5AD6" w:rsidRDefault="00905A60" w:rsidP="00CE5053">
      <w:pPr>
        <w:pStyle w:val="ListParagraph"/>
        <w:numPr>
          <w:ilvl w:val="2"/>
          <w:numId w:val="32"/>
        </w:numPr>
        <w:spacing w:after="240"/>
        <w:ind w:left="737" w:hanging="737"/>
        <w:contextualSpacing w:val="0"/>
      </w:pPr>
      <w:r w:rsidRPr="00D661DA">
        <w:t xml:space="preserve">In addition, Lewisham CCG published a Local Estate Strategy in </w:t>
      </w:r>
      <w:r w:rsidRPr="00AE472A">
        <w:t>2018</w:t>
      </w:r>
      <w:r w:rsidRPr="00D661DA">
        <w:t xml:space="preserve"> bringing together the primary provider and stakeholder estate strategies, programmes and initiatives from health and care partners aimed at transforming the delivery of </w:t>
      </w:r>
      <w:r w:rsidRPr="00D661DA">
        <w:rPr>
          <w:noProof/>
        </w:rPr>
        <w:t>community-based</w:t>
      </w:r>
      <w:r w:rsidRPr="00D661DA">
        <w:t xml:space="preserve"> care</w:t>
      </w:r>
      <w:bookmarkStart w:id="17" w:name="_Toc26278502"/>
      <w:r w:rsidR="000E5AD6">
        <w:t>.</w:t>
      </w:r>
    </w:p>
    <w:p w14:paraId="102453EA" w14:textId="77777777" w:rsidR="000E5AD6" w:rsidRPr="000E5AD6" w:rsidRDefault="00905A60" w:rsidP="00CE5053">
      <w:pPr>
        <w:pStyle w:val="Heading3"/>
      </w:pPr>
      <w:bookmarkStart w:id="18" w:name="_Toc56146011"/>
      <w:r w:rsidRPr="000E5AD6">
        <w:t>Primary care</w:t>
      </w:r>
      <w:bookmarkEnd w:id="17"/>
      <w:bookmarkEnd w:id="18"/>
    </w:p>
    <w:p w14:paraId="20A362C6" w14:textId="77777777" w:rsidR="000E5AD6" w:rsidRPr="000E5AD6" w:rsidRDefault="00905A60" w:rsidP="00CE5053">
      <w:pPr>
        <w:pStyle w:val="ListParagraph"/>
        <w:numPr>
          <w:ilvl w:val="0"/>
          <w:numId w:val="0"/>
        </w:numPr>
        <w:spacing w:after="240"/>
        <w:ind w:left="737"/>
        <w:contextualSpacing w:val="0"/>
      </w:pPr>
      <w:r w:rsidRPr="000E5AD6">
        <w:rPr>
          <w:b/>
        </w:rPr>
        <w:t>Background</w:t>
      </w:r>
    </w:p>
    <w:p w14:paraId="2F49FEC3" w14:textId="77777777" w:rsidR="000E5AD6" w:rsidRDefault="00905A60" w:rsidP="00CE5053">
      <w:pPr>
        <w:pStyle w:val="ListParagraph"/>
        <w:numPr>
          <w:ilvl w:val="2"/>
          <w:numId w:val="32"/>
        </w:numPr>
        <w:spacing w:after="240"/>
        <w:ind w:left="737" w:hanging="737"/>
        <w:contextualSpacing w:val="0"/>
      </w:pPr>
      <w:r w:rsidRPr="00AE472A">
        <w:t xml:space="preserve">Local health and care services are provided by a wide range of health professionals including GPs, nurses, dentists, pharmacists, and opticians. In addition, a number of voluntary and community organisations in the borough also provide specific services or contribute to local health and care provision. For the purposes of this section of the IDP, only GP </w:t>
      </w:r>
      <w:r w:rsidR="000E5AD6">
        <w:t>practices have been considered.</w:t>
      </w:r>
    </w:p>
    <w:p w14:paraId="0ACD8681" w14:textId="77777777" w:rsidR="000E5AD6" w:rsidRPr="000E5AD6" w:rsidRDefault="00905A60" w:rsidP="00CE5053">
      <w:pPr>
        <w:pStyle w:val="ListParagraph"/>
        <w:numPr>
          <w:ilvl w:val="0"/>
          <w:numId w:val="0"/>
        </w:numPr>
        <w:spacing w:after="240"/>
        <w:ind w:left="737"/>
        <w:contextualSpacing w:val="0"/>
      </w:pPr>
      <w:r w:rsidRPr="000E5AD6">
        <w:rPr>
          <w:b/>
        </w:rPr>
        <w:t>Current situation</w:t>
      </w:r>
    </w:p>
    <w:p w14:paraId="72354DC2" w14:textId="77777777" w:rsidR="000E5AD6" w:rsidRDefault="00905A60" w:rsidP="00CE5053">
      <w:pPr>
        <w:pStyle w:val="ListParagraph"/>
        <w:numPr>
          <w:ilvl w:val="2"/>
          <w:numId w:val="32"/>
        </w:numPr>
        <w:spacing w:after="240"/>
        <w:ind w:left="737" w:hanging="737"/>
        <w:contextualSpacing w:val="0"/>
      </w:pPr>
      <w:r w:rsidRPr="00AE472A">
        <w:t>As at December 2019, there are 35 GP practices in the borough operating from 39 sites. Of these, there is a mixture of purpose-built health facilities and converted residential/retail premise</w:t>
      </w:r>
      <w:r w:rsidR="000E5AD6">
        <w:t>s which are of varying quality.</w:t>
      </w:r>
    </w:p>
    <w:p w14:paraId="24E7BE58" w14:textId="77777777" w:rsidR="000E5AD6" w:rsidRDefault="00905A60" w:rsidP="00CE5053">
      <w:pPr>
        <w:pStyle w:val="ListParagraph"/>
        <w:numPr>
          <w:ilvl w:val="2"/>
          <w:numId w:val="32"/>
        </w:numPr>
        <w:spacing w:after="240"/>
        <w:ind w:left="737" w:hanging="737"/>
        <w:contextualSpacing w:val="0"/>
      </w:pPr>
      <w:r w:rsidRPr="00AE472A">
        <w:lastRenderedPageBreak/>
        <w:t>There have been a number of recent practice mergers that have resulted in the closure of practice sites; largely converted houses that were not part of the longer term estates strategy. There are also a number of practices which are increasingly working together under both i</w:t>
      </w:r>
      <w:r w:rsidR="000E5AD6">
        <w:t>nformal and formal arrangements.</w:t>
      </w:r>
    </w:p>
    <w:p w14:paraId="5F19FA29" w14:textId="77777777" w:rsidR="00B5608E" w:rsidRPr="00B5608E" w:rsidRDefault="00905A60" w:rsidP="00CE5053">
      <w:pPr>
        <w:pStyle w:val="ListParagraph"/>
        <w:numPr>
          <w:ilvl w:val="0"/>
          <w:numId w:val="0"/>
        </w:numPr>
        <w:spacing w:after="240"/>
        <w:ind w:left="737"/>
        <w:contextualSpacing w:val="0"/>
      </w:pPr>
      <w:r w:rsidRPr="000E5AD6">
        <w:rPr>
          <w:b/>
          <w:bCs/>
        </w:rPr>
        <w:t>GP Federation</w:t>
      </w:r>
    </w:p>
    <w:p w14:paraId="02EFC114" w14:textId="77777777" w:rsidR="00B5608E" w:rsidRDefault="00905A60" w:rsidP="00CE5053">
      <w:pPr>
        <w:pStyle w:val="ListParagraph"/>
        <w:numPr>
          <w:ilvl w:val="2"/>
          <w:numId w:val="32"/>
        </w:numPr>
        <w:spacing w:after="240"/>
        <w:ind w:left="737" w:hanging="737"/>
        <w:contextualSpacing w:val="0"/>
      </w:pPr>
      <w:r w:rsidRPr="00AE472A">
        <w:t>Lewisham has a borough-wide GP Federation, One Health Lewisham Ltd, which is delivering some services directly and also coordinatin</w:t>
      </w:r>
      <w:r w:rsidR="00B5608E">
        <w:t>g delivery across GP practices.</w:t>
      </w:r>
    </w:p>
    <w:p w14:paraId="4967ADF1" w14:textId="77777777" w:rsidR="00B5608E" w:rsidRPr="00B5608E" w:rsidRDefault="00905A60" w:rsidP="00CE5053">
      <w:pPr>
        <w:pStyle w:val="ListParagraph"/>
        <w:numPr>
          <w:ilvl w:val="0"/>
          <w:numId w:val="0"/>
        </w:numPr>
        <w:spacing w:after="240"/>
        <w:ind w:left="737"/>
        <w:contextualSpacing w:val="0"/>
      </w:pPr>
      <w:r w:rsidRPr="00B5608E">
        <w:rPr>
          <w:b/>
          <w:bCs/>
        </w:rPr>
        <w:t>Primary Care Networks (PCNs)</w:t>
      </w:r>
    </w:p>
    <w:p w14:paraId="39E37562" w14:textId="77777777" w:rsidR="00B5608E" w:rsidRDefault="00905A60" w:rsidP="00CE5053">
      <w:pPr>
        <w:pStyle w:val="ListParagraph"/>
        <w:numPr>
          <w:ilvl w:val="2"/>
          <w:numId w:val="32"/>
        </w:numPr>
        <w:spacing w:after="240"/>
        <w:ind w:left="737" w:hanging="737"/>
        <w:contextualSpacing w:val="0"/>
      </w:pPr>
      <w:r w:rsidRPr="00AE472A">
        <w:t>Primary care and community care are at the heart of the NHS Long-Term plan. The plan sets out an ambition for all GP practices to come together with neighbouring and associated practices in 'Primary Care Networks' (PCN) to meet the needs of local populations.</w:t>
      </w:r>
    </w:p>
    <w:p w14:paraId="4FD25E01" w14:textId="77777777" w:rsidR="00B5608E" w:rsidRDefault="00905A60" w:rsidP="00CE5053">
      <w:pPr>
        <w:pStyle w:val="ListParagraph"/>
        <w:numPr>
          <w:ilvl w:val="2"/>
          <w:numId w:val="32"/>
        </w:numPr>
        <w:spacing w:after="240"/>
        <w:ind w:left="737" w:hanging="737"/>
        <w:contextualSpacing w:val="0"/>
      </w:pPr>
      <w:r w:rsidRPr="00AE472A">
        <w:t>In line with national guidance, PCNs are much more than clusters of general practice. They are about groups of practices coming together locally in partnership with community services, social care and other providers of health and care services around the needs of local patients.</w:t>
      </w:r>
    </w:p>
    <w:p w14:paraId="59A2A7E8" w14:textId="77777777" w:rsidR="00B5608E" w:rsidRDefault="00905A60" w:rsidP="00CE5053">
      <w:pPr>
        <w:pStyle w:val="ListParagraph"/>
        <w:numPr>
          <w:ilvl w:val="2"/>
          <w:numId w:val="32"/>
        </w:numPr>
        <w:spacing w:after="240"/>
        <w:ind w:left="737" w:hanging="737"/>
        <w:contextualSpacing w:val="0"/>
      </w:pPr>
      <w:r w:rsidRPr="00AE472A">
        <w:t>As part of a PCN, GPs will be able to recruit multi-disciplinary teams, including pharmacists, physiotherapists, paramedics, physician associates and social prescribing support workers, freeing up family doctors to focus on the sickest patients. In the first year of the PCN contract, the focus will be on optimising current services across the network, such as the provision of extended opening hours for local practices and the development clinical pharmacists and social prescribing link workers. It is expected that the capability and capacity of PCNs will build over the next five years to deliver fully integrated community-based care that meets the needs of our local populations.</w:t>
      </w:r>
    </w:p>
    <w:p w14:paraId="1D7ECF38" w14:textId="77777777" w:rsidR="00B5608E" w:rsidRDefault="00905A60" w:rsidP="00CE5053">
      <w:pPr>
        <w:pStyle w:val="ListParagraph"/>
        <w:numPr>
          <w:ilvl w:val="2"/>
          <w:numId w:val="32"/>
        </w:numPr>
        <w:spacing w:after="240"/>
        <w:ind w:left="737" w:hanging="737"/>
        <w:contextualSpacing w:val="0"/>
      </w:pPr>
      <w:r w:rsidRPr="00AE472A">
        <w:t>6 PCNs have been agreed across Lewisham and the contracts formalising these arrangements between local GP practices, went live on 1 July 2019.</w:t>
      </w:r>
    </w:p>
    <w:p w14:paraId="30928350" w14:textId="77777777" w:rsidR="00B5608E" w:rsidRPr="00B5608E" w:rsidRDefault="00905A60" w:rsidP="00CE5053">
      <w:pPr>
        <w:pStyle w:val="ListParagraph"/>
        <w:numPr>
          <w:ilvl w:val="0"/>
          <w:numId w:val="0"/>
        </w:numPr>
        <w:spacing w:after="240"/>
        <w:ind w:left="737"/>
        <w:contextualSpacing w:val="0"/>
      </w:pPr>
      <w:r w:rsidRPr="00B5608E">
        <w:rPr>
          <w:b/>
          <w:bCs/>
        </w:rPr>
        <w:t>Future requirement</w:t>
      </w:r>
    </w:p>
    <w:p w14:paraId="3CF106F9" w14:textId="77777777" w:rsidR="00B5608E" w:rsidRDefault="00905A60" w:rsidP="00CE5053">
      <w:pPr>
        <w:pStyle w:val="ListParagraph"/>
        <w:numPr>
          <w:ilvl w:val="2"/>
          <w:numId w:val="32"/>
        </w:numPr>
        <w:spacing w:after="240"/>
        <w:ind w:left="737" w:hanging="737"/>
        <w:contextualSpacing w:val="0"/>
      </w:pPr>
      <w:r>
        <w:t>An increasing volume of activity is expected to be delivered in a primary care setting, as specified in the new national DES (in full) specifications.  As outlined above, a number of additional roles are also expected to be established by PCNs such as pharmacists, social prescribers, physiotherapists, physicians</w:t>
      </w:r>
      <w:r w:rsidR="444BAC81">
        <w:t>,</w:t>
      </w:r>
      <w:r>
        <w:t xml:space="preserve"> associates and paramedics.  These changes will need to be supported by appropriate estate development.</w:t>
      </w:r>
    </w:p>
    <w:p w14:paraId="627E4AF6" w14:textId="77777777" w:rsidR="000C3CFB" w:rsidRDefault="00905A60" w:rsidP="00CE5053">
      <w:pPr>
        <w:pStyle w:val="ListParagraph"/>
        <w:numPr>
          <w:ilvl w:val="2"/>
          <w:numId w:val="32"/>
        </w:numPr>
        <w:spacing w:after="240"/>
        <w:ind w:left="737" w:hanging="737"/>
        <w:contextualSpacing w:val="0"/>
      </w:pPr>
      <w:r w:rsidRPr="00AE472A">
        <w:t xml:space="preserve">Further consolidation of the primary care estate is expected over the coming years, moving towards delivery from purpose built facilities.  </w:t>
      </w:r>
      <w:r w:rsidRPr="00D661DA">
        <w:t>Several developments are currently in various stages of review, feasibility study and or progress such as Queens Road Partnership; Jenner Health Centre; Sydenham Green Health Centre; Waldron, Downham Health and Wellbeing</w:t>
      </w:r>
      <w:r w:rsidR="000C3CFB">
        <w:t>.</w:t>
      </w:r>
    </w:p>
    <w:p w14:paraId="6F424041" w14:textId="77777777" w:rsidR="000C3CFB" w:rsidRDefault="00905A60" w:rsidP="00CE5053">
      <w:pPr>
        <w:pStyle w:val="ListParagraph"/>
        <w:numPr>
          <w:ilvl w:val="2"/>
          <w:numId w:val="32"/>
        </w:numPr>
        <w:spacing w:after="240"/>
        <w:ind w:left="737" w:hanging="737"/>
        <w:contextualSpacing w:val="0"/>
      </w:pPr>
      <w:r w:rsidRPr="00AE472A">
        <w:t>A shift to digital access</w:t>
      </w:r>
      <w:r>
        <w:t xml:space="preserve"> and investment</w:t>
      </w:r>
      <w:r w:rsidRPr="00AE472A">
        <w:t xml:space="preserve"> is also being supported which may have an impact on how much and what configuration of estate is required in the future.  The digitisation of records is also being actively pursued to maximise use of existing space for clinical service delivery.</w:t>
      </w:r>
      <w:bookmarkStart w:id="19" w:name="_Toc26278503"/>
    </w:p>
    <w:p w14:paraId="627DF8F7" w14:textId="77777777" w:rsidR="000C3CFB" w:rsidRPr="000C3CFB" w:rsidRDefault="00905A60" w:rsidP="00CE5053">
      <w:pPr>
        <w:pStyle w:val="Heading3"/>
      </w:pPr>
      <w:bookmarkStart w:id="20" w:name="_Toc56146012"/>
      <w:r w:rsidRPr="000C3CFB">
        <w:lastRenderedPageBreak/>
        <w:t>Community healthcare</w:t>
      </w:r>
      <w:bookmarkEnd w:id="19"/>
      <w:bookmarkEnd w:id="20"/>
    </w:p>
    <w:p w14:paraId="38E8BE3D" w14:textId="77777777" w:rsidR="000C3CFB" w:rsidRPr="000C3CFB" w:rsidRDefault="000C3CFB" w:rsidP="00CE5053">
      <w:pPr>
        <w:pStyle w:val="ListParagraph"/>
        <w:numPr>
          <w:ilvl w:val="0"/>
          <w:numId w:val="0"/>
        </w:numPr>
        <w:spacing w:after="240"/>
        <w:ind w:left="737"/>
        <w:contextualSpacing w:val="0"/>
        <w:rPr>
          <w:b/>
        </w:rPr>
      </w:pPr>
      <w:r w:rsidRPr="000C3CFB">
        <w:rPr>
          <w:b/>
        </w:rPr>
        <w:t>Background</w:t>
      </w:r>
    </w:p>
    <w:p w14:paraId="20A24DD3" w14:textId="77777777" w:rsidR="000C3CFB" w:rsidRDefault="00905A60" w:rsidP="00CE5053">
      <w:pPr>
        <w:pStyle w:val="ListParagraph"/>
        <w:numPr>
          <w:ilvl w:val="2"/>
          <w:numId w:val="32"/>
        </w:numPr>
        <w:spacing w:after="240"/>
        <w:ind w:left="737" w:hanging="737"/>
        <w:contextualSpacing w:val="0"/>
      </w:pPr>
      <w:r w:rsidRPr="00AE472A">
        <w:t>Lewisham &amp; Greenwich Healthcare NHS Trust (LGT) provides many of the healthcare services for residents in Lewisham. Similarly</w:t>
      </w:r>
      <w:r w:rsidR="000C3CFB">
        <w:t xml:space="preserve">, </w:t>
      </w:r>
      <w:r w:rsidRPr="00AE472A">
        <w:t>South London &amp; Maudsley NHS Trust (SLaM) provides mainstream and specialist mental health services for people across south London, including com</w:t>
      </w:r>
      <w:r w:rsidR="000C3CFB">
        <w:t>munity mental health services.</w:t>
      </w:r>
    </w:p>
    <w:p w14:paraId="0F0F70A1" w14:textId="77777777" w:rsidR="000C3CFB" w:rsidRPr="000C3CFB" w:rsidRDefault="00905A60" w:rsidP="00CE5053">
      <w:pPr>
        <w:pStyle w:val="ListParagraph"/>
        <w:numPr>
          <w:ilvl w:val="0"/>
          <w:numId w:val="0"/>
        </w:numPr>
        <w:spacing w:after="240"/>
        <w:ind w:left="737"/>
        <w:contextualSpacing w:val="0"/>
      </w:pPr>
      <w:r w:rsidRPr="000C3CFB">
        <w:rPr>
          <w:b/>
        </w:rPr>
        <w:t>Current situation</w:t>
      </w:r>
    </w:p>
    <w:p w14:paraId="7F9086CA" w14:textId="77777777" w:rsidR="000C3CFB" w:rsidRDefault="00905A60" w:rsidP="00CE5053">
      <w:pPr>
        <w:pStyle w:val="ListParagraph"/>
        <w:numPr>
          <w:ilvl w:val="2"/>
          <w:numId w:val="32"/>
        </w:numPr>
        <w:spacing w:after="240"/>
        <w:ind w:left="737" w:hanging="737"/>
        <w:contextualSpacing w:val="0"/>
      </w:pPr>
      <w:r w:rsidRPr="00AE472A">
        <w:t xml:space="preserve">LGT delivers community health services from various locations in the borough. Most of these properties require investment </w:t>
      </w:r>
      <w:r w:rsidRPr="00D661DA">
        <w:t>t</w:t>
      </w:r>
      <w:r w:rsidRPr="00AE472A">
        <w:t>o reconfigure, refurbish and re profile and importantly b</w:t>
      </w:r>
      <w:r w:rsidR="000C3CFB">
        <w:t>etter utilise community estate.</w:t>
      </w:r>
    </w:p>
    <w:p w14:paraId="31A21E6C" w14:textId="77777777" w:rsidR="000C3CFB" w:rsidRPr="000C3CFB" w:rsidRDefault="000C3CFB" w:rsidP="00CE5053">
      <w:pPr>
        <w:pStyle w:val="ListParagraph"/>
        <w:numPr>
          <w:ilvl w:val="0"/>
          <w:numId w:val="0"/>
        </w:numPr>
        <w:spacing w:after="240"/>
        <w:ind w:left="737"/>
        <w:contextualSpacing w:val="0"/>
      </w:pPr>
      <w:r>
        <w:rPr>
          <w:b/>
        </w:rPr>
        <w:t>Future requirement</w:t>
      </w:r>
    </w:p>
    <w:p w14:paraId="47523C79" w14:textId="77777777" w:rsidR="000C3CFB" w:rsidRPr="000C3CFB" w:rsidRDefault="00905A60" w:rsidP="00CE5053">
      <w:pPr>
        <w:pStyle w:val="ListParagraph"/>
        <w:numPr>
          <w:ilvl w:val="2"/>
          <w:numId w:val="32"/>
        </w:numPr>
        <w:spacing w:after="240"/>
        <w:ind w:left="737" w:hanging="737"/>
        <w:contextualSpacing w:val="0"/>
      </w:pPr>
      <w:r w:rsidRPr="00AE472A">
        <w:t xml:space="preserve">The current community health and care estate in Lewisham has been mapped and Lewisham Health and Care Partners have identified a number of </w:t>
      </w:r>
      <w:r w:rsidRPr="000C3CFB">
        <w:rPr>
          <w:rFonts w:cs="Arial"/>
        </w:rPr>
        <w:t>projects as priority areas for action in L</w:t>
      </w:r>
      <w:r w:rsidR="000C3CFB">
        <w:rPr>
          <w:rFonts w:cs="Arial"/>
        </w:rPr>
        <w:t>ewisham.</w:t>
      </w:r>
    </w:p>
    <w:p w14:paraId="5AAAE12A" w14:textId="77777777" w:rsidR="000C3CFB" w:rsidRDefault="00905A60" w:rsidP="00CE5053">
      <w:pPr>
        <w:pStyle w:val="ListParagraph"/>
        <w:numPr>
          <w:ilvl w:val="2"/>
          <w:numId w:val="32"/>
        </w:numPr>
        <w:spacing w:after="240"/>
        <w:ind w:left="737" w:hanging="737"/>
        <w:contextualSpacing w:val="0"/>
      </w:pPr>
      <w:r w:rsidRPr="00AE472A">
        <w:t xml:space="preserve">The ambition is to support the Partners’ vision for community based care and move to more integrated working across community and primary care teams.  The development of Lewisham’s health and care estate needs to be flexible to support co-ordinated, integrated and mobile working alongside digital modernisation, as described in the Long Term Plan.  </w:t>
      </w:r>
    </w:p>
    <w:p w14:paraId="603131C5" w14:textId="77777777" w:rsidR="00905A60" w:rsidRPr="00AE472A" w:rsidRDefault="00905A60" w:rsidP="00CE5053">
      <w:pPr>
        <w:pStyle w:val="ListParagraph"/>
        <w:numPr>
          <w:ilvl w:val="2"/>
          <w:numId w:val="32"/>
        </w:numPr>
        <w:spacing w:after="240"/>
        <w:ind w:left="737" w:hanging="737"/>
        <w:contextualSpacing w:val="0"/>
      </w:pPr>
      <w:r>
        <w:t>Lewisham Health and Care Partners have identified a number of priority projects in the community for investment which are highlighted in</w:t>
      </w:r>
      <w:r w:rsidR="00DF3F5F">
        <w:t xml:space="preserve"> the</w:t>
      </w:r>
      <w:r>
        <w:t xml:space="preserve"> table </w:t>
      </w:r>
      <w:r w:rsidRPr="00DF3F5F">
        <w:t>below</w:t>
      </w:r>
      <w:r w:rsidR="00DF3F5F">
        <w:t xml:space="preserve"> (i.e. strategic infrastructure list)</w:t>
      </w:r>
      <w:r w:rsidRPr="00DF3F5F">
        <w:t>.</w:t>
      </w:r>
      <w:r>
        <w:t xml:space="preserve"> </w:t>
      </w:r>
      <w:bookmarkStart w:id="21" w:name="_Toc26278504"/>
    </w:p>
    <w:p w14:paraId="0E1042AE" w14:textId="77777777" w:rsidR="00905A60" w:rsidRPr="00AE472A" w:rsidRDefault="00021C15" w:rsidP="00CE5053">
      <w:pPr>
        <w:pStyle w:val="Heading3"/>
        <w:numPr>
          <w:ilvl w:val="2"/>
          <w:numId w:val="0"/>
        </w:numPr>
        <w:tabs>
          <w:tab w:val="left" w:pos="720"/>
          <w:tab w:val="left" w:pos="1440"/>
        </w:tabs>
        <w:spacing w:before="240" w:after="120"/>
        <w:ind w:left="720" w:hanging="720"/>
        <w:rPr>
          <w:szCs w:val="22"/>
        </w:rPr>
      </w:pPr>
      <w:r>
        <w:rPr>
          <w:szCs w:val="22"/>
        </w:rPr>
        <w:tab/>
      </w:r>
      <w:bookmarkStart w:id="22" w:name="_Toc56146013"/>
      <w:r w:rsidR="00905A60" w:rsidRPr="00AE472A">
        <w:rPr>
          <w:szCs w:val="22"/>
        </w:rPr>
        <w:t>Acute provision</w:t>
      </w:r>
      <w:bookmarkEnd w:id="22"/>
    </w:p>
    <w:p w14:paraId="1FB4A86C" w14:textId="77777777" w:rsidR="00021C15" w:rsidRPr="00021C15" w:rsidRDefault="00905A60" w:rsidP="00CE5053">
      <w:pPr>
        <w:pStyle w:val="ListParagraph"/>
        <w:numPr>
          <w:ilvl w:val="0"/>
          <w:numId w:val="0"/>
        </w:numPr>
        <w:spacing w:after="240"/>
        <w:ind w:left="737"/>
        <w:contextualSpacing w:val="0"/>
        <w:rPr>
          <w:b/>
        </w:rPr>
      </w:pPr>
      <w:r w:rsidRPr="00021C15">
        <w:rPr>
          <w:b/>
        </w:rPr>
        <w:t>Background</w:t>
      </w:r>
    </w:p>
    <w:p w14:paraId="45FCFA24" w14:textId="77777777" w:rsidR="00021C15" w:rsidRDefault="00905A60" w:rsidP="00CE5053">
      <w:pPr>
        <w:pStyle w:val="ListParagraph"/>
        <w:numPr>
          <w:ilvl w:val="2"/>
          <w:numId w:val="32"/>
        </w:numPr>
        <w:spacing w:after="240"/>
        <w:ind w:left="737" w:hanging="737"/>
        <w:contextualSpacing w:val="0"/>
      </w:pPr>
      <w:r w:rsidRPr="00021C15">
        <w:t>Lewisham and Greenwich NHS Trust (LGT) has completed its estates</w:t>
      </w:r>
      <w:r w:rsidR="004E1689">
        <w:t xml:space="preserve"> and digital</w:t>
      </w:r>
      <w:r w:rsidRPr="00021C15">
        <w:t xml:space="preserve"> strategy which fully support the Trust’s clinical s</w:t>
      </w:r>
      <w:r w:rsidR="00021C15">
        <w:t>trategy.</w:t>
      </w:r>
    </w:p>
    <w:p w14:paraId="17B780CF" w14:textId="77777777" w:rsidR="00021C15" w:rsidRDefault="00905A60" w:rsidP="00CE5053">
      <w:pPr>
        <w:pStyle w:val="ListParagraph"/>
        <w:numPr>
          <w:ilvl w:val="2"/>
          <w:numId w:val="32"/>
        </w:numPr>
        <w:spacing w:after="240"/>
        <w:ind w:left="737" w:hanging="737"/>
        <w:contextualSpacing w:val="0"/>
      </w:pPr>
      <w:r w:rsidRPr="00AE472A">
        <w:t>Currently the estate is constraining service delivery in many areas. The Trust is committed to ensuring that funding is directed towards the sustainable delivery of high quality patient care.  Parts of the estate need transformation or expansion.  Some areas within the estate can also be adapted for different uses and s</w:t>
      </w:r>
      <w:r w:rsidR="00021C15">
        <w:t>ome parts can remain unchanged.</w:t>
      </w:r>
    </w:p>
    <w:p w14:paraId="2CAED4E1" w14:textId="77777777" w:rsidR="00CE3E7B" w:rsidRDefault="00905A60" w:rsidP="00CE5053">
      <w:pPr>
        <w:pStyle w:val="ListParagraph"/>
        <w:numPr>
          <w:ilvl w:val="2"/>
          <w:numId w:val="32"/>
        </w:numPr>
        <w:spacing w:after="240"/>
        <w:ind w:left="737" w:hanging="737"/>
        <w:contextualSpacing w:val="0"/>
      </w:pPr>
      <w:r w:rsidRPr="00AE472A">
        <w:t>Other constraints associated with the LGT estate include sub-optimal adjacencies where departments or services are either widely dispersed across a site or not immediately next to key elements of the patient pathway that require improved proximity.  The Trust also struggles to meet the demand on services in some areas due to the limited capacity of the departments, and there are a number of services which require more space from which to operate if the Trust is to meet patient expectations and national access targets.</w:t>
      </w:r>
    </w:p>
    <w:p w14:paraId="236633D7" w14:textId="77777777" w:rsidR="00CE3E7B" w:rsidRPr="00CE3E7B" w:rsidRDefault="00905A60" w:rsidP="00CE5053">
      <w:pPr>
        <w:pStyle w:val="ListParagraph"/>
        <w:numPr>
          <w:ilvl w:val="0"/>
          <w:numId w:val="0"/>
        </w:numPr>
        <w:spacing w:after="240"/>
        <w:ind w:left="737"/>
        <w:contextualSpacing w:val="0"/>
      </w:pPr>
      <w:r w:rsidRPr="00021C15">
        <w:rPr>
          <w:b/>
        </w:rPr>
        <w:t>Current Situation</w:t>
      </w:r>
    </w:p>
    <w:p w14:paraId="2DD6C569" w14:textId="77777777" w:rsidR="00905A60" w:rsidRPr="00AE472A" w:rsidRDefault="00905A60" w:rsidP="00CE5053">
      <w:pPr>
        <w:pStyle w:val="ListParagraph"/>
        <w:numPr>
          <w:ilvl w:val="2"/>
          <w:numId w:val="32"/>
        </w:numPr>
        <w:spacing w:after="240"/>
        <w:ind w:left="737" w:hanging="737"/>
        <w:contextualSpacing w:val="0"/>
      </w:pPr>
      <w:r w:rsidRPr="00AE472A">
        <w:t>The principles of the Trust’s Clinical Strategy are:</w:t>
      </w:r>
    </w:p>
    <w:p w14:paraId="6764315D" w14:textId="77777777" w:rsidR="00905A60" w:rsidRPr="00CE3E7B" w:rsidRDefault="00905A60" w:rsidP="00CE5053">
      <w:pPr>
        <w:numPr>
          <w:ilvl w:val="1"/>
          <w:numId w:val="29"/>
        </w:numPr>
        <w:rPr>
          <w:i/>
        </w:rPr>
      </w:pPr>
      <w:r w:rsidRPr="00CE3E7B">
        <w:rPr>
          <w:i/>
        </w:rPr>
        <w:lastRenderedPageBreak/>
        <w:t>Supporting greater integration and more coherent system working</w:t>
      </w:r>
    </w:p>
    <w:p w14:paraId="41BA8D69" w14:textId="77777777" w:rsidR="00905A60" w:rsidRPr="00CE3E7B" w:rsidRDefault="00905A60" w:rsidP="00CE5053">
      <w:pPr>
        <w:numPr>
          <w:ilvl w:val="1"/>
          <w:numId w:val="29"/>
        </w:numPr>
        <w:rPr>
          <w:i/>
        </w:rPr>
      </w:pPr>
      <w:r w:rsidRPr="00CE3E7B">
        <w:rPr>
          <w:i/>
        </w:rPr>
        <w:t>Ambitious but realistic</w:t>
      </w:r>
    </w:p>
    <w:p w14:paraId="3A8DEEF0" w14:textId="77777777" w:rsidR="00905A60" w:rsidRPr="00CE3E7B" w:rsidRDefault="00905A60" w:rsidP="00CE5053">
      <w:pPr>
        <w:numPr>
          <w:ilvl w:val="1"/>
          <w:numId w:val="29"/>
        </w:numPr>
        <w:rPr>
          <w:i/>
        </w:rPr>
      </w:pPr>
      <w:r w:rsidRPr="00CE3E7B">
        <w:rPr>
          <w:i/>
        </w:rPr>
        <w:t>Productive and effective</w:t>
      </w:r>
    </w:p>
    <w:p w14:paraId="67EBA7E2" w14:textId="77777777" w:rsidR="00905A60" w:rsidRPr="00CE3E7B" w:rsidRDefault="00905A60" w:rsidP="00CE5053">
      <w:pPr>
        <w:numPr>
          <w:ilvl w:val="1"/>
          <w:numId w:val="29"/>
        </w:numPr>
        <w:rPr>
          <w:i/>
        </w:rPr>
      </w:pPr>
      <w:r w:rsidRPr="00CE3E7B">
        <w:rPr>
          <w:i/>
        </w:rPr>
        <w:t>Based on clinical best practice and national guidance</w:t>
      </w:r>
    </w:p>
    <w:p w14:paraId="277A9391" w14:textId="77777777" w:rsidR="00905A60" w:rsidRPr="00CE3E7B" w:rsidRDefault="00905A60" w:rsidP="00CE5053">
      <w:pPr>
        <w:numPr>
          <w:ilvl w:val="1"/>
          <w:numId w:val="29"/>
        </w:numPr>
        <w:rPr>
          <w:i/>
        </w:rPr>
      </w:pPr>
      <w:r w:rsidRPr="00CE3E7B">
        <w:rPr>
          <w:i/>
        </w:rPr>
        <w:t>Focused on reducing unwarranted variation</w:t>
      </w:r>
    </w:p>
    <w:p w14:paraId="7C3BB8EE" w14:textId="77777777" w:rsidR="00905A60" w:rsidRPr="00CE3E7B" w:rsidRDefault="00905A60" w:rsidP="00CE5053">
      <w:pPr>
        <w:numPr>
          <w:ilvl w:val="1"/>
          <w:numId w:val="29"/>
        </w:numPr>
        <w:rPr>
          <w:i/>
        </w:rPr>
      </w:pPr>
      <w:r w:rsidRPr="00CE3E7B">
        <w:rPr>
          <w:i/>
        </w:rPr>
        <w:t>Networking and working in partnership where it is best for patients</w:t>
      </w:r>
    </w:p>
    <w:p w14:paraId="1D7B270A" w14:textId="77777777" w:rsidR="00905A60" w:rsidRPr="00CE3E7B" w:rsidRDefault="00905A60" w:rsidP="00CE5053">
      <w:pPr>
        <w:spacing w:after="0" w:line="240" w:lineRule="auto"/>
      </w:pPr>
    </w:p>
    <w:p w14:paraId="2026EFC3" w14:textId="77777777" w:rsidR="00CE3E7B" w:rsidRPr="00CE3E7B" w:rsidRDefault="00905A60" w:rsidP="00CE5053">
      <w:pPr>
        <w:pStyle w:val="ListParagraph"/>
        <w:numPr>
          <w:ilvl w:val="0"/>
          <w:numId w:val="0"/>
        </w:numPr>
        <w:spacing w:after="240"/>
        <w:ind w:left="737"/>
        <w:contextualSpacing w:val="0"/>
        <w:rPr>
          <w:b/>
        </w:rPr>
      </w:pPr>
      <w:r w:rsidRPr="00CE3E7B">
        <w:rPr>
          <w:b/>
        </w:rPr>
        <w:t>Future requirement</w:t>
      </w:r>
    </w:p>
    <w:p w14:paraId="5D08FB6D" w14:textId="77777777" w:rsidR="00CE3E7B" w:rsidRPr="00CE3E7B" w:rsidRDefault="00905A60" w:rsidP="00CE5053">
      <w:pPr>
        <w:pStyle w:val="ListParagraph"/>
        <w:numPr>
          <w:ilvl w:val="2"/>
          <w:numId w:val="32"/>
        </w:numPr>
        <w:spacing w:after="240"/>
        <w:ind w:left="737" w:hanging="737"/>
        <w:contextualSpacing w:val="0"/>
        <w:rPr>
          <w:b/>
        </w:rPr>
      </w:pPr>
      <w:r w:rsidRPr="00CE3E7B">
        <w:t>The Trust has an opportunity to make better use of its</w:t>
      </w:r>
      <w:r w:rsidR="004E1689">
        <w:t xml:space="preserve"> acute and</w:t>
      </w:r>
      <w:r w:rsidRPr="00CE3E7B">
        <w:t xml:space="preserve"> community estate, to ensure it meets current and future standards for the delivery of modern healthcare and provides a place from which to deliver</w:t>
      </w:r>
      <w:r w:rsidRPr="00AE472A">
        <w:t xml:space="preserve"> services closer to patients’ homes across Lewisham.</w:t>
      </w:r>
    </w:p>
    <w:p w14:paraId="6D123162" w14:textId="77777777" w:rsidR="00CE3E7B" w:rsidRPr="00CE3E7B" w:rsidRDefault="00905A60" w:rsidP="00CE5053">
      <w:pPr>
        <w:pStyle w:val="ListParagraph"/>
        <w:numPr>
          <w:ilvl w:val="2"/>
          <w:numId w:val="32"/>
        </w:numPr>
        <w:spacing w:after="240"/>
        <w:ind w:left="737" w:hanging="737"/>
        <w:contextualSpacing w:val="0"/>
        <w:rPr>
          <w:b/>
        </w:rPr>
      </w:pPr>
      <w:r w:rsidRPr="00AE472A">
        <w:t>The Trust want to be owners of an estate that supports the delivery of high quality, modern healthcare, improving both patient and staff experience, promoting wellbeing not just wellness and which is reflective of the NHS Long term Plan to deliver services closer to home where appropriate.</w:t>
      </w:r>
    </w:p>
    <w:p w14:paraId="6EBF8CE7" w14:textId="77777777" w:rsidR="00CE3E7B" w:rsidRPr="00CE3E7B" w:rsidRDefault="00905A60" w:rsidP="00CE5053">
      <w:pPr>
        <w:pStyle w:val="ListParagraph"/>
        <w:numPr>
          <w:ilvl w:val="2"/>
          <w:numId w:val="32"/>
        </w:numPr>
        <w:spacing w:after="240"/>
        <w:ind w:left="737" w:hanging="737"/>
        <w:contextualSpacing w:val="0"/>
        <w:rPr>
          <w:b/>
        </w:rPr>
      </w:pPr>
      <w:r w:rsidRPr="00AE472A">
        <w:t>The Trust will work collaboratively to ensure a joined up approach to service delivery which is financially and environmentally sustainable. The complexity of some of the commercial issues that may be involved will also necessitate proper resourcing and funding.</w:t>
      </w:r>
    </w:p>
    <w:p w14:paraId="5ECD2A85" w14:textId="77777777" w:rsidR="00905A60" w:rsidRPr="00CE3E7B" w:rsidRDefault="004E1689" w:rsidP="00CE5053">
      <w:pPr>
        <w:pStyle w:val="ListParagraph"/>
        <w:numPr>
          <w:ilvl w:val="2"/>
          <w:numId w:val="32"/>
        </w:numPr>
        <w:spacing w:after="240"/>
        <w:ind w:left="737" w:hanging="737"/>
        <w:contextualSpacing w:val="0"/>
        <w:rPr>
          <w:b/>
        </w:rPr>
      </w:pPr>
      <w:r>
        <w:t xml:space="preserve">The </w:t>
      </w:r>
      <w:r w:rsidR="00905A60" w:rsidRPr="00AE472A">
        <w:t>esta</w:t>
      </w:r>
      <w:r>
        <w:t xml:space="preserve">tes strategy </w:t>
      </w:r>
      <w:r w:rsidR="00905A60" w:rsidRPr="00AE472A">
        <w:t>support</w:t>
      </w:r>
      <w:r>
        <w:t>s the</w:t>
      </w:r>
      <w:r w:rsidR="00905A60" w:rsidRPr="00AE472A">
        <w:t xml:space="preserve"> Trust’s clinical vision and is compatible with other Lewisham plans for the health and care estate.  The Trust expects that investment will be required to modernise, reconfigure and refurbish parts of the Lewisham Hospital site and the various community hubs. </w:t>
      </w:r>
    </w:p>
    <w:p w14:paraId="1A8E341F" w14:textId="77777777" w:rsidR="00905A60" w:rsidRPr="00AE472A" w:rsidRDefault="00905A60" w:rsidP="00CE5053">
      <w:pPr>
        <w:pStyle w:val="Heading3"/>
        <w:numPr>
          <w:ilvl w:val="2"/>
          <w:numId w:val="0"/>
        </w:numPr>
        <w:ind w:left="720"/>
        <w:rPr>
          <w:szCs w:val="22"/>
        </w:rPr>
      </w:pPr>
      <w:bookmarkStart w:id="23" w:name="_Toc56146014"/>
      <w:r w:rsidRPr="00AE472A">
        <w:rPr>
          <w:szCs w:val="22"/>
        </w:rPr>
        <w:t>Specialist provision (Mental Health)</w:t>
      </w:r>
      <w:bookmarkEnd w:id="23"/>
    </w:p>
    <w:p w14:paraId="35E61B04" w14:textId="77777777" w:rsidR="00905A60" w:rsidRPr="00AE472A" w:rsidRDefault="00320821" w:rsidP="00CE5053">
      <w:pPr>
        <w:tabs>
          <w:tab w:val="left" w:pos="720"/>
          <w:tab w:val="left" w:pos="1440"/>
          <w:tab w:val="left" w:pos="2160"/>
          <w:tab w:val="left" w:pos="2713"/>
          <w:tab w:val="left" w:pos="3349"/>
          <w:tab w:val="left" w:pos="5492"/>
        </w:tabs>
        <w:spacing w:before="240" w:after="120"/>
        <w:ind w:left="720"/>
        <w:rPr>
          <w:b/>
        </w:rPr>
      </w:pPr>
      <w:r>
        <w:rPr>
          <w:b/>
        </w:rPr>
        <w:t>Background</w:t>
      </w:r>
    </w:p>
    <w:p w14:paraId="207C4A7B" w14:textId="77777777" w:rsidR="00C57193" w:rsidRDefault="00905A60" w:rsidP="00CE5053">
      <w:pPr>
        <w:pStyle w:val="ListParagraph"/>
        <w:numPr>
          <w:ilvl w:val="2"/>
          <w:numId w:val="32"/>
        </w:numPr>
        <w:spacing w:after="240"/>
        <w:ind w:left="737" w:hanging="737"/>
        <w:contextualSpacing w:val="0"/>
        <w:rPr>
          <w:rFonts w:cs="Arial"/>
          <w:sz w:val="24"/>
          <w:szCs w:val="24"/>
        </w:rPr>
      </w:pPr>
      <w:r w:rsidRPr="00AE472A">
        <w:rPr>
          <w:rFonts w:cs="Arial"/>
          <w:sz w:val="24"/>
          <w:szCs w:val="24"/>
        </w:rPr>
        <w:t>Across Lewisham, excellent opportunities exist to further develop and improve the estate for mental health services. To provide sufficient geographic and population coverage, South London and Maudsley NHS Foundation Trust has proposed three principal mental health sites in Lewisham at Heather Close, Churchdown Domus and Speedwell. These will be standalone mental health centres.   SLAM is also committed to working with primary care and other health and care partners to create four integrated neighbourhood hubs offering a wide range of services including tho</w:t>
      </w:r>
      <w:r w:rsidR="00C57193">
        <w:rPr>
          <w:rFonts w:cs="Arial"/>
          <w:sz w:val="24"/>
          <w:szCs w:val="24"/>
        </w:rPr>
        <w:t>se which support mental health.</w:t>
      </w:r>
    </w:p>
    <w:p w14:paraId="5B9ED405" w14:textId="77777777" w:rsidR="00905A60" w:rsidRPr="00C57193" w:rsidRDefault="00905A60" w:rsidP="00CE5053">
      <w:pPr>
        <w:pStyle w:val="ListParagraph"/>
        <w:numPr>
          <w:ilvl w:val="0"/>
          <w:numId w:val="0"/>
        </w:numPr>
        <w:spacing w:after="240"/>
        <w:ind w:left="737"/>
        <w:contextualSpacing w:val="0"/>
        <w:rPr>
          <w:rFonts w:cs="Arial"/>
          <w:sz w:val="24"/>
          <w:szCs w:val="24"/>
        </w:rPr>
      </w:pPr>
      <w:r w:rsidRPr="00C57193">
        <w:rPr>
          <w:b/>
        </w:rPr>
        <w:t>Current situation</w:t>
      </w:r>
    </w:p>
    <w:p w14:paraId="09AFF0DB" w14:textId="77777777" w:rsidR="00C57193" w:rsidRDefault="00905A60" w:rsidP="00CE5053">
      <w:pPr>
        <w:pStyle w:val="ListParagraph"/>
        <w:numPr>
          <w:ilvl w:val="2"/>
          <w:numId w:val="32"/>
        </w:numPr>
        <w:spacing w:after="240"/>
        <w:ind w:left="737" w:hanging="737"/>
        <w:contextualSpacing w:val="0"/>
        <w:rPr>
          <w:rFonts w:cs="Arial"/>
          <w:sz w:val="24"/>
          <w:szCs w:val="24"/>
        </w:rPr>
      </w:pPr>
      <w:r w:rsidRPr="00AE472A">
        <w:rPr>
          <w:rFonts w:cs="Arial"/>
          <w:sz w:val="24"/>
          <w:szCs w:val="24"/>
        </w:rPr>
        <w:t>A significant proportion (81%) of the SLAM estate is over 40 years old and the majority (67%) is less than 500sqm in size. Properties built longer than 40 years ago are considered functionally unsuitable. Invest</w:t>
      </w:r>
      <w:r w:rsidR="00C57193">
        <w:rPr>
          <w:rFonts w:cs="Arial"/>
          <w:sz w:val="24"/>
          <w:szCs w:val="24"/>
        </w:rPr>
        <w:t>ment in the estate is required.</w:t>
      </w:r>
    </w:p>
    <w:p w14:paraId="672972B8" w14:textId="77777777" w:rsidR="00C57193" w:rsidRPr="00C57193" w:rsidRDefault="00905A60" w:rsidP="00CE5053">
      <w:pPr>
        <w:pStyle w:val="ListParagraph"/>
        <w:numPr>
          <w:ilvl w:val="0"/>
          <w:numId w:val="0"/>
        </w:numPr>
        <w:spacing w:after="240"/>
        <w:ind w:left="737"/>
        <w:contextualSpacing w:val="0"/>
        <w:rPr>
          <w:rFonts w:cs="Arial"/>
          <w:sz w:val="24"/>
          <w:szCs w:val="24"/>
        </w:rPr>
      </w:pPr>
      <w:r w:rsidRPr="00C57193">
        <w:rPr>
          <w:b/>
        </w:rPr>
        <w:t>Future requirement</w:t>
      </w:r>
    </w:p>
    <w:p w14:paraId="47643A30" w14:textId="77777777" w:rsidR="00C57193" w:rsidRDefault="00905A60" w:rsidP="00CE5053">
      <w:pPr>
        <w:pStyle w:val="ListParagraph"/>
        <w:numPr>
          <w:ilvl w:val="2"/>
          <w:numId w:val="32"/>
        </w:numPr>
        <w:spacing w:after="240"/>
        <w:ind w:left="737" w:hanging="737"/>
        <w:contextualSpacing w:val="0"/>
        <w:rPr>
          <w:rFonts w:cs="Arial"/>
          <w:sz w:val="24"/>
          <w:szCs w:val="24"/>
        </w:rPr>
      </w:pPr>
      <w:r w:rsidRPr="00C57193">
        <w:rPr>
          <w:rFonts w:cs="Arial"/>
          <w:sz w:val="24"/>
          <w:szCs w:val="24"/>
        </w:rPr>
        <w:lastRenderedPageBreak/>
        <w:t>Lewisham has a large number of sites (24 in total) from which mental health services are delivered, including single use sites.  This offers a significant oppo</w:t>
      </w:r>
      <w:r w:rsidR="00C57193">
        <w:rPr>
          <w:rFonts w:cs="Arial"/>
          <w:sz w:val="24"/>
          <w:szCs w:val="24"/>
        </w:rPr>
        <w:t>rtunity for site consolidation.</w:t>
      </w:r>
    </w:p>
    <w:p w14:paraId="15B5DFB7" w14:textId="77777777" w:rsidR="00C57193" w:rsidRDefault="00905A60" w:rsidP="00CE5053">
      <w:pPr>
        <w:pStyle w:val="ListParagraph"/>
        <w:numPr>
          <w:ilvl w:val="2"/>
          <w:numId w:val="32"/>
        </w:numPr>
        <w:spacing w:after="240"/>
        <w:ind w:left="737" w:hanging="737"/>
        <w:contextualSpacing w:val="0"/>
        <w:rPr>
          <w:rFonts w:cs="Arial"/>
          <w:sz w:val="24"/>
          <w:szCs w:val="24"/>
        </w:rPr>
      </w:pPr>
      <w:r w:rsidRPr="00C57193">
        <w:rPr>
          <w:rFonts w:cs="Arial"/>
          <w:sz w:val="24"/>
          <w:szCs w:val="24"/>
        </w:rPr>
        <w:t>SLaM will continue to explore the investment required for standalone mental health centres, integrated hubs, step down facil</w:t>
      </w:r>
      <w:r w:rsidR="00C57193">
        <w:rPr>
          <w:rFonts w:cs="Arial"/>
          <w:sz w:val="24"/>
          <w:szCs w:val="24"/>
        </w:rPr>
        <w:t>ities and inpatient provision.</w:t>
      </w:r>
    </w:p>
    <w:p w14:paraId="544ECC41" w14:textId="77777777" w:rsidR="00905A60" w:rsidRPr="00C57193" w:rsidRDefault="00905A60" w:rsidP="00CE5053">
      <w:pPr>
        <w:pStyle w:val="ListParagraph"/>
        <w:numPr>
          <w:ilvl w:val="2"/>
          <w:numId w:val="32"/>
        </w:numPr>
        <w:spacing w:after="240"/>
        <w:ind w:left="737" w:hanging="737"/>
        <w:contextualSpacing w:val="0"/>
        <w:rPr>
          <w:rFonts w:cs="Arial"/>
          <w:sz w:val="24"/>
          <w:szCs w:val="24"/>
        </w:rPr>
      </w:pPr>
      <w:r w:rsidRPr="00C57193">
        <w:rPr>
          <w:rFonts w:cs="Arial"/>
          <w:sz w:val="24"/>
          <w:szCs w:val="24"/>
        </w:rPr>
        <w:t>Over a 10 year timescale, the intention is to reduce the number of sites and maximise the opportunities to share use of the NHS/public realm estates within the borough.</w:t>
      </w:r>
    </w:p>
    <w:p w14:paraId="5932DC6B" w14:textId="77777777" w:rsidR="00905A60" w:rsidRPr="00AE472A" w:rsidRDefault="00905A60" w:rsidP="00CE5053">
      <w:pPr>
        <w:pStyle w:val="Heading3"/>
        <w:numPr>
          <w:ilvl w:val="2"/>
          <w:numId w:val="0"/>
        </w:numPr>
        <w:ind w:left="720"/>
        <w:rPr>
          <w:szCs w:val="22"/>
        </w:rPr>
      </w:pPr>
      <w:bookmarkStart w:id="24" w:name="_Toc56146015"/>
      <w:r w:rsidRPr="00AE472A">
        <w:rPr>
          <w:szCs w:val="22"/>
        </w:rPr>
        <w:t>Integrated models of care</w:t>
      </w:r>
      <w:bookmarkEnd w:id="21"/>
      <w:bookmarkEnd w:id="24"/>
    </w:p>
    <w:p w14:paraId="66EF5347" w14:textId="77777777" w:rsidR="00905A60" w:rsidRPr="00AE472A" w:rsidRDefault="00905A60" w:rsidP="00CE5053">
      <w:pPr>
        <w:tabs>
          <w:tab w:val="left" w:pos="720"/>
          <w:tab w:val="left" w:pos="1440"/>
          <w:tab w:val="left" w:pos="2160"/>
          <w:tab w:val="left" w:pos="2713"/>
          <w:tab w:val="left" w:pos="3349"/>
          <w:tab w:val="left" w:pos="5492"/>
        </w:tabs>
        <w:spacing w:before="240" w:after="120"/>
        <w:ind w:left="720"/>
        <w:rPr>
          <w:b/>
        </w:rPr>
      </w:pPr>
      <w:r w:rsidRPr="00AE472A">
        <w:rPr>
          <w:b/>
        </w:rPr>
        <w:t xml:space="preserve">Background </w:t>
      </w:r>
    </w:p>
    <w:p w14:paraId="6DB108C1" w14:textId="77777777" w:rsidR="00C57193" w:rsidRDefault="00905A60" w:rsidP="00CE5053">
      <w:pPr>
        <w:pStyle w:val="ListParagraph"/>
        <w:numPr>
          <w:ilvl w:val="2"/>
          <w:numId w:val="32"/>
        </w:numPr>
        <w:spacing w:after="240"/>
        <w:ind w:left="737" w:hanging="737"/>
        <w:contextualSpacing w:val="0"/>
      </w:pPr>
      <w:r w:rsidRPr="00C57193">
        <w:rPr>
          <w:rFonts w:cs="Arial"/>
          <w:sz w:val="24"/>
          <w:szCs w:val="24"/>
        </w:rPr>
        <w:t>Lewisham</w:t>
      </w:r>
      <w:r w:rsidRPr="00AE472A">
        <w:t xml:space="preserve"> Health and Care Partners have set out their vision and expectations for the future development and delivery of community based care.  This is compatible with the vision described in the NHS Long Term Plan.</w:t>
      </w:r>
    </w:p>
    <w:p w14:paraId="796F61B1" w14:textId="77777777" w:rsidR="00905A60" w:rsidRPr="00C57193" w:rsidRDefault="00905A60" w:rsidP="00CE5053">
      <w:pPr>
        <w:pStyle w:val="ListParagraph"/>
        <w:numPr>
          <w:ilvl w:val="2"/>
          <w:numId w:val="32"/>
        </w:numPr>
        <w:spacing w:after="240"/>
        <w:ind w:left="737" w:hanging="737"/>
        <w:contextualSpacing w:val="0"/>
      </w:pPr>
      <w:r w:rsidRPr="00AE472A">
        <w:t>The key elements of Lewisham Health and Care Partners’ vision for community based care are:</w:t>
      </w:r>
    </w:p>
    <w:p w14:paraId="3B584C86" w14:textId="77777777" w:rsidR="00905A60" w:rsidRPr="00AE472A" w:rsidRDefault="00905A60" w:rsidP="00CE5053">
      <w:pPr>
        <w:pStyle w:val="ListParagraph"/>
        <w:numPr>
          <w:ilvl w:val="0"/>
          <w:numId w:val="30"/>
        </w:numPr>
      </w:pPr>
      <w:r w:rsidRPr="00AE472A">
        <w:t>Population based, meeting the health and care needs of the whole population not just part of it</w:t>
      </w:r>
    </w:p>
    <w:p w14:paraId="7809AE86" w14:textId="77777777" w:rsidR="00905A60" w:rsidRPr="00AE472A" w:rsidRDefault="00905A60" w:rsidP="00CE5053">
      <w:pPr>
        <w:pStyle w:val="ListParagraph"/>
        <w:numPr>
          <w:ilvl w:val="0"/>
          <w:numId w:val="30"/>
        </w:numPr>
      </w:pPr>
      <w:r w:rsidRPr="00AE472A">
        <w:t xml:space="preserve">Expanding and strengthening primary and community care, providing most care at home or near to people’s homes.  </w:t>
      </w:r>
    </w:p>
    <w:p w14:paraId="7AF5A21F" w14:textId="77777777" w:rsidR="00905A60" w:rsidRPr="00AE472A" w:rsidRDefault="00905A60" w:rsidP="00CE5053">
      <w:pPr>
        <w:pStyle w:val="ListParagraph"/>
        <w:numPr>
          <w:ilvl w:val="0"/>
          <w:numId w:val="30"/>
        </w:numPr>
      </w:pPr>
      <w:r w:rsidRPr="00AE472A">
        <w:t xml:space="preserve">Promoting health and wellbeing, providing easy access to information and advice and support, activities and opportunities. </w:t>
      </w:r>
    </w:p>
    <w:p w14:paraId="22AB062C" w14:textId="77777777" w:rsidR="00905A60" w:rsidRPr="00AE472A" w:rsidRDefault="00905A60" w:rsidP="00CE5053">
      <w:pPr>
        <w:pStyle w:val="ListParagraph"/>
        <w:numPr>
          <w:ilvl w:val="0"/>
          <w:numId w:val="30"/>
        </w:numPr>
      </w:pPr>
      <w:r w:rsidRPr="00AE472A">
        <w:t>Providing a co-ordinated response to the specific needs of the individual.</w:t>
      </w:r>
    </w:p>
    <w:p w14:paraId="7C3B4503" w14:textId="77777777" w:rsidR="00905A60" w:rsidRPr="00AE472A" w:rsidRDefault="00905A60" w:rsidP="00CE5053">
      <w:pPr>
        <w:pStyle w:val="ListParagraph"/>
        <w:numPr>
          <w:ilvl w:val="0"/>
          <w:numId w:val="30"/>
        </w:numPr>
      </w:pPr>
      <w:r w:rsidRPr="00AE472A">
        <w:t>Providing a holistic and personalised care which addresses a person’s physical, mental and social care need and provides integrated care</w:t>
      </w:r>
    </w:p>
    <w:p w14:paraId="530FD833" w14:textId="77777777" w:rsidR="00905A60" w:rsidRPr="00AE472A" w:rsidRDefault="00905A60" w:rsidP="00CE5053">
      <w:pPr>
        <w:pStyle w:val="ListParagraph"/>
        <w:numPr>
          <w:ilvl w:val="0"/>
          <w:numId w:val="30"/>
        </w:numPr>
      </w:pPr>
      <w:r w:rsidRPr="00AE472A">
        <w:t>Working in partnership with patients, service users, carers and wider communities – involving them in the design and development of services and pathways, listening to their experiences and seeking their feedback at an early stage.</w:t>
      </w:r>
    </w:p>
    <w:p w14:paraId="47BB5194" w14:textId="77777777" w:rsidR="00905A60" w:rsidRPr="00AE472A" w:rsidRDefault="00905A60" w:rsidP="00CE5053">
      <w:pPr>
        <w:pStyle w:val="ListParagraph"/>
        <w:numPr>
          <w:ilvl w:val="0"/>
          <w:numId w:val="30"/>
        </w:numPr>
      </w:pPr>
      <w:r w:rsidRPr="00AE472A">
        <w:t>Evidence based and outcome focused – using the evidence available across health, social care and public health, taking account of patient and user experience, to identify and adopt best practice, develop new ways of working, and identify and address in equalities.</w:t>
      </w:r>
    </w:p>
    <w:p w14:paraId="4F904CB7" w14:textId="77777777" w:rsidR="00905A60" w:rsidRPr="00AE472A" w:rsidRDefault="00905A60" w:rsidP="00CE5053">
      <w:pPr>
        <w:pStyle w:val="ListParagraph"/>
        <w:numPr>
          <w:ilvl w:val="0"/>
          <w:numId w:val="0"/>
        </w:numPr>
        <w:ind w:left="1440"/>
      </w:pPr>
    </w:p>
    <w:p w14:paraId="76E1813F" w14:textId="77777777" w:rsidR="00C57193" w:rsidRPr="00C57193" w:rsidRDefault="00905A60" w:rsidP="00CE5053">
      <w:pPr>
        <w:pStyle w:val="ListParagraph"/>
        <w:numPr>
          <w:ilvl w:val="0"/>
          <w:numId w:val="0"/>
        </w:numPr>
        <w:spacing w:after="240"/>
        <w:ind w:left="737"/>
        <w:contextualSpacing w:val="0"/>
      </w:pPr>
      <w:r w:rsidRPr="00AE472A">
        <w:rPr>
          <w:b/>
        </w:rPr>
        <w:t>Future requirement</w:t>
      </w:r>
    </w:p>
    <w:p w14:paraId="0AD2A8DB" w14:textId="77777777" w:rsidR="00C57193" w:rsidRDefault="00905A60" w:rsidP="00CE5053">
      <w:pPr>
        <w:pStyle w:val="ListParagraph"/>
        <w:numPr>
          <w:ilvl w:val="2"/>
          <w:numId w:val="32"/>
        </w:numPr>
        <w:spacing w:after="240"/>
        <w:ind w:left="737" w:hanging="737"/>
        <w:contextualSpacing w:val="0"/>
      </w:pPr>
      <w:r w:rsidRPr="00AE472A">
        <w:t xml:space="preserve">Currently, </w:t>
      </w:r>
      <w:r w:rsidRPr="00C57193">
        <w:rPr>
          <w:rFonts w:cs="Arial"/>
        </w:rPr>
        <w:t xml:space="preserve">a range of health and care services are organised on a neighbourhood footprint in the following geographical areas: (1) North Lewisham (2) Central Lewisham (3) South East Lewisham and (4) South West Lewisham. </w:t>
      </w:r>
      <w:r w:rsidRPr="00AE472A">
        <w:t>The six Primary Care Networks broadly align with the four neighbourhoods and both will continue to focus on delivery of community based care at a</w:t>
      </w:r>
      <w:r w:rsidR="00C57193">
        <w:t xml:space="preserve"> local level.</w:t>
      </w:r>
    </w:p>
    <w:p w14:paraId="0D5E97A6" w14:textId="77777777" w:rsidR="00C57193" w:rsidRDefault="00905A60" w:rsidP="00CE5053">
      <w:pPr>
        <w:pStyle w:val="ListParagraph"/>
        <w:numPr>
          <w:ilvl w:val="2"/>
          <w:numId w:val="32"/>
        </w:numPr>
        <w:spacing w:after="240"/>
        <w:ind w:left="737" w:hanging="737"/>
        <w:contextualSpacing w:val="0"/>
      </w:pPr>
      <w:r w:rsidRPr="00AE472A">
        <w:t xml:space="preserve">The CCG’s Local Estate Strategy in 2016 indicated that as the local population continues to </w:t>
      </w:r>
      <w:r w:rsidRPr="00AE472A">
        <w:rPr>
          <w:noProof/>
        </w:rPr>
        <w:t>grow</w:t>
      </w:r>
      <w:r w:rsidRPr="00AE472A">
        <w:t xml:space="preserve">, demand for health and care services will increase in many parts of the borough, in particular within the N1 and N2 neighbourhood areas. To meet the increasing demand for services and to support better multi-agency working as well as delivering more integrated </w:t>
      </w:r>
      <w:r w:rsidRPr="00AE472A">
        <w:lastRenderedPageBreak/>
        <w:t>models of care, the strategy pointed to a need for LHCP partners to utilise existing estates more intensively, with mergers, relocation and co-location of services encouraged where appropriate.  This sat alongside the need for GP practices to support more flexible working arrangements and to embrace new technologies.</w:t>
      </w:r>
    </w:p>
    <w:p w14:paraId="47CA9FD6" w14:textId="77777777" w:rsidR="00C57193" w:rsidRDefault="00905A60" w:rsidP="00CE5053">
      <w:pPr>
        <w:pStyle w:val="ListParagraph"/>
        <w:numPr>
          <w:ilvl w:val="2"/>
          <w:numId w:val="32"/>
        </w:numPr>
        <w:spacing w:after="240"/>
        <w:ind w:left="737" w:hanging="737"/>
        <w:contextualSpacing w:val="0"/>
      </w:pPr>
      <w:r>
        <w:t xml:space="preserve">The 2018 refresh of the estates strategy highlighted the joint vision for </w:t>
      </w:r>
      <w:r w:rsidRPr="7839D2B6">
        <w:rPr>
          <w:noProof/>
        </w:rPr>
        <w:t>community-based</w:t>
      </w:r>
      <w:r>
        <w:t xml:space="preserve"> care that had been agreed by LHCP.  The LHCP’s Estates Steering Group is now working with relevant partners to consider the estate requirement to deliver that vision. To support this the LHCP have stated their intention to develop four neighbourhood care hubs which will be strategically placed to support a wide range of community-based health and care services, as well as providing flexible and adaptable spaces to support health and  </w:t>
      </w:r>
      <w:r w:rsidR="11FF61E9">
        <w:t>wellbeing</w:t>
      </w:r>
      <w:r>
        <w:t xml:space="preserve"> within each neighbourhood areas.  The four main hub facilities will also be supported by other sites providing complementary primary care and community care services.</w:t>
      </w:r>
    </w:p>
    <w:p w14:paraId="461D0B0E" w14:textId="77777777" w:rsidR="00C57193" w:rsidRDefault="00905A60" w:rsidP="00CE5053">
      <w:pPr>
        <w:pStyle w:val="ListParagraph"/>
        <w:numPr>
          <w:ilvl w:val="2"/>
          <w:numId w:val="32"/>
        </w:numPr>
        <w:spacing w:after="240"/>
        <w:ind w:left="737" w:hanging="737"/>
        <w:contextualSpacing w:val="0"/>
      </w:pPr>
      <w:r w:rsidRPr="00AE472A">
        <w:t>At the time of writing, two site locations for the main hub facilities have been identified as follows: for N1 (Waldron Health Centre) and N3 (Downham Health &amp; Wellbeing Centre) areas. For the N2 hub, potential locations include include land at University Hospital Lewisham, while Sydenham Green Health Centre is being considered as a potential site location for the N4 hub.  Given the number of partners involved and the development of o</w:t>
      </w:r>
      <w:r w:rsidR="00C57193">
        <w:t>ther health and care strategies</w:t>
      </w:r>
      <w:r w:rsidRPr="00AE472A">
        <w:t>, these options will be kept under review.</w:t>
      </w:r>
    </w:p>
    <w:p w14:paraId="65EE653D" w14:textId="77777777" w:rsidR="00C57193" w:rsidRDefault="00905A60" w:rsidP="00CE5053">
      <w:pPr>
        <w:pStyle w:val="ListParagraph"/>
        <w:numPr>
          <w:ilvl w:val="2"/>
          <w:numId w:val="32"/>
        </w:numPr>
        <w:spacing w:after="240"/>
        <w:ind w:left="737" w:hanging="737"/>
        <w:contextualSpacing w:val="0"/>
      </w:pPr>
      <w:r w:rsidRPr="00AE472A">
        <w:t>To support current health and care estate development, a number of potential funding sources have already been made available to various Lewisham projects, including NHS England’s Estate &amp; Technology Transformation Fund (ETTF), Department of Health Wave 4 fund, various NHS improvement grants, capital investment by partners, One Public Estate funding and funding contributions from CIL and S106.  Further funding will be required as progress is made on estate development in Lewisham.</w:t>
      </w:r>
    </w:p>
    <w:p w14:paraId="21C9E385" w14:textId="77777777" w:rsidR="00AB5E74" w:rsidRDefault="00905A60" w:rsidP="00CE5053">
      <w:pPr>
        <w:pStyle w:val="ListParagraph"/>
        <w:numPr>
          <w:ilvl w:val="2"/>
          <w:numId w:val="32"/>
        </w:numPr>
        <w:spacing w:after="240"/>
        <w:ind w:left="737" w:hanging="737"/>
        <w:contextualSpacing w:val="0"/>
      </w:pPr>
      <w:r>
        <w:t>The GLA population projections show substantial growth in parts of the borough, and these areas are likely to require significant increase in the capacity of the health infrastructure, either through expansion of existing buildings,  upgrading of space to provide more efficient floorspace or where this is</w:t>
      </w:r>
      <w:r w:rsidR="0A6313B2">
        <w:t xml:space="preserve"> </w:t>
      </w:r>
      <w:r>
        <w:t>n</w:t>
      </w:r>
      <w:r w:rsidR="58022E12">
        <w:t>o</w:t>
      </w:r>
      <w:r>
        <w:t>t possible</w:t>
      </w:r>
      <w:r w:rsidR="19F978F3">
        <w:t>;</w:t>
      </w:r>
      <w:r>
        <w:t xml:space="preserve"> new facilities. The NHS London Healthy Urban Development Unit’s Planning Obligations Model (HUDU Model) has been used to calculate the additional requirement arising from the increased population. This does not include changes required to support the increase in complex and long term conditions arising from an ageing population, or the impacts of responding to Covid-19.</w:t>
      </w:r>
    </w:p>
    <w:p w14:paraId="06971CD3" w14:textId="77777777" w:rsidR="009C6068" w:rsidRDefault="009C6068" w:rsidP="00CE5053">
      <w:pPr>
        <w:pStyle w:val="ListParagraph"/>
        <w:numPr>
          <w:ilvl w:val="0"/>
          <w:numId w:val="0"/>
        </w:numPr>
        <w:spacing w:after="240"/>
        <w:ind w:left="737"/>
        <w:contextualSpacing w:val="0"/>
      </w:pPr>
    </w:p>
    <w:p w14:paraId="2A1F701D" w14:textId="77777777" w:rsidR="005A1A40" w:rsidRDefault="005A1A40" w:rsidP="00CE5053">
      <w:pPr>
        <w:pStyle w:val="ListParagraph"/>
        <w:numPr>
          <w:ilvl w:val="0"/>
          <w:numId w:val="0"/>
        </w:numPr>
        <w:spacing w:after="240"/>
        <w:ind w:left="737"/>
        <w:contextualSpacing w:val="0"/>
        <w:sectPr w:rsidR="005A1A40" w:rsidSect="00C7493A">
          <w:pgSz w:w="11907" w:h="16839" w:code="9"/>
          <w:pgMar w:top="1440" w:right="1080" w:bottom="1440" w:left="1080" w:header="708" w:footer="708" w:gutter="0"/>
          <w:pgBorders w:offsetFrom="page">
            <w:top w:val="single" w:sz="4" w:space="24" w:color="FFFFFF" w:themeColor="background1"/>
            <w:bottom w:val="single" w:sz="4" w:space="24" w:color="FFFFFF" w:themeColor="background1"/>
          </w:pgBorders>
          <w:cols w:space="708"/>
          <w:docGrid w:linePitch="360"/>
        </w:sectPr>
      </w:pPr>
    </w:p>
    <w:p w14:paraId="2C82D379" w14:textId="77777777" w:rsidR="009C6068" w:rsidRDefault="00AB1349" w:rsidP="00CE5053">
      <w:pPr>
        <w:pStyle w:val="Heading3"/>
      </w:pPr>
      <w:bookmarkStart w:id="25" w:name="_Toc56146016"/>
      <w:r>
        <w:lastRenderedPageBreak/>
        <w:t xml:space="preserve">Strategic infrastructure </w:t>
      </w:r>
      <w:r w:rsidRPr="002D28DF">
        <w:t xml:space="preserve">list for </w:t>
      </w:r>
      <w:r>
        <w:t>health and care</w:t>
      </w:r>
      <w:r w:rsidRPr="002D28DF">
        <w:t xml:space="preserve"> facilities</w:t>
      </w:r>
      <w:bookmarkEnd w:id="25"/>
    </w:p>
    <w:tbl>
      <w:tblPr>
        <w:tblStyle w:val="ListTable3-Accent320"/>
        <w:tblW w:w="4774" w:type="pct"/>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Strategic infrastructure list for and care facilities"/>
      </w:tblPr>
      <w:tblGrid>
        <w:gridCol w:w="1511"/>
        <w:gridCol w:w="1132"/>
        <w:gridCol w:w="3829"/>
        <w:gridCol w:w="1556"/>
        <w:gridCol w:w="568"/>
        <w:gridCol w:w="549"/>
        <w:gridCol w:w="13"/>
        <w:gridCol w:w="562"/>
        <w:gridCol w:w="11"/>
        <w:gridCol w:w="554"/>
        <w:gridCol w:w="762"/>
        <w:gridCol w:w="666"/>
        <w:gridCol w:w="669"/>
        <w:gridCol w:w="941"/>
      </w:tblGrid>
      <w:tr w:rsidR="005A1A40" w:rsidRPr="004400BC" w14:paraId="50E3C506"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333399"/>
          </w:tcPr>
          <w:p w14:paraId="2B06E37A" w14:textId="77777777" w:rsidR="005A1A40" w:rsidRPr="004400BC" w:rsidRDefault="005A1A40" w:rsidP="00CE5053">
            <w:pPr>
              <w:spacing w:before="40" w:after="40"/>
              <w:rPr>
                <w:b w:val="0"/>
                <w:bCs w:val="0"/>
                <w:sz w:val="16"/>
                <w:szCs w:val="16"/>
              </w:rPr>
            </w:pPr>
            <w:r>
              <w:rPr>
                <w:sz w:val="16"/>
                <w:szCs w:val="16"/>
              </w:rPr>
              <w:t>Planned provision</w:t>
            </w:r>
          </w:p>
        </w:tc>
        <w:tc>
          <w:tcPr>
            <w:tcW w:w="425"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333399"/>
          </w:tcPr>
          <w:p w14:paraId="1F51933C" w14:textId="77777777" w:rsidR="005A1A40" w:rsidRPr="004400BC"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r w:rsidRPr="004400BC">
              <w:rPr>
                <w:sz w:val="16"/>
                <w:szCs w:val="16"/>
              </w:rPr>
              <w:t>Proposed location</w:t>
            </w:r>
          </w:p>
        </w:tc>
        <w:tc>
          <w:tcPr>
            <w:tcW w:w="143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333399"/>
          </w:tcPr>
          <w:p w14:paraId="5439AC4C" w14:textId="77777777" w:rsidR="005A1A40" w:rsidRPr="004400BC"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r w:rsidRPr="004400BC">
              <w:rPr>
                <w:bCs w:val="0"/>
                <w:sz w:val="16"/>
                <w:szCs w:val="16"/>
              </w:rPr>
              <w:t xml:space="preserve">Description of </w:t>
            </w:r>
            <w:r w:rsidRPr="004400BC">
              <w:rPr>
                <w:bCs w:val="0"/>
                <w:noProof/>
                <w:sz w:val="16"/>
                <w:szCs w:val="16"/>
              </w:rPr>
              <w:t>project/proposal</w:t>
            </w:r>
          </w:p>
        </w:tc>
        <w:tc>
          <w:tcPr>
            <w:tcW w:w="58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333399"/>
          </w:tcPr>
          <w:p w14:paraId="633FCCE2" w14:textId="77777777" w:rsidR="005A1A40" w:rsidRPr="004400BC"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r w:rsidRPr="004400BC">
              <w:rPr>
                <w:bCs w:val="0"/>
                <w:sz w:val="16"/>
                <w:szCs w:val="16"/>
              </w:rPr>
              <w:t>Project lead (and delivery partners)</w:t>
            </w:r>
          </w:p>
        </w:tc>
        <w:tc>
          <w:tcPr>
            <w:tcW w:w="845"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tcPr>
          <w:p w14:paraId="32646819" w14:textId="77777777" w:rsidR="005A1A40" w:rsidRPr="004400BC"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r w:rsidRPr="004400BC">
              <w:rPr>
                <w:sz w:val="16"/>
                <w:szCs w:val="16"/>
              </w:rPr>
              <w:t>Indicative timescale</w:t>
            </w:r>
          </w:p>
        </w:tc>
        <w:tc>
          <w:tcPr>
            <w:tcW w:w="286"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333399"/>
          </w:tcPr>
          <w:p w14:paraId="2BF3EC97" w14:textId="77777777" w:rsidR="005A1A40"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Total cost (indicative)</w:t>
            </w:r>
          </w:p>
        </w:tc>
        <w:tc>
          <w:tcPr>
            <w:tcW w:w="250"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333399"/>
          </w:tcPr>
          <w:p w14:paraId="5731B330" w14:textId="77777777" w:rsidR="005A1A40"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Total funding available</w:t>
            </w:r>
          </w:p>
        </w:tc>
        <w:tc>
          <w:tcPr>
            <w:tcW w:w="251"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333399"/>
          </w:tcPr>
          <w:p w14:paraId="60C4F662" w14:textId="77777777" w:rsidR="005A1A40" w:rsidRPr="00B83F7C"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sz w:val="16"/>
                <w:szCs w:val="16"/>
              </w:rPr>
            </w:pPr>
            <w:r>
              <w:rPr>
                <w:sz w:val="16"/>
                <w:szCs w:val="16"/>
              </w:rPr>
              <w:t>F</w:t>
            </w:r>
            <w:r w:rsidRPr="004400BC">
              <w:rPr>
                <w:sz w:val="16"/>
                <w:szCs w:val="16"/>
              </w:rPr>
              <w:t>unding gap</w:t>
            </w:r>
          </w:p>
        </w:tc>
        <w:tc>
          <w:tcPr>
            <w:tcW w:w="355" w:type="pct"/>
            <w:vMerge w:val="restart"/>
            <w:tcBorders>
              <w:top w:val="single" w:sz="4" w:space="0" w:color="FFFFFF" w:themeColor="background1"/>
              <w:left w:val="single" w:sz="4" w:space="0" w:color="FFFFFF" w:themeColor="background1"/>
              <w:right w:val="nil"/>
            </w:tcBorders>
            <w:shd w:val="clear" w:color="auto" w:fill="333399"/>
          </w:tcPr>
          <w:p w14:paraId="6AD6B8CD" w14:textId="77777777" w:rsidR="005A1A40"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Prioritisation</w:t>
            </w:r>
          </w:p>
          <w:p w14:paraId="3602DEF4" w14:textId="77777777" w:rsidR="005A1A40"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(3) Critical</w:t>
            </w:r>
          </w:p>
          <w:p w14:paraId="20C23EB5" w14:textId="77777777" w:rsidR="005A1A40"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 Essential</w:t>
            </w:r>
          </w:p>
          <w:p w14:paraId="7609DEE6" w14:textId="77777777" w:rsidR="005A1A40"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(1) Important</w:t>
            </w:r>
          </w:p>
        </w:tc>
      </w:tr>
      <w:tr w:rsidR="00CD1374" w:rsidRPr="004400BC" w14:paraId="4A5C2FDA"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03EFCA41" w14:textId="77777777" w:rsidR="005A1A40" w:rsidRDefault="005A1A40" w:rsidP="00CE5053">
            <w:pPr>
              <w:spacing w:before="40" w:after="40"/>
              <w:rPr>
                <w:sz w:val="16"/>
                <w:szCs w:val="16"/>
              </w:rPr>
            </w:pPr>
          </w:p>
        </w:tc>
        <w:tc>
          <w:tcPr>
            <w:tcW w:w="425"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5F96A722" w14:textId="77777777" w:rsidR="005A1A40" w:rsidRPr="004400BC"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143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5B95CD12" w14:textId="77777777" w:rsidR="005A1A40" w:rsidRPr="004400BC"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p>
        </w:tc>
        <w:tc>
          <w:tcPr>
            <w:tcW w:w="584"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5220BBB2" w14:textId="77777777" w:rsidR="005A1A40" w:rsidRPr="004400BC"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p>
        </w:tc>
        <w:tc>
          <w:tcPr>
            <w:tcW w:w="2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tcPr>
          <w:p w14:paraId="179F9473" w14:textId="77777777" w:rsidR="005A1A40" w:rsidRPr="00B0774F"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4"/>
                <w:szCs w:val="16"/>
              </w:rPr>
            </w:pPr>
            <w:r w:rsidRPr="00B0774F">
              <w:rPr>
                <w:sz w:val="14"/>
                <w:szCs w:val="16"/>
              </w:rPr>
              <w:t>2020/25</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tcPr>
          <w:p w14:paraId="007A73AB" w14:textId="77777777" w:rsidR="005A1A40" w:rsidRPr="00B0774F"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4"/>
                <w:szCs w:val="16"/>
              </w:rPr>
            </w:pPr>
            <w:r w:rsidRPr="00B0774F">
              <w:rPr>
                <w:sz w:val="14"/>
                <w:szCs w:val="16"/>
              </w:rPr>
              <w:t>2025/30</w:t>
            </w:r>
          </w:p>
        </w:tc>
        <w:tc>
          <w:tcPr>
            <w:tcW w:w="22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tcPr>
          <w:p w14:paraId="7D43A085" w14:textId="77777777" w:rsidR="005A1A40" w:rsidRPr="00B0774F"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4"/>
                <w:szCs w:val="16"/>
              </w:rPr>
            </w:pPr>
            <w:r w:rsidRPr="00B0774F">
              <w:rPr>
                <w:sz w:val="14"/>
                <w:szCs w:val="16"/>
              </w:rPr>
              <w:t>2030/35</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33399"/>
          </w:tcPr>
          <w:p w14:paraId="5FA91555" w14:textId="77777777" w:rsidR="005A1A40" w:rsidRPr="00B0774F"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4"/>
                <w:szCs w:val="16"/>
              </w:rPr>
            </w:pPr>
            <w:r w:rsidRPr="00B0774F">
              <w:rPr>
                <w:sz w:val="14"/>
                <w:szCs w:val="16"/>
              </w:rPr>
              <w:t>2035/40</w:t>
            </w:r>
          </w:p>
        </w:tc>
        <w:tc>
          <w:tcPr>
            <w:tcW w:w="286"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13CB595B" w14:textId="77777777" w:rsidR="005A1A40"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250"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6D9C8D39" w14:textId="77777777" w:rsidR="005A1A40"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251"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675E05EE" w14:textId="77777777" w:rsidR="005A1A40"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355" w:type="pct"/>
            <w:vMerge/>
            <w:tcBorders>
              <w:left w:val="single" w:sz="4" w:space="0" w:color="FFFFFF" w:themeColor="background1"/>
              <w:bottom w:val="single" w:sz="4" w:space="0" w:color="FFFFFF" w:themeColor="background1"/>
              <w:right w:val="nil"/>
            </w:tcBorders>
            <w:shd w:val="clear" w:color="auto" w:fill="333399"/>
          </w:tcPr>
          <w:p w14:paraId="2FC17F8B" w14:textId="77777777" w:rsidR="005A1A40" w:rsidRDefault="005A1A40"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r>
      <w:tr w:rsidR="005A1A40" w:rsidRPr="004400BC" w14:paraId="4B3542FA" w14:textId="77777777" w:rsidTr="00753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4ACFD3" w14:textId="77777777" w:rsidR="005A1A40" w:rsidRPr="004400BC" w:rsidRDefault="005A1A40" w:rsidP="00CE5053">
            <w:pPr>
              <w:spacing w:before="40" w:after="40"/>
              <w:rPr>
                <w:sz w:val="16"/>
                <w:szCs w:val="16"/>
              </w:rPr>
            </w:pPr>
            <w:r w:rsidRPr="004400BC">
              <w:rPr>
                <w:sz w:val="16"/>
                <w:szCs w:val="16"/>
              </w:rPr>
              <w:t xml:space="preserve">North Lewisham </w:t>
            </w:r>
          </w:p>
          <w:p w14:paraId="61E326DA" w14:textId="77777777" w:rsidR="005A1A40" w:rsidRPr="004400BC" w:rsidRDefault="005A1A40" w:rsidP="00CE5053">
            <w:pPr>
              <w:spacing w:before="40" w:after="40"/>
              <w:rPr>
                <w:sz w:val="16"/>
                <w:szCs w:val="16"/>
              </w:rPr>
            </w:pPr>
            <w:r w:rsidRPr="004400BC">
              <w:rPr>
                <w:sz w:val="16"/>
                <w:szCs w:val="16"/>
              </w:rPr>
              <w:t>Neighbourhood Care Hub</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A6CD87"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Waldron Health Centre</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065AA5"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4400BC">
              <w:rPr>
                <w:bCs/>
                <w:sz w:val="16"/>
                <w:szCs w:val="16"/>
              </w:rPr>
              <w:t>Reconfiguration</w:t>
            </w:r>
            <w:r>
              <w:rPr>
                <w:bCs/>
                <w:sz w:val="16"/>
                <w:szCs w:val="16"/>
              </w:rPr>
              <w:t xml:space="preserve"> &amp; refurbishment including increased capacity to meet increased demand</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21761F"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bCs/>
                <w:sz w:val="16"/>
                <w:szCs w:val="16"/>
              </w:rPr>
              <w:t>CCG</w:t>
            </w:r>
          </w:p>
        </w:tc>
        <w:tc>
          <w:tcPr>
            <w:tcW w:w="2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F67DA1" w14:textId="77777777" w:rsidR="005A1A40" w:rsidRPr="00B0774F"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4F7224"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2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E48A43"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F40DEB"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A52294"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7DCDA8"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ADE66A"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Funding identified</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42F596"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tc>
      </w:tr>
      <w:tr w:rsidR="005A1A40" w:rsidRPr="004400BC" w14:paraId="2EC853F7" w14:textId="77777777" w:rsidTr="00753110">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560625" w14:textId="77777777" w:rsidR="005A1A40" w:rsidRPr="004400BC" w:rsidRDefault="005A1A40" w:rsidP="00CE5053">
            <w:pPr>
              <w:spacing w:before="40" w:after="40"/>
              <w:rPr>
                <w:sz w:val="16"/>
                <w:szCs w:val="16"/>
              </w:rPr>
            </w:pPr>
            <w:r w:rsidRPr="004400BC">
              <w:rPr>
                <w:sz w:val="16"/>
                <w:szCs w:val="16"/>
              </w:rPr>
              <w:t>Central Lewisham</w:t>
            </w:r>
          </w:p>
          <w:p w14:paraId="06CEC1BA" w14:textId="77777777" w:rsidR="005A1A40" w:rsidRPr="00B0774F" w:rsidRDefault="005A1A40" w:rsidP="00CE5053">
            <w:pPr>
              <w:spacing w:before="40" w:after="40"/>
              <w:rPr>
                <w:sz w:val="16"/>
                <w:szCs w:val="16"/>
              </w:rPr>
            </w:pPr>
            <w:r w:rsidRPr="004400BC">
              <w:rPr>
                <w:sz w:val="16"/>
                <w:szCs w:val="16"/>
              </w:rPr>
              <w:t>Neighbourhood Care Hub</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69401A"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4400BC">
              <w:rPr>
                <w:sz w:val="16"/>
                <w:szCs w:val="16"/>
              </w:rPr>
              <w:t xml:space="preserve">Land at UHL site </w:t>
            </w:r>
          </w:p>
          <w:p w14:paraId="7D93A57C"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4400BC">
              <w:rPr>
                <w:sz w:val="16"/>
                <w:szCs w:val="16"/>
              </w:rPr>
              <w:t>(or location with main transport links)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1CC9AC" w14:textId="77777777" w:rsidR="005A1A40" w:rsidRPr="00E6222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bCs/>
                <w:sz w:val="16"/>
                <w:szCs w:val="16"/>
              </w:rPr>
              <w:t>Refurbishment: temporary integrated</w:t>
            </w:r>
            <w:r w:rsidRPr="004400BC">
              <w:rPr>
                <w:bCs/>
                <w:sz w:val="16"/>
                <w:szCs w:val="16"/>
              </w:rPr>
              <w:t xml:space="preserve"> hub facility </w:t>
            </w:r>
            <w:r>
              <w:rPr>
                <w:bCs/>
                <w:sz w:val="16"/>
                <w:szCs w:val="16"/>
              </w:rPr>
              <w:t xml:space="preserve">and works to increase capacity </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899779"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sidRPr="004400BC">
              <w:rPr>
                <w:bCs/>
                <w:sz w:val="16"/>
                <w:szCs w:val="16"/>
              </w:rPr>
              <w:t xml:space="preserve">LGT </w:t>
            </w:r>
          </w:p>
          <w:p w14:paraId="450EA2D7"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D355C9"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51937A"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22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0B4049"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81F0B1"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342E9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1CCC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D6CCD4"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C21B9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r>
      <w:tr w:rsidR="005A1A40" w:rsidRPr="004400BC" w14:paraId="77672293" w14:textId="77777777" w:rsidTr="00753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E3B0EE" w14:textId="77777777" w:rsidR="005A1A40" w:rsidRPr="004400BC" w:rsidRDefault="005A1A40" w:rsidP="00CE5053">
            <w:pPr>
              <w:spacing w:before="40" w:after="40"/>
              <w:rPr>
                <w:sz w:val="16"/>
                <w:szCs w:val="16"/>
              </w:rPr>
            </w:pPr>
            <w:r w:rsidRPr="004400BC">
              <w:rPr>
                <w:sz w:val="16"/>
                <w:szCs w:val="16"/>
              </w:rPr>
              <w:t>SE Lewisham</w:t>
            </w:r>
          </w:p>
          <w:p w14:paraId="47D28625" w14:textId="77777777" w:rsidR="005A1A40" w:rsidRPr="004400BC" w:rsidRDefault="005A1A40" w:rsidP="00CE5053">
            <w:pPr>
              <w:spacing w:before="40" w:after="40"/>
              <w:rPr>
                <w:sz w:val="16"/>
                <w:szCs w:val="16"/>
              </w:rPr>
            </w:pPr>
            <w:r w:rsidRPr="004400BC">
              <w:rPr>
                <w:sz w:val="16"/>
                <w:szCs w:val="16"/>
              </w:rPr>
              <w:t>Neighbourhood Care Hub</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7F697B"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4400BC">
              <w:rPr>
                <w:sz w:val="16"/>
                <w:szCs w:val="16"/>
              </w:rPr>
              <w:t>Downham Health Centre</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87EABF"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4400BC">
              <w:rPr>
                <w:bCs/>
                <w:sz w:val="16"/>
                <w:szCs w:val="16"/>
              </w:rPr>
              <w:t xml:space="preserve">Reconfiguration </w:t>
            </w:r>
            <w:r>
              <w:rPr>
                <w:bCs/>
                <w:sz w:val="16"/>
                <w:szCs w:val="16"/>
              </w:rPr>
              <w:t>&amp; refurbishment</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81CA68"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bCs/>
                <w:sz w:val="16"/>
                <w:szCs w:val="16"/>
              </w:rPr>
            </w:pPr>
            <w:r w:rsidRPr="004400BC">
              <w:rPr>
                <w:bCs/>
                <w:sz w:val="16"/>
                <w:szCs w:val="16"/>
              </w:rPr>
              <w:t>NHS PS</w:t>
            </w:r>
          </w:p>
          <w:p w14:paraId="717AAFBA"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C106A0"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2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EE48EE"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08EB2C"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1FD38A"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9B9D81"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£tbc</w:t>
            </w: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236CD6"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w:t>
            </w: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A8AEBD"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8328F9"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tc>
      </w:tr>
      <w:tr w:rsidR="005A1A40" w:rsidRPr="004400BC" w14:paraId="56FFD49C" w14:textId="77777777" w:rsidTr="00753110">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3663C7" w14:textId="77777777" w:rsidR="005A1A40" w:rsidRPr="004400BC" w:rsidRDefault="005A1A40" w:rsidP="00CE5053">
            <w:pPr>
              <w:spacing w:before="40" w:after="40"/>
              <w:rPr>
                <w:sz w:val="16"/>
                <w:szCs w:val="16"/>
              </w:rPr>
            </w:pPr>
            <w:r w:rsidRPr="004400BC">
              <w:rPr>
                <w:sz w:val="16"/>
                <w:szCs w:val="16"/>
              </w:rPr>
              <w:t>SW Lewisham</w:t>
            </w:r>
          </w:p>
          <w:p w14:paraId="05017208" w14:textId="77777777" w:rsidR="005A1A40" w:rsidRPr="004400BC" w:rsidRDefault="005A1A40" w:rsidP="00CE5053">
            <w:pPr>
              <w:spacing w:before="40" w:after="40"/>
              <w:rPr>
                <w:sz w:val="16"/>
                <w:szCs w:val="16"/>
              </w:rPr>
            </w:pPr>
            <w:r w:rsidRPr="004400BC">
              <w:rPr>
                <w:sz w:val="16"/>
                <w:szCs w:val="16"/>
              </w:rPr>
              <w:t>Neighbourhood Care Hub</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75F4FF"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4400BC">
              <w:rPr>
                <w:sz w:val="16"/>
                <w:szCs w:val="16"/>
              </w:rPr>
              <w:t xml:space="preserve">Sydenham Green Health Centre </w:t>
            </w:r>
          </w:p>
          <w:p w14:paraId="34CBE2FB"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4400BC">
              <w:rPr>
                <w:sz w:val="16"/>
                <w:szCs w:val="16"/>
              </w:rPr>
              <w:t>(or location with main transport links)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9B024A"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4400BC">
              <w:rPr>
                <w:bCs/>
                <w:sz w:val="16"/>
                <w:szCs w:val="16"/>
              </w:rPr>
              <w:t>Redevelopment</w:t>
            </w:r>
            <w:r>
              <w:rPr>
                <w:bCs/>
                <w:sz w:val="16"/>
                <w:szCs w:val="16"/>
              </w:rPr>
              <w:t xml:space="preserve"> &amp; re</w:t>
            </w:r>
            <w:r w:rsidR="008700CB">
              <w:rPr>
                <w:bCs/>
                <w:sz w:val="16"/>
                <w:szCs w:val="16"/>
              </w:rPr>
              <w:t>-</w:t>
            </w:r>
            <w:r>
              <w:rPr>
                <w:bCs/>
                <w:sz w:val="16"/>
                <w:szCs w:val="16"/>
              </w:rPr>
              <w:t>provision</w:t>
            </w:r>
            <w:r w:rsidRPr="004400BC">
              <w:rPr>
                <w:bCs/>
                <w:sz w:val="16"/>
                <w:szCs w:val="16"/>
              </w:rPr>
              <w:t xml:space="preserve"> of existing premise/building to provide a new community health centre </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95C623"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bCs/>
                <w:sz w:val="16"/>
                <w:szCs w:val="16"/>
              </w:rPr>
              <w:t xml:space="preserve">LGT </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F38BBE"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2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26491C"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E2DD96"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357532"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9DDC5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18AC3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0BCDDE"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£tbcm</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B6C89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r>
      <w:tr w:rsidR="005A1A40" w:rsidRPr="004400BC" w14:paraId="5B1E79DF" w14:textId="77777777" w:rsidTr="00753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B69D21" w14:textId="77777777" w:rsidR="005A1A40" w:rsidRPr="004400BC" w:rsidRDefault="005A1A40" w:rsidP="00CE5053">
            <w:pPr>
              <w:spacing w:before="40" w:after="40"/>
              <w:rPr>
                <w:sz w:val="16"/>
                <w:szCs w:val="16"/>
              </w:rPr>
            </w:pPr>
            <w:r w:rsidRPr="004400BC">
              <w:rPr>
                <w:sz w:val="16"/>
                <w:szCs w:val="16"/>
              </w:rPr>
              <w:t xml:space="preserve">New Health/GP Facility – </w:t>
            </w:r>
          </w:p>
          <w:p w14:paraId="22751A72" w14:textId="77777777" w:rsidR="005A1A40" w:rsidRPr="004400BC" w:rsidRDefault="005A1A40" w:rsidP="00CE5053">
            <w:pPr>
              <w:spacing w:before="40" w:after="40"/>
              <w:rPr>
                <w:sz w:val="16"/>
                <w:szCs w:val="16"/>
              </w:rPr>
            </w:pPr>
            <w:r w:rsidRPr="004400BC">
              <w:rPr>
                <w:sz w:val="16"/>
                <w:szCs w:val="16"/>
              </w:rPr>
              <w:t>New Cross Gate NDC Centre site (also known as the Kender Triangle site)</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4928E7"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4400BC">
              <w:rPr>
                <w:sz w:val="16"/>
                <w:szCs w:val="16"/>
              </w:rPr>
              <w:t>New Cross Gate</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24BC1D"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bCs/>
                <w:sz w:val="16"/>
                <w:szCs w:val="16"/>
              </w:rPr>
            </w:pPr>
            <w:r w:rsidRPr="004400BC">
              <w:rPr>
                <w:bCs/>
                <w:sz w:val="16"/>
                <w:szCs w:val="16"/>
              </w:rPr>
              <w:t xml:space="preserve">New build health/GP facility </w:t>
            </w:r>
            <w:r>
              <w:rPr>
                <w:bCs/>
                <w:sz w:val="16"/>
                <w:szCs w:val="16"/>
              </w:rPr>
              <w:t>with increased capacity to address increased demand from growing population</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E4F1C9"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bCs/>
                <w:sz w:val="16"/>
                <w:szCs w:val="16"/>
              </w:rPr>
            </w:pPr>
            <w:r w:rsidRPr="004400BC">
              <w:rPr>
                <w:bCs/>
                <w:sz w:val="16"/>
                <w:szCs w:val="16"/>
              </w:rPr>
              <w:t>GP Practice</w:t>
            </w:r>
          </w:p>
          <w:p w14:paraId="07F023C8"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bCs/>
                <w:sz w:val="16"/>
                <w:szCs w:val="16"/>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DB5498"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BC5ABD"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B47519"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2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16C19D"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DF351B"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TBC</w:t>
            </w: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658856"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£0m</w:t>
            </w: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DEAC44"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7C039E"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w:t>
            </w:r>
          </w:p>
        </w:tc>
      </w:tr>
      <w:tr w:rsidR="005A1A40" w:rsidRPr="004400BC" w14:paraId="13233BA3" w14:textId="77777777" w:rsidTr="00753110">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276737" w14:textId="77777777" w:rsidR="005A1A40" w:rsidRPr="004400BC" w:rsidRDefault="005A1A40" w:rsidP="00CE5053">
            <w:pPr>
              <w:spacing w:before="40" w:after="40"/>
              <w:rPr>
                <w:sz w:val="16"/>
                <w:szCs w:val="16"/>
              </w:rPr>
            </w:pPr>
            <w:r w:rsidRPr="004400BC">
              <w:rPr>
                <w:sz w:val="16"/>
                <w:szCs w:val="16"/>
              </w:rPr>
              <w:t>New Health/GP Facility –</w:t>
            </w:r>
          </w:p>
          <w:p w14:paraId="3DB56097" w14:textId="77777777" w:rsidR="005A1A40" w:rsidRDefault="005A1A40" w:rsidP="00CE5053">
            <w:pPr>
              <w:spacing w:before="40" w:after="40"/>
              <w:rPr>
                <w:sz w:val="16"/>
                <w:szCs w:val="16"/>
              </w:rPr>
            </w:pPr>
            <w:r w:rsidRPr="004400BC">
              <w:rPr>
                <w:sz w:val="16"/>
                <w:szCs w:val="16"/>
              </w:rPr>
              <w:t>Convoys Wharf site</w:t>
            </w:r>
          </w:p>
          <w:p w14:paraId="74869460" w14:textId="77777777" w:rsidR="005A1A40" w:rsidRDefault="005A1A40" w:rsidP="00CE5053">
            <w:pPr>
              <w:spacing w:before="40" w:after="40"/>
              <w:rPr>
                <w:sz w:val="16"/>
                <w:szCs w:val="16"/>
              </w:rPr>
            </w:pPr>
          </w:p>
          <w:p w14:paraId="60744595" w14:textId="77777777" w:rsidR="005A1A40" w:rsidRDefault="005A1A40" w:rsidP="00CE5053">
            <w:pPr>
              <w:spacing w:before="40" w:after="40"/>
              <w:rPr>
                <w:sz w:val="16"/>
                <w:szCs w:val="16"/>
              </w:rPr>
            </w:pPr>
            <w:r>
              <w:rPr>
                <w:sz w:val="16"/>
                <w:szCs w:val="16"/>
              </w:rPr>
              <w:t xml:space="preserve">Lee </w:t>
            </w:r>
          </w:p>
          <w:p w14:paraId="54D53762" w14:textId="77777777" w:rsidR="005A1A40" w:rsidRDefault="005A1A40" w:rsidP="00CE5053">
            <w:pPr>
              <w:spacing w:before="40" w:after="40"/>
              <w:rPr>
                <w:sz w:val="16"/>
                <w:szCs w:val="16"/>
              </w:rPr>
            </w:pPr>
            <w:r>
              <w:rPr>
                <w:sz w:val="16"/>
                <w:szCs w:val="16"/>
              </w:rPr>
              <w:lastRenderedPageBreak/>
              <w:t>Lee Health Centre</w:t>
            </w:r>
          </w:p>
          <w:p w14:paraId="187F57B8" w14:textId="77777777" w:rsidR="005A1A40" w:rsidRDefault="005A1A40" w:rsidP="00CE5053">
            <w:pPr>
              <w:spacing w:before="40" w:after="40"/>
              <w:rPr>
                <w:sz w:val="16"/>
                <w:szCs w:val="16"/>
              </w:rPr>
            </w:pPr>
          </w:p>
          <w:p w14:paraId="0A6024EA" w14:textId="77777777" w:rsidR="005A1A40" w:rsidRDefault="005A1A40" w:rsidP="00CE5053">
            <w:pPr>
              <w:spacing w:before="40" w:after="40"/>
              <w:rPr>
                <w:sz w:val="16"/>
                <w:szCs w:val="16"/>
              </w:rPr>
            </w:pPr>
            <w:r>
              <w:rPr>
                <w:sz w:val="16"/>
                <w:szCs w:val="16"/>
              </w:rPr>
              <w:t>Forest Hill Jenner Health Centre</w:t>
            </w:r>
          </w:p>
          <w:p w14:paraId="54738AF4" w14:textId="77777777" w:rsidR="005A1A40" w:rsidRDefault="005A1A40" w:rsidP="00CE5053">
            <w:pPr>
              <w:spacing w:before="40" w:after="40"/>
              <w:rPr>
                <w:sz w:val="16"/>
                <w:szCs w:val="16"/>
              </w:rPr>
            </w:pPr>
          </w:p>
          <w:p w14:paraId="0B475A49" w14:textId="77777777" w:rsidR="005A1A40" w:rsidRDefault="005A1A40" w:rsidP="00CE5053">
            <w:pPr>
              <w:spacing w:before="40" w:after="40"/>
              <w:rPr>
                <w:sz w:val="16"/>
                <w:szCs w:val="16"/>
              </w:rPr>
            </w:pPr>
            <w:r>
              <w:rPr>
                <w:sz w:val="16"/>
                <w:szCs w:val="16"/>
              </w:rPr>
              <w:t>SE Neighbourhood Spoke or hub support</w:t>
            </w:r>
          </w:p>
          <w:p w14:paraId="41743F20" w14:textId="77777777" w:rsidR="005A1A40" w:rsidRDefault="005A1A40" w:rsidP="00CE5053">
            <w:pPr>
              <w:spacing w:before="40" w:after="40"/>
              <w:rPr>
                <w:sz w:val="16"/>
                <w:szCs w:val="16"/>
              </w:rPr>
            </w:pPr>
            <w:r>
              <w:rPr>
                <w:sz w:val="16"/>
                <w:szCs w:val="16"/>
              </w:rPr>
              <w:t>South Lewisham Health Centre</w:t>
            </w:r>
          </w:p>
          <w:p w14:paraId="46ABBD8F" w14:textId="77777777" w:rsidR="005A1A40" w:rsidRDefault="005A1A40" w:rsidP="00CE5053">
            <w:pPr>
              <w:spacing w:before="40" w:after="40"/>
              <w:rPr>
                <w:sz w:val="16"/>
                <w:szCs w:val="16"/>
              </w:rPr>
            </w:pPr>
          </w:p>
          <w:p w14:paraId="31AE3418" w14:textId="77777777" w:rsidR="005A1A40" w:rsidRDefault="005A1A40" w:rsidP="00CE5053">
            <w:pPr>
              <w:spacing w:before="40" w:after="40"/>
              <w:rPr>
                <w:sz w:val="16"/>
                <w:szCs w:val="16"/>
              </w:rPr>
            </w:pPr>
            <w:r>
              <w:rPr>
                <w:sz w:val="16"/>
                <w:szCs w:val="16"/>
              </w:rPr>
              <w:t>Honor Oak Health Centre</w:t>
            </w:r>
          </w:p>
          <w:p w14:paraId="06BBA33E" w14:textId="77777777" w:rsidR="005A1A40" w:rsidRDefault="005A1A40" w:rsidP="00CE5053">
            <w:pPr>
              <w:spacing w:before="40" w:after="40"/>
              <w:rPr>
                <w:sz w:val="16"/>
                <w:szCs w:val="16"/>
              </w:rPr>
            </w:pPr>
          </w:p>
          <w:p w14:paraId="6C68F41B" w14:textId="77777777" w:rsidR="005A1A40" w:rsidRDefault="005A1A40" w:rsidP="00CE5053">
            <w:pPr>
              <w:spacing w:before="40" w:after="40"/>
              <w:rPr>
                <w:sz w:val="16"/>
                <w:szCs w:val="16"/>
              </w:rPr>
            </w:pPr>
            <w:r>
              <w:rPr>
                <w:sz w:val="16"/>
                <w:szCs w:val="16"/>
              </w:rPr>
              <w:t xml:space="preserve">Heather Close </w:t>
            </w:r>
          </w:p>
          <w:p w14:paraId="464FCBC1" w14:textId="77777777" w:rsidR="005A1A40" w:rsidRDefault="005A1A40" w:rsidP="00CE5053">
            <w:pPr>
              <w:spacing w:before="40" w:after="40"/>
              <w:rPr>
                <w:sz w:val="16"/>
                <w:szCs w:val="16"/>
              </w:rPr>
            </w:pPr>
          </w:p>
          <w:p w14:paraId="5C8C6B09" w14:textId="77777777" w:rsidR="005A1A40" w:rsidRDefault="005A1A40" w:rsidP="00CE5053">
            <w:pPr>
              <w:spacing w:before="40" w:after="40"/>
              <w:rPr>
                <w:sz w:val="16"/>
                <w:szCs w:val="16"/>
              </w:rPr>
            </w:pPr>
          </w:p>
          <w:p w14:paraId="2F30721E" w14:textId="77777777" w:rsidR="005A1A40" w:rsidRDefault="005A1A40" w:rsidP="00CE5053">
            <w:pPr>
              <w:spacing w:before="40" w:after="40"/>
              <w:rPr>
                <w:sz w:val="16"/>
                <w:szCs w:val="16"/>
              </w:rPr>
            </w:pPr>
            <w:r>
              <w:rPr>
                <w:sz w:val="16"/>
                <w:szCs w:val="16"/>
              </w:rPr>
              <w:t>Ladywell Unit</w:t>
            </w:r>
          </w:p>
          <w:p w14:paraId="3382A365" w14:textId="77777777" w:rsidR="005A1A40" w:rsidRDefault="005A1A40" w:rsidP="00CE5053">
            <w:pPr>
              <w:spacing w:before="40" w:after="40"/>
              <w:rPr>
                <w:sz w:val="16"/>
                <w:szCs w:val="16"/>
              </w:rPr>
            </w:pPr>
          </w:p>
          <w:p w14:paraId="1FA9CE32" w14:textId="77777777" w:rsidR="005A1A40" w:rsidRDefault="005A1A40" w:rsidP="00CE5053">
            <w:pPr>
              <w:spacing w:before="40" w:after="40"/>
              <w:rPr>
                <w:sz w:val="16"/>
                <w:szCs w:val="16"/>
              </w:rPr>
            </w:pPr>
            <w:r>
              <w:rPr>
                <w:sz w:val="16"/>
                <w:szCs w:val="16"/>
              </w:rPr>
              <w:t>Dilwyn Domus</w:t>
            </w:r>
          </w:p>
          <w:p w14:paraId="5C71F136" w14:textId="77777777" w:rsidR="005A1A40" w:rsidRDefault="005A1A40" w:rsidP="00CE5053">
            <w:pPr>
              <w:spacing w:before="40" w:after="40"/>
              <w:rPr>
                <w:sz w:val="16"/>
                <w:szCs w:val="16"/>
              </w:rPr>
            </w:pPr>
          </w:p>
          <w:p w14:paraId="6740488F" w14:textId="77777777" w:rsidR="005A1A40" w:rsidRDefault="005A1A40" w:rsidP="00CE5053">
            <w:pPr>
              <w:spacing w:before="40" w:after="40"/>
              <w:rPr>
                <w:sz w:val="16"/>
                <w:szCs w:val="16"/>
              </w:rPr>
            </w:pPr>
            <w:r>
              <w:rPr>
                <w:sz w:val="16"/>
                <w:szCs w:val="16"/>
              </w:rPr>
              <w:t>Lewisham Hospital</w:t>
            </w:r>
          </w:p>
          <w:p w14:paraId="62199465" w14:textId="77777777" w:rsidR="005A1A40" w:rsidRDefault="005A1A40" w:rsidP="00CE5053">
            <w:pPr>
              <w:spacing w:before="40" w:after="40"/>
              <w:rPr>
                <w:sz w:val="16"/>
                <w:szCs w:val="16"/>
              </w:rPr>
            </w:pPr>
          </w:p>
          <w:p w14:paraId="09E3E7E2" w14:textId="77777777" w:rsidR="005A1A40" w:rsidRDefault="005A1A40" w:rsidP="00CE5053">
            <w:pPr>
              <w:spacing w:before="40" w:after="40"/>
              <w:rPr>
                <w:sz w:val="16"/>
                <w:szCs w:val="16"/>
              </w:rPr>
            </w:pPr>
            <w:r>
              <w:rPr>
                <w:sz w:val="16"/>
                <w:szCs w:val="16"/>
              </w:rPr>
              <w:t>Speedwell</w:t>
            </w:r>
          </w:p>
          <w:p w14:paraId="0DA123B1" w14:textId="77777777" w:rsidR="005A1A40" w:rsidRDefault="005A1A40" w:rsidP="00CE5053">
            <w:pPr>
              <w:spacing w:before="40" w:after="40"/>
              <w:rPr>
                <w:sz w:val="16"/>
                <w:szCs w:val="16"/>
              </w:rPr>
            </w:pPr>
          </w:p>
          <w:p w14:paraId="6FB73615" w14:textId="77777777" w:rsidR="005A1A40" w:rsidRDefault="005A1A40" w:rsidP="00CE5053">
            <w:pPr>
              <w:spacing w:before="40" w:after="40"/>
              <w:rPr>
                <w:sz w:val="16"/>
                <w:szCs w:val="16"/>
              </w:rPr>
            </w:pPr>
            <w:r>
              <w:rPr>
                <w:sz w:val="16"/>
                <w:szCs w:val="16"/>
              </w:rPr>
              <w:t>Churchdown Domus</w:t>
            </w:r>
          </w:p>
          <w:p w14:paraId="4C4CEA3D" w14:textId="77777777" w:rsidR="005A1A40" w:rsidRDefault="005A1A40" w:rsidP="00CE5053">
            <w:pPr>
              <w:spacing w:before="40" w:after="40"/>
              <w:rPr>
                <w:sz w:val="16"/>
                <w:szCs w:val="16"/>
              </w:rPr>
            </w:pPr>
          </w:p>
          <w:p w14:paraId="537433E1" w14:textId="77777777" w:rsidR="005A1A40" w:rsidRDefault="005A1A40" w:rsidP="00CE5053">
            <w:pPr>
              <w:spacing w:before="40" w:after="40"/>
              <w:rPr>
                <w:sz w:val="16"/>
                <w:szCs w:val="16"/>
              </w:rPr>
            </w:pPr>
            <w:r>
              <w:rPr>
                <w:sz w:val="16"/>
                <w:szCs w:val="16"/>
              </w:rPr>
              <w:t>Surrey Canal Development</w:t>
            </w:r>
          </w:p>
          <w:p w14:paraId="50895670" w14:textId="77777777" w:rsidR="005A1A40" w:rsidRDefault="005A1A40" w:rsidP="00CE5053">
            <w:pPr>
              <w:spacing w:before="40" w:after="40"/>
              <w:rPr>
                <w:sz w:val="16"/>
                <w:szCs w:val="16"/>
              </w:rPr>
            </w:pPr>
          </w:p>
          <w:p w14:paraId="261DC423" w14:textId="77777777" w:rsidR="005A1A40" w:rsidRPr="004400BC" w:rsidRDefault="005A1A40" w:rsidP="00CE5053">
            <w:pPr>
              <w:spacing w:before="40" w:after="40"/>
              <w:rPr>
                <w:sz w:val="16"/>
                <w:szCs w:val="16"/>
              </w:rPr>
            </w:pPr>
            <w:r>
              <w:rPr>
                <w:sz w:val="16"/>
                <w:szCs w:val="16"/>
              </w:rPr>
              <w:t xml:space="preserve">Central Catford- corporate office </w:t>
            </w:r>
            <w:r>
              <w:rPr>
                <w:sz w:val="16"/>
                <w:szCs w:val="16"/>
              </w:rPr>
              <w:lastRenderedPageBreak/>
              <w:t>+ community hub for health and social care</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C1F85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C8FE7C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1004F1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E76B88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4400BC">
              <w:rPr>
                <w:sz w:val="16"/>
                <w:szCs w:val="16"/>
              </w:rPr>
              <w:t>Conv</w:t>
            </w:r>
            <w:r>
              <w:rPr>
                <w:sz w:val="16"/>
                <w:szCs w:val="16"/>
              </w:rPr>
              <w:t>o</w:t>
            </w:r>
            <w:r w:rsidRPr="004400BC">
              <w:rPr>
                <w:sz w:val="16"/>
                <w:szCs w:val="16"/>
              </w:rPr>
              <w:t>ys Wharf</w:t>
            </w:r>
          </w:p>
          <w:p w14:paraId="67C0C65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08D56C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1AC5A9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Handen Road, Lee</w:t>
            </w:r>
          </w:p>
          <w:p w14:paraId="797E50C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B04FA4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68C698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11FA1C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Forest Hill</w:t>
            </w:r>
          </w:p>
          <w:p w14:paraId="1A93948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AA258D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75119B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Bromley Road</w:t>
            </w:r>
          </w:p>
          <w:p w14:paraId="6FFBD3E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0DCCCA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9BF189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Brockley/Honor Oak</w:t>
            </w:r>
          </w:p>
          <w:p w14:paraId="36AF688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4C529E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45B2C8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Hither Green</w:t>
            </w:r>
          </w:p>
          <w:p w14:paraId="0A5A347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Central </w:t>
            </w:r>
          </w:p>
          <w:p w14:paraId="7F59C69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Lewisham</w:t>
            </w:r>
          </w:p>
          <w:p w14:paraId="1573F10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Central Lewisham</w:t>
            </w:r>
          </w:p>
          <w:p w14:paraId="1C0157D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5E3362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Central Lewisham</w:t>
            </w:r>
          </w:p>
          <w:p w14:paraId="3691E7B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7156294"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North Lewisham</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6770C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7CBEED8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24711B7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sidRPr="004400BC">
              <w:rPr>
                <w:bCs/>
                <w:sz w:val="16"/>
                <w:szCs w:val="16"/>
              </w:rPr>
              <w:t xml:space="preserve">New build health/GP facility </w:t>
            </w:r>
          </w:p>
          <w:p w14:paraId="6E36661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38645DC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540707D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sidRPr="004400BC">
              <w:rPr>
                <w:bCs/>
                <w:sz w:val="16"/>
                <w:szCs w:val="16"/>
              </w:rPr>
              <w:t xml:space="preserve">Reconfiguration </w:t>
            </w:r>
            <w:r>
              <w:rPr>
                <w:bCs/>
                <w:sz w:val="16"/>
                <w:szCs w:val="16"/>
              </w:rPr>
              <w:t>&amp; refurbishment</w:t>
            </w:r>
          </w:p>
          <w:p w14:paraId="135E58C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2D0E6F9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 xml:space="preserve">Redevelopment &amp; re-provision </w:t>
            </w:r>
            <w:r w:rsidR="00AB1349">
              <w:rPr>
                <w:bCs/>
                <w:sz w:val="16"/>
                <w:szCs w:val="16"/>
              </w:rPr>
              <w:t xml:space="preserve">to </w:t>
            </w:r>
            <w:r>
              <w:rPr>
                <w:bCs/>
                <w:sz w:val="16"/>
                <w:szCs w:val="16"/>
              </w:rPr>
              <w:t>re</w:t>
            </w:r>
            <w:r w:rsidR="00AB1349">
              <w:rPr>
                <w:bCs/>
                <w:sz w:val="16"/>
                <w:szCs w:val="16"/>
              </w:rPr>
              <w:t>-</w:t>
            </w:r>
            <w:r>
              <w:rPr>
                <w:bCs/>
                <w:sz w:val="16"/>
                <w:szCs w:val="16"/>
              </w:rPr>
              <w:t xml:space="preserve">provide a modern GP practice </w:t>
            </w:r>
          </w:p>
          <w:p w14:paraId="62EBF9A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3E97751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sidRPr="004400BC">
              <w:rPr>
                <w:bCs/>
                <w:sz w:val="16"/>
                <w:szCs w:val="16"/>
              </w:rPr>
              <w:t>Redevelopment</w:t>
            </w:r>
            <w:r>
              <w:rPr>
                <w:bCs/>
                <w:sz w:val="16"/>
                <w:szCs w:val="16"/>
              </w:rPr>
              <w:t xml:space="preserve"> &amp; re</w:t>
            </w:r>
            <w:r w:rsidR="00AB1349">
              <w:rPr>
                <w:bCs/>
                <w:sz w:val="16"/>
                <w:szCs w:val="16"/>
              </w:rPr>
              <w:t>-</w:t>
            </w:r>
            <w:r>
              <w:rPr>
                <w:bCs/>
                <w:sz w:val="16"/>
                <w:szCs w:val="16"/>
              </w:rPr>
              <w:t>provision</w:t>
            </w:r>
            <w:r w:rsidRPr="004400BC">
              <w:rPr>
                <w:bCs/>
                <w:sz w:val="16"/>
                <w:szCs w:val="16"/>
              </w:rPr>
              <w:t xml:space="preserve"> of existing premise/building to provide a new community health centre</w:t>
            </w:r>
          </w:p>
          <w:p w14:paraId="0C6C2CD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1D1915C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sidRPr="004400BC">
              <w:rPr>
                <w:bCs/>
                <w:sz w:val="16"/>
                <w:szCs w:val="16"/>
              </w:rPr>
              <w:t>Redevelopment of existing premise/building to provide a new community health centre</w:t>
            </w:r>
          </w:p>
          <w:p w14:paraId="709E88E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508C98E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779F8E7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7818863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15B8392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Refurbishment and Reconfiguration</w:t>
            </w:r>
          </w:p>
          <w:p w14:paraId="44F69B9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5F07D11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1F4C149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Options Appraisal – aim to increase capacity</w:t>
            </w:r>
          </w:p>
          <w:p w14:paraId="41508A3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43D6B1D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0610B17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Options Appraisal</w:t>
            </w:r>
          </w:p>
          <w:p w14:paraId="17DBC15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6661C8D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Options Appraisal</w:t>
            </w:r>
            <w:r w:rsidR="00AB1349">
              <w:rPr>
                <w:bCs/>
                <w:sz w:val="16"/>
                <w:szCs w:val="16"/>
              </w:rPr>
              <w:t xml:space="preserve"> </w:t>
            </w:r>
            <w:r>
              <w:rPr>
                <w:bCs/>
                <w:sz w:val="16"/>
                <w:szCs w:val="16"/>
              </w:rPr>
              <w:t>to provide increased capacity across clinical services and fit for purpose space</w:t>
            </w:r>
          </w:p>
          <w:p w14:paraId="6F8BD81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56D209F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Options Appraisal</w:t>
            </w:r>
          </w:p>
          <w:p w14:paraId="2613E9C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0415DCE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Various Capital Projects</w:t>
            </w:r>
          </w:p>
          <w:p w14:paraId="0EAD5CC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Building modernisation</w:t>
            </w:r>
          </w:p>
          <w:p w14:paraId="1037B8A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13FFB2F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Options Appraisal</w:t>
            </w:r>
          </w:p>
          <w:p w14:paraId="687C6DE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621153B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Options Appraisal</w:t>
            </w:r>
          </w:p>
          <w:p w14:paraId="5B2F937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58E6DD4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68441FC8" w14:textId="77777777" w:rsidR="005A1A40" w:rsidRPr="00903724"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lastRenderedPageBreak/>
              <w:t>Options Appraisal</w:t>
            </w:r>
            <w:r w:rsidR="00AB1349">
              <w:rPr>
                <w:bCs/>
                <w:sz w:val="16"/>
                <w:szCs w:val="16"/>
              </w:rPr>
              <w:t xml:space="preserve"> </w:t>
            </w:r>
            <w:r>
              <w:rPr>
                <w:bCs/>
                <w:sz w:val="16"/>
                <w:szCs w:val="16"/>
              </w:rPr>
              <w:t>to relocate staff from clinical sites to increase clinical capacity with</w:t>
            </w:r>
            <w:r w:rsidR="008700CB">
              <w:rPr>
                <w:bCs/>
                <w:sz w:val="16"/>
                <w:szCs w:val="16"/>
              </w:rPr>
              <w:t>in community settings and acute</w:t>
            </w:r>
            <w:r>
              <w:rPr>
                <w:bCs/>
                <w:sz w:val="16"/>
                <w:szCs w:val="16"/>
              </w:rPr>
              <w:t xml:space="preserve"> </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3BEE8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3B88899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4CA28372"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sidRPr="004400BC">
              <w:rPr>
                <w:bCs/>
                <w:sz w:val="16"/>
                <w:szCs w:val="16"/>
              </w:rPr>
              <w:t>GP Practice</w:t>
            </w:r>
          </w:p>
          <w:p w14:paraId="69E2BB2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57C0D79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2D23295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 xml:space="preserve">LGT </w:t>
            </w:r>
          </w:p>
          <w:p w14:paraId="0D142F6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4475AD1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39E17EB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NHSPS</w:t>
            </w:r>
          </w:p>
          <w:p w14:paraId="120C4E9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42AFC42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620FF5E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 xml:space="preserve">NHSPS </w:t>
            </w:r>
          </w:p>
          <w:p w14:paraId="271CA72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75FBE42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2D3F0BE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0F7D75C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 xml:space="preserve">NHSPS </w:t>
            </w:r>
          </w:p>
          <w:p w14:paraId="75CF431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3CB648E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0C178E9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3C0395D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5C2FA83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LGT</w:t>
            </w:r>
          </w:p>
          <w:p w14:paraId="3254BC2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651E959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4D4CFCC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SlaM</w:t>
            </w:r>
          </w:p>
          <w:p w14:paraId="269E314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4973149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SLaM</w:t>
            </w:r>
          </w:p>
          <w:p w14:paraId="4734134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42EF208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2D8D4E2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SLaM</w:t>
            </w:r>
          </w:p>
          <w:p w14:paraId="7B40C95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25D5AD4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LGT</w:t>
            </w:r>
          </w:p>
          <w:p w14:paraId="4B4D723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5198D6B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SLaM</w:t>
            </w:r>
          </w:p>
          <w:p w14:paraId="2093CA6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29A6121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 xml:space="preserve">SLaM </w:t>
            </w:r>
          </w:p>
          <w:p w14:paraId="2503B19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2E9A1E9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CCG</w:t>
            </w:r>
          </w:p>
          <w:p w14:paraId="3828874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5097759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LGT/SLaM/LBL / PCN</w:t>
            </w:r>
          </w:p>
          <w:p w14:paraId="20BD9A1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0C136CF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0A392C6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290583F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68F21D9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13C326F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4853B84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5012523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5A25747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09B8D95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78BEFD2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27A7642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49206A8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67B7A70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71887C7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bCs/>
                <w:sz w:val="16"/>
                <w:szCs w:val="16"/>
              </w:rPr>
            </w:pPr>
          </w:p>
          <w:p w14:paraId="3B7FD67C"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D6B9B6"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C354A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22F860B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98536F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BC1BAF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1C988F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B22BB7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17B246D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BF89DA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C3E0E7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6A1FAB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57FA14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76BB753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13DA1E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FDFCD0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75CAC6F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606042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8C9ECA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1D0656F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5E6666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7B37605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329708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394798F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889A50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3BF0DD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29079D3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BA43DE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17686DC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1FBD35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53BD644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9186DC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1A3FAC4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476C52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2BBD94B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8E324A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5854DE7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CA7ADD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817EA0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p w14:paraId="314EE24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60E7EBC"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615E5F"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lastRenderedPageBreak/>
              <w:t>X</w:t>
            </w:r>
          </w:p>
        </w:tc>
        <w:tc>
          <w:tcPr>
            <w:tcW w:w="2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614669"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7041B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5759004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C5B615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92F1AA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1A499DF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E7E3C4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3F828E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AC57CB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186B13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C57C43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F5CB693" w14:textId="77777777" w:rsidR="005A1A40"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3D404BC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1319B8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D1FC538"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31A560F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0DF735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DE20DD5"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3A413BF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B80E0F2"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33D28B4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46BB4EC"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37EFA3E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1C6AC2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7F01E96"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2DC4458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723BD56"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4FFCBC0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BACDB8C"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1728B4D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8260860"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34959D4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196C918"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7BD58BA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3C92992"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4357A96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1F0CCD9F"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4469066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10B0EE07" w14:textId="77777777" w:rsidR="00AB1349" w:rsidRDefault="00AB134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TBC</w:t>
            </w:r>
          </w:p>
          <w:p w14:paraId="7453991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A7E0CF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0FA656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1AC5CDB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42D4C2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572E39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CEB15C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6518E3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E75FCD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10FDAA0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74AF2B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A29289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191599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673E5A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41D98D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AB7C0C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5B3369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455F193"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D9A70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lastRenderedPageBreak/>
              <w:t>TBC</w:t>
            </w:r>
          </w:p>
          <w:p w14:paraId="1C2776E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15342E6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EB89DE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D62D46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78B034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92506D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1CD0C1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FD8715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BDFDFC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B3E1D9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41F9AE5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0F03A6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142B75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6930E82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0E36DA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F8A6BE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32D8521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7BC63A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0CE19BC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CF3BCF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63966B7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353654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092F00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271AE1F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04AA2E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4AE5B7A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40DF41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3955E09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8CB01C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12C4242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4B1500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379CA55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169852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5ABF93C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C73F14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71DCB01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A6BA41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£0m</w:t>
            </w:r>
          </w:p>
          <w:p w14:paraId="4B644A8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82C48E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677290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49BF8C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EF4647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AB58C4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EA9BA1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332107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D98A3F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0C86B8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0EDCC5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BBB881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5B91B0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810F0D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4E797D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5AF7EA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633CEB9"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EB5F7C"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lastRenderedPageBreak/>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1D477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8A8CB7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65BE1F1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AFAB43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42C5D4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D2E12B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08F224F"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E6D6F6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B96985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FE634F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E643A3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62A1F98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00079F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A9DB5E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299D8616"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91D276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1BC03362"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6F5CD9E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24DED8E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4EF7FBD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1D63D2B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740C982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15C7803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FD71FB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527D639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9A728A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5101B52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18B4C29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3C8EC45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DEB9483"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326DC10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FC4263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0A82154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6783CD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66FDCF4E"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B896037"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3BEE236D"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E86812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0CCC0888"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4A990D2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03CC4DB"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5BAD3425"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C7D08AC"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7A3105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7DC8C08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477E57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3FD9042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052D481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p w14:paraId="62D3F89E"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r>
      <w:tr w:rsidR="005A1A40" w:rsidRPr="004400BC" w14:paraId="64FC3810" w14:textId="77777777" w:rsidTr="00753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0F6983" w14:textId="77777777" w:rsidR="005A1A40" w:rsidRPr="004400BC" w:rsidRDefault="005A1A40" w:rsidP="00CE5053">
            <w:pPr>
              <w:spacing w:before="40" w:after="40"/>
              <w:rPr>
                <w:sz w:val="16"/>
                <w:szCs w:val="16"/>
              </w:rPr>
            </w:pPr>
            <w:r>
              <w:rPr>
                <w:sz w:val="16"/>
                <w:szCs w:val="16"/>
              </w:rPr>
              <w:lastRenderedPageBreak/>
              <w:t xml:space="preserve">Expansion of PCNs alongside housing and population growth </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27CC7B"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Borough-wide</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80AF0D"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bCs/>
                <w:sz w:val="16"/>
                <w:szCs w:val="16"/>
              </w:rPr>
            </w:pP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FC4A0D"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bCs/>
                <w:sz w:val="16"/>
                <w:szCs w:val="16"/>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9FC242"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2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1A8611"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4DA821"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2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C2ECC6"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796693"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297C67"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8740F3"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371A77"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r>
      <w:tr w:rsidR="005A1A40" w:rsidRPr="004400BC" w14:paraId="35A3C7A6" w14:textId="77777777" w:rsidTr="008700CB">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DA0D2E" w14:textId="77777777" w:rsidR="005A1A40" w:rsidRPr="00BB0FD7" w:rsidRDefault="005A1A40" w:rsidP="00CE5053">
            <w:pPr>
              <w:spacing w:before="40" w:after="40"/>
              <w:rPr>
                <w:sz w:val="16"/>
                <w:szCs w:val="16"/>
              </w:rPr>
            </w:pPr>
            <w:r w:rsidRPr="00BB0FD7">
              <w:rPr>
                <w:sz w:val="16"/>
                <w:szCs w:val="16"/>
              </w:rPr>
              <w:t xml:space="preserve">Increase in mental health provision </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9415D4" w14:textId="77777777" w:rsidR="005A1A40" w:rsidRPr="00BB0FD7"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BB0FD7">
              <w:rPr>
                <w:sz w:val="16"/>
                <w:szCs w:val="16"/>
              </w:rPr>
              <w:t>Borough-wide</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2434A0"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28BB07"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6AC6DA"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AA98D6"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5A1408"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049383"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16AC4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A4EA11"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1EA135"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717D39"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r>
      <w:tr w:rsidR="005A1A40" w:rsidRPr="004400BC" w14:paraId="34337EFE" w14:textId="77777777" w:rsidTr="00870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3CE27E" w14:textId="77777777" w:rsidR="005A1A40" w:rsidRPr="00BB0FD7" w:rsidRDefault="005A1A40" w:rsidP="00CE5053">
            <w:pPr>
              <w:spacing w:before="40" w:after="40"/>
              <w:rPr>
                <w:sz w:val="16"/>
                <w:szCs w:val="16"/>
              </w:rPr>
            </w:pPr>
            <w:r w:rsidRPr="00BB0FD7">
              <w:rPr>
                <w:sz w:val="16"/>
                <w:szCs w:val="16"/>
              </w:rPr>
              <w:t xml:space="preserve">Increase of A&amp;E and urgent care? </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38A720" w14:textId="77777777" w:rsidR="005A1A40" w:rsidRPr="00BB0FD7"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DAA4D5"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EAF47F"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1B37BA"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500C74"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CD1D1F"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C5BEDD8"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915484"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B94F49"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846F5D" w14:textId="77777777" w:rsidR="005A1A40" w:rsidRPr="004400BC"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F015AF" w14:textId="77777777" w:rsidR="005A1A40" w:rsidRDefault="005A1A40"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
        </w:tc>
      </w:tr>
      <w:tr w:rsidR="005A1A40" w:rsidRPr="004400BC" w14:paraId="2D2A478B" w14:textId="77777777" w:rsidTr="00753110">
        <w:tc>
          <w:tcPr>
            <w:cnfStyle w:val="001000000000" w:firstRow="0" w:lastRow="0" w:firstColumn="1" w:lastColumn="0" w:oddVBand="0" w:evenVBand="0" w:oddHBand="0" w:evenHBand="0" w:firstRowFirstColumn="0" w:firstRowLastColumn="0" w:lastRowFirstColumn="0" w:lastRowLastColumn="0"/>
            <w:tcW w:w="3435"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B15DD1D" w14:textId="77777777" w:rsidR="005A1A40" w:rsidRPr="004400BC" w:rsidRDefault="005A1A40" w:rsidP="00CE5053">
            <w:pPr>
              <w:spacing w:before="40" w:after="40"/>
              <w:rPr>
                <w:sz w:val="16"/>
                <w:szCs w:val="16"/>
              </w:rPr>
            </w:pPr>
          </w:p>
        </w:tc>
        <w:tc>
          <w:tcPr>
            <w:tcW w:w="4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BB7F6A"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Sub-total</w:t>
            </w: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681184"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30165FA"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CB33CA5" w14:textId="77777777" w:rsidR="005A1A40" w:rsidRPr="004400BC"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414610" w14:textId="77777777" w:rsidR="005A1A40" w:rsidRDefault="005A1A40"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r>
    </w:tbl>
    <w:p w14:paraId="781DF2CB" w14:textId="77777777" w:rsidR="005A1A40" w:rsidRDefault="005A1A40" w:rsidP="00CE5053">
      <w:pPr>
        <w:pStyle w:val="ListParagraph"/>
        <w:numPr>
          <w:ilvl w:val="0"/>
          <w:numId w:val="0"/>
        </w:numPr>
        <w:spacing w:after="240"/>
        <w:ind w:left="737"/>
        <w:contextualSpacing w:val="0"/>
      </w:pPr>
    </w:p>
    <w:p w14:paraId="16788234" w14:textId="77777777" w:rsidR="00AB5E74" w:rsidRPr="00AB5E74" w:rsidRDefault="00AB5E74" w:rsidP="00CE5053"/>
    <w:p w14:paraId="57A6A0F0" w14:textId="77777777" w:rsidR="00C46E08" w:rsidRDefault="00C46E08" w:rsidP="00CE5053">
      <w:pPr>
        <w:ind w:left="720" w:hanging="720"/>
        <w:rPr>
          <w:b/>
          <w:sz w:val="19"/>
          <w:szCs w:val="19"/>
        </w:rPr>
        <w:sectPr w:rsidR="00C46E08" w:rsidSect="005A1A40">
          <w:pgSz w:w="16839" w:h="11907" w:orient="landscape" w:code="9"/>
          <w:pgMar w:top="1080" w:right="1440" w:bottom="1080" w:left="1440" w:header="708" w:footer="708" w:gutter="0"/>
          <w:pgBorders w:offsetFrom="page">
            <w:top w:val="single" w:sz="4" w:space="24" w:color="FFFFFF" w:themeColor="background1"/>
            <w:bottom w:val="single" w:sz="4" w:space="24" w:color="FFFFFF" w:themeColor="background1"/>
          </w:pgBorders>
          <w:cols w:space="708"/>
          <w:docGrid w:linePitch="360"/>
        </w:sectPr>
      </w:pPr>
    </w:p>
    <w:p w14:paraId="60EBA7DD" w14:textId="77777777" w:rsidR="00803854" w:rsidRDefault="00803854" w:rsidP="00CE5053">
      <w:pPr>
        <w:pStyle w:val="Heading2"/>
      </w:pPr>
      <w:bookmarkStart w:id="26" w:name="_Toc56146017"/>
      <w:r>
        <w:lastRenderedPageBreak/>
        <w:t>Libraries, Archives and Local History Service</w:t>
      </w:r>
      <w:bookmarkEnd w:id="26"/>
    </w:p>
    <w:p w14:paraId="6FE2A8A6" w14:textId="77777777" w:rsidR="003F4B7E" w:rsidRDefault="003F4B7E" w:rsidP="00CE5053">
      <w:pPr>
        <w:tabs>
          <w:tab w:val="left" w:pos="720"/>
          <w:tab w:val="left" w:pos="1440"/>
          <w:tab w:val="left" w:pos="3349"/>
          <w:tab w:val="left" w:pos="5492"/>
        </w:tabs>
        <w:spacing w:before="240" w:after="120"/>
        <w:ind w:left="720"/>
        <w:rPr>
          <w:b/>
        </w:rPr>
      </w:pPr>
      <w:r w:rsidRPr="00C457BE">
        <w:rPr>
          <w:b/>
        </w:rPr>
        <w:t>Policy context</w:t>
      </w:r>
    </w:p>
    <w:p w14:paraId="53A942C8" w14:textId="77777777" w:rsidR="00590838" w:rsidRDefault="00A6583F" w:rsidP="00CE5053">
      <w:pPr>
        <w:pStyle w:val="ListParagraph"/>
        <w:numPr>
          <w:ilvl w:val="0"/>
          <w:numId w:val="15"/>
        </w:numPr>
        <w:spacing w:after="240"/>
        <w:ind w:left="737" w:hanging="737"/>
        <w:contextualSpacing w:val="0"/>
      </w:pPr>
      <w:r>
        <w:t>The Council is required to</w:t>
      </w:r>
      <w:r w:rsidRPr="00C457BE">
        <w:t xml:space="preserve"> provide “comprehensive and efficient” library services to citizens</w:t>
      </w:r>
      <w:r>
        <w:t xml:space="preserve"> </w:t>
      </w:r>
      <w:r w:rsidR="00387A40">
        <w:t>under</w:t>
      </w:r>
      <w:r>
        <w:t xml:space="preserve"> its</w:t>
      </w:r>
      <w:r w:rsidR="00803854" w:rsidRPr="00C457BE">
        <w:t xml:space="preserve"> statutory obligations </w:t>
      </w:r>
      <w:r>
        <w:t xml:space="preserve">in </w:t>
      </w:r>
      <w:r w:rsidR="00803854" w:rsidRPr="00C457BE">
        <w:t xml:space="preserve">the Public Library and Museums Act 1964. </w:t>
      </w:r>
      <w:r w:rsidR="00387A40">
        <w:t>The</w:t>
      </w:r>
      <w:r w:rsidR="00803854" w:rsidRPr="00C457BE">
        <w:t xml:space="preserve"> service </w:t>
      </w:r>
      <w:r w:rsidR="00387A40">
        <w:t xml:space="preserve">should operate on this principal of </w:t>
      </w:r>
      <w:r w:rsidR="00803854" w:rsidRPr="00C457BE">
        <w:t>universally striv</w:t>
      </w:r>
      <w:r w:rsidR="00387A40">
        <w:t>ing</w:t>
      </w:r>
      <w:r w:rsidR="00803854" w:rsidRPr="00C457BE">
        <w:t xml:space="preserve"> to offer “unbiased access to information, learning, and works of creative imagination”. It is also a service that supports civic interaction through its openness, trustworthiness, and reliability.</w:t>
      </w:r>
    </w:p>
    <w:p w14:paraId="08847EFF" w14:textId="77777777" w:rsidR="00C457BE" w:rsidRDefault="00C457BE" w:rsidP="00CE5053">
      <w:pPr>
        <w:pStyle w:val="ListParagraph"/>
        <w:numPr>
          <w:ilvl w:val="0"/>
          <w:numId w:val="15"/>
        </w:numPr>
        <w:spacing w:after="240"/>
        <w:ind w:left="737" w:hanging="737"/>
        <w:contextualSpacing w:val="0"/>
      </w:pPr>
      <w:r w:rsidRPr="00C457BE">
        <w:t>The draft London Plan also recognises the role libraries play in providing valuable public spaces that improve access, inclusion and safety, and diversify the range of night-time activities in town centres to support the night-time economy (Policy HC6</w:t>
      </w:r>
      <w:r w:rsidR="00387A40">
        <w:t xml:space="preserve"> ‘Supporting the night-time economy’</w:t>
      </w:r>
      <w:r w:rsidRPr="00C457BE">
        <w:t>).</w:t>
      </w:r>
    </w:p>
    <w:p w14:paraId="004B7CB6" w14:textId="77777777" w:rsidR="00620FDA" w:rsidRDefault="00620FDA" w:rsidP="00CE5053">
      <w:pPr>
        <w:pStyle w:val="ListParagraph"/>
        <w:numPr>
          <w:ilvl w:val="0"/>
          <w:numId w:val="15"/>
        </w:numPr>
        <w:spacing w:after="240"/>
        <w:ind w:left="737" w:hanging="737"/>
        <w:contextualSpacing w:val="0"/>
      </w:pPr>
      <w:r w:rsidRPr="00FB4C42">
        <w:t>The Council’s Corporate Strategy for 2018-2022 identifies libraries as contributing to achieving the objectives of a number of corporate priorities, including:</w:t>
      </w:r>
    </w:p>
    <w:p w14:paraId="4BBD98DE" w14:textId="77777777" w:rsidR="00620FDA" w:rsidRDefault="00620FDA" w:rsidP="00CE5053">
      <w:pPr>
        <w:pStyle w:val="ListParagraph"/>
        <w:numPr>
          <w:ilvl w:val="0"/>
          <w:numId w:val="10"/>
        </w:numPr>
      </w:pPr>
      <w:r>
        <w:t>‘Open Lewisham’ – Lewisham is a welcoming place of safety for all, where we celebrate the diversity that strengthens us;</w:t>
      </w:r>
    </w:p>
    <w:p w14:paraId="66CDFADD" w14:textId="77777777" w:rsidR="00620FDA" w:rsidRPr="00E21BBE" w:rsidRDefault="00620FDA" w:rsidP="00CE5053">
      <w:pPr>
        <w:pStyle w:val="ListParagraph"/>
        <w:numPr>
          <w:ilvl w:val="0"/>
          <w:numId w:val="10"/>
        </w:numPr>
        <w:rPr>
          <w:rFonts w:cs="Arial"/>
        </w:rPr>
      </w:pPr>
      <w:r w:rsidRPr="00E21BBE">
        <w:rPr>
          <w:rFonts w:cs="Arial"/>
        </w:rPr>
        <w:t>‘Giving children and young people the best start in life’ – Every child has access to an outstanding and inspiring education, and is given the support they need to keep them safe, well and able to achieve their full potential;</w:t>
      </w:r>
    </w:p>
    <w:p w14:paraId="293E0C7E" w14:textId="77777777" w:rsidR="00620FDA" w:rsidRPr="00E21BBE" w:rsidRDefault="00620FDA" w:rsidP="00CE5053">
      <w:pPr>
        <w:pStyle w:val="ListParagraph"/>
        <w:numPr>
          <w:ilvl w:val="0"/>
          <w:numId w:val="10"/>
        </w:numPr>
        <w:rPr>
          <w:rFonts w:cs="Arial"/>
        </w:rPr>
      </w:pPr>
      <w:r w:rsidRPr="00E21BBE">
        <w:rPr>
          <w:rFonts w:cs="Arial"/>
        </w:rPr>
        <w:t>‘Building an inclusive local economy’ – Everyone can access high quality job opportunities, with decent pay and security in our thriving and inclusive local economy; and</w:t>
      </w:r>
    </w:p>
    <w:p w14:paraId="1EEFB485" w14:textId="77777777" w:rsidR="00620FDA" w:rsidRPr="00E21BBE" w:rsidRDefault="00620FDA" w:rsidP="00CE5053">
      <w:pPr>
        <w:pStyle w:val="ListParagraph"/>
        <w:numPr>
          <w:ilvl w:val="0"/>
          <w:numId w:val="10"/>
        </w:numPr>
        <w:spacing w:after="240"/>
        <w:ind w:left="1434" w:hanging="357"/>
        <w:contextualSpacing w:val="0"/>
        <w:rPr>
          <w:rFonts w:cs="Arial"/>
        </w:rPr>
      </w:pPr>
      <w:r w:rsidRPr="00E21BBE">
        <w:rPr>
          <w:rFonts w:cs="Arial"/>
        </w:rPr>
        <w:t>‘Building safer communities’ – Every resident feels safe and secure living here as we work together towards a borough free from the fear of crime.</w:t>
      </w:r>
    </w:p>
    <w:p w14:paraId="18491815" w14:textId="77777777" w:rsidR="003F4B7E" w:rsidRPr="00C457BE" w:rsidRDefault="003F4B7E" w:rsidP="00CE5053">
      <w:pPr>
        <w:pStyle w:val="ListParagraph"/>
        <w:numPr>
          <w:ilvl w:val="0"/>
          <w:numId w:val="15"/>
        </w:numPr>
        <w:spacing w:after="240"/>
        <w:ind w:left="737" w:hanging="737"/>
        <w:contextualSpacing w:val="0"/>
      </w:pPr>
      <w:r w:rsidRPr="00C457BE">
        <w:t>This section sets out the need for and provision of libraries, archives and local history services across the borough. The information provided is based on the priorities identified for these services in the Council’s Corporate Strategy 2018-22.</w:t>
      </w:r>
    </w:p>
    <w:p w14:paraId="4D40182D" w14:textId="77777777" w:rsidR="00C457BE" w:rsidRPr="00C457BE" w:rsidRDefault="00C457BE" w:rsidP="00CE5053">
      <w:pPr>
        <w:tabs>
          <w:tab w:val="left" w:pos="720"/>
          <w:tab w:val="left" w:pos="1440"/>
          <w:tab w:val="left" w:pos="3533"/>
        </w:tabs>
        <w:spacing w:before="240" w:after="120"/>
        <w:ind w:left="720"/>
        <w:rPr>
          <w:b/>
        </w:rPr>
      </w:pPr>
      <w:r w:rsidRPr="00C457BE">
        <w:rPr>
          <w:b/>
        </w:rPr>
        <w:t>Current situation</w:t>
      </w:r>
      <w:r w:rsidR="00196252">
        <w:rPr>
          <w:b/>
        </w:rPr>
        <w:tab/>
      </w:r>
    </w:p>
    <w:p w14:paraId="41115491" w14:textId="77777777" w:rsidR="00006106" w:rsidRPr="00590838" w:rsidRDefault="00A6583F" w:rsidP="00CE5053">
      <w:pPr>
        <w:pStyle w:val="ListParagraph"/>
        <w:numPr>
          <w:ilvl w:val="0"/>
          <w:numId w:val="15"/>
        </w:numPr>
        <w:spacing w:after="480"/>
        <w:ind w:left="737" w:hanging="737"/>
        <w:contextualSpacing w:val="0"/>
      </w:pPr>
      <w:r w:rsidRPr="00590838">
        <w:t xml:space="preserve">The Council currently provides library services </w:t>
      </w:r>
      <w:r w:rsidR="00006106" w:rsidRPr="00590838">
        <w:t>on</w:t>
      </w:r>
      <w:r w:rsidRPr="00590838">
        <w:t xml:space="preserve"> 1</w:t>
      </w:r>
      <w:r w:rsidR="00006106" w:rsidRPr="00590838">
        <w:t>3</w:t>
      </w:r>
      <w:r w:rsidRPr="00590838">
        <w:t xml:space="preserve"> sites </w:t>
      </w:r>
      <w:r w:rsidR="0058117F" w:rsidRPr="00590838">
        <w:t>across</w:t>
      </w:r>
      <w:r w:rsidR="00006106" w:rsidRPr="00590838">
        <w:t xml:space="preserve"> </w:t>
      </w:r>
      <w:r w:rsidRPr="00590838">
        <w:t xml:space="preserve">the borough. </w:t>
      </w:r>
      <w:r w:rsidR="00006106" w:rsidRPr="00590838">
        <w:t xml:space="preserve">These sites </w:t>
      </w:r>
      <w:r w:rsidR="00AD582E" w:rsidRPr="00590838">
        <w:t>operate as either ‘hub</w:t>
      </w:r>
      <w:r w:rsidR="0058117F" w:rsidRPr="00590838">
        <w:t xml:space="preserve">’ </w:t>
      </w:r>
      <w:r w:rsidR="00AD582E" w:rsidRPr="00590838">
        <w:t xml:space="preserve">library </w:t>
      </w:r>
      <w:r w:rsidRPr="00590838">
        <w:t xml:space="preserve">(staffed and owned by the </w:t>
      </w:r>
      <w:r w:rsidR="0058117F" w:rsidRPr="00590838">
        <w:t>C</w:t>
      </w:r>
      <w:r w:rsidRPr="00590838">
        <w:t>ouncil)</w:t>
      </w:r>
      <w:r w:rsidR="0058117F" w:rsidRPr="00590838">
        <w:t>,</w:t>
      </w:r>
      <w:r w:rsidRPr="00590838">
        <w:t xml:space="preserve"> </w:t>
      </w:r>
      <w:r w:rsidR="0058117F" w:rsidRPr="00590838">
        <w:t>or ‘c</w:t>
      </w:r>
      <w:r w:rsidRPr="00590838">
        <w:t>ommunity</w:t>
      </w:r>
      <w:r w:rsidR="0058117F" w:rsidRPr="00590838">
        <w:t xml:space="preserve">’ </w:t>
      </w:r>
      <w:r w:rsidR="00AD582E" w:rsidRPr="00590838">
        <w:t>library</w:t>
      </w:r>
      <w:r w:rsidRPr="00590838">
        <w:t xml:space="preserve"> (staffed and owned by/leased to com</w:t>
      </w:r>
      <w:r w:rsidR="00006106" w:rsidRPr="00590838">
        <w:t>munity organisations)</w:t>
      </w:r>
      <w:r w:rsidR="0058117F" w:rsidRPr="00590838">
        <w:t xml:space="preserve">. These sites are identified in Table </w:t>
      </w:r>
      <w:r>
        <w:fldChar w:fldCharType="begin"/>
      </w:r>
      <w:r>
        <w:instrText>SEQ Table \* ARABIC</w:instrText>
      </w:r>
      <w:r>
        <w:fldChar w:fldCharType="separate"/>
      </w:r>
      <w:r w:rsidR="00C93475">
        <w:rPr>
          <w:noProof/>
        </w:rPr>
        <w:t>5</w:t>
      </w:r>
      <w:r>
        <w:fldChar w:fldCharType="end"/>
      </w:r>
      <w:r w:rsidR="00590838" w:rsidRPr="00590838">
        <w:t xml:space="preserve"> </w:t>
      </w:r>
      <w:r w:rsidR="0058117F" w:rsidRPr="00590838">
        <w:t>below:</w:t>
      </w:r>
    </w:p>
    <w:tbl>
      <w:tblPr>
        <w:tblStyle w:val="ListTable3-Accent32"/>
        <w:tblW w:w="4590"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Current situation"/>
      </w:tblPr>
      <w:tblGrid>
        <w:gridCol w:w="2217"/>
        <w:gridCol w:w="1387"/>
        <w:gridCol w:w="1244"/>
        <w:gridCol w:w="1804"/>
        <w:gridCol w:w="2287"/>
      </w:tblGrid>
      <w:tr w:rsidR="000B7891" w:rsidRPr="00324C84" w14:paraId="796CFDBD"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240" w:type="pct"/>
            <w:tcBorders>
              <w:bottom w:val="single" w:sz="4" w:space="0" w:color="FFFFFF" w:themeColor="background1"/>
            </w:tcBorders>
            <w:shd w:val="clear" w:color="auto" w:fill="002060"/>
          </w:tcPr>
          <w:p w14:paraId="32BD3A6E" w14:textId="77777777" w:rsidR="000B7891" w:rsidRPr="00590838" w:rsidRDefault="00245FCC" w:rsidP="00CE5053">
            <w:pPr>
              <w:tabs>
                <w:tab w:val="center" w:pos="3056"/>
                <w:tab w:val="left" w:pos="4975"/>
              </w:tabs>
              <w:spacing w:before="40" w:after="40"/>
              <w:rPr>
                <w:sz w:val="20"/>
                <w:szCs w:val="18"/>
              </w:rPr>
            </w:pPr>
            <w:r w:rsidRPr="00590838">
              <w:rPr>
                <w:sz w:val="20"/>
                <w:szCs w:val="18"/>
              </w:rPr>
              <w:t>Name/Location</w:t>
            </w:r>
          </w:p>
        </w:tc>
        <w:tc>
          <w:tcPr>
            <w:tcW w:w="776" w:type="pct"/>
            <w:tcBorders>
              <w:bottom w:val="single" w:sz="4" w:space="0" w:color="FFFFFF" w:themeColor="background1"/>
            </w:tcBorders>
            <w:shd w:val="clear" w:color="auto" w:fill="002060"/>
          </w:tcPr>
          <w:p w14:paraId="3AB3EEAD" w14:textId="77777777" w:rsidR="000B7891" w:rsidRPr="00590838" w:rsidRDefault="000B789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20"/>
                <w:szCs w:val="18"/>
              </w:rPr>
            </w:pPr>
            <w:r w:rsidRPr="00590838">
              <w:rPr>
                <w:bCs w:val="0"/>
                <w:sz w:val="20"/>
                <w:szCs w:val="18"/>
              </w:rPr>
              <w:t>Type</w:t>
            </w:r>
          </w:p>
        </w:tc>
        <w:tc>
          <w:tcPr>
            <w:tcW w:w="696" w:type="pct"/>
            <w:tcBorders>
              <w:bottom w:val="single" w:sz="4" w:space="0" w:color="FFFFFF" w:themeColor="background1"/>
            </w:tcBorders>
            <w:shd w:val="clear" w:color="auto" w:fill="002060"/>
          </w:tcPr>
          <w:p w14:paraId="5F6DFCB4" w14:textId="77777777" w:rsidR="000B7891" w:rsidRPr="00590838" w:rsidRDefault="000B7891"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20"/>
                <w:szCs w:val="18"/>
              </w:rPr>
            </w:pPr>
            <w:r w:rsidRPr="00590838">
              <w:rPr>
                <w:bCs w:val="0"/>
                <w:sz w:val="20"/>
                <w:szCs w:val="18"/>
              </w:rPr>
              <w:t>Size (sqm)</w:t>
            </w:r>
          </w:p>
        </w:tc>
        <w:tc>
          <w:tcPr>
            <w:tcW w:w="1009" w:type="pct"/>
            <w:tcBorders>
              <w:bottom w:val="single" w:sz="4" w:space="0" w:color="FFFFFF" w:themeColor="background1"/>
            </w:tcBorders>
            <w:shd w:val="clear" w:color="auto" w:fill="002060"/>
          </w:tcPr>
          <w:p w14:paraId="4190D30A" w14:textId="77777777" w:rsidR="000B7891" w:rsidRPr="00590838" w:rsidRDefault="000B7891"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sidRPr="00590838">
              <w:rPr>
                <w:sz w:val="20"/>
                <w:szCs w:val="18"/>
              </w:rPr>
              <w:t>Ward</w:t>
            </w:r>
          </w:p>
        </w:tc>
        <w:tc>
          <w:tcPr>
            <w:tcW w:w="1279" w:type="pct"/>
            <w:tcBorders>
              <w:bottom w:val="single" w:sz="4" w:space="0" w:color="FFFFFF" w:themeColor="background1"/>
            </w:tcBorders>
            <w:shd w:val="clear" w:color="auto" w:fill="002060"/>
          </w:tcPr>
          <w:p w14:paraId="27705B3A" w14:textId="77777777" w:rsidR="000B7891" w:rsidRPr="00590838" w:rsidRDefault="000B7891"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sidRPr="00590838">
              <w:rPr>
                <w:sz w:val="20"/>
                <w:szCs w:val="18"/>
              </w:rPr>
              <w:t>Services</w:t>
            </w:r>
            <w:r w:rsidR="00245FCC" w:rsidRPr="00590838">
              <w:rPr>
                <w:sz w:val="20"/>
                <w:szCs w:val="18"/>
              </w:rPr>
              <w:t xml:space="preserve"> provided</w:t>
            </w:r>
          </w:p>
        </w:tc>
      </w:tr>
      <w:tr w:rsidR="000B7891" w:rsidRPr="00324C84" w14:paraId="402B06E1" w14:textId="77777777" w:rsidTr="0013476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427D342" w14:textId="77777777" w:rsidR="000B7891" w:rsidRPr="00590838" w:rsidRDefault="00245FCC" w:rsidP="00CE5053">
            <w:pPr>
              <w:spacing w:before="40" w:after="40"/>
              <w:rPr>
                <w:sz w:val="20"/>
                <w:szCs w:val="20"/>
              </w:rPr>
            </w:pPr>
            <w:r w:rsidRPr="00590838">
              <w:rPr>
                <w:sz w:val="20"/>
                <w:szCs w:val="20"/>
              </w:rPr>
              <w:t xml:space="preserve">Blackheath Village </w:t>
            </w:r>
            <w:r w:rsidR="000B7891" w:rsidRPr="00590838">
              <w:rPr>
                <w:sz w:val="20"/>
                <w:szCs w:val="20"/>
              </w:rPr>
              <w:t>Library</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2FF993E" w14:textId="77777777" w:rsidR="000B7891" w:rsidRPr="00590838" w:rsidRDefault="00245FCC"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Community</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0CA47E3" w14:textId="77777777" w:rsidR="000B7891" w:rsidRPr="00590838" w:rsidRDefault="00C408FA"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46</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E453E8B" w14:textId="77777777" w:rsidR="000B7891" w:rsidRPr="00590838" w:rsidRDefault="000B789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Blackheath</w:t>
            </w:r>
          </w:p>
        </w:tc>
        <w:tc>
          <w:tcPr>
            <w:tcW w:w="127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88C6EC7" w14:textId="77777777" w:rsidR="000B7891" w:rsidRPr="00590838" w:rsidRDefault="000B789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Library service</w:t>
            </w:r>
          </w:p>
        </w:tc>
      </w:tr>
      <w:tr w:rsidR="000B7891" w:rsidRPr="00324C84" w14:paraId="59AB05BB" w14:textId="77777777" w:rsidTr="00134761">
        <w:trPr>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tcPr>
          <w:p w14:paraId="31691530" w14:textId="77777777" w:rsidR="000B7891" w:rsidRPr="00590838" w:rsidRDefault="000B7891" w:rsidP="00CE5053">
            <w:pPr>
              <w:spacing w:before="40" w:after="40"/>
              <w:rPr>
                <w:sz w:val="20"/>
                <w:szCs w:val="20"/>
              </w:rPr>
            </w:pPr>
            <w:r w:rsidRPr="00590838">
              <w:rPr>
                <w:sz w:val="20"/>
                <w:szCs w:val="20"/>
              </w:rPr>
              <w:t>Catford Library</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BC1513D" w14:textId="77777777" w:rsidR="000B7891"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H</w:t>
            </w:r>
            <w:r w:rsidR="00245FCC" w:rsidRPr="00590838">
              <w:rPr>
                <w:sz w:val="20"/>
                <w:szCs w:val="20"/>
              </w:rPr>
              <w:t>ub</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D4A408B" w14:textId="77777777" w:rsidR="000B7891" w:rsidRPr="00590838" w:rsidRDefault="00C408FA"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632</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C3EE730" w14:textId="77777777" w:rsidR="000B7891" w:rsidRPr="00590838" w:rsidRDefault="00245FCC"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Rushey Green</w:t>
            </w:r>
          </w:p>
        </w:tc>
        <w:tc>
          <w:tcPr>
            <w:tcW w:w="127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763FC68" w14:textId="77777777" w:rsidR="000B7891"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Library service</w:t>
            </w:r>
          </w:p>
        </w:tc>
      </w:tr>
      <w:tr w:rsidR="000B7891" w:rsidRPr="00324C84" w14:paraId="14373232" w14:textId="77777777" w:rsidTr="0013476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tcPr>
          <w:p w14:paraId="3CCCE97A" w14:textId="77777777" w:rsidR="000B7891" w:rsidRPr="00590838" w:rsidRDefault="001A05CF" w:rsidP="00CE5053">
            <w:pPr>
              <w:spacing w:before="40" w:after="40"/>
              <w:rPr>
                <w:sz w:val="20"/>
                <w:szCs w:val="20"/>
              </w:rPr>
            </w:pPr>
            <w:r w:rsidRPr="00590838">
              <w:rPr>
                <w:sz w:val="20"/>
                <w:szCs w:val="20"/>
              </w:rPr>
              <w:t>Crofton Park</w:t>
            </w:r>
            <w:r w:rsidR="000B7891" w:rsidRPr="00590838">
              <w:rPr>
                <w:sz w:val="20"/>
                <w:szCs w:val="20"/>
              </w:rPr>
              <w:t xml:space="preserve"> Library</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0249396" w14:textId="77777777" w:rsidR="000B7891" w:rsidRPr="00590838" w:rsidRDefault="00245FCC"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Community</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4C40D68" w14:textId="77777777" w:rsidR="000B7891" w:rsidRPr="00590838" w:rsidRDefault="00C408FA"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443</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9170BF3" w14:textId="77777777" w:rsidR="000B7891" w:rsidRPr="00590838" w:rsidRDefault="00245FCC"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Crofton Park</w:t>
            </w:r>
          </w:p>
        </w:tc>
        <w:tc>
          <w:tcPr>
            <w:tcW w:w="127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A4B2B63" w14:textId="77777777" w:rsidR="000B7891"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Library service</w:t>
            </w:r>
          </w:p>
        </w:tc>
      </w:tr>
      <w:tr w:rsidR="000B7891" w:rsidRPr="00324C84" w14:paraId="01129946" w14:textId="77777777" w:rsidTr="00134761">
        <w:trPr>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tcPr>
          <w:p w14:paraId="75D79F0F" w14:textId="77777777" w:rsidR="000B7891" w:rsidRPr="00590838" w:rsidRDefault="000B7891" w:rsidP="00CE5053">
            <w:pPr>
              <w:spacing w:before="40" w:after="40"/>
              <w:rPr>
                <w:sz w:val="20"/>
                <w:szCs w:val="20"/>
              </w:rPr>
            </w:pPr>
            <w:r w:rsidRPr="00590838">
              <w:rPr>
                <w:sz w:val="20"/>
                <w:szCs w:val="20"/>
              </w:rPr>
              <w:t>The Library at Deptford Lounge</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DB032F1" w14:textId="77777777" w:rsidR="000B7891"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590838">
              <w:rPr>
                <w:sz w:val="20"/>
                <w:szCs w:val="20"/>
              </w:rPr>
              <w:t>Hub</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F396221" w14:textId="77777777" w:rsidR="000B7891" w:rsidRPr="00590838" w:rsidRDefault="00C408FA"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1,124</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7DD72F8" w14:textId="77777777" w:rsidR="000B7891" w:rsidRPr="00590838" w:rsidRDefault="00245FCC"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New Cross</w:t>
            </w:r>
          </w:p>
        </w:tc>
        <w:tc>
          <w:tcPr>
            <w:tcW w:w="127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DF6F242" w14:textId="77777777" w:rsidR="000B7891"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Library service</w:t>
            </w:r>
          </w:p>
        </w:tc>
      </w:tr>
      <w:tr w:rsidR="000B7891" w:rsidRPr="00324C84" w14:paraId="33152568" w14:textId="77777777" w:rsidTr="0013476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tcPr>
          <w:p w14:paraId="4F600857" w14:textId="77777777" w:rsidR="000B7891" w:rsidRPr="00590838" w:rsidRDefault="000B7891" w:rsidP="00CE5053">
            <w:pPr>
              <w:spacing w:before="40" w:after="40"/>
              <w:rPr>
                <w:sz w:val="20"/>
                <w:szCs w:val="20"/>
              </w:rPr>
            </w:pPr>
            <w:r w:rsidRPr="00590838">
              <w:rPr>
                <w:sz w:val="20"/>
                <w:szCs w:val="20"/>
              </w:rPr>
              <w:t>Downham Library</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CD960B5" w14:textId="77777777" w:rsidR="000B7891"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590838">
              <w:rPr>
                <w:sz w:val="20"/>
                <w:szCs w:val="20"/>
              </w:rPr>
              <w:t>Hub</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C7B68E0" w14:textId="77777777" w:rsidR="000B7891" w:rsidRPr="00590838" w:rsidRDefault="00C408FA"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645</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6063760" w14:textId="77777777" w:rsidR="000B7891" w:rsidRPr="00590838" w:rsidRDefault="000B7891"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Downham</w:t>
            </w:r>
          </w:p>
        </w:tc>
        <w:tc>
          <w:tcPr>
            <w:tcW w:w="127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8D23DBF" w14:textId="77777777" w:rsidR="000B7891"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Library service</w:t>
            </w:r>
          </w:p>
        </w:tc>
      </w:tr>
      <w:tr w:rsidR="00AD582E" w:rsidRPr="00324C84" w14:paraId="77CC0A78" w14:textId="77777777" w:rsidTr="002D7D92">
        <w:trPr>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tcPr>
          <w:p w14:paraId="5EC31A8F" w14:textId="77777777" w:rsidR="00AD582E" w:rsidRPr="00590838" w:rsidRDefault="00AD582E" w:rsidP="00CE5053">
            <w:pPr>
              <w:spacing w:before="40" w:after="40"/>
              <w:rPr>
                <w:sz w:val="20"/>
                <w:szCs w:val="20"/>
              </w:rPr>
            </w:pPr>
            <w:r w:rsidRPr="00590838">
              <w:rPr>
                <w:sz w:val="20"/>
                <w:szCs w:val="20"/>
              </w:rPr>
              <w:t>Forest Hill Library</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7194B84"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Community</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61E4D00"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450</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28E5542"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Forest Hill</w:t>
            </w:r>
          </w:p>
        </w:tc>
        <w:tc>
          <w:tcPr>
            <w:tcW w:w="1279" w:type="pct"/>
            <w:tcBorders>
              <w:top w:val="single" w:sz="4" w:space="0" w:color="FFFFFF" w:themeColor="background1"/>
              <w:bottom w:val="single" w:sz="4" w:space="0" w:color="FFFFFF" w:themeColor="background1"/>
            </w:tcBorders>
            <w:shd w:val="clear" w:color="auto" w:fill="F2F2F2" w:themeFill="background1" w:themeFillShade="F2"/>
          </w:tcPr>
          <w:p w14:paraId="58CD963F"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Library service</w:t>
            </w:r>
          </w:p>
        </w:tc>
      </w:tr>
      <w:tr w:rsidR="00AD582E" w:rsidRPr="00324C84" w14:paraId="7627DF57" w14:textId="77777777" w:rsidTr="002D7D9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tcPr>
          <w:p w14:paraId="367546F0" w14:textId="77777777" w:rsidR="00AD582E" w:rsidRPr="00590838" w:rsidRDefault="00AD582E" w:rsidP="00CE5053">
            <w:pPr>
              <w:spacing w:before="40" w:after="40"/>
              <w:rPr>
                <w:sz w:val="20"/>
                <w:szCs w:val="20"/>
              </w:rPr>
            </w:pPr>
            <w:r w:rsidRPr="00590838">
              <w:rPr>
                <w:sz w:val="20"/>
                <w:szCs w:val="20"/>
              </w:rPr>
              <w:t>Grove Park Library</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60E4473"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Community</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BCAE2A7"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662</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BA26CEE"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Grove Park</w:t>
            </w:r>
          </w:p>
        </w:tc>
        <w:tc>
          <w:tcPr>
            <w:tcW w:w="1279" w:type="pct"/>
            <w:tcBorders>
              <w:top w:val="single" w:sz="4" w:space="0" w:color="FFFFFF" w:themeColor="background1"/>
              <w:bottom w:val="single" w:sz="4" w:space="0" w:color="FFFFFF" w:themeColor="background1"/>
            </w:tcBorders>
            <w:shd w:val="clear" w:color="auto" w:fill="F2F2F2" w:themeFill="background1" w:themeFillShade="F2"/>
          </w:tcPr>
          <w:p w14:paraId="519FE7B3"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Library service</w:t>
            </w:r>
          </w:p>
        </w:tc>
      </w:tr>
      <w:tr w:rsidR="00245FCC" w:rsidRPr="00324C84" w14:paraId="67E85A2F" w14:textId="77777777" w:rsidTr="00134761">
        <w:trPr>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55ACAB9" w14:textId="77777777" w:rsidR="00245FCC" w:rsidRPr="00590838" w:rsidRDefault="00245FCC" w:rsidP="00CE5053">
            <w:pPr>
              <w:spacing w:before="40" w:after="40"/>
              <w:rPr>
                <w:sz w:val="20"/>
                <w:szCs w:val="20"/>
              </w:rPr>
            </w:pPr>
            <w:r w:rsidRPr="00590838">
              <w:rPr>
                <w:sz w:val="20"/>
                <w:szCs w:val="20"/>
              </w:rPr>
              <w:lastRenderedPageBreak/>
              <w:t>Lewisham Library</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497C1EE" w14:textId="77777777" w:rsidR="00245FCC"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Hub</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70CFC16" w14:textId="77777777" w:rsidR="00245FCC" w:rsidRPr="00590838" w:rsidRDefault="00C408FA"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3,355</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E4E4471" w14:textId="77777777" w:rsidR="00245FCC" w:rsidRPr="00590838" w:rsidRDefault="00245FCC"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Lewisham Central</w:t>
            </w:r>
          </w:p>
        </w:tc>
        <w:tc>
          <w:tcPr>
            <w:tcW w:w="127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057D73C" w14:textId="77777777" w:rsidR="00245FCC" w:rsidRPr="00590838" w:rsidRDefault="00245FCC"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 xml:space="preserve">Library service; </w:t>
            </w:r>
            <w:r w:rsidR="00C408FA" w:rsidRPr="00590838">
              <w:rPr>
                <w:sz w:val="20"/>
                <w:szCs w:val="20"/>
              </w:rPr>
              <w:t>Local History and Archives</w:t>
            </w:r>
          </w:p>
        </w:tc>
      </w:tr>
      <w:tr w:rsidR="00AD582E" w:rsidRPr="00324C84" w14:paraId="050AE3A8" w14:textId="77777777" w:rsidTr="002D7D9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EF9CCA9" w14:textId="77777777" w:rsidR="00AD582E" w:rsidRPr="00590838" w:rsidRDefault="00AD582E" w:rsidP="00CE5053">
            <w:pPr>
              <w:spacing w:before="40" w:after="40"/>
              <w:rPr>
                <w:sz w:val="20"/>
                <w:szCs w:val="20"/>
              </w:rPr>
            </w:pPr>
            <w:r w:rsidRPr="00590838">
              <w:rPr>
                <w:sz w:val="20"/>
                <w:szCs w:val="20"/>
              </w:rPr>
              <w:t>Manor House Library</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636129C"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Community</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B343320"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482</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41B6C83"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Lee Green</w:t>
            </w:r>
          </w:p>
        </w:tc>
        <w:tc>
          <w:tcPr>
            <w:tcW w:w="1279" w:type="pct"/>
            <w:tcBorders>
              <w:top w:val="single" w:sz="4" w:space="0" w:color="FFFFFF" w:themeColor="background1"/>
              <w:bottom w:val="single" w:sz="4" w:space="0" w:color="FFFFFF" w:themeColor="background1"/>
            </w:tcBorders>
            <w:shd w:val="clear" w:color="auto" w:fill="F2F2F2" w:themeFill="background1" w:themeFillShade="F2"/>
          </w:tcPr>
          <w:p w14:paraId="5D274CFB"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Library service</w:t>
            </w:r>
          </w:p>
        </w:tc>
      </w:tr>
      <w:tr w:rsidR="00AD582E" w:rsidRPr="00324C84" w14:paraId="479A9294" w14:textId="77777777" w:rsidTr="002D7D92">
        <w:trPr>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tcPr>
          <w:p w14:paraId="7F0AB26A" w14:textId="77777777" w:rsidR="00AD582E" w:rsidRPr="00590838" w:rsidRDefault="001A05CF" w:rsidP="00CE5053">
            <w:pPr>
              <w:spacing w:before="40" w:after="40"/>
              <w:rPr>
                <w:sz w:val="20"/>
                <w:szCs w:val="20"/>
              </w:rPr>
            </w:pPr>
            <w:r w:rsidRPr="00590838">
              <w:rPr>
                <w:sz w:val="20"/>
                <w:szCs w:val="20"/>
              </w:rPr>
              <w:t xml:space="preserve">New Cross </w:t>
            </w:r>
            <w:r w:rsidR="00AD582E" w:rsidRPr="00590838">
              <w:rPr>
                <w:sz w:val="20"/>
                <w:szCs w:val="20"/>
              </w:rPr>
              <w:t>Library</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EA838D9"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Community</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D9CDD08"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432</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6E22152"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New Cross</w:t>
            </w:r>
          </w:p>
        </w:tc>
        <w:tc>
          <w:tcPr>
            <w:tcW w:w="1279" w:type="pct"/>
            <w:tcBorders>
              <w:top w:val="single" w:sz="4" w:space="0" w:color="FFFFFF" w:themeColor="background1"/>
              <w:bottom w:val="single" w:sz="4" w:space="0" w:color="FFFFFF" w:themeColor="background1"/>
            </w:tcBorders>
            <w:shd w:val="clear" w:color="auto" w:fill="F2F2F2" w:themeFill="background1" w:themeFillShade="F2"/>
          </w:tcPr>
          <w:p w14:paraId="47AF341B"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Library service</w:t>
            </w:r>
          </w:p>
        </w:tc>
      </w:tr>
      <w:tr w:rsidR="00AD582E" w:rsidRPr="00324C84" w14:paraId="740F610A" w14:textId="77777777" w:rsidTr="002D7D9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tcPr>
          <w:p w14:paraId="192485D9" w14:textId="77777777" w:rsidR="00AD582E" w:rsidRPr="00590838" w:rsidRDefault="001A05CF" w:rsidP="00CE5053">
            <w:pPr>
              <w:spacing w:before="40" w:after="40"/>
              <w:rPr>
                <w:sz w:val="20"/>
                <w:szCs w:val="20"/>
              </w:rPr>
            </w:pPr>
            <w:r w:rsidRPr="00590838">
              <w:rPr>
                <w:sz w:val="20"/>
                <w:szCs w:val="20"/>
              </w:rPr>
              <w:t>Pepys</w:t>
            </w:r>
            <w:r w:rsidR="00AD582E" w:rsidRPr="00590838">
              <w:rPr>
                <w:sz w:val="20"/>
                <w:szCs w:val="20"/>
              </w:rPr>
              <w:t xml:space="preserve"> Library</w:t>
            </w:r>
            <w:r w:rsidRPr="00590838">
              <w:rPr>
                <w:sz w:val="20"/>
                <w:szCs w:val="20"/>
              </w:rPr>
              <w:t>*</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3CBFF97"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Community</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A09E912" w14:textId="77777777" w:rsidR="00AD582E" w:rsidRPr="00590838" w:rsidRDefault="001A05CF"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6FD7F93"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Evelyn</w:t>
            </w:r>
          </w:p>
        </w:tc>
        <w:tc>
          <w:tcPr>
            <w:tcW w:w="1279" w:type="pct"/>
            <w:tcBorders>
              <w:top w:val="single" w:sz="4" w:space="0" w:color="FFFFFF" w:themeColor="background1"/>
              <w:bottom w:val="single" w:sz="4" w:space="0" w:color="FFFFFF" w:themeColor="background1"/>
            </w:tcBorders>
            <w:shd w:val="clear" w:color="auto" w:fill="F2F2F2" w:themeFill="background1" w:themeFillShade="F2"/>
          </w:tcPr>
          <w:p w14:paraId="14AD68DF"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Library service</w:t>
            </w:r>
          </w:p>
        </w:tc>
      </w:tr>
      <w:tr w:rsidR="00AD582E" w:rsidRPr="00324C84" w14:paraId="75B13F2E" w14:textId="77777777" w:rsidTr="002D7D92">
        <w:trPr>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tcPr>
          <w:p w14:paraId="7E81E327" w14:textId="77777777" w:rsidR="00AD582E" w:rsidRPr="00590838" w:rsidRDefault="001A05CF" w:rsidP="00CE5053">
            <w:pPr>
              <w:spacing w:before="40" w:after="40"/>
              <w:rPr>
                <w:sz w:val="20"/>
                <w:szCs w:val="20"/>
              </w:rPr>
            </w:pPr>
            <w:r w:rsidRPr="00590838">
              <w:rPr>
                <w:sz w:val="20"/>
                <w:szCs w:val="20"/>
              </w:rPr>
              <w:t xml:space="preserve">Sydenham </w:t>
            </w:r>
            <w:r w:rsidR="00AD582E" w:rsidRPr="00590838">
              <w:rPr>
                <w:sz w:val="20"/>
                <w:szCs w:val="20"/>
              </w:rPr>
              <w:t>Library</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0092C23"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Community</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801F4FE"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547</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D808B0F"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Sydenham</w:t>
            </w:r>
          </w:p>
        </w:tc>
        <w:tc>
          <w:tcPr>
            <w:tcW w:w="1279" w:type="pct"/>
            <w:tcBorders>
              <w:top w:val="single" w:sz="4" w:space="0" w:color="FFFFFF" w:themeColor="background1"/>
              <w:bottom w:val="single" w:sz="4" w:space="0" w:color="FFFFFF" w:themeColor="background1"/>
            </w:tcBorders>
            <w:shd w:val="clear" w:color="auto" w:fill="F2F2F2" w:themeFill="background1" w:themeFillShade="F2"/>
          </w:tcPr>
          <w:p w14:paraId="7CE2AB06" w14:textId="77777777" w:rsidR="00AD582E" w:rsidRPr="00590838" w:rsidRDefault="00AD582E"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590838">
              <w:rPr>
                <w:sz w:val="20"/>
                <w:szCs w:val="20"/>
              </w:rPr>
              <w:t>Library service</w:t>
            </w:r>
          </w:p>
        </w:tc>
      </w:tr>
      <w:tr w:rsidR="00AD582E" w:rsidRPr="00324C84" w14:paraId="7D9F85D2" w14:textId="77777777" w:rsidTr="002D7D9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40" w:type="pct"/>
            <w:tcBorders>
              <w:top w:val="single" w:sz="4" w:space="0" w:color="FFFFFF" w:themeColor="background1"/>
              <w:bottom w:val="single" w:sz="4" w:space="0" w:color="FFFFFF" w:themeColor="background1"/>
            </w:tcBorders>
            <w:shd w:val="clear" w:color="auto" w:fill="F2F2F2" w:themeFill="background1" w:themeFillShade="F2"/>
          </w:tcPr>
          <w:p w14:paraId="08D3D27B" w14:textId="77777777" w:rsidR="00AD582E" w:rsidRPr="00590838" w:rsidRDefault="001A05CF" w:rsidP="00CE5053">
            <w:pPr>
              <w:spacing w:before="40" w:after="40"/>
              <w:rPr>
                <w:sz w:val="20"/>
                <w:szCs w:val="20"/>
              </w:rPr>
            </w:pPr>
            <w:r w:rsidRPr="00590838">
              <w:rPr>
                <w:sz w:val="20"/>
                <w:szCs w:val="20"/>
              </w:rPr>
              <w:t xml:space="preserve">Torridon Road </w:t>
            </w:r>
            <w:r w:rsidR="00AD582E" w:rsidRPr="00590838">
              <w:rPr>
                <w:sz w:val="20"/>
                <w:szCs w:val="20"/>
              </w:rPr>
              <w:t>Library</w:t>
            </w:r>
          </w:p>
        </w:tc>
        <w:tc>
          <w:tcPr>
            <w:tcW w:w="77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59420EB"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Community</w:t>
            </w:r>
          </w:p>
        </w:tc>
        <w:tc>
          <w:tcPr>
            <w:tcW w:w="69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CFA8EBB"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433</w:t>
            </w:r>
          </w:p>
        </w:tc>
        <w:tc>
          <w:tcPr>
            <w:tcW w:w="100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A501A03"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Catford South</w:t>
            </w:r>
          </w:p>
        </w:tc>
        <w:tc>
          <w:tcPr>
            <w:tcW w:w="1279" w:type="pct"/>
            <w:tcBorders>
              <w:top w:val="single" w:sz="4" w:space="0" w:color="FFFFFF" w:themeColor="background1"/>
              <w:bottom w:val="single" w:sz="4" w:space="0" w:color="FFFFFF" w:themeColor="background1"/>
            </w:tcBorders>
            <w:shd w:val="clear" w:color="auto" w:fill="F2F2F2" w:themeFill="background1" w:themeFillShade="F2"/>
          </w:tcPr>
          <w:p w14:paraId="42BCF078" w14:textId="77777777" w:rsidR="00AD582E" w:rsidRPr="00590838" w:rsidRDefault="00AD582E"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590838">
              <w:rPr>
                <w:sz w:val="20"/>
                <w:szCs w:val="20"/>
              </w:rPr>
              <w:t>Library service</w:t>
            </w:r>
          </w:p>
        </w:tc>
      </w:tr>
    </w:tbl>
    <w:p w14:paraId="6F9C329E" w14:textId="77777777" w:rsidR="0058117F" w:rsidRDefault="0058117F" w:rsidP="00CE5053">
      <w:pPr>
        <w:pStyle w:val="Caption"/>
        <w:spacing w:before="120" w:after="120"/>
        <w:ind w:firstLine="720"/>
        <w:rPr>
          <w:i w:val="0"/>
          <w:color w:val="auto"/>
        </w:rPr>
      </w:pPr>
      <w:r w:rsidRPr="005D12F7">
        <w:rPr>
          <w:b/>
          <w:i w:val="0"/>
          <w:color w:val="auto"/>
        </w:rPr>
        <w:t xml:space="preserve">Table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6</w:t>
      </w:r>
      <w:r>
        <w:rPr>
          <w:b/>
          <w:i w:val="0"/>
          <w:color w:val="auto"/>
        </w:rPr>
        <w:fldChar w:fldCharType="end"/>
      </w:r>
      <w:r w:rsidRPr="005D12F7">
        <w:rPr>
          <w:i w:val="0"/>
          <w:color w:val="auto"/>
        </w:rPr>
        <w:t xml:space="preserve"> </w:t>
      </w:r>
      <w:r w:rsidR="00620FDA">
        <w:rPr>
          <w:i w:val="0"/>
          <w:color w:val="auto"/>
        </w:rPr>
        <w:t>Overview of library facilities in Lewisham.</w:t>
      </w:r>
    </w:p>
    <w:p w14:paraId="6ABE1AF4" w14:textId="77777777" w:rsidR="001A05CF" w:rsidRPr="00FB4C42" w:rsidRDefault="001A05CF" w:rsidP="00CE5053">
      <w:pPr>
        <w:pStyle w:val="NoSpacing"/>
        <w:spacing w:after="240"/>
        <w:ind w:left="720" w:hanging="720"/>
        <w:rPr>
          <w:rFonts w:ascii="Arial" w:hAnsi="Arial" w:cs="Arial"/>
          <w:b/>
          <w:sz w:val="18"/>
        </w:rPr>
      </w:pPr>
      <w:r w:rsidRPr="00FB4C42">
        <w:rPr>
          <w:rFonts w:ascii="Arial" w:hAnsi="Arial" w:cs="Arial"/>
          <w:sz w:val="20"/>
        </w:rPr>
        <w:tab/>
      </w:r>
      <w:r w:rsidRPr="00FB4C42">
        <w:rPr>
          <w:rFonts w:ascii="Arial" w:hAnsi="Arial" w:cs="Arial"/>
          <w:b/>
          <w:sz w:val="18"/>
        </w:rPr>
        <w:t>*</w:t>
      </w:r>
      <w:r w:rsidRPr="00FB4C42">
        <w:rPr>
          <w:rFonts w:ascii="Arial" w:hAnsi="Arial" w:cs="Arial"/>
          <w:sz w:val="18"/>
        </w:rPr>
        <w:t xml:space="preserve"> </w:t>
      </w:r>
      <w:r w:rsidRPr="00FB4C42">
        <w:rPr>
          <w:rFonts w:ascii="Arial" w:hAnsi="Arial" w:cs="Arial"/>
          <w:b/>
          <w:sz w:val="18"/>
        </w:rPr>
        <w:t>Not currently within the statutory provision.</w:t>
      </w:r>
    </w:p>
    <w:p w14:paraId="7DF0CA62" w14:textId="77777777" w:rsidR="001A05CF" w:rsidRDefault="001A05CF" w:rsidP="00CE5053">
      <w:pPr>
        <w:pStyle w:val="NoSpacing"/>
        <w:ind w:left="720" w:hanging="720"/>
        <w:rPr>
          <w:rFonts w:ascii="Arial" w:hAnsi="Arial" w:cs="Arial"/>
        </w:rPr>
      </w:pPr>
    </w:p>
    <w:p w14:paraId="746214C9" w14:textId="77777777" w:rsidR="00FB4C42" w:rsidRPr="00FB4C42" w:rsidRDefault="00970A35" w:rsidP="00CE5053">
      <w:pPr>
        <w:pStyle w:val="ListParagraph"/>
        <w:numPr>
          <w:ilvl w:val="0"/>
          <w:numId w:val="15"/>
        </w:numPr>
        <w:spacing w:after="240"/>
        <w:ind w:left="737" w:hanging="737"/>
        <w:contextualSpacing w:val="0"/>
      </w:pPr>
      <w:r w:rsidRPr="00FB4C42">
        <w:t xml:space="preserve">As of </w:t>
      </w:r>
      <w:r w:rsidR="001A05CF" w:rsidRPr="00FB4C42">
        <w:t>2018-19</w:t>
      </w:r>
      <w:r w:rsidRPr="00FB4C42">
        <w:t>, the Council’s p</w:t>
      </w:r>
      <w:r w:rsidR="00A6583F" w:rsidRPr="00FB4C42">
        <w:t>ublic librar</w:t>
      </w:r>
      <w:r w:rsidRPr="00FB4C42">
        <w:t xml:space="preserve">y service accommodated </w:t>
      </w:r>
      <w:r w:rsidR="00A6583F" w:rsidRPr="00FB4C42">
        <w:t>over 2 million visitors,</w:t>
      </w:r>
      <w:r w:rsidRPr="00FB4C42">
        <w:t xml:space="preserve"> with an average of 700</w:t>
      </w:r>
      <w:r w:rsidR="00A6583F" w:rsidRPr="00FB4C42">
        <w:t xml:space="preserve"> hours </w:t>
      </w:r>
      <w:r w:rsidRPr="00FB4C42">
        <w:t xml:space="preserve">of service provided </w:t>
      </w:r>
      <w:r w:rsidR="00A6583F" w:rsidRPr="00FB4C42">
        <w:t>per week</w:t>
      </w:r>
      <w:r w:rsidRPr="00FB4C42">
        <w:t>. Three of four libraries located within Council hubs are open seven days per week.</w:t>
      </w:r>
    </w:p>
    <w:p w14:paraId="435223CF" w14:textId="77777777" w:rsidR="001A05CF" w:rsidRPr="00FB4C42" w:rsidRDefault="001A05CF" w:rsidP="00CE5053">
      <w:pPr>
        <w:pStyle w:val="ListParagraph"/>
        <w:numPr>
          <w:ilvl w:val="0"/>
          <w:numId w:val="15"/>
        </w:numPr>
        <w:spacing w:after="240"/>
        <w:ind w:left="737" w:hanging="737"/>
        <w:contextualSpacing w:val="0"/>
      </w:pPr>
      <w:r w:rsidRPr="00FB4C42">
        <w:t>Since 2010, the library service has gone through profound transformation</w:t>
      </w:r>
      <w:r w:rsidR="00121315">
        <w:t>,</w:t>
      </w:r>
      <w:r w:rsidRPr="00FB4C42">
        <w:t xml:space="preserve"> driven </w:t>
      </w:r>
      <w:r w:rsidR="00380D7B">
        <w:t xml:space="preserve">primarily </w:t>
      </w:r>
      <w:r w:rsidRPr="00FB4C42">
        <w:t xml:space="preserve">by reduced resources that </w:t>
      </w:r>
      <w:r w:rsidR="00121315">
        <w:t xml:space="preserve">have </w:t>
      </w:r>
      <w:r w:rsidRPr="00FB4C42">
        <w:t xml:space="preserve">decreased the services budget by nearly 50%. This has </w:t>
      </w:r>
      <w:r w:rsidR="00380D7B">
        <w:t xml:space="preserve">significantly </w:t>
      </w:r>
      <w:r w:rsidRPr="00FB4C42">
        <w:t>impact</w:t>
      </w:r>
      <w:r w:rsidR="00380D7B">
        <w:t>ed</w:t>
      </w:r>
      <w:r w:rsidRPr="00FB4C42">
        <w:t xml:space="preserve"> on Council’s ability to continue to provide a reasonable level of service </w:t>
      </w:r>
      <w:r w:rsidR="00380D7B">
        <w:t>for</w:t>
      </w:r>
      <w:r w:rsidRPr="00FB4C42">
        <w:t xml:space="preserve"> </w:t>
      </w:r>
      <w:r w:rsidR="00380D7B">
        <w:t>existing</w:t>
      </w:r>
      <w:r w:rsidRPr="00FB4C42">
        <w:t xml:space="preserve"> residents, and reduced the capacity for the Council to maintain </w:t>
      </w:r>
      <w:r w:rsidR="00380D7B">
        <w:t xml:space="preserve">the physical infrastructure of Council’s library service. </w:t>
      </w:r>
    </w:p>
    <w:p w14:paraId="557CCCB0" w14:textId="77777777" w:rsidR="004919F7" w:rsidRDefault="00380D7B" w:rsidP="00CE5053">
      <w:pPr>
        <w:pStyle w:val="ListParagraph"/>
        <w:numPr>
          <w:ilvl w:val="0"/>
          <w:numId w:val="15"/>
        </w:numPr>
        <w:spacing w:after="240"/>
        <w:ind w:left="737" w:hanging="737"/>
        <w:contextualSpacing w:val="0"/>
      </w:pPr>
      <w:r>
        <w:t>Lewisham Library</w:t>
      </w:r>
      <w:r w:rsidR="00BC0655">
        <w:t xml:space="preserve">, in particular, </w:t>
      </w:r>
      <w:r>
        <w:t>has a significant backlog of building maintenance defects</w:t>
      </w:r>
      <w:r w:rsidR="004919F7">
        <w:t>,</w:t>
      </w:r>
      <w:r w:rsidR="00BC0655">
        <w:t xml:space="preserve"> </w:t>
      </w:r>
      <w:r w:rsidR="004919F7">
        <w:t>and the roof is in urgent need of repair.</w:t>
      </w:r>
      <w:r w:rsidR="00BC0655">
        <w:t xml:space="preserve"> Lewisham Archives and Local History Centre, while</w:t>
      </w:r>
      <w:r w:rsidR="00803854">
        <w:t xml:space="preserve"> being accredited by The National Archives, </w:t>
      </w:r>
      <w:r w:rsidR="00970A35">
        <w:t xml:space="preserve">is at risk </w:t>
      </w:r>
      <w:r w:rsidR="00BC0655">
        <w:t xml:space="preserve">of damage as a result of </w:t>
      </w:r>
      <w:r w:rsidR="001971FD">
        <w:t>water penetration, issues with electrical supply, and other critical building maintenance defects.</w:t>
      </w:r>
      <w:r w:rsidR="00BC0655">
        <w:t xml:space="preserve"> The Council also </w:t>
      </w:r>
      <w:r w:rsidR="00196252">
        <w:t xml:space="preserve">operates a site </w:t>
      </w:r>
      <w:r w:rsidR="00BC0655">
        <w:t>at</w:t>
      </w:r>
      <w:r w:rsidR="00196252">
        <w:t xml:space="preserve"> Hither Green, which provides storage and </w:t>
      </w:r>
      <w:r w:rsidR="00BC0655">
        <w:t>ancillary</w:t>
      </w:r>
      <w:r w:rsidR="00196252">
        <w:t xml:space="preserve"> services to support the broader library service. </w:t>
      </w:r>
      <w:r w:rsidR="00BC0655">
        <w:t>While t</w:t>
      </w:r>
      <w:r w:rsidR="00196252">
        <w:t xml:space="preserve">he site is not accessible to the general public, </w:t>
      </w:r>
      <w:r w:rsidR="00BC0655">
        <w:t xml:space="preserve">the building is also of a poor standard and requires investment to ensure its </w:t>
      </w:r>
      <w:r w:rsidR="00196252">
        <w:t>longer term use.</w:t>
      </w:r>
      <w:r w:rsidR="00AC445E">
        <w:t xml:space="preserve"> When the early draft IDP was published in March 2020, the Council had</w:t>
      </w:r>
      <w:r w:rsidR="004919F7">
        <w:t xml:space="preserve"> allocated up to £3.5m from the 2021/22 financial year to assess redevelopment options on both sites</w:t>
      </w:r>
      <w:r w:rsidR="00AC445E">
        <w:t>.</w:t>
      </w:r>
      <w:r w:rsidR="004919F7">
        <w:t xml:space="preserve"> </w:t>
      </w:r>
    </w:p>
    <w:p w14:paraId="481B4AC6" w14:textId="77777777" w:rsidR="00E70705" w:rsidRDefault="00E70705" w:rsidP="00CE5053">
      <w:pPr>
        <w:ind w:left="720" w:hanging="720"/>
        <w:rPr>
          <w:rFonts w:cs="Arial"/>
          <w:b/>
        </w:rPr>
      </w:pPr>
      <w:r>
        <w:rPr>
          <w:rFonts w:cs="Arial"/>
          <w:b/>
        </w:rPr>
        <w:tab/>
        <w:t>Forecast supply vs. demand</w:t>
      </w:r>
    </w:p>
    <w:p w14:paraId="73988665" w14:textId="77777777" w:rsidR="0072713D" w:rsidRPr="0072713D" w:rsidRDefault="0072713D" w:rsidP="00CE5053">
      <w:pPr>
        <w:ind w:left="720" w:hanging="720"/>
        <w:rPr>
          <w:i/>
        </w:rPr>
      </w:pPr>
      <w:r>
        <w:tab/>
      </w:r>
      <w:r>
        <w:rPr>
          <w:i/>
        </w:rPr>
        <w:t>Library provision</w:t>
      </w:r>
    </w:p>
    <w:p w14:paraId="5457AE53" w14:textId="77777777" w:rsidR="00CB0392" w:rsidRPr="0072713D" w:rsidRDefault="00803854" w:rsidP="00CE5053">
      <w:pPr>
        <w:pStyle w:val="ListParagraph"/>
        <w:numPr>
          <w:ilvl w:val="0"/>
          <w:numId w:val="15"/>
        </w:numPr>
        <w:spacing w:after="240"/>
        <w:ind w:left="737" w:hanging="737"/>
        <w:contextualSpacing w:val="0"/>
      </w:pPr>
      <w:r w:rsidRPr="0072713D">
        <w:t xml:space="preserve">Between 2005 and 2018 </w:t>
      </w:r>
      <w:r w:rsidR="00CB0392" w:rsidRPr="0072713D">
        <w:t>Lewisham’s</w:t>
      </w:r>
      <w:r w:rsidRPr="0072713D">
        <w:t xml:space="preserve"> population has </w:t>
      </w:r>
      <w:r w:rsidR="00196252" w:rsidRPr="0072713D">
        <w:t>increased</w:t>
      </w:r>
      <w:r w:rsidRPr="0072713D">
        <w:t xml:space="preserve"> by </w:t>
      </w:r>
      <w:r w:rsidR="00CB0392" w:rsidRPr="0072713D">
        <w:t xml:space="preserve">approximately </w:t>
      </w:r>
      <w:r w:rsidRPr="0072713D">
        <w:t>19%</w:t>
      </w:r>
      <w:r w:rsidR="00CB0392" w:rsidRPr="0072713D">
        <w:t>, however during that same period there has been no additional floor space</w:t>
      </w:r>
      <w:r w:rsidR="00415BC6" w:rsidRPr="0072713D">
        <w:t xml:space="preserve"> provided</w:t>
      </w:r>
      <w:r w:rsidR="00CB0392" w:rsidRPr="0072713D">
        <w:t xml:space="preserve"> </w:t>
      </w:r>
      <w:r w:rsidR="00415BC6" w:rsidRPr="0072713D">
        <w:t>for library services i</w:t>
      </w:r>
      <w:r w:rsidR="00CB0392" w:rsidRPr="0072713D">
        <w:t>n the borough</w:t>
      </w:r>
      <w:r w:rsidRPr="0072713D">
        <w:t xml:space="preserve">. </w:t>
      </w:r>
      <w:r w:rsidR="00B47D41" w:rsidRPr="0072713D">
        <w:t>C</w:t>
      </w:r>
      <w:r w:rsidR="00CB0392" w:rsidRPr="0072713D">
        <w:t>urrent industry benchmarks recommend that 30</w:t>
      </w:r>
      <w:r w:rsidR="00B47D41" w:rsidRPr="0072713D">
        <w:t xml:space="preserve"> square metres of library floor space</w:t>
      </w:r>
      <w:r w:rsidR="00196252" w:rsidRPr="0072713D">
        <w:t xml:space="preserve"> should </w:t>
      </w:r>
      <w:r w:rsidR="00B47D41" w:rsidRPr="0072713D">
        <w:t xml:space="preserve">be provided per 1,000 </w:t>
      </w:r>
      <w:r w:rsidR="001971FD" w:rsidRPr="0072713D">
        <w:t>residents</w:t>
      </w:r>
      <w:r w:rsidR="00B47D41" w:rsidRPr="0072713D">
        <w:t xml:space="preserve">, and 6 square metres of floor space per 1,000 </w:t>
      </w:r>
      <w:r w:rsidR="001971FD" w:rsidRPr="0072713D">
        <w:t>residents</w:t>
      </w:r>
      <w:r w:rsidR="00B47D41" w:rsidRPr="0072713D">
        <w:t xml:space="preserve"> for </w:t>
      </w:r>
      <w:r w:rsidR="00196252" w:rsidRPr="0072713D">
        <w:t>local history / archival services</w:t>
      </w:r>
      <w:r w:rsidR="00B47D41" w:rsidRPr="0072713D">
        <w:t>.</w:t>
      </w:r>
    </w:p>
    <w:p w14:paraId="07DE12E2" w14:textId="77777777" w:rsidR="00937B0E" w:rsidRPr="0072713D" w:rsidRDefault="00937B0E" w:rsidP="00CE5053">
      <w:pPr>
        <w:pStyle w:val="ListParagraph"/>
        <w:numPr>
          <w:ilvl w:val="0"/>
          <w:numId w:val="15"/>
        </w:numPr>
        <w:spacing w:after="240"/>
        <w:ind w:left="737" w:hanging="737"/>
        <w:contextualSpacing w:val="0"/>
      </w:pPr>
      <w:r w:rsidRPr="0072713D">
        <w:t xml:space="preserve">Based on forecasting undertaken in 2018, the Council </w:t>
      </w:r>
      <w:r w:rsidR="0072713D">
        <w:t xml:space="preserve">had an estimated </w:t>
      </w:r>
      <w:r w:rsidRPr="0072713D">
        <w:t xml:space="preserve">deficit of 3,105 square metres of hub library floor space. To redress this undersupply, Council would need to increase the floor space provision for hub libraries by approximately 34% to adequately meet the needs of Lewisham’s residents against the industry benchmark. </w:t>
      </w:r>
    </w:p>
    <w:p w14:paraId="53322344" w14:textId="77777777" w:rsidR="002E1EB9" w:rsidRDefault="002E1EB9" w:rsidP="00CE5053">
      <w:pPr>
        <w:pStyle w:val="ListParagraph"/>
        <w:numPr>
          <w:ilvl w:val="0"/>
          <w:numId w:val="15"/>
        </w:numPr>
        <w:spacing w:after="240"/>
        <w:ind w:left="737" w:hanging="737"/>
        <w:contextualSpacing w:val="0"/>
      </w:pPr>
      <w:r w:rsidRPr="0072713D">
        <w:t xml:space="preserve">If no further action is taken, the borough will have a deficit of approximately 4,818 square metres of hub library floor space by 2040. This would require an increase of provision by approximately 44% to meet projected resident need. In this scenario, Lewisham’s network of </w:t>
      </w:r>
      <w:r w:rsidRPr="0072713D">
        <w:lastRenderedPageBreak/>
        <w:t>community libraries would not be able to meet the shortfall in supply, with a net deficit of 1,802 square metres of library floor space across the borough</w:t>
      </w:r>
      <w:r w:rsidR="0072713D" w:rsidRPr="0072713D">
        <w:t>.</w:t>
      </w:r>
    </w:p>
    <w:p w14:paraId="74EA955B" w14:textId="77777777" w:rsidR="0072713D" w:rsidRPr="0072713D" w:rsidRDefault="0072713D" w:rsidP="00CE5053">
      <w:pPr>
        <w:ind w:left="720" w:hanging="720"/>
        <w:rPr>
          <w:i/>
        </w:rPr>
      </w:pPr>
      <w:r>
        <w:tab/>
      </w:r>
      <w:r w:rsidR="00E70705">
        <w:rPr>
          <w:i/>
        </w:rPr>
        <w:t>Archival</w:t>
      </w:r>
      <w:r>
        <w:rPr>
          <w:i/>
        </w:rPr>
        <w:t xml:space="preserve"> provision</w:t>
      </w:r>
    </w:p>
    <w:p w14:paraId="3535D37D" w14:textId="77777777" w:rsidR="00734FD2" w:rsidRDefault="00E70705" w:rsidP="00CE5053">
      <w:pPr>
        <w:pStyle w:val="ListParagraph"/>
        <w:numPr>
          <w:ilvl w:val="0"/>
          <w:numId w:val="15"/>
        </w:numPr>
        <w:spacing w:after="240"/>
        <w:ind w:left="737" w:hanging="737"/>
        <w:contextualSpacing w:val="0"/>
      </w:pPr>
      <w:r w:rsidRPr="0072713D">
        <w:t>Based on forecasting undertaken in 2018,</w:t>
      </w:r>
      <w:r w:rsidR="0072713D">
        <w:t xml:space="preserve"> </w:t>
      </w:r>
      <w:r w:rsidR="0072713D" w:rsidRPr="0072713D">
        <w:t xml:space="preserve">in </w:t>
      </w:r>
      <w:r>
        <w:t>t</w:t>
      </w:r>
      <w:r w:rsidR="0072713D" w:rsidRPr="0072713D">
        <w:t xml:space="preserve">he Council </w:t>
      </w:r>
      <w:r w:rsidR="0072713D">
        <w:t xml:space="preserve">had an estimated </w:t>
      </w:r>
      <w:r w:rsidR="0072713D" w:rsidRPr="0072713D">
        <w:t xml:space="preserve">deficit of approximately </w:t>
      </w:r>
      <w:r>
        <w:t>1</w:t>
      </w:r>
      <w:r w:rsidR="0072713D" w:rsidRPr="0072713D">
        <w:t>,</w:t>
      </w:r>
      <w:r>
        <w:t>012</w:t>
      </w:r>
      <w:r w:rsidR="0072713D" w:rsidRPr="0072713D">
        <w:t xml:space="preserve"> square metres of </w:t>
      </w:r>
      <w:r>
        <w:t>floor space for local archives. To meet current need</w:t>
      </w:r>
      <w:r w:rsidR="006410EE">
        <w:t>,</w:t>
      </w:r>
      <w:r w:rsidRPr="0072713D">
        <w:t xml:space="preserve"> </w:t>
      </w:r>
      <w:r w:rsidR="006410EE">
        <w:t xml:space="preserve">the </w:t>
      </w:r>
      <w:r w:rsidRPr="0072713D">
        <w:t xml:space="preserve">Council would need to increase the floor space provision for </w:t>
      </w:r>
      <w:r>
        <w:t xml:space="preserve">local archives </w:t>
      </w:r>
      <w:r w:rsidRPr="0072713D">
        <w:t xml:space="preserve">by approximately </w:t>
      </w:r>
      <w:r>
        <w:t>55</w:t>
      </w:r>
      <w:r w:rsidRPr="0072713D">
        <w:t xml:space="preserve">% </w:t>
      </w:r>
      <w:r>
        <w:t>against industry benchmarking. If no action were to be taken, this would increase to a deficit of 1,354 square metres by 2040. There are currently no other services in the borough that are able to offset the Council’s need for archival floor space requirements.</w:t>
      </w:r>
    </w:p>
    <w:p w14:paraId="7D3C957E" w14:textId="77777777" w:rsidR="00E70705" w:rsidRDefault="00E70705" w:rsidP="00CE5053">
      <w:pPr>
        <w:ind w:left="720"/>
        <w:rPr>
          <w:rFonts w:cs="Arial"/>
          <w:b/>
        </w:rPr>
      </w:pPr>
      <w:r w:rsidRPr="008B3869">
        <w:rPr>
          <w:rFonts w:cs="Arial"/>
          <w:b/>
        </w:rPr>
        <w:t>Future requirement</w:t>
      </w:r>
    </w:p>
    <w:p w14:paraId="14BE5521" w14:textId="77777777" w:rsidR="00EA74C3" w:rsidRPr="00FD6792" w:rsidRDefault="00FF189F" w:rsidP="00CE5053">
      <w:pPr>
        <w:pStyle w:val="ListParagraph"/>
        <w:numPr>
          <w:ilvl w:val="0"/>
          <w:numId w:val="15"/>
        </w:numPr>
        <w:spacing w:after="240"/>
        <w:ind w:left="737" w:hanging="737"/>
        <w:contextualSpacing w:val="0"/>
      </w:pPr>
      <w:r w:rsidRPr="00FD6792">
        <w:t>The Council</w:t>
      </w:r>
      <w:r w:rsidR="00E70705" w:rsidRPr="00FD6792">
        <w:t>’s ability to address this deficit has been hampered over the last decade by the impacts of austerity cuts to local authorities, impacting on Council’s ability to maintain current services before considering the provision of new community infrastructure.</w:t>
      </w:r>
    </w:p>
    <w:p w14:paraId="28F9E398" w14:textId="77777777" w:rsidR="009A04DC" w:rsidRDefault="00EA74C3" w:rsidP="00CE5053">
      <w:pPr>
        <w:pStyle w:val="ListParagraph"/>
        <w:numPr>
          <w:ilvl w:val="0"/>
          <w:numId w:val="15"/>
        </w:numPr>
        <w:spacing w:after="240"/>
        <w:ind w:left="737" w:hanging="737"/>
        <w:contextualSpacing w:val="0"/>
      </w:pPr>
      <w:r w:rsidRPr="00E70705">
        <w:t>There is an urgent need to invest in the repair of Lewisham Library in the short term</w:t>
      </w:r>
      <w:r w:rsidR="001503E3" w:rsidRPr="00E70705">
        <w:t xml:space="preserve"> to address a number of building maintenance issues</w:t>
      </w:r>
      <w:r w:rsidRPr="00E70705">
        <w:t>, or alternately relocate existing services to a new temporary location to allow for a comprehensive redevelopment of the current site.</w:t>
      </w:r>
      <w:r w:rsidR="000837F9" w:rsidRPr="00E70705">
        <w:t xml:space="preserve"> The Library Resource Centre in Hither Green, which is an off-site facility that supports the operation of the borough’s library, local history and archival services, also requires urgent repair in the short term to protect</w:t>
      </w:r>
      <w:r w:rsidR="00041C8A" w:rsidRPr="00E70705">
        <w:t xml:space="preserve"> its ongoing function</w:t>
      </w:r>
      <w:r w:rsidR="00E70705">
        <w:t xml:space="preserve">. </w:t>
      </w:r>
    </w:p>
    <w:p w14:paraId="47B6D245" w14:textId="77777777" w:rsidR="00734FD2" w:rsidRPr="00E70705" w:rsidRDefault="00EA74C3" w:rsidP="00CE5053">
      <w:pPr>
        <w:pStyle w:val="ListParagraph"/>
        <w:numPr>
          <w:ilvl w:val="0"/>
          <w:numId w:val="15"/>
        </w:numPr>
        <w:spacing w:after="240"/>
        <w:ind w:left="737" w:hanging="737"/>
        <w:contextualSpacing w:val="0"/>
      </w:pPr>
      <w:r w:rsidRPr="00E70705">
        <w:t xml:space="preserve">The Council are </w:t>
      </w:r>
      <w:r w:rsidR="001503E3" w:rsidRPr="00E70705">
        <w:t>currently undertaking a review to determine the</w:t>
      </w:r>
      <w:r w:rsidR="000837F9" w:rsidRPr="00E70705">
        <w:t xml:space="preserve"> </w:t>
      </w:r>
      <w:r w:rsidR="000E4F08">
        <w:t xml:space="preserve">longer term management of </w:t>
      </w:r>
      <w:r w:rsidR="000837F9" w:rsidRPr="00E70705">
        <w:t>both sites</w:t>
      </w:r>
      <w:r w:rsidR="006D798D">
        <w:t>, with one option under consideration involving the relocation of Lewisham Library to a temporary site</w:t>
      </w:r>
      <w:r w:rsidR="000E4F08">
        <w:t xml:space="preserve"> to </w:t>
      </w:r>
      <w:r w:rsidR="006D798D">
        <w:t>allowing for the redevelopment and re-provision of the library at its present location. Re-provision of library services as part of a new development may also allow for the functions performed at the Hither Green site to be integrated at the new Lewisham Library. It is expected that future iterations of this document will outline Council’s approach once a preferred option has been endorsed</w:t>
      </w:r>
    </w:p>
    <w:p w14:paraId="74C8BF0A" w14:textId="77777777" w:rsidR="001503E3" w:rsidRPr="008B3869" w:rsidRDefault="001503E3" w:rsidP="00CE5053">
      <w:pPr>
        <w:pStyle w:val="ListParagraph"/>
        <w:numPr>
          <w:ilvl w:val="0"/>
          <w:numId w:val="15"/>
        </w:numPr>
        <w:spacing w:after="240"/>
        <w:ind w:left="737" w:hanging="737"/>
        <w:contextualSpacing w:val="0"/>
      </w:pPr>
      <w:bookmarkStart w:id="27" w:name="_Ref26356055"/>
      <w:r w:rsidRPr="008B3869">
        <w:t xml:space="preserve">Council will </w:t>
      </w:r>
      <w:r w:rsidR="000837F9" w:rsidRPr="008B3869">
        <w:t xml:space="preserve">also need to </w:t>
      </w:r>
      <w:r w:rsidRPr="008B3869">
        <w:t xml:space="preserve">re-provide existing library services </w:t>
      </w:r>
      <w:r w:rsidR="000837F9" w:rsidRPr="008B3869">
        <w:t xml:space="preserve">at Laurence House in a new civic building </w:t>
      </w:r>
      <w:r w:rsidRPr="008B3869">
        <w:t xml:space="preserve">as part of the regeneration </w:t>
      </w:r>
      <w:r w:rsidR="000837F9" w:rsidRPr="008B3869">
        <w:t>of the Catford Town Centre</w:t>
      </w:r>
      <w:r w:rsidRPr="008B3869">
        <w:t>.</w:t>
      </w:r>
      <w:r w:rsidR="000837F9" w:rsidRPr="008B3869">
        <w:t xml:space="preserve"> </w:t>
      </w:r>
      <w:r w:rsidR="006D798D">
        <w:t xml:space="preserve">This re-provision will be considered as part of the Catford Town Centre Masterplan, with further consultation </w:t>
      </w:r>
      <w:r w:rsidR="009A04DC">
        <w:t>due to commence</w:t>
      </w:r>
      <w:r w:rsidR="006D798D">
        <w:t xml:space="preserve"> in 2020.</w:t>
      </w:r>
      <w:r w:rsidRPr="008B3869">
        <w:t xml:space="preserve"> </w:t>
      </w:r>
    </w:p>
    <w:bookmarkEnd w:id="27"/>
    <w:p w14:paraId="7892ED3B" w14:textId="77777777" w:rsidR="00734FD2" w:rsidRPr="008B3869" w:rsidRDefault="000837F9" w:rsidP="00CE5053">
      <w:pPr>
        <w:pStyle w:val="ListParagraph"/>
        <w:numPr>
          <w:ilvl w:val="0"/>
          <w:numId w:val="15"/>
        </w:numPr>
        <w:spacing w:after="240"/>
        <w:ind w:left="737" w:hanging="737"/>
        <w:contextualSpacing w:val="0"/>
        <w:sectPr w:rsidR="00734FD2" w:rsidRPr="008B3869" w:rsidSect="007B10F6">
          <w:pgSz w:w="11907" w:h="16839" w:code="9"/>
          <w:pgMar w:top="1440" w:right="1080" w:bottom="1440" w:left="1080" w:header="708" w:footer="708" w:gutter="0"/>
          <w:pgBorders w:offsetFrom="page">
            <w:top w:val="single" w:sz="4" w:space="24" w:color="FFFFFF" w:themeColor="background1"/>
            <w:bottom w:val="single" w:sz="4" w:space="24" w:color="FFFFFF" w:themeColor="background1"/>
          </w:pgBorders>
          <w:cols w:space="708"/>
          <w:docGrid w:linePitch="360"/>
        </w:sectPr>
      </w:pPr>
      <w:r w:rsidRPr="008B3869">
        <w:t>It has been further identified that a</w:t>
      </w:r>
      <w:r w:rsidR="00734FD2" w:rsidRPr="008B3869">
        <w:t>ny development</w:t>
      </w:r>
      <w:r w:rsidR="001C4CA2">
        <w:t xml:space="preserve"> in the northern part of the borough, particularly in more intensive and </w:t>
      </w:r>
      <w:r w:rsidR="00734FD2" w:rsidRPr="008B3869">
        <w:t xml:space="preserve">high rise developments </w:t>
      </w:r>
      <w:r w:rsidR="001C4CA2">
        <w:t xml:space="preserve">should consider the provision of additional library floor space </w:t>
      </w:r>
      <w:r w:rsidR="00734FD2" w:rsidRPr="008B3869">
        <w:t>to serv</w:t>
      </w:r>
      <w:r w:rsidR="001C4CA2">
        <w:t>ic</w:t>
      </w:r>
      <w:r w:rsidR="00734FD2" w:rsidRPr="008B3869">
        <w:t>e incoming populations.</w:t>
      </w:r>
      <w:r w:rsidR="001C4CA2">
        <w:t xml:space="preserve"> Acceptable approaches include the integration of library space in other community facilities or hub space.</w:t>
      </w:r>
    </w:p>
    <w:p w14:paraId="1E2E28BB" w14:textId="77777777" w:rsidR="00803854" w:rsidRDefault="0071357A" w:rsidP="00CE5053">
      <w:pPr>
        <w:pStyle w:val="Heading3"/>
      </w:pPr>
      <w:bookmarkStart w:id="28" w:name="_Toc56146018"/>
      <w:r>
        <w:lastRenderedPageBreak/>
        <w:t xml:space="preserve">Strategic infrastructure </w:t>
      </w:r>
      <w:r w:rsidR="00803854" w:rsidRPr="006D2741">
        <w:t xml:space="preserve">list for </w:t>
      </w:r>
      <w:r>
        <w:t>L</w:t>
      </w:r>
      <w:r w:rsidR="00803854" w:rsidRPr="006D2741">
        <w:t>ibrary facilities</w:t>
      </w:r>
      <w:r>
        <w:t>, Archives and Local History</w:t>
      </w:r>
      <w:bookmarkEnd w:id="28"/>
    </w:p>
    <w:tbl>
      <w:tblPr>
        <w:tblStyle w:val="ListTable3-Accent32"/>
        <w:tblW w:w="4815" w:type="pct"/>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Strategic infrastructure list for library facilities"/>
      </w:tblPr>
      <w:tblGrid>
        <w:gridCol w:w="2266"/>
        <w:gridCol w:w="1697"/>
        <w:gridCol w:w="5744"/>
        <w:gridCol w:w="2334"/>
        <w:gridCol w:w="842"/>
        <w:gridCol w:w="8"/>
        <w:gridCol w:w="822"/>
        <w:gridCol w:w="842"/>
        <w:gridCol w:w="863"/>
        <w:gridCol w:w="1238"/>
        <w:gridCol w:w="984"/>
        <w:gridCol w:w="1076"/>
        <w:gridCol w:w="1439"/>
      </w:tblGrid>
      <w:tr w:rsidR="000C6BE5" w:rsidRPr="00356AF3" w14:paraId="5B9B6495"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30DD8DDB" w14:textId="77777777" w:rsidR="000C6BE5" w:rsidRPr="00356AF3" w:rsidRDefault="000C6BE5" w:rsidP="00CE5053">
            <w:pPr>
              <w:spacing w:before="40" w:after="40"/>
              <w:rPr>
                <w:b w:val="0"/>
                <w:bCs w:val="0"/>
                <w:sz w:val="18"/>
                <w:szCs w:val="18"/>
              </w:rPr>
            </w:pPr>
            <w:r w:rsidRPr="00356AF3">
              <w:rPr>
                <w:sz w:val="18"/>
                <w:szCs w:val="18"/>
              </w:rPr>
              <w:t>Planned provision</w:t>
            </w:r>
          </w:p>
        </w:tc>
        <w:tc>
          <w:tcPr>
            <w:tcW w:w="421"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13851C7C"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Proposed location</w:t>
            </w:r>
          </w:p>
        </w:tc>
        <w:tc>
          <w:tcPr>
            <w:tcW w:w="1425"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53DD85E"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356AF3">
              <w:rPr>
                <w:bCs w:val="0"/>
                <w:sz w:val="18"/>
                <w:szCs w:val="18"/>
              </w:rPr>
              <w:t xml:space="preserve">Description of </w:t>
            </w:r>
            <w:r w:rsidRPr="00356AF3">
              <w:rPr>
                <w:bCs w:val="0"/>
                <w:noProof/>
                <w:sz w:val="18"/>
                <w:szCs w:val="18"/>
              </w:rPr>
              <w:t>project/proposal</w:t>
            </w:r>
          </w:p>
        </w:tc>
        <w:tc>
          <w:tcPr>
            <w:tcW w:w="579"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3C11ACD6"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356AF3">
              <w:rPr>
                <w:bCs w:val="0"/>
                <w:sz w:val="18"/>
                <w:szCs w:val="18"/>
              </w:rPr>
              <w:t>Project lead (and delivery partners)</w:t>
            </w:r>
          </w:p>
        </w:tc>
        <w:tc>
          <w:tcPr>
            <w:tcW w:w="838"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44E00DC"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Indicative timescale</w:t>
            </w:r>
          </w:p>
        </w:tc>
        <w:tc>
          <w:tcPr>
            <w:tcW w:w="30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4841C72"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Total cost (indicative)</w:t>
            </w:r>
          </w:p>
        </w:tc>
        <w:tc>
          <w:tcPr>
            <w:tcW w:w="24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9353329"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Total funding available</w:t>
            </w:r>
          </w:p>
        </w:tc>
        <w:tc>
          <w:tcPr>
            <w:tcW w:w="26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199FAE2D"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8"/>
              </w:rPr>
            </w:pPr>
            <w:r w:rsidRPr="00356AF3">
              <w:rPr>
                <w:sz w:val="18"/>
                <w:szCs w:val="18"/>
              </w:rPr>
              <w:t>Funding gap</w:t>
            </w:r>
          </w:p>
        </w:tc>
        <w:tc>
          <w:tcPr>
            <w:tcW w:w="357" w:type="pct"/>
            <w:vMerge w:val="restart"/>
            <w:tcBorders>
              <w:top w:val="single" w:sz="4" w:space="0" w:color="FFFFFF" w:themeColor="background1"/>
              <w:left w:val="single" w:sz="4" w:space="0" w:color="FFFFFF" w:themeColor="background1"/>
              <w:right w:val="nil"/>
            </w:tcBorders>
            <w:shd w:val="clear" w:color="auto" w:fill="002060"/>
          </w:tcPr>
          <w:p w14:paraId="78E7E9CE"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Prioritisation</w:t>
            </w:r>
          </w:p>
          <w:p w14:paraId="1B1244EF"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(3) Critical</w:t>
            </w:r>
          </w:p>
          <w:p w14:paraId="6AD841C9"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(2) Essential</w:t>
            </w:r>
          </w:p>
          <w:p w14:paraId="7856D075"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(1) Important</w:t>
            </w:r>
          </w:p>
        </w:tc>
      </w:tr>
      <w:tr w:rsidR="00CD1374" w:rsidRPr="00356AF3" w14:paraId="5E33DB41"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4BA3426" w14:textId="77777777" w:rsidR="000C6BE5" w:rsidRPr="00356AF3" w:rsidRDefault="000C6BE5" w:rsidP="00CE5053">
            <w:pPr>
              <w:spacing w:before="40" w:after="40"/>
              <w:rPr>
                <w:sz w:val="18"/>
                <w:szCs w:val="18"/>
              </w:rPr>
            </w:pPr>
          </w:p>
        </w:tc>
        <w:tc>
          <w:tcPr>
            <w:tcW w:w="421"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175D53C2"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1425"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7DB1D1D4"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p>
        </w:tc>
        <w:tc>
          <w:tcPr>
            <w:tcW w:w="579"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0841E4F5"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p>
        </w:tc>
        <w:tc>
          <w:tcPr>
            <w:tcW w:w="2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26FCFF2"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2020/25</w:t>
            </w:r>
          </w:p>
        </w:tc>
        <w:tc>
          <w:tcPr>
            <w:tcW w:w="2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1CED8FE"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2025/30</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8C0FF70"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2030/35</w:t>
            </w: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A8D2A1C"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2035/40</w:t>
            </w:r>
          </w:p>
        </w:tc>
        <w:tc>
          <w:tcPr>
            <w:tcW w:w="30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711A9A35"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244"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EE333D4"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26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0D6BC734"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357" w:type="pct"/>
            <w:vMerge/>
            <w:tcBorders>
              <w:left w:val="single" w:sz="4" w:space="0" w:color="FFFFFF" w:themeColor="background1"/>
              <w:bottom w:val="single" w:sz="4" w:space="0" w:color="FFFFFF" w:themeColor="background1"/>
              <w:right w:val="nil"/>
            </w:tcBorders>
            <w:shd w:val="clear" w:color="auto" w:fill="333399"/>
          </w:tcPr>
          <w:p w14:paraId="34A104AC"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r>
      <w:tr w:rsidR="000C6BE5" w:rsidRPr="00356AF3" w14:paraId="5C05D5B1" w14:textId="77777777" w:rsidTr="0064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2F7E024" w14:textId="77777777" w:rsidR="000C6BE5" w:rsidRPr="00356AF3" w:rsidRDefault="000C6BE5" w:rsidP="00CE5053">
            <w:pPr>
              <w:spacing w:before="40" w:after="40"/>
              <w:rPr>
                <w:sz w:val="18"/>
                <w:szCs w:val="18"/>
              </w:rPr>
            </w:pPr>
            <w:r w:rsidRPr="00356AF3">
              <w:rPr>
                <w:sz w:val="18"/>
                <w:szCs w:val="18"/>
              </w:rPr>
              <w:t>Redevelopment of the Lewisham Library site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3BAF925"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Lewisham</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EB6ACE"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Replace</w:t>
            </w:r>
            <w:r w:rsidR="00A46865" w:rsidRPr="00356AF3">
              <w:rPr>
                <w:sz w:val="18"/>
                <w:szCs w:val="18"/>
              </w:rPr>
              <w:t>ment</w:t>
            </w:r>
            <w:r w:rsidRPr="00356AF3">
              <w:rPr>
                <w:sz w:val="18"/>
                <w:szCs w:val="18"/>
              </w:rPr>
              <w:t xml:space="preserve"> or refurbish</w:t>
            </w:r>
            <w:r w:rsidR="00A46865" w:rsidRPr="00356AF3">
              <w:rPr>
                <w:sz w:val="18"/>
                <w:szCs w:val="18"/>
              </w:rPr>
              <w:t>ment</w:t>
            </w:r>
            <w:r w:rsidRPr="00356AF3">
              <w:rPr>
                <w:sz w:val="18"/>
                <w:szCs w:val="18"/>
              </w:rPr>
              <w:t xml:space="preserve"> </w:t>
            </w:r>
            <w:r w:rsidR="00A46865" w:rsidRPr="00356AF3">
              <w:rPr>
                <w:sz w:val="18"/>
                <w:szCs w:val="18"/>
              </w:rPr>
              <w:t xml:space="preserve">of current library to ensure long-term provision of service and the protection of archives. </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3C4D48"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LB Lewisham</w:t>
            </w:r>
          </w:p>
        </w:tc>
        <w:tc>
          <w:tcPr>
            <w:tcW w:w="2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3A5489"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X</w:t>
            </w:r>
          </w:p>
        </w:tc>
        <w:tc>
          <w:tcPr>
            <w:tcW w:w="2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4B4F84"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ABDC09"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82752B"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AE2FD1"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BACBC0" w14:textId="77777777" w:rsidR="000C6BE5" w:rsidRPr="00356AF3" w:rsidRDefault="00712B8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£3.5m</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9A8D0F"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2176D0"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3</w:t>
            </w:r>
          </w:p>
        </w:tc>
      </w:tr>
      <w:tr w:rsidR="000C6BE5" w:rsidRPr="00356AF3" w14:paraId="2DC98B92" w14:textId="77777777" w:rsidTr="006410EE">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733E04" w14:textId="77777777" w:rsidR="000C6BE5" w:rsidRPr="00356AF3" w:rsidRDefault="000C6BE5" w:rsidP="00CE5053">
            <w:pPr>
              <w:spacing w:before="40" w:after="40"/>
              <w:rPr>
                <w:sz w:val="18"/>
                <w:szCs w:val="18"/>
              </w:rPr>
            </w:pPr>
            <w:r w:rsidRPr="00356AF3">
              <w:rPr>
                <w:sz w:val="18"/>
                <w:szCs w:val="18"/>
              </w:rPr>
              <w:t>Redevelopment of the Library Resources Centre (LRC)</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580C9D9"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356AF3">
              <w:rPr>
                <w:sz w:val="18"/>
                <w:szCs w:val="18"/>
              </w:rPr>
              <w:t>Hither Green</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53F437F" w14:textId="77777777" w:rsidR="000C6BE5" w:rsidRPr="00356AF3" w:rsidRDefault="00A4686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356AF3">
              <w:rPr>
                <w:sz w:val="18"/>
                <w:szCs w:val="18"/>
              </w:rPr>
              <w:t>Refurbishment to ensure long-term function of building, or relocation of</w:t>
            </w:r>
            <w:r w:rsidR="000C6BE5" w:rsidRPr="00356AF3">
              <w:rPr>
                <w:sz w:val="18"/>
                <w:szCs w:val="18"/>
              </w:rPr>
              <w:t xml:space="preserve"> current provision to </w:t>
            </w:r>
            <w:r w:rsidRPr="00356AF3">
              <w:rPr>
                <w:sz w:val="18"/>
                <w:szCs w:val="18"/>
              </w:rPr>
              <w:t>a</w:t>
            </w:r>
            <w:r w:rsidR="000C6BE5" w:rsidRPr="00356AF3">
              <w:rPr>
                <w:sz w:val="18"/>
                <w:szCs w:val="18"/>
              </w:rPr>
              <w:t xml:space="preserve"> new </w:t>
            </w:r>
            <w:r w:rsidRPr="00356AF3">
              <w:rPr>
                <w:sz w:val="18"/>
                <w:szCs w:val="18"/>
              </w:rPr>
              <w:t>Lewisham Library site.</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11DF66"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LB Lewisham</w:t>
            </w:r>
          </w:p>
        </w:tc>
        <w:tc>
          <w:tcPr>
            <w:tcW w:w="21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3D233C"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X</w:t>
            </w:r>
          </w:p>
        </w:tc>
        <w:tc>
          <w:tcPr>
            <w:tcW w:w="2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CA203BD"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EB5C65"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EFE50A"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E7A48D"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789C5F"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F4D8A"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CCB594"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2</w:t>
            </w:r>
          </w:p>
        </w:tc>
      </w:tr>
      <w:tr w:rsidR="000C6BE5" w:rsidRPr="00356AF3" w14:paraId="72B50363" w14:textId="77777777" w:rsidTr="0064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9CCC92A" w14:textId="77777777" w:rsidR="000C6BE5" w:rsidRPr="00356AF3" w:rsidRDefault="000C6BE5" w:rsidP="00CE5053">
            <w:pPr>
              <w:spacing w:before="40" w:after="40"/>
              <w:rPr>
                <w:sz w:val="18"/>
                <w:szCs w:val="18"/>
              </w:rPr>
            </w:pPr>
            <w:r w:rsidRPr="00356AF3">
              <w:rPr>
                <w:sz w:val="18"/>
                <w:szCs w:val="18"/>
              </w:rPr>
              <w:t>Redevelopment of the Grove Park Library and nursery site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BB49959" w14:textId="77777777" w:rsidR="000C6BE5" w:rsidRPr="00356AF3" w:rsidRDefault="0023714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Grove Park</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A097EDF"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 xml:space="preserve">Replace the current library </w:t>
            </w:r>
            <w:r w:rsidR="00237149" w:rsidRPr="00356AF3">
              <w:rPr>
                <w:sz w:val="18"/>
                <w:szCs w:val="18"/>
              </w:rPr>
              <w:t>and nursery with a new building.</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03DFD0"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LB Lewisham</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FC8BD3B"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X</w:t>
            </w:r>
          </w:p>
        </w:tc>
        <w:tc>
          <w:tcPr>
            <w:tcW w:w="20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360855" w14:textId="77777777" w:rsidR="000C6BE5" w:rsidRPr="00356AF3" w:rsidRDefault="008C326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D1216F"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17F98F"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5CCD89"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235953"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734704"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B20A0C" w14:textId="77777777" w:rsidR="000C6BE5" w:rsidRPr="00356AF3" w:rsidRDefault="000C6BE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1</w:t>
            </w:r>
          </w:p>
        </w:tc>
      </w:tr>
      <w:tr w:rsidR="006013E7" w:rsidRPr="00356AF3" w14:paraId="21D28EA4" w14:textId="77777777" w:rsidTr="006410EE">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9FC19EC" w14:textId="77777777" w:rsidR="006013E7" w:rsidRPr="00356AF3" w:rsidRDefault="00237149" w:rsidP="00CE5053">
            <w:pPr>
              <w:spacing w:before="40" w:after="40"/>
              <w:rPr>
                <w:sz w:val="18"/>
                <w:szCs w:val="18"/>
              </w:rPr>
            </w:pPr>
            <w:r w:rsidRPr="00356AF3">
              <w:rPr>
                <w:sz w:val="18"/>
                <w:szCs w:val="18"/>
              </w:rPr>
              <w:t>Additional library floor space provision integrated</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A95275" w14:textId="77777777" w:rsidR="006013E7" w:rsidRPr="00356AF3" w:rsidRDefault="0023714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Convoys Wharf</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327D578" w14:textId="77777777" w:rsidR="006013E7" w:rsidRPr="00356AF3" w:rsidRDefault="00E2428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Library</w:t>
            </w:r>
            <w:r w:rsidR="006013E7" w:rsidRPr="00356AF3">
              <w:rPr>
                <w:sz w:val="18"/>
                <w:szCs w:val="18"/>
              </w:rPr>
              <w:t xml:space="preserve"> provision within </w:t>
            </w:r>
            <w:r w:rsidR="00237149" w:rsidRPr="00356AF3">
              <w:rPr>
                <w:sz w:val="18"/>
                <w:szCs w:val="18"/>
              </w:rPr>
              <w:t xml:space="preserve">new </w:t>
            </w:r>
            <w:r w:rsidR="006013E7" w:rsidRPr="00356AF3">
              <w:rPr>
                <w:sz w:val="18"/>
                <w:szCs w:val="18"/>
              </w:rPr>
              <w:t>civic /</w:t>
            </w:r>
            <w:r w:rsidRPr="00356AF3">
              <w:rPr>
                <w:sz w:val="18"/>
                <w:szCs w:val="18"/>
              </w:rPr>
              <w:t>cultural</w:t>
            </w:r>
            <w:r w:rsidR="006013E7" w:rsidRPr="00356AF3">
              <w:rPr>
                <w:sz w:val="18"/>
                <w:szCs w:val="18"/>
              </w:rPr>
              <w:t xml:space="preserve"> space</w:t>
            </w:r>
            <w:r w:rsidR="00237149" w:rsidRPr="00356AF3">
              <w:rPr>
                <w:sz w:val="18"/>
                <w:szCs w:val="18"/>
              </w:rPr>
              <w:t>.</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C5C43B" w14:textId="77777777" w:rsidR="006013E7" w:rsidRPr="00356AF3" w:rsidRDefault="0023714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LB Lewisham</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129FD4" w14:textId="77777777" w:rsidR="006013E7" w:rsidRPr="00356AF3" w:rsidRDefault="0023714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X</w:t>
            </w:r>
          </w:p>
        </w:tc>
        <w:tc>
          <w:tcPr>
            <w:tcW w:w="20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9C4941" w14:textId="77777777" w:rsidR="006013E7" w:rsidRPr="00356AF3" w:rsidRDefault="0023714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223B45" w14:textId="77777777" w:rsidR="006013E7" w:rsidRPr="00356AF3" w:rsidRDefault="006013E7"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9CD7A1" w14:textId="77777777" w:rsidR="006013E7" w:rsidRPr="00356AF3" w:rsidRDefault="006013E7"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B56EDA" w14:textId="77777777" w:rsidR="006013E7" w:rsidRPr="00356AF3" w:rsidRDefault="0023714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6AAF36" w14:textId="77777777" w:rsidR="006013E7" w:rsidRPr="00356AF3" w:rsidRDefault="0023714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2FEB2E" w14:textId="77777777" w:rsidR="006013E7" w:rsidRPr="00356AF3" w:rsidRDefault="0023714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9FAAB8" w14:textId="77777777" w:rsidR="006013E7" w:rsidRPr="00356AF3" w:rsidRDefault="0023714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1</w:t>
            </w:r>
          </w:p>
        </w:tc>
      </w:tr>
      <w:tr w:rsidR="006013E7" w:rsidRPr="00356AF3" w14:paraId="2D25457C" w14:textId="77777777" w:rsidTr="0064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E5073CE" w14:textId="77777777" w:rsidR="006013E7" w:rsidRPr="00356AF3" w:rsidRDefault="006013E7" w:rsidP="00CE5053">
            <w:pPr>
              <w:spacing w:before="40" w:after="40"/>
              <w:rPr>
                <w:sz w:val="18"/>
                <w:szCs w:val="18"/>
              </w:rPr>
            </w:pPr>
            <w:r w:rsidRPr="00356AF3">
              <w:rPr>
                <w:sz w:val="18"/>
                <w:szCs w:val="18"/>
              </w:rPr>
              <w:t>Catford library provision within new civic space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BE952A" w14:textId="77777777" w:rsidR="006013E7" w:rsidRPr="00356AF3" w:rsidRDefault="006013E7"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Catford Town Centre</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FB7574" w14:textId="77777777" w:rsidR="006013E7" w:rsidRPr="00356AF3" w:rsidRDefault="0023714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Re-provision of Catford library floor space within new civic building.</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EE601E" w14:textId="77777777" w:rsidR="006013E7" w:rsidRPr="00356AF3" w:rsidRDefault="0023714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LB Lewisham</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A2B931" w14:textId="77777777" w:rsidR="006013E7" w:rsidRPr="00356AF3" w:rsidRDefault="0023714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X</w:t>
            </w:r>
          </w:p>
        </w:tc>
        <w:tc>
          <w:tcPr>
            <w:tcW w:w="20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BB617F" w14:textId="77777777" w:rsidR="006013E7" w:rsidRPr="00356AF3" w:rsidRDefault="0023714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9A2604" w14:textId="77777777" w:rsidR="006013E7" w:rsidRPr="00356AF3" w:rsidRDefault="006013E7"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D220FA" w14:textId="77777777" w:rsidR="006013E7" w:rsidRPr="00356AF3" w:rsidRDefault="006013E7"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8017AF" w14:textId="77777777" w:rsidR="006013E7" w:rsidRPr="00356AF3" w:rsidRDefault="0023714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958382" w14:textId="77777777" w:rsidR="006013E7" w:rsidRPr="00356AF3" w:rsidRDefault="0023714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C3CA9A" w14:textId="77777777" w:rsidR="006013E7" w:rsidRPr="00356AF3" w:rsidRDefault="0023714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F14E3C" w14:textId="77777777" w:rsidR="006013E7" w:rsidRPr="00356AF3" w:rsidRDefault="006013E7"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1</w:t>
            </w:r>
          </w:p>
        </w:tc>
      </w:tr>
      <w:tr w:rsidR="000C6BE5" w:rsidRPr="00356AF3" w14:paraId="7431E2FC" w14:textId="77777777" w:rsidTr="008C3262">
        <w:trPr>
          <w:trHeight w:val="327"/>
        </w:trPr>
        <w:tc>
          <w:tcPr>
            <w:cnfStyle w:val="001000000000" w:firstRow="0" w:lastRow="0" w:firstColumn="1" w:lastColumn="0" w:oddVBand="0" w:evenVBand="0" w:oddHBand="0" w:evenHBand="0" w:firstRowFirstColumn="0" w:firstRowLastColumn="0" w:lastRowFirstColumn="0" w:lastRowLastColumn="0"/>
            <w:tcW w:w="3402"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B186A81" w14:textId="77777777" w:rsidR="000C6BE5" w:rsidRPr="00356AF3" w:rsidRDefault="000C6BE5" w:rsidP="00CE5053">
            <w:pPr>
              <w:spacing w:before="40" w:after="40"/>
              <w:rPr>
                <w:sz w:val="18"/>
                <w:szCs w:val="18"/>
              </w:rPr>
            </w:pPr>
          </w:p>
        </w:tc>
        <w:tc>
          <w:tcPr>
            <w:tcW w:w="42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C0ED2F"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b/>
                <w:sz w:val="18"/>
                <w:szCs w:val="18"/>
              </w:rPr>
              <w:t>Sub-total</w:t>
            </w: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D573C5" w14:textId="77777777" w:rsidR="000C6BE5" w:rsidRPr="00356AF3" w:rsidRDefault="00FD679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759640" w14:textId="77777777" w:rsidR="000C6BE5" w:rsidRPr="00356AF3" w:rsidRDefault="00712B8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£3.5m</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AFF008" w14:textId="77777777" w:rsidR="000C6BE5" w:rsidRPr="00356AF3" w:rsidRDefault="00FD679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F24943C"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b/>
                <w:sz w:val="18"/>
                <w:szCs w:val="18"/>
              </w:rPr>
            </w:pPr>
          </w:p>
        </w:tc>
      </w:tr>
    </w:tbl>
    <w:p w14:paraId="6AD9664E" w14:textId="77777777" w:rsidR="000C6BE5" w:rsidRPr="00356AF3" w:rsidRDefault="000C6BE5" w:rsidP="00CE5053">
      <w:pPr>
        <w:rPr>
          <w:sz w:val="18"/>
          <w:szCs w:val="18"/>
        </w:rPr>
      </w:pPr>
    </w:p>
    <w:p w14:paraId="6BF7610E" w14:textId="77777777" w:rsidR="000C6BE5" w:rsidRPr="000C6BE5" w:rsidRDefault="000C6BE5" w:rsidP="00CE5053"/>
    <w:p w14:paraId="25DC539F" w14:textId="77777777" w:rsidR="00803854" w:rsidRDefault="00803854" w:rsidP="00CE5053"/>
    <w:p w14:paraId="63E83F18" w14:textId="77777777" w:rsidR="00803854" w:rsidRDefault="00803854" w:rsidP="00CE5053">
      <w:pPr>
        <w:ind w:left="720" w:hanging="720"/>
        <w:sectPr w:rsidR="00803854" w:rsidSect="007B10F6">
          <w:pgSz w:w="23814" w:h="16839" w:orient="landscape" w:code="8"/>
          <w:pgMar w:top="1080" w:right="1440" w:bottom="1080" w:left="1440" w:header="708" w:footer="708" w:gutter="0"/>
          <w:pgBorders w:offsetFrom="page">
            <w:top w:val="single" w:sz="4" w:space="24" w:color="FFFFFF" w:themeColor="background1"/>
            <w:bottom w:val="single" w:sz="4" w:space="24" w:color="FFFFFF" w:themeColor="background1"/>
          </w:pgBorders>
          <w:cols w:space="708"/>
          <w:docGrid w:linePitch="360"/>
        </w:sectPr>
      </w:pPr>
    </w:p>
    <w:p w14:paraId="5E3621A7" w14:textId="77777777" w:rsidR="00DF60C7" w:rsidRPr="003E0835" w:rsidRDefault="00DF60C7" w:rsidP="00CE5053">
      <w:pPr>
        <w:pStyle w:val="Heading2"/>
      </w:pPr>
      <w:bookmarkStart w:id="29" w:name="_Toc56146019"/>
      <w:r w:rsidRPr="003E0835">
        <w:lastRenderedPageBreak/>
        <w:t xml:space="preserve">Sports </w:t>
      </w:r>
      <w:r>
        <w:t>and</w:t>
      </w:r>
      <w:r w:rsidRPr="003E0835">
        <w:t xml:space="preserve"> </w:t>
      </w:r>
      <w:r>
        <w:t>r</w:t>
      </w:r>
      <w:r w:rsidRPr="003E0835">
        <w:t xml:space="preserve">ecreation </w:t>
      </w:r>
      <w:r>
        <w:t>f</w:t>
      </w:r>
      <w:r w:rsidRPr="003E0835">
        <w:t>acilities</w:t>
      </w:r>
      <w:bookmarkEnd w:id="29"/>
    </w:p>
    <w:p w14:paraId="11726E07" w14:textId="77777777" w:rsidR="00DF60C7" w:rsidRPr="00426F00" w:rsidRDefault="676BCB45" w:rsidP="00CE5053">
      <w:pPr>
        <w:tabs>
          <w:tab w:val="left" w:pos="720"/>
          <w:tab w:val="left" w:pos="1440"/>
          <w:tab w:val="left" w:pos="2562"/>
        </w:tabs>
        <w:spacing w:before="240" w:after="120"/>
        <w:ind w:left="578"/>
        <w:rPr>
          <w:b/>
          <w:bCs/>
        </w:rPr>
      </w:pPr>
      <w:r w:rsidRPr="7839D2B6">
        <w:rPr>
          <w:b/>
          <w:bCs/>
        </w:rPr>
        <w:t xml:space="preserve">   </w:t>
      </w:r>
      <w:r w:rsidR="003F4B7E" w:rsidRPr="7839D2B6">
        <w:rPr>
          <w:b/>
          <w:bCs/>
        </w:rPr>
        <w:t>Policy context</w:t>
      </w:r>
    </w:p>
    <w:p w14:paraId="419C55DB" w14:textId="77777777" w:rsidR="003E19DA" w:rsidRDefault="004B3D4F" w:rsidP="00CE5053">
      <w:pPr>
        <w:pStyle w:val="ListParagraph"/>
        <w:numPr>
          <w:ilvl w:val="0"/>
          <w:numId w:val="27"/>
        </w:numPr>
        <w:spacing w:after="240"/>
        <w:ind w:left="737" w:hanging="737"/>
        <w:contextualSpacing w:val="0"/>
      </w:pPr>
      <w:r w:rsidRPr="00595E96">
        <w:t xml:space="preserve">The </w:t>
      </w:r>
      <w:r w:rsidR="00DF60C7" w:rsidRPr="00595E96">
        <w:t xml:space="preserve">London Plan Policy S5 </w:t>
      </w:r>
      <w:r w:rsidRPr="00595E96">
        <w:t>‘</w:t>
      </w:r>
      <w:r w:rsidR="00DF60C7" w:rsidRPr="00595E96">
        <w:t xml:space="preserve">Sports </w:t>
      </w:r>
      <w:r w:rsidR="00A93530">
        <w:t>and</w:t>
      </w:r>
      <w:r w:rsidR="00DF60C7" w:rsidRPr="00595E96">
        <w:t xml:space="preserve"> </w:t>
      </w:r>
      <w:r w:rsidR="00A93530">
        <w:t>r</w:t>
      </w:r>
      <w:r w:rsidR="00DF60C7" w:rsidRPr="00595E96">
        <w:t xml:space="preserve">ecreation </w:t>
      </w:r>
      <w:r w:rsidR="00A93530">
        <w:t>f</w:t>
      </w:r>
      <w:r w:rsidR="00DF60C7" w:rsidRPr="00595E96">
        <w:t>acilities</w:t>
      </w:r>
      <w:r w:rsidRPr="00595E96">
        <w:t>’</w:t>
      </w:r>
      <w:r w:rsidR="008C3262">
        <w:t xml:space="preserve"> sets out</w:t>
      </w:r>
      <w:r w:rsidRPr="00595E96">
        <w:t xml:space="preserve"> </w:t>
      </w:r>
      <w:r w:rsidR="008C3262">
        <w:t xml:space="preserve">the need for </w:t>
      </w:r>
      <w:r w:rsidR="00A93530">
        <w:t xml:space="preserve">local authorities </w:t>
      </w:r>
      <w:r w:rsidR="00AE23D6">
        <w:t xml:space="preserve">to </w:t>
      </w:r>
      <w:r w:rsidR="00DF60C7" w:rsidRPr="00595E96">
        <w:t xml:space="preserve">assess the need for sports and recreation facilities </w:t>
      </w:r>
      <w:r w:rsidR="00AE23D6">
        <w:t>at the local and sub-regional level</w:t>
      </w:r>
      <w:r w:rsidR="008C3262">
        <w:t>, and</w:t>
      </w:r>
      <w:r w:rsidR="00AE23D6">
        <w:t xml:space="preserve"> to ensure that there is a sufficient supply of facilities. Local authorities</w:t>
      </w:r>
      <w:r w:rsidR="00DF60C7" w:rsidRPr="00595E96">
        <w:t xml:space="preserve"> are also expected to plan strategically </w:t>
      </w:r>
      <w:r w:rsidR="00AE23D6">
        <w:t xml:space="preserve">to accommodate future forecast demand by </w:t>
      </w:r>
      <w:r w:rsidR="00DF60C7" w:rsidRPr="00595E96">
        <w:t xml:space="preserve">securing sites for </w:t>
      </w:r>
      <w:r w:rsidR="00AE23D6">
        <w:t xml:space="preserve">a range of </w:t>
      </w:r>
      <w:r w:rsidR="00DF60C7" w:rsidRPr="00595E96">
        <w:t>spo</w:t>
      </w:r>
      <w:r w:rsidR="008C3262">
        <w:t>rts and recreation facilities.</w:t>
      </w:r>
    </w:p>
    <w:p w14:paraId="0AF86900" w14:textId="77777777" w:rsidR="008C3262" w:rsidRDefault="006D1FCD" w:rsidP="00CE5053">
      <w:pPr>
        <w:pStyle w:val="ListParagraph"/>
        <w:numPr>
          <w:ilvl w:val="0"/>
          <w:numId w:val="27"/>
        </w:numPr>
        <w:spacing w:after="240"/>
        <w:ind w:left="737" w:hanging="737"/>
        <w:contextualSpacing w:val="0"/>
      </w:pPr>
      <w:r>
        <w:t>In 2019 the Council prepared a Playing Pitch Strategy needs assessment, which provided an up to date assessment of supply and demand for playing pitches across the borough. Building on this evidence base, the Council is now preparing a Physical Activity and Healthy Lifestyles Strategy, which will seek to provide a comprehensive strategy for the future management of sports and recreation facilities in Lewisham.</w:t>
      </w:r>
    </w:p>
    <w:p w14:paraId="0B7E288F" w14:textId="77777777" w:rsidR="00AE23D6" w:rsidRPr="006D1FCD" w:rsidRDefault="006D1FCD" w:rsidP="00CE5053">
      <w:pPr>
        <w:tabs>
          <w:tab w:val="left" w:pos="720"/>
          <w:tab w:val="left" w:pos="1440"/>
          <w:tab w:val="left" w:pos="2562"/>
        </w:tabs>
        <w:spacing w:before="240" w:after="120"/>
        <w:ind w:left="578" w:firstLine="142"/>
        <w:rPr>
          <w:b/>
        </w:rPr>
      </w:pPr>
      <w:r>
        <w:rPr>
          <w:b/>
        </w:rPr>
        <w:t>Background</w:t>
      </w:r>
    </w:p>
    <w:p w14:paraId="1ABE4AD2" w14:textId="77777777" w:rsidR="00A4202A" w:rsidRDefault="006D1FCD" w:rsidP="00CE5053">
      <w:pPr>
        <w:pStyle w:val="ListParagraph"/>
        <w:numPr>
          <w:ilvl w:val="0"/>
          <w:numId w:val="27"/>
        </w:numPr>
        <w:spacing w:after="240"/>
        <w:ind w:left="737" w:hanging="737"/>
        <w:contextualSpacing w:val="0"/>
      </w:pPr>
      <w:r>
        <w:t>F</w:t>
      </w:r>
      <w:r w:rsidR="00DF60C7" w:rsidRPr="006D1FCD">
        <w:t>or the purpose</w:t>
      </w:r>
      <w:r w:rsidR="00AE23D6" w:rsidRPr="006D1FCD">
        <w:t>s</w:t>
      </w:r>
      <w:r w:rsidR="00DF60C7" w:rsidRPr="006D1FCD">
        <w:t xml:space="preserve"> of this </w:t>
      </w:r>
      <w:r w:rsidR="00AE23D6" w:rsidRPr="006D1FCD">
        <w:t>document,</w:t>
      </w:r>
      <w:r w:rsidR="00DF60C7" w:rsidRPr="006D1FCD">
        <w:t xml:space="preserve"> sports </w:t>
      </w:r>
      <w:r w:rsidR="004B3D4F" w:rsidRPr="006D1FCD">
        <w:t>and</w:t>
      </w:r>
      <w:r w:rsidR="00DF60C7" w:rsidRPr="006D1FCD">
        <w:t xml:space="preserve"> recreation facilities have been taken to include indoor sports halls, swimming pools and outdoor sports playing pitches (including </w:t>
      </w:r>
      <w:r w:rsidR="00AE23D6" w:rsidRPr="006D1FCD">
        <w:t>grass</w:t>
      </w:r>
      <w:r w:rsidR="00DF60C7" w:rsidRPr="006D1FCD">
        <w:t xml:space="preserve"> and artificial grass pitches) as identified by the council’s Playing Pitch Strategy</w:t>
      </w:r>
      <w:r w:rsidR="004B3D4F" w:rsidRPr="006D1FCD">
        <w:t>.</w:t>
      </w:r>
      <w:r w:rsidR="001357AB">
        <w:t xml:space="preserve"> It is noted that a</w:t>
      </w:r>
      <w:r w:rsidR="00A4202A" w:rsidRPr="006D1FCD">
        <w:t xml:space="preserve"> number of sport facilities across London are provided by the education sector which are only available for private use, or have restricted hours on when the community use</w:t>
      </w:r>
      <w:r>
        <w:t xml:space="preserve"> able to use these facilities</w:t>
      </w:r>
      <w:r w:rsidR="00A4202A" w:rsidRPr="006D1FCD">
        <w:t>.</w:t>
      </w:r>
    </w:p>
    <w:p w14:paraId="7D9CFE33" w14:textId="77777777" w:rsidR="00DF60C7" w:rsidRPr="00AF0D1E" w:rsidRDefault="00DF60C7" w:rsidP="00CE5053">
      <w:pPr>
        <w:pStyle w:val="Heading3"/>
      </w:pPr>
      <w:bookmarkStart w:id="30" w:name="_Toc56146020"/>
      <w:r w:rsidRPr="006E08AE">
        <w:t xml:space="preserve">Sports </w:t>
      </w:r>
      <w:r w:rsidRPr="006E08AE">
        <w:rPr>
          <w:noProof/>
        </w:rPr>
        <w:t>halls</w:t>
      </w:r>
      <w:r w:rsidR="001357AB">
        <w:rPr>
          <w:noProof/>
        </w:rPr>
        <w:t xml:space="preserve"> and leisure centres</w:t>
      </w:r>
      <w:bookmarkEnd w:id="30"/>
    </w:p>
    <w:p w14:paraId="6BA1122F" w14:textId="77777777" w:rsidR="00DA2E34" w:rsidRPr="00426F00" w:rsidRDefault="00DA2E34" w:rsidP="00CE5053">
      <w:pPr>
        <w:tabs>
          <w:tab w:val="left" w:pos="720"/>
          <w:tab w:val="left" w:pos="1440"/>
          <w:tab w:val="left" w:pos="2612"/>
        </w:tabs>
        <w:spacing w:before="240" w:after="120"/>
        <w:ind w:left="720" w:hanging="720"/>
        <w:rPr>
          <w:b/>
        </w:rPr>
      </w:pPr>
      <w:r w:rsidRPr="00426F00">
        <w:rPr>
          <w:b/>
        </w:rPr>
        <w:tab/>
        <w:t>Background</w:t>
      </w:r>
    </w:p>
    <w:p w14:paraId="34A1BBA0" w14:textId="77777777" w:rsidR="00454BF3" w:rsidRPr="00071184" w:rsidRDefault="00DF60C7" w:rsidP="00CE5053">
      <w:pPr>
        <w:pStyle w:val="ListParagraph"/>
        <w:numPr>
          <w:ilvl w:val="0"/>
          <w:numId w:val="27"/>
        </w:numPr>
        <w:spacing w:after="240"/>
        <w:ind w:left="737" w:hanging="737"/>
        <w:contextualSpacing w:val="0"/>
      </w:pPr>
      <w:r w:rsidRPr="00071184">
        <w:t>Sports halls</w:t>
      </w:r>
      <w:r w:rsidR="001357AB" w:rsidRPr="00071184">
        <w:t xml:space="preserve"> and leisure centres</w:t>
      </w:r>
      <w:r w:rsidRPr="00071184">
        <w:t xml:space="preserve"> typically operate on a pay and play/membership basis, or through a local sports club or community association. Main halls are typically sports halls that are at least three badminton courts in size and can accommodate sports that require a larger area of hall spac</w:t>
      </w:r>
      <w:r w:rsidR="008B799C" w:rsidRPr="00071184">
        <w:t>e</w:t>
      </w:r>
      <w:r w:rsidR="00DA2E34" w:rsidRPr="00071184">
        <w:t>.</w:t>
      </w:r>
    </w:p>
    <w:p w14:paraId="76BE8BFA" w14:textId="77777777" w:rsidR="00DF60C7" w:rsidRPr="00DA2E34" w:rsidRDefault="00DF60C7" w:rsidP="00CE5053">
      <w:pPr>
        <w:pStyle w:val="ListParagraph"/>
        <w:numPr>
          <w:ilvl w:val="0"/>
          <w:numId w:val="0"/>
        </w:numPr>
        <w:spacing w:after="240"/>
        <w:ind w:left="737"/>
        <w:contextualSpacing w:val="0"/>
        <w:rPr>
          <w:b/>
        </w:rPr>
      </w:pPr>
      <w:r w:rsidRPr="00DA2E34">
        <w:rPr>
          <w:b/>
        </w:rPr>
        <w:t>Current situation</w:t>
      </w:r>
    </w:p>
    <w:p w14:paraId="645AA7E6" w14:textId="77777777" w:rsidR="00DF60C7" w:rsidRPr="00595E96" w:rsidRDefault="001357AB" w:rsidP="00CE5053">
      <w:pPr>
        <w:pStyle w:val="ListParagraph"/>
        <w:numPr>
          <w:ilvl w:val="0"/>
          <w:numId w:val="27"/>
        </w:numPr>
        <w:spacing w:after="240"/>
        <w:ind w:left="737" w:hanging="737"/>
        <w:contextualSpacing w:val="0"/>
      </w:pPr>
      <w:r>
        <w:t>T</w:t>
      </w:r>
      <w:r w:rsidR="00DF60C7">
        <w:t>here</w:t>
      </w:r>
      <w:r w:rsidR="00A52544">
        <w:t xml:space="preserve"> </w:t>
      </w:r>
      <w:r>
        <w:t>are</w:t>
      </w:r>
      <w:r w:rsidR="00DF60C7">
        <w:t xml:space="preserve"> 11 sites </w:t>
      </w:r>
      <w:r>
        <w:t xml:space="preserve">across the borough </w:t>
      </w:r>
      <w:r w:rsidR="00DF60C7">
        <w:t>providing sports halls for community use, provid</w:t>
      </w:r>
      <w:r w:rsidR="00A52544">
        <w:t xml:space="preserve">ing </w:t>
      </w:r>
      <w:r w:rsidR="00DF60C7">
        <w:t>a total of 14 sports halls</w:t>
      </w:r>
      <w:r>
        <w:t xml:space="preserve">. Based on the current size of the population, there are currently </w:t>
      </w:r>
      <w:r w:rsidR="00726879">
        <w:t>1.9 courts per 10,000 residents, compared to the London average of 3.0 courts per 10,000 people. This makes Lewisham one of the lowest ranked boroughs in London for sports hall provision.</w:t>
      </w:r>
      <w:r w:rsidR="00AB2A60">
        <w:t xml:space="preserve"> </w:t>
      </w:r>
    </w:p>
    <w:p w14:paraId="0337A828" w14:textId="77777777" w:rsidR="00DF60C7" w:rsidRDefault="00726879" w:rsidP="00CE5053">
      <w:pPr>
        <w:pStyle w:val="ListParagraph"/>
        <w:numPr>
          <w:ilvl w:val="0"/>
          <w:numId w:val="27"/>
        </w:numPr>
        <w:spacing w:after="240"/>
        <w:ind w:left="737" w:hanging="737"/>
        <w:contextualSpacing w:val="0"/>
      </w:pPr>
      <w:r>
        <w:t xml:space="preserve">The current provision of sports halls in the borough currently meets approximately </w:t>
      </w:r>
      <w:r w:rsidR="00DF60C7" w:rsidRPr="00595E96">
        <w:t>78% of demand</w:t>
      </w:r>
      <w:r>
        <w:t>, based on analysis by Sports England.</w:t>
      </w:r>
      <w:r w:rsidR="00DF60C7" w:rsidRPr="00595E96">
        <w:t xml:space="preserve"> </w:t>
      </w:r>
      <w:r w:rsidR="00335DA9" w:rsidRPr="00595E96">
        <w:t>T</w:t>
      </w:r>
      <w:r w:rsidR="00DF60C7" w:rsidRPr="00595E96">
        <w:t xml:space="preserve">he unmet demand for sports halls </w:t>
      </w:r>
      <w:r>
        <w:t>is estimated to be in the order of</w:t>
      </w:r>
      <w:r w:rsidR="00DF60C7" w:rsidRPr="00595E96">
        <w:t xml:space="preserve"> 19.6 courts</w:t>
      </w:r>
      <w:r>
        <w:t xml:space="preserve">. Unmet demand is </w:t>
      </w:r>
      <w:r w:rsidR="00DF60C7" w:rsidRPr="00595E96">
        <w:t>highest in the northwest and central areas of the borough</w:t>
      </w:r>
      <w:r>
        <w:t xml:space="preserve">, including </w:t>
      </w:r>
      <w:r w:rsidR="00DF60C7" w:rsidRPr="00595E96">
        <w:t>Evelyn and Lewisham Central</w:t>
      </w:r>
      <w:r>
        <w:t>. Since</w:t>
      </w:r>
      <w:r w:rsidR="00DF60C7" w:rsidRPr="00595E96">
        <w:t xml:space="preserve"> 2017</w:t>
      </w:r>
      <w:r w:rsidR="006B14D9">
        <w:t>,</w:t>
      </w:r>
      <w:r w:rsidR="00CD781D" w:rsidRPr="00595E96">
        <w:t xml:space="preserve"> </w:t>
      </w:r>
      <w:r w:rsidR="00DF60C7" w:rsidRPr="00595E96">
        <w:t xml:space="preserve">the sports hall at Lewisham </w:t>
      </w:r>
      <w:r w:rsidR="00CD781D" w:rsidRPr="00595E96">
        <w:t>and</w:t>
      </w:r>
      <w:r w:rsidR="00DF60C7" w:rsidRPr="00595E96">
        <w:t xml:space="preserve"> Southwark College ha</w:t>
      </w:r>
      <w:r>
        <w:t>ve also</w:t>
      </w:r>
      <w:r w:rsidR="00DF60C7" w:rsidRPr="00595E96">
        <w:t xml:space="preserve"> closed, </w:t>
      </w:r>
      <w:r w:rsidR="006B14D9">
        <w:t xml:space="preserve">further reducing supply </w:t>
      </w:r>
      <w:r w:rsidR="00DF60C7" w:rsidRPr="00595E96">
        <w:t>in the borough.</w:t>
      </w:r>
    </w:p>
    <w:p w14:paraId="6FBAD364" w14:textId="77777777" w:rsidR="00AB2A60" w:rsidRDefault="00AB2A60" w:rsidP="00CE5053">
      <w:pPr>
        <w:ind w:left="720" w:hanging="720"/>
      </w:pPr>
    </w:p>
    <w:p w14:paraId="5DC4596E" w14:textId="77777777" w:rsidR="00454BF3" w:rsidRDefault="00454BF3" w:rsidP="00CE5053">
      <w:pPr>
        <w:ind w:left="720" w:hanging="720"/>
      </w:pPr>
    </w:p>
    <w:tbl>
      <w:tblPr>
        <w:tblStyle w:val="ListTable3-Accent32"/>
        <w:tblW w:w="4662"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3221"/>
        <w:gridCol w:w="937"/>
        <w:gridCol w:w="1523"/>
        <w:gridCol w:w="1449"/>
        <w:gridCol w:w="1948"/>
      </w:tblGrid>
      <w:tr w:rsidR="00454BF3" w:rsidRPr="00324C84" w14:paraId="060C80F9"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774" w:type="pct"/>
            <w:tcBorders>
              <w:bottom w:val="single" w:sz="4" w:space="0" w:color="FFFFFF" w:themeColor="background1"/>
            </w:tcBorders>
            <w:shd w:val="clear" w:color="auto" w:fill="002060"/>
          </w:tcPr>
          <w:p w14:paraId="531CFDAD" w14:textId="77777777" w:rsidR="00454BF3" w:rsidRPr="00D21B72" w:rsidRDefault="00454BF3" w:rsidP="00CE5053">
            <w:pPr>
              <w:tabs>
                <w:tab w:val="center" w:pos="3056"/>
                <w:tab w:val="left" w:pos="4975"/>
              </w:tabs>
              <w:spacing w:before="40" w:after="40"/>
              <w:rPr>
                <w:sz w:val="18"/>
                <w:szCs w:val="18"/>
              </w:rPr>
            </w:pPr>
            <w:r w:rsidRPr="00D21B72">
              <w:rPr>
                <w:sz w:val="18"/>
                <w:szCs w:val="18"/>
              </w:rPr>
              <w:lastRenderedPageBreak/>
              <w:t>Site/Location</w:t>
            </w:r>
          </w:p>
        </w:tc>
        <w:tc>
          <w:tcPr>
            <w:tcW w:w="516" w:type="pct"/>
            <w:tcBorders>
              <w:bottom w:val="single" w:sz="4" w:space="0" w:color="FFFFFF" w:themeColor="background1"/>
            </w:tcBorders>
            <w:shd w:val="clear" w:color="auto" w:fill="002060"/>
          </w:tcPr>
          <w:p w14:paraId="6CDCDAB2" w14:textId="77777777" w:rsidR="00454BF3" w:rsidRPr="00D21B72" w:rsidRDefault="00454BF3"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D21B72">
              <w:rPr>
                <w:bCs w:val="0"/>
                <w:sz w:val="18"/>
                <w:szCs w:val="18"/>
              </w:rPr>
              <w:t>Equiv. courts</w:t>
            </w:r>
          </w:p>
        </w:tc>
        <w:tc>
          <w:tcPr>
            <w:tcW w:w="839" w:type="pct"/>
            <w:tcBorders>
              <w:bottom w:val="single" w:sz="4" w:space="0" w:color="FFFFFF" w:themeColor="background1"/>
            </w:tcBorders>
            <w:shd w:val="clear" w:color="auto" w:fill="002060"/>
          </w:tcPr>
          <w:p w14:paraId="5FA89C73" w14:textId="77777777" w:rsidR="00454BF3" w:rsidRPr="00D21B72" w:rsidRDefault="00454BF3"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D21B72">
              <w:rPr>
                <w:bCs w:val="0"/>
                <w:sz w:val="18"/>
                <w:szCs w:val="18"/>
              </w:rPr>
              <w:t>Utilised capacity (%)</w:t>
            </w:r>
          </w:p>
        </w:tc>
        <w:tc>
          <w:tcPr>
            <w:tcW w:w="798" w:type="pct"/>
            <w:tcBorders>
              <w:bottom w:val="single" w:sz="4" w:space="0" w:color="FFFFFF" w:themeColor="background1"/>
            </w:tcBorders>
            <w:shd w:val="clear" w:color="auto" w:fill="002060"/>
          </w:tcPr>
          <w:p w14:paraId="4CCC0C43" w14:textId="77777777" w:rsidR="00454BF3" w:rsidRPr="00D21B72" w:rsidRDefault="00454BF3"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D21B72">
              <w:rPr>
                <w:sz w:val="18"/>
                <w:szCs w:val="18"/>
              </w:rPr>
              <w:t>Management type</w:t>
            </w:r>
          </w:p>
        </w:tc>
        <w:tc>
          <w:tcPr>
            <w:tcW w:w="1073" w:type="pct"/>
            <w:tcBorders>
              <w:bottom w:val="single" w:sz="4" w:space="0" w:color="FFFFFF" w:themeColor="background1"/>
            </w:tcBorders>
            <w:shd w:val="clear" w:color="auto" w:fill="002060"/>
          </w:tcPr>
          <w:p w14:paraId="65F95A50" w14:textId="77777777" w:rsidR="00454BF3" w:rsidRPr="00D21B72" w:rsidRDefault="00454BF3"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D21B72">
              <w:rPr>
                <w:sz w:val="18"/>
                <w:szCs w:val="18"/>
              </w:rPr>
              <w:t>Access type</w:t>
            </w:r>
          </w:p>
        </w:tc>
      </w:tr>
      <w:tr w:rsidR="00454BF3" w:rsidRPr="00324C84" w14:paraId="4AE8417E" w14:textId="77777777" w:rsidTr="00454BF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B94F244" w14:textId="77777777" w:rsidR="00454BF3" w:rsidRPr="00D21B72" w:rsidRDefault="00454BF3" w:rsidP="00CE5053">
            <w:pPr>
              <w:spacing w:before="40" w:after="40"/>
              <w:rPr>
                <w:sz w:val="18"/>
                <w:szCs w:val="18"/>
              </w:rPr>
            </w:pPr>
            <w:r w:rsidRPr="00D21B72">
              <w:rPr>
                <w:sz w:val="18"/>
                <w:szCs w:val="18"/>
              </w:rPr>
              <w:t>Deptford Green School</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598DEE6"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4</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CCF700D"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100</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9D0C959"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Education</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019B4C1"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Sports club / association</w:t>
            </w:r>
          </w:p>
        </w:tc>
      </w:tr>
      <w:tr w:rsidR="00454BF3" w:rsidRPr="00324C84" w14:paraId="34A73B40" w14:textId="77777777" w:rsidTr="00454BF3">
        <w:trPr>
          <w:jc w:val="right"/>
        </w:trPr>
        <w:tc>
          <w:tcPr>
            <w:cnfStyle w:val="001000000000" w:firstRow="0" w:lastRow="0" w:firstColumn="1" w:lastColumn="0" w:oddVBand="0" w:evenVBand="0" w:oddHBand="0" w:evenHBand="0" w:firstRowFirstColumn="0" w:firstRowLastColumn="0" w:lastRowFirstColumn="0" w:lastRowLastColumn="0"/>
            <w:tcW w:w="1774" w:type="pct"/>
            <w:vMerge w:val="restart"/>
            <w:tcBorders>
              <w:top w:val="single" w:sz="4" w:space="0" w:color="FFFFFF" w:themeColor="background1"/>
            </w:tcBorders>
            <w:shd w:val="clear" w:color="auto" w:fill="F2F2F2" w:themeFill="background1" w:themeFillShade="F2"/>
            <w:vAlign w:val="center"/>
          </w:tcPr>
          <w:p w14:paraId="2CDAA296" w14:textId="77777777" w:rsidR="00454BF3" w:rsidRPr="00D21B72" w:rsidRDefault="00454BF3" w:rsidP="00CE5053">
            <w:pPr>
              <w:spacing w:before="40" w:after="40"/>
              <w:rPr>
                <w:sz w:val="18"/>
                <w:szCs w:val="18"/>
              </w:rPr>
            </w:pPr>
            <w:r w:rsidRPr="00D21B72">
              <w:rPr>
                <w:sz w:val="18"/>
                <w:szCs w:val="18"/>
              </w:rPr>
              <w:t>Forest Hill School Sports Centre</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79935FF"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4</w:t>
            </w:r>
          </w:p>
        </w:tc>
        <w:tc>
          <w:tcPr>
            <w:tcW w:w="839" w:type="pct"/>
            <w:vMerge w:val="restart"/>
            <w:tcBorders>
              <w:top w:val="single" w:sz="4" w:space="0" w:color="FFFFFF" w:themeColor="background1"/>
            </w:tcBorders>
            <w:shd w:val="clear" w:color="auto" w:fill="F2F2F2" w:themeFill="background1" w:themeFillShade="F2"/>
            <w:vAlign w:val="center"/>
          </w:tcPr>
          <w:p w14:paraId="02B72823"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100</w:t>
            </w:r>
          </w:p>
        </w:tc>
        <w:tc>
          <w:tcPr>
            <w:tcW w:w="798" w:type="pct"/>
            <w:vMerge w:val="restart"/>
            <w:tcBorders>
              <w:top w:val="single" w:sz="4" w:space="0" w:color="FFFFFF" w:themeColor="background1"/>
            </w:tcBorders>
            <w:shd w:val="clear" w:color="auto" w:fill="F2F2F2" w:themeFill="background1" w:themeFillShade="F2"/>
            <w:vAlign w:val="center"/>
          </w:tcPr>
          <w:p w14:paraId="62249064"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Trust</w:t>
            </w:r>
          </w:p>
        </w:tc>
        <w:tc>
          <w:tcPr>
            <w:tcW w:w="1073" w:type="pct"/>
            <w:vMerge w:val="restart"/>
            <w:tcBorders>
              <w:top w:val="single" w:sz="4" w:space="0" w:color="FFFFFF" w:themeColor="background1"/>
            </w:tcBorders>
            <w:shd w:val="clear" w:color="auto" w:fill="F2F2F2" w:themeFill="background1" w:themeFillShade="F2"/>
            <w:vAlign w:val="center"/>
          </w:tcPr>
          <w:p w14:paraId="5F86234B"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Pay and play</w:t>
            </w:r>
          </w:p>
        </w:tc>
      </w:tr>
      <w:tr w:rsidR="00454BF3" w:rsidRPr="00324C84" w14:paraId="71E9947C" w14:textId="77777777" w:rsidTr="00454BF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74" w:type="pct"/>
            <w:vMerge/>
            <w:tcBorders>
              <w:bottom w:val="single" w:sz="4" w:space="0" w:color="FFFFFF" w:themeColor="background1"/>
            </w:tcBorders>
            <w:shd w:val="clear" w:color="auto" w:fill="F2F2F2" w:themeFill="background1" w:themeFillShade="F2"/>
            <w:vAlign w:val="center"/>
          </w:tcPr>
          <w:p w14:paraId="1413D853" w14:textId="77777777" w:rsidR="00454BF3" w:rsidRPr="00D21B72" w:rsidRDefault="00454BF3" w:rsidP="00CE5053">
            <w:pPr>
              <w:spacing w:before="40" w:after="40"/>
              <w:rPr>
                <w:sz w:val="18"/>
                <w:szCs w:val="18"/>
              </w:rPr>
            </w:pP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A7A9836"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839" w:type="pct"/>
            <w:vMerge/>
            <w:tcBorders>
              <w:bottom w:val="single" w:sz="4" w:space="0" w:color="FFFFFF" w:themeColor="background1"/>
            </w:tcBorders>
            <w:shd w:val="clear" w:color="auto" w:fill="F2F2F2" w:themeFill="background1" w:themeFillShade="F2"/>
            <w:vAlign w:val="center"/>
          </w:tcPr>
          <w:p w14:paraId="47CE7A2C"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798" w:type="pct"/>
            <w:vMerge/>
            <w:tcBorders>
              <w:bottom w:val="single" w:sz="4" w:space="0" w:color="FFFFFF" w:themeColor="background1"/>
            </w:tcBorders>
            <w:shd w:val="clear" w:color="auto" w:fill="F2F2F2" w:themeFill="background1" w:themeFillShade="F2"/>
            <w:vAlign w:val="center"/>
          </w:tcPr>
          <w:p w14:paraId="2C7DA92C"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073" w:type="pct"/>
            <w:vMerge/>
            <w:tcBorders>
              <w:bottom w:val="single" w:sz="4" w:space="0" w:color="FFFFFF" w:themeColor="background1"/>
            </w:tcBorders>
            <w:shd w:val="clear" w:color="auto" w:fill="F2F2F2" w:themeFill="background1" w:themeFillShade="F2"/>
            <w:vAlign w:val="center"/>
          </w:tcPr>
          <w:p w14:paraId="3F904CCB"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r w:rsidR="00454BF3" w:rsidRPr="00324C84" w14:paraId="0E57DE10" w14:textId="77777777" w:rsidTr="00454BF3">
        <w:trPr>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A6D7D8E" w14:textId="77777777" w:rsidR="00454BF3" w:rsidRPr="00D21B72" w:rsidRDefault="00454BF3" w:rsidP="00CE5053">
            <w:pPr>
              <w:spacing w:before="40" w:after="40"/>
              <w:rPr>
                <w:sz w:val="18"/>
                <w:szCs w:val="18"/>
              </w:rPr>
            </w:pPr>
            <w:r w:rsidRPr="00D21B72">
              <w:rPr>
                <w:sz w:val="18"/>
                <w:szCs w:val="18"/>
              </w:rPr>
              <w:t>Haka Sports Complex</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C964D78"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4</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863B65F"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100</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B62C0C4"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Trust</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6FE88DB"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Pay and play</w:t>
            </w:r>
          </w:p>
        </w:tc>
      </w:tr>
      <w:tr w:rsidR="00454BF3" w:rsidRPr="00324C84" w14:paraId="2A3CB123" w14:textId="77777777" w:rsidTr="00454BF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754F464" w14:textId="77777777" w:rsidR="00454BF3" w:rsidRPr="00D21B72" w:rsidRDefault="00454BF3" w:rsidP="00CE5053">
            <w:pPr>
              <w:spacing w:before="40" w:after="40"/>
              <w:rPr>
                <w:sz w:val="18"/>
                <w:szCs w:val="18"/>
              </w:rPr>
            </w:pPr>
            <w:r w:rsidRPr="00D21B72">
              <w:rPr>
                <w:sz w:val="18"/>
                <w:szCs w:val="18"/>
              </w:rPr>
              <w:t>Millwall Lions Centre</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7310F6F"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4</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0525613"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100</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E763954"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Trust</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98B398D"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Sports club / association</w:t>
            </w:r>
          </w:p>
        </w:tc>
      </w:tr>
      <w:tr w:rsidR="00454BF3" w:rsidRPr="00324C84" w14:paraId="3E62C48B" w14:textId="77777777" w:rsidTr="00454BF3">
        <w:trPr>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EB0B402" w14:textId="77777777" w:rsidR="00454BF3" w:rsidRPr="00D21B72" w:rsidRDefault="00454BF3" w:rsidP="00CE5053">
            <w:pPr>
              <w:spacing w:before="40" w:after="40"/>
              <w:rPr>
                <w:sz w:val="18"/>
                <w:szCs w:val="18"/>
              </w:rPr>
            </w:pPr>
            <w:r w:rsidRPr="00D21B72">
              <w:rPr>
                <w:sz w:val="18"/>
                <w:szCs w:val="18"/>
              </w:rPr>
              <w:t>Prendergast Ladywell School</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2C3D751"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4</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CE73B84"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100</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C1C2DC7"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Education</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83B9171"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Sports club / association</w:t>
            </w:r>
          </w:p>
        </w:tc>
      </w:tr>
      <w:tr w:rsidR="00454BF3" w:rsidRPr="00324C84" w14:paraId="2882EC23" w14:textId="77777777" w:rsidTr="00454BF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5405144" w14:textId="77777777" w:rsidR="00454BF3" w:rsidRPr="00D21B72" w:rsidRDefault="00454BF3" w:rsidP="00CE5053">
            <w:pPr>
              <w:spacing w:before="40" w:after="40"/>
              <w:rPr>
                <w:sz w:val="18"/>
                <w:szCs w:val="18"/>
              </w:rPr>
            </w:pPr>
            <w:r w:rsidRPr="00D21B72">
              <w:rPr>
                <w:sz w:val="18"/>
                <w:szCs w:val="18"/>
              </w:rPr>
              <w:t>St Dunstans’ College Sports Centre</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055DCC4"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4</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874B920"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100</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E649CC7"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Commercial</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1A95688"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Sports club/association</w:t>
            </w:r>
          </w:p>
        </w:tc>
      </w:tr>
      <w:tr w:rsidR="00454BF3" w:rsidRPr="00324C84" w14:paraId="04B161C3" w14:textId="77777777" w:rsidTr="00EB77AC">
        <w:trPr>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84E31D0" w14:textId="77777777" w:rsidR="00454BF3" w:rsidRPr="00D21B72" w:rsidRDefault="00454BF3" w:rsidP="00CE5053">
            <w:pPr>
              <w:spacing w:before="40" w:after="40"/>
              <w:rPr>
                <w:sz w:val="18"/>
                <w:szCs w:val="18"/>
              </w:rPr>
            </w:pPr>
            <w:r w:rsidRPr="00D21B72">
              <w:rPr>
                <w:sz w:val="18"/>
                <w:szCs w:val="18"/>
              </w:rPr>
              <w:t>Sydenham High School GDST</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BC2995D"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4</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40B0297"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C9FE27A"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Education</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876F16F"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Sports club/association</w:t>
            </w:r>
          </w:p>
        </w:tc>
      </w:tr>
      <w:tr w:rsidR="00454BF3" w:rsidRPr="00324C84" w14:paraId="76317346" w14:textId="77777777" w:rsidTr="00EB77AC">
        <w:trPr>
          <w:cnfStyle w:val="000000100000" w:firstRow="0" w:lastRow="0" w:firstColumn="0" w:lastColumn="0" w:oddVBand="0" w:evenVBand="0" w:oddHBand="1" w:evenHBand="0" w:firstRowFirstColumn="0" w:firstRowLastColumn="0" w:lastRowFirstColumn="0" w:lastRowLastColumn="0"/>
          <w:trHeight w:val="584"/>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BC5D8B7" w14:textId="77777777" w:rsidR="00454BF3" w:rsidRPr="00D21B72" w:rsidRDefault="00454BF3" w:rsidP="00CE5053">
            <w:pPr>
              <w:spacing w:before="40" w:after="40"/>
              <w:rPr>
                <w:sz w:val="18"/>
                <w:szCs w:val="18"/>
              </w:rPr>
            </w:pPr>
            <w:r w:rsidRPr="00D21B72">
              <w:rPr>
                <w:sz w:val="18"/>
                <w:szCs w:val="18"/>
              </w:rPr>
              <w:t>Sydenham School</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CD048C6"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4</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EB8FAC1"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100</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F7F805D"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Education</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606863B"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Sports club/association</w:t>
            </w:r>
          </w:p>
        </w:tc>
      </w:tr>
      <w:tr w:rsidR="00454BF3" w:rsidRPr="00324C84" w14:paraId="33AB668D" w14:textId="77777777" w:rsidTr="00EB77AC">
        <w:trPr>
          <w:jc w:val="right"/>
        </w:trPr>
        <w:tc>
          <w:tcPr>
            <w:cnfStyle w:val="001000000000" w:firstRow="0" w:lastRow="0" w:firstColumn="1" w:lastColumn="0" w:oddVBand="0" w:evenVBand="0" w:oddHBand="0" w:evenHBand="0" w:firstRowFirstColumn="0" w:firstRowLastColumn="0" w:lastRowFirstColumn="0" w:lastRowLastColumn="0"/>
            <w:tcW w:w="1774" w:type="pct"/>
            <w:vMerge w:val="restart"/>
            <w:tcBorders>
              <w:top w:val="single" w:sz="4" w:space="0" w:color="FFFFFF" w:themeColor="background1"/>
            </w:tcBorders>
            <w:shd w:val="clear" w:color="auto" w:fill="F2F2F2" w:themeFill="background1" w:themeFillShade="F2"/>
            <w:vAlign w:val="center"/>
          </w:tcPr>
          <w:p w14:paraId="28102382" w14:textId="77777777" w:rsidR="00454BF3" w:rsidRPr="00D21B72" w:rsidRDefault="00454BF3" w:rsidP="00CE5053">
            <w:pPr>
              <w:spacing w:before="40" w:after="40"/>
              <w:rPr>
                <w:sz w:val="18"/>
                <w:szCs w:val="18"/>
              </w:rPr>
            </w:pPr>
            <w:r w:rsidRPr="00D21B72">
              <w:rPr>
                <w:sz w:val="18"/>
                <w:szCs w:val="18"/>
              </w:rPr>
              <w:t>The Bridge Leisure Centre</w:t>
            </w:r>
          </w:p>
        </w:tc>
        <w:tc>
          <w:tcPr>
            <w:tcW w:w="516" w:type="pct"/>
            <w:vMerge w:val="restart"/>
            <w:tcBorders>
              <w:top w:val="single" w:sz="4" w:space="0" w:color="FFFFFF" w:themeColor="background1"/>
            </w:tcBorders>
            <w:shd w:val="clear" w:color="auto" w:fill="F2F2F2" w:themeFill="background1" w:themeFillShade="F2"/>
            <w:vAlign w:val="center"/>
          </w:tcPr>
          <w:p w14:paraId="3C1ED14B"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3</w:t>
            </w:r>
          </w:p>
        </w:tc>
        <w:tc>
          <w:tcPr>
            <w:tcW w:w="839" w:type="pct"/>
            <w:vMerge w:val="restart"/>
            <w:tcBorders>
              <w:top w:val="single" w:sz="4" w:space="0" w:color="FFFFFF" w:themeColor="background1"/>
            </w:tcBorders>
            <w:shd w:val="clear" w:color="auto" w:fill="F2F2F2" w:themeFill="background1" w:themeFillShade="F2"/>
            <w:vAlign w:val="center"/>
          </w:tcPr>
          <w:p w14:paraId="07DDE0E2"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w:t>
            </w:r>
          </w:p>
        </w:tc>
        <w:tc>
          <w:tcPr>
            <w:tcW w:w="798" w:type="pct"/>
            <w:vMerge w:val="restart"/>
            <w:tcBorders>
              <w:top w:val="single" w:sz="4" w:space="0" w:color="FFFFFF" w:themeColor="background1"/>
            </w:tcBorders>
            <w:shd w:val="clear" w:color="auto" w:fill="F2F2F2" w:themeFill="background1" w:themeFillShade="F2"/>
            <w:vAlign w:val="center"/>
          </w:tcPr>
          <w:p w14:paraId="37AAF670"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Trust</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1FA1F2D"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Pay and play; membership</w:t>
            </w:r>
          </w:p>
        </w:tc>
      </w:tr>
      <w:tr w:rsidR="00454BF3" w:rsidRPr="00324C84" w14:paraId="1A83302C" w14:textId="77777777" w:rsidTr="00664A0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74" w:type="pct"/>
            <w:vMerge/>
            <w:tcBorders>
              <w:bottom w:val="single" w:sz="4" w:space="0" w:color="FFFFFF" w:themeColor="background1"/>
            </w:tcBorders>
            <w:shd w:val="clear" w:color="auto" w:fill="F2F2F2" w:themeFill="background1" w:themeFillShade="F2"/>
            <w:vAlign w:val="center"/>
          </w:tcPr>
          <w:p w14:paraId="040360B8" w14:textId="77777777" w:rsidR="00454BF3" w:rsidRPr="00D21B72" w:rsidRDefault="00454BF3" w:rsidP="00CE5053">
            <w:pPr>
              <w:spacing w:before="40" w:after="40"/>
              <w:rPr>
                <w:sz w:val="18"/>
                <w:szCs w:val="18"/>
              </w:rPr>
            </w:pPr>
          </w:p>
        </w:tc>
        <w:tc>
          <w:tcPr>
            <w:tcW w:w="516" w:type="pct"/>
            <w:vMerge/>
            <w:tcBorders>
              <w:bottom w:val="single" w:sz="4" w:space="0" w:color="FFFFFF" w:themeColor="background1"/>
            </w:tcBorders>
            <w:shd w:val="clear" w:color="auto" w:fill="F2F2F2" w:themeFill="background1" w:themeFillShade="F2"/>
            <w:vAlign w:val="center"/>
          </w:tcPr>
          <w:p w14:paraId="17A1CA98"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839" w:type="pct"/>
            <w:vMerge/>
            <w:tcBorders>
              <w:bottom w:val="single" w:sz="4" w:space="0" w:color="FFFFFF" w:themeColor="background1"/>
            </w:tcBorders>
            <w:shd w:val="clear" w:color="auto" w:fill="F2F2F2" w:themeFill="background1" w:themeFillShade="F2"/>
            <w:vAlign w:val="center"/>
          </w:tcPr>
          <w:p w14:paraId="1A55251A"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798" w:type="pct"/>
            <w:vMerge/>
            <w:tcBorders>
              <w:bottom w:val="single" w:sz="4" w:space="0" w:color="FFFFFF" w:themeColor="background1"/>
            </w:tcBorders>
            <w:shd w:val="clear" w:color="auto" w:fill="F2F2F2" w:themeFill="background1" w:themeFillShade="F2"/>
            <w:vAlign w:val="center"/>
          </w:tcPr>
          <w:p w14:paraId="4F6D2C48"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7E9AEC6"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Sports club/association</w:t>
            </w:r>
          </w:p>
        </w:tc>
      </w:tr>
      <w:tr w:rsidR="00454BF3" w:rsidRPr="00324C84" w14:paraId="01BF5C65" w14:textId="77777777" w:rsidTr="00454BF3">
        <w:trPr>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7857C72" w14:textId="77777777" w:rsidR="00454BF3" w:rsidRPr="00D21B72" w:rsidRDefault="00454BF3" w:rsidP="00CE5053">
            <w:pPr>
              <w:spacing w:before="40" w:after="40"/>
              <w:rPr>
                <w:sz w:val="18"/>
                <w:szCs w:val="18"/>
              </w:rPr>
            </w:pPr>
            <w:r w:rsidRPr="00D21B72">
              <w:rPr>
                <w:sz w:val="18"/>
                <w:szCs w:val="18"/>
              </w:rPr>
              <w:t>Tidemill Academy</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A108F41"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4</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362C256"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9CE6D69"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Education</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D283A34"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Sports club/association</w:t>
            </w:r>
          </w:p>
        </w:tc>
      </w:tr>
      <w:tr w:rsidR="00454BF3" w:rsidRPr="00324C84" w14:paraId="19F81594" w14:textId="77777777" w:rsidTr="00454BF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36CB9F1" w14:textId="77777777" w:rsidR="00454BF3" w:rsidRPr="00D21B72" w:rsidRDefault="00454BF3" w:rsidP="00CE5053">
            <w:pPr>
              <w:spacing w:before="40" w:after="40"/>
              <w:rPr>
                <w:sz w:val="18"/>
                <w:szCs w:val="18"/>
              </w:rPr>
            </w:pPr>
            <w:r>
              <w:rPr>
                <w:sz w:val="18"/>
                <w:szCs w:val="18"/>
              </w:rPr>
              <w:t>Glass Mill Leisure Centre</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3E67AC6"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BBD13F9" w14:textId="77777777" w:rsidR="00454BF3"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14B816D"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Trust</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93DA907"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Pay and play</w:t>
            </w:r>
          </w:p>
        </w:tc>
      </w:tr>
      <w:tr w:rsidR="00454BF3" w:rsidRPr="00324C84" w14:paraId="4261D876" w14:textId="77777777" w:rsidTr="00454BF3">
        <w:trPr>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8303DA7" w14:textId="77777777" w:rsidR="00454BF3" w:rsidRDefault="00454BF3" w:rsidP="00CE5053">
            <w:pPr>
              <w:spacing w:before="40" w:after="40"/>
              <w:rPr>
                <w:sz w:val="18"/>
                <w:szCs w:val="18"/>
              </w:rPr>
            </w:pPr>
            <w:r>
              <w:rPr>
                <w:sz w:val="18"/>
                <w:szCs w:val="18"/>
              </w:rPr>
              <w:t>Forest Hill Pools</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BE14808" w14:textId="77777777" w:rsidR="00454BF3"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9FA2A7E" w14:textId="77777777" w:rsidR="00454BF3"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3BF18B0" w14:textId="77777777" w:rsidR="00454BF3"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Trust</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72339FE"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Pay and play</w:t>
            </w:r>
          </w:p>
        </w:tc>
      </w:tr>
      <w:tr w:rsidR="00454BF3" w:rsidRPr="00324C84" w14:paraId="51BFF8A8" w14:textId="77777777" w:rsidTr="00454BF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23384CA" w14:textId="77777777" w:rsidR="00454BF3" w:rsidRDefault="00454BF3" w:rsidP="00CE5053">
            <w:pPr>
              <w:spacing w:before="40" w:after="40"/>
              <w:rPr>
                <w:sz w:val="18"/>
                <w:szCs w:val="18"/>
              </w:rPr>
            </w:pPr>
            <w:r>
              <w:rPr>
                <w:sz w:val="18"/>
                <w:szCs w:val="18"/>
              </w:rPr>
              <w:t>Wavelengths Leisure Centre</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37AFA41" w14:textId="77777777" w:rsidR="00454BF3"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AD8BB85" w14:textId="77777777" w:rsidR="00454BF3"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3ACED31" w14:textId="77777777" w:rsidR="00454BF3"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Trust</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9D450FF"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Pay and play</w:t>
            </w:r>
          </w:p>
        </w:tc>
      </w:tr>
      <w:tr w:rsidR="00454BF3" w:rsidRPr="00324C84" w14:paraId="55F3D11F" w14:textId="77777777" w:rsidTr="00454BF3">
        <w:trPr>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8C7BD23" w14:textId="77777777" w:rsidR="00454BF3" w:rsidRDefault="00454BF3" w:rsidP="00CE5053">
            <w:pPr>
              <w:spacing w:before="40" w:after="40"/>
              <w:rPr>
                <w:sz w:val="18"/>
                <w:szCs w:val="18"/>
              </w:rPr>
            </w:pPr>
            <w:r>
              <w:rPr>
                <w:sz w:val="18"/>
                <w:szCs w:val="18"/>
              </w:rPr>
              <w:t>Bellingham Leisure &amp; Lifestyle Centre</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AC2E41B" w14:textId="77777777" w:rsidR="00454BF3"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9D9AC6E" w14:textId="77777777" w:rsidR="00454BF3"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E1B4C32" w14:textId="77777777" w:rsidR="00454BF3"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Trust</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2798B49" w14:textId="77777777" w:rsidR="00454BF3" w:rsidRPr="00D21B72" w:rsidRDefault="00454BF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Pay and play</w:t>
            </w:r>
          </w:p>
        </w:tc>
      </w:tr>
      <w:tr w:rsidR="00454BF3" w:rsidRPr="00324C84" w14:paraId="3C5A3360" w14:textId="77777777" w:rsidTr="00454BF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7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210E061" w14:textId="77777777" w:rsidR="00454BF3" w:rsidRDefault="00454BF3" w:rsidP="00CE5053">
            <w:pPr>
              <w:spacing w:before="40" w:after="40"/>
              <w:rPr>
                <w:sz w:val="18"/>
                <w:szCs w:val="18"/>
              </w:rPr>
            </w:pPr>
            <w:r>
              <w:rPr>
                <w:sz w:val="18"/>
                <w:szCs w:val="18"/>
              </w:rPr>
              <w:t>Downham Health &amp; Leisure Centre</w:t>
            </w:r>
          </w:p>
        </w:tc>
        <w:tc>
          <w:tcPr>
            <w:tcW w:w="516"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A9CB6E2" w14:textId="77777777" w:rsidR="00454BF3"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8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A5B7069" w14:textId="77777777" w:rsidR="00454BF3"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798"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4587289" w14:textId="77777777" w:rsidR="00454BF3"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Trust</w:t>
            </w:r>
          </w:p>
        </w:tc>
        <w:tc>
          <w:tcPr>
            <w:tcW w:w="1073"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BF9B7A4" w14:textId="77777777" w:rsidR="00454BF3" w:rsidRPr="00D21B72" w:rsidRDefault="00454BF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Pay and play</w:t>
            </w:r>
          </w:p>
        </w:tc>
      </w:tr>
    </w:tbl>
    <w:p w14:paraId="097F51FC" w14:textId="77777777" w:rsidR="006B14D9" w:rsidRPr="00C43DD5" w:rsidRDefault="006B14D9" w:rsidP="00CE5053">
      <w:pPr>
        <w:pStyle w:val="Caption"/>
        <w:spacing w:before="120" w:after="360"/>
        <w:ind w:left="720"/>
        <w:rPr>
          <w:b/>
          <w:i w:val="0"/>
          <w:color w:val="auto"/>
        </w:rPr>
      </w:pPr>
      <w:r>
        <w:rPr>
          <w:b/>
          <w:i w:val="0"/>
          <w:color w:val="auto"/>
        </w:rPr>
        <w:t>T</w:t>
      </w:r>
      <w:r w:rsidRPr="00F067AD">
        <w:rPr>
          <w:b/>
          <w:i w:val="0"/>
          <w:color w:val="auto"/>
        </w:rPr>
        <w:t xml:space="preserve">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7</w:t>
      </w:r>
      <w:r>
        <w:rPr>
          <w:b/>
          <w:i w:val="0"/>
          <w:color w:val="auto"/>
        </w:rPr>
        <w:fldChar w:fldCharType="end"/>
      </w:r>
      <w:r w:rsidRPr="00C43DD5">
        <w:rPr>
          <w:i w:val="0"/>
          <w:color w:val="auto"/>
        </w:rPr>
        <w:t xml:space="preserve"> </w:t>
      </w:r>
      <w:r>
        <w:rPr>
          <w:i w:val="0"/>
          <w:color w:val="auto"/>
        </w:rPr>
        <w:t xml:space="preserve">Sports halls </w:t>
      </w:r>
      <w:r w:rsidR="00AE4364">
        <w:rPr>
          <w:i w:val="0"/>
          <w:color w:val="auto"/>
        </w:rPr>
        <w:t xml:space="preserve">and leisure centres </w:t>
      </w:r>
      <w:r>
        <w:rPr>
          <w:i w:val="0"/>
          <w:color w:val="auto"/>
        </w:rPr>
        <w:t xml:space="preserve">available for community use. </w:t>
      </w:r>
      <w:r w:rsidRPr="00726879">
        <w:rPr>
          <w:i w:val="0"/>
          <w:color w:val="auto"/>
        </w:rPr>
        <w:t>Source: Sport England, 2017</w:t>
      </w:r>
    </w:p>
    <w:p w14:paraId="6E948FF4" w14:textId="77777777" w:rsidR="00AB2A60" w:rsidRDefault="002930E6" w:rsidP="00CE5053">
      <w:pPr>
        <w:pStyle w:val="ListParagraph"/>
        <w:numPr>
          <w:ilvl w:val="0"/>
          <w:numId w:val="27"/>
        </w:numPr>
        <w:spacing w:after="240"/>
        <w:ind w:left="737" w:hanging="737"/>
        <w:contextualSpacing w:val="0"/>
      </w:pPr>
      <w:r w:rsidRPr="002930E6">
        <w:t>As part of the consented redevelopment of Surrey Canal Triangle, there is outline planning permission for a large indoor sports facility as part of the development. The sports facility would be managed by the Surrey Canal Sporting Foundation, and the detail of its size and facilities would be secured as part of any future reserved matters application.</w:t>
      </w:r>
      <w:r>
        <w:t xml:space="preserve"> When delivered, this new facility will address some of the unmet demand in the north of the borough.</w:t>
      </w:r>
    </w:p>
    <w:p w14:paraId="757C161A" w14:textId="77777777" w:rsidR="00DF60C7" w:rsidRPr="006D56E2" w:rsidRDefault="00F04782" w:rsidP="00CE5053">
      <w:pPr>
        <w:tabs>
          <w:tab w:val="left" w:pos="720"/>
          <w:tab w:val="left" w:pos="1440"/>
          <w:tab w:val="left" w:pos="2612"/>
          <w:tab w:val="left" w:pos="3047"/>
        </w:tabs>
        <w:spacing w:before="240" w:after="120"/>
        <w:ind w:left="720" w:hanging="720"/>
        <w:rPr>
          <w:b/>
        </w:rPr>
      </w:pPr>
      <w:r>
        <w:rPr>
          <w:b/>
        </w:rPr>
        <w:tab/>
      </w:r>
      <w:r w:rsidR="00DF60C7" w:rsidRPr="006D56E2">
        <w:rPr>
          <w:b/>
        </w:rPr>
        <w:t xml:space="preserve">Future </w:t>
      </w:r>
      <w:r w:rsidR="005F5AF5" w:rsidRPr="006D56E2">
        <w:rPr>
          <w:b/>
        </w:rPr>
        <w:t>requirement</w:t>
      </w:r>
    </w:p>
    <w:p w14:paraId="5EF72722" w14:textId="77777777" w:rsidR="000C7FD0" w:rsidRPr="00595E96" w:rsidRDefault="00DF60C7" w:rsidP="00CE5053">
      <w:pPr>
        <w:pStyle w:val="ListParagraph"/>
        <w:numPr>
          <w:ilvl w:val="0"/>
          <w:numId w:val="27"/>
        </w:numPr>
        <w:spacing w:after="240"/>
        <w:ind w:left="737" w:hanging="737"/>
        <w:contextualSpacing w:val="0"/>
      </w:pPr>
      <w:r w:rsidRPr="00595E96">
        <w:t xml:space="preserve">Based on Sport England’s assessment, with no additional supply identified by 2041 the effective supply will </w:t>
      </w:r>
      <w:r w:rsidR="002B132B" w:rsidRPr="00595E96">
        <w:t xml:space="preserve">likely </w:t>
      </w:r>
      <w:r w:rsidRPr="00595E96">
        <w:t>reduce from 1.9 courts to 1.6 courts per 10,000 population. The unmet demand for sports halls in the borough is expected to increase from 19.6 courts to 30.5 courts</w:t>
      </w:r>
      <w:r w:rsidR="00AA1594" w:rsidRPr="00595E96">
        <w:t>, and t</w:t>
      </w:r>
      <w:r w:rsidRPr="00595E96">
        <w:t>he level of satisfied demand is expected to fall from 78% to 7</w:t>
      </w:r>
      <w:r w:rsidR="00AA1594" w:rsidRPr="00595E96">
        <w:t>1</w:t>
      </w:r>
      <w:r w:rsidRPr="00595E96">
        <w:t>%.</w:t>
      </w:r>
      <w:r w:rsidR="00D47EBA" w:rsidRPr="00595E96">
        <w:t xml:space="preserve"> O</w:t>
      </w:r>
      <w:r w:rsidRPr="00595E96">
        <w:t>verall, the Sport England assessment indicated that demand for sports halls in the borough exceeds the effective supply, with the level of unmet need expecte</w:t>
      </w:r>
      <w:r w:rsidR="00F04782">
        <w:t>d to increase further by 2041. New facilities at the Surrey Canal Triangle site and Convoy’s Wharf are expected to address some of the forecast demand.</w:t>
      </w:r>
    </w:p>
    <w:p w14:paraId="5A3E5140" w14:textId="77777777" w:rsidR="00DF60C7" w:rsidRPr="00595E96" w:rsidRDefault="008654D5" w:rsidP="00CE5053">
      <w:pPr>
        <w:pStyle w:val="ListParagraph"/>
        <w:numPr>
          <w:ilvl w:val="0"/>
          <w:numId w:val="27"/>
        </w:numPr>
        <w:spacing w:after="240"/>
        <w:ind w:left="737" w:hanging="737"/>
        <w:contextualSpacing w:val="0"/>
      </w:pPr>
      <w:r w:rsidRPr="00595E96">
        <w:t>The Council is continuing to monitor the deman</w:t>
      </w:r>
      <w:r w:rsidR="00F04782">
        <w:t>d for sports halls</w:t>
      </w:r>
      <w:r w:rsidRPr="00595E96">
        <w:t xml:space="preserve">, and </w:t>
      </w:r>
      <w:r w:rsidR="00F04782">
        <w:t xml:space="preserve">is currently preparing a Physical Activity </w:t>
      </w:r>
      <w:r w:rsidR="00301E47">
        <w:t xml:space="preserve">and Healthy Lifestyles Strategy. Once finalised, the Strategy will </w:t>
      </w:r>
      <w:r w:rsidR="00F04782">
        <w:t xml:space="preserve">provide a </w:t>
      </w:r>
      <w:r w:rsidR="00F04782">
        <w:lastRenderedPageBreak/>
        <w:t>comprehensive strategy for the future</w:t>
      </w:r>
      <w:r w:rsidR="00301E47">
        <w:t xml:space="preserve"> provision and</w:t>
      </w:r>
      <w:r w:rsidR="00F04782">
        <w:t xml:space="preserve"> management of sports and recreation facilities </w:t>
      </w:r>
      <w:r w:rsidR="00301E47">
        <w:t>in Lewisham, and will inform future updates to the IDP.</w:t>
      </w:r>
    </w:p>
    <w:p w14:paraId="60D6B943" w14:textId="77777777" w:rsidR="00DF60C7" w:rsidRPr="00AF0D1E" w:rsidRDefault="00DF60C7" w:rsidP="00CE5053">
      <w:pPr>
        <w:pStyle w:val="Heading3"/>
      </w:pPr>
      <w:bookmarkStart w:id="31" w:name="_Toc56146021"/>
      <w:r w:rsidRPr="006E08AE">
        <w:t>Swimming pools</w:t>
      </w:r>
      <w:bookmarkEnd w:id="31"/>
    </w:p>
    <w:p w14:paraId="20316F2D" w14:textId="77777777" w:rsidR="006D56E2" w:rsidRPr="006D56E2" w:rsidRDefault="006D56E2" w:rsidP="00CE5053">
      <w:pPr>
        <w:tabs>
          <w:tab w:val="left" w:pos="720"/>
          <w:tab w:val="left" w:pos="1440"/>
          <w:tab w:val="left" w:pos="2612"/>
          <w:tab w:val="left" w:pos="3047"/>
        </w:tabs>
        <w:spacing w:before="240" w:after="120"/>
        <w:ind w:left="720" w:hanging="720"/>
        <w:rPr>
          <w:b/>
        </w:rPr>
      </w:pPr>
      <w:r w:rsidRPr="006D56E2">
        <w:rPr>
          <w:b/>
        </w:rPr>
        <w:tab/>
      </w:r>
      <w:r>
        <w:rPr>
          <w:b/>
        </w:rPr>
        <w:t>Background</w:t>
      </w:r>
    </w:p>
    <w:p w14:paraId="5FCA0492" w14:textId="77777777" w:rsidR="00DF60C7" w:rsidRPr="00595E96" w:rsidRDefault="00DF60C7" w:rsidP="00CE5053">
      <w:pPr>
        <w:pStyle w:val="ListParagraph"/>
        <w:numPr>
          <w:ilvl w:val="0"/>
          <w:numId w:val="27"/>
        </w:numPr>
        <w:spacing w:after="240"/>
        <w:ind w:left="737" w:hanging="737"/>
        <w:contextualSpacing w:val="0"/>
      </w:pPr>
      <w:r>
        <w:t xml:space="preserve">Swimming pools in the borough operate on a pay and play basis, and are managed either through a trust or by a commercial </w:t>
      </w:r>
      <w:r w:rsidR="008654D5">
        <w:t>provider</w:t>
      </w:r>
      <w:r w:rsidR="00520B5B">
        <w:t>. A</w:t>
      </w:r>
      <w:r>
        <w:t xml:space="preserve">ll swimming pools in the borough are available for community use.  Main/general pools are swimming pools that have a minimum size of 4 x 20m lanes (160 sqm of water space), pools smaller than main pools are referred to as learner/teaching/training pools.  </w:t>
      </w:r>
    </w:p>
    <w:p w14:paraId="63CE1B8D" w14:textId="77777777" w:rsidR="00DF60C7" w:rsidRPr="006D56E2" w:rsidRDefault="00DF60C7" w:rsidP="00CE5053">
      <w:pPr>
        <w:tabs>
          <w:tab w:val="left" w:pos="720"/>
          <w:tab w:val="left" w:pos="1440"/>
          <w:tab w:val="left" w:pos="2612"/>
          <w:tab w:val="left" w:pos="3047"/>
        </w:tabs>
        <w:spacing w:before="240" w:after="120"/>
        <w:ind w:left="720" w:hanging="720"/>
        <w:rPr>
          <w:b/>
        </w:rPr>
      </w:pPr>
      <w:r w:rsidRPr="006D56E2">
        <w:rPr>
          <w:b/>
        </w:rPr>
        <w:tab/>
        <w:t>Current situation</w:t>
      </w:r>
      <w:r w:rsidRPr="006D56E2">
        <w:rPr>
          <w:b/>
        </w:rPr>
        <w:tab/>
      </w:r>
    </w:p>
    <w:p w14:paraId="7371685F" w14:textId="77777777" w:rsidR="00DF60C7" w:rsidRDefault="00520B5B" w:rsidP="00CE5053">
      <w:pPr>
        <w:pStyle w:val="ListParagraph"/>
        <w:numPr>
          <w:ilvl w:val="0"/>
          <w:numId w:val="27"/>
        </w:numPr>
        <w:spacing w:after="240"/>
        <w:ind w:left="737" w:hanging="737"/>
        <w:contextualSpacing w:val="0"/>
      </w:pPr>
      <w:r>
        <w:t>T</w:t>
      </w:r>
      <w:r w:rsidR="00DF60C7" w:rsidRPr="00595E96">
        <w:t xml:space="preserve">here are </w:t>
      </w:r>
      <w:r>
        <w:t xml:space="preserve">currently </w:t>
      </w:r>
      <w:r w:rsidR="005B6D74" w:rsidRPr="00595E96">
        <w:t>six</w:t>
      </w:r>
      <w:r w:rsidR="00DF60C7" w:rsidRPr="00595E96">
        <w:t xml:space="preserve"> sites </w:t>
      </w:r>
      <w:r>
        <w:t xml:space="preserve">with </w:t>
      </w:r>
      <w:r w:rsidR="00DF60C7" w:rsidRPr="00595E96">
        <w:t xml:space="preserve">swimming </w:t>
      </w:r>
      <w:r w:rsidR="00D32129">
        <w:t>facilities available</w:t>
      </w:r>
      <w:r w:rsidR="00DF60C7" w:rsidRPr="00595E96">
        <w:t xml:space="preserve"> for community use in </w:t>
      </w:r>
      <w:r>
        <w:t>Lewisham</w:t>
      </w:r>
      <w:r w:rsidR="00DF60C7" w:rsidRPr="00595E96">
        <w:t>, provid</w:t>
      </w:r>
      <w:r w:rsidR="005B6D74" w:rsidRPr="00595E96">
        <w:t>ing</w:t>
      </w:r>
      <w:r w:rsidR="00DF60C7" w:rsidRPr="00595E96">
        <w:t xml:space="preserve"> a total of 11 pools</w:t>
      </w:r>
      <w:r>
        <w:t>. Based on the current size of the population, there is currently</w:t>
      </w:r>
      <w:r w:rsidR="00DF60C7" w:rsidRPr="00595E96">
        <w:t xml:space="preserve"> 9 sqm of water space per 1,000 population</w:t>
      </w:r>
      <w:r>
        <w:t>,</w:t>
      </w:r>
      <w:r w:rsidR="00DF60C7" w:rsidRPr="00595E96">
        <w:t xml:space="preserve"> slightly below the London-wide average of 11 sqm of water space per 1,000 population. </w:t>
      </w:r>
    </w:p>
    <w:p w14:paraId="3A0B65B7" w14:textId="77777777" w:rsidR="003F0F6E" w:rsidRDefault="00520B5B" w:rsidP="00CE5053">
      <w:pPr>
        <w:pStyle w:val="ListParagraph"/>
        <w:numPr>
          <w:ilvl w:val="0"/>
          <w:numId w:val="27"/>
        </w:numPr>
        <w:spacing w:after="360"/>
        <w:ind w:left="737" w:hanging="737"/>
        <w:contextualSpacing w:val="0"/>
      </w:pPr>
      <w:r>
        <w:t>The current provision of swimming facilities in the borough currently meets approximately 94</w:t>
      </w:r>
      <w:r w:rsidRPr="00595E96">
        <w:t>% of demand</w:t>
      </w:r>
      <w:r>
        <w:t>, based on analysis by Sports England. U</w:t>
      </w:r>
      <w:r w:rsidR="00DF60C7" w:rsidRPr="00595E96">
        <w:t>nmet demand was calculated at 191 sqm</w:t>
      </w:r>
      <w:r>
        <w:t>,</w:t>
      </w:r>
      <w:r w:rsidR="00DF60C7" w:rsidRPr="00595E96">
        <w:t xml:space="preserve"> </w:t>
      </w:r>
      <w:r>
        <w:t xml:space="preserve">with </w:t>
      </w:r>
      <w:r w:rsidR="00DF60C7" w:rsidRPr="00595E96">
        <w:t xml:space="preserve">the </w:t>
      </w:r>
      <w:r>
        <w:t xml:space="preserve">highest </w:t>
      </w:r>
      <w:r w:rsidR="00DF60C7" w:rsidRPr="00595E96">
        <w:t xml:space="preserve">unmet demand identified </w:t>
      </w:r>
      <w:r>
        <w:t>in</w:t>
      </w:r>
      <w:r w:rsidR="00DF60C7" w:rsidRPr="00595E96">
        <w:t xml:space="preserve"> the northwest of the borough</w:t>
      </w:r>
      <w:r w:rsidR="005725A4" w:rsidRPr="00595E96">
        <w:t xml:space="preserve">. </w:t>
      </w:r>
      <w:r w:rsidR="00DF60C7" w:rsidRPr="00595E96">
        <w:t>Around 4</w:t>
      </w:r>
      <w:r w:rsidR="00A77F8F" w:rsidRPr="00595E96">
        <w:t>2</w:t>
      </w:r>
      <w:r w:rsidR="00DF60C7" w:rsidRPr="00595E96">
        <w:t>% of the used capacity was estimated to be imported demand from neighbouring boroughs.</w:t>
      </w:r>
    </w:p>
    <w:tbl>
      <w:tblPr>
        <w:tblStyle w:val="ListTable3-Accent32"/>
        <w:tblW w:w="4590"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1940"/>
        <w:gridCol w:w="1142"/>
        <w:gridCol w:w="937"/>
        <w:gridCol w:w="1523"/>
        <w:gridCol w:w="1448"/>
        <w:gridCol w:w="1948"/>
      </w:tblGrid>
      <w:tr w:rsidR="003F0F6E" w:rsidRPr="00324C84" w14:paraId="7E298B45"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085" w:type="pct"/>
            <w:tcBorders>
              <w:bottom w:val="single" w:sz="4" w:space="0" w:color="FFFFFF" w:themeColor="background1"/>
            </w:tcBorders>
            <w:shd w:val="clear" w:color="auto" w:fill="002060"/>
          </w:tcPr>
          <w:p w14:paraId="63F71CA1" w14:textId="77777777" w:rsidR="003F0F6E" w:rsidRPr="00D21B72" w:rsidRDefault="003F0F6E" w:rsidP="00CE5053">
            <w:pPr>
              <w:tabs>
                <w:tab w:val="center" w:pos="3056"/>
                <w:tab w:val="left" w:pos="4975"/>
              </w:tabs>
              <w:spacing w:before="40" w:after="40"/>
              <w:rPr>
                <w:sz w:val="18"/>
                <w:szCs w:val="18"/>
              </w:rPr>
            </w:pPr>
            <w:r w:rsidRPr="00D21B72">
              <w:rPr>
                <w:sz w:val="18"/>
                <w:szCs w:val="18"/>
              </w:rPr>
              <w:t>Site/Location</w:t>
            </w:r>
          </w:p>
        </w:tc>
        <w:tc>
          <w:tcPr>
            <w:tcW w:w="639" w:type="pct"/>
            <w:tcBorders>
              <w:bottom w:val="single" w:sz="4" w:space="0" w:color="FFFFFF" w:themeColor="background1"/>
            </w:tcBorders>
            <w:shd w:val="clear" w:color="auto" w:fill="002060"/>
          </w:tcPr>
          <w:p w14:paraId="372D49D7" w14:textId="77777777" w:rsidR="003F0F6E" w:rsidRPr="00D21B72" w:rsidRDefault="003F0F6E"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D21B72">
              <w:rPr>
                <w:bCs w:val="0"/>
                <w:sz w:val="18"/>
                <w:szCs w:val="18"/>
              </w:rPr>
              <w:t>Facility type</w:t>
            </w:r>
          </w:p>
        </w:tc>
        <w:tc>
          <w:tcPr>
            <w:tcW w:w="524" w:type="pct"/>
            <w:tcBorders>
              <w:bottom w:val="single" w:sz="4" w:space="0" w:color="FFFFFF" w:themeColor="background1"/>
            </w:tcBorders>
            <w:shd w:val="clear" w:color="auto" w:fill="002060"/>
          </w:tcPr>
          <w:p w14:paraId="029BB162" w14:textId="77777777" w:rsidR="003F0F6E" w:rsidRPr="00D21B72" w:rsidRDefault="003F0F6E"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D21B72">
              <w:rPr>
                <w:bCs w:val="0"/>
                <w:sz w:val="18"/>
                <w:szCs w:val="18"/>
              </w:rPr>
              <w:t>Area (sqm)</w:t>
            </w:r>
          </w:p>
        </w:tc>
        <w:tc>
          <w:tcPr>
            <w:tcW w:w="852" w:type="pct"/>
            <w:tcBorders>
              <w:bottom w:val="single" w:sz="4" w:space="0" w:color="FFFFFF" w:themeColor="background1"/>
            </w:tcBorders>
            <w:shd w:val="clear" w:color="auto" w:fill="002060"/>
          </w:tcPr>
          <w:p w14:paraId="58A1DFBB" w14:textId="77777777" w:rsidR="003F0F6E" w:rsidRPr="00D21B72" w:rsidRDefault="003F0F6E"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D21B72">
              <w:rPr>
                <w:bCs w:val="0"/>
                <w:sz w:val="18"/>
                <w:szCs w:val="18"/>
              </w:rPr>
              <w:t>Utilised capacity (%)</w:t>
            </w:r>
          </w:p>
        </w:tc>
        <w:tc>
          <w:tcPr>
            <w:tcW w:w="810" w:type="pct"/>
            <w:tcBorders>
              <w:bottom w:val="single" w:sz="4" w:space="0" w:color="FFFFFF" w:themeColor="background1"/>
            </w:tcBorders>
            <w:shd w:val="clear" w:color="auto" w:fill="002060"/>
          </w:tcPr>
          <w:p w14:paraId="0986566C" w14:textId="77777777" w:rsidR="003F0F6E" w:rsidRPr="00D21B72" w:rsidRDefault="003F0F6E"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D21B72">
              <w:rPr>
                <w:sz w:val="18"/>
                <w:szCs w:val="18"/>
              </w:rPr>
              <w:t>Management type</w:t>
            </w:r>
          </w:p>
        </w:tc>
        <w:tc>
          <w:tcPr>
            <w:tcW w:w="1090" w:type="pct"/>
            <w:tcBorders>
              <w:bottom w:val="single" w:sz="4" w:space="0" w:color="FFFFFF" w:themeColor="background1"/>
            </w:tcBorders>
            <w:shd w:val="clear" w:color="auto" w:fill="002060"/>
          </w:tcPr>
          <w:p w14:paraId="290C2325" w14:textId="77777777" w:rsidR="003F0F6E" w:rsidRPr="00D21B72" w:rsidRDefault="003F0F6E"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D21B72">
              <w:rPr>
                <w:sz w:val="18"/>
                <w:szCs w:val="18"/>
              </w:rPr>
              <w:t>Access type</w:t>
            </w:r>
          </w:p>
        </w:tc>
      </w:tr>
      <w:tr w:rsidR="00664A0F" w:rsidRPr="00324C84" w14:paraId="4D7AA016" w14:textId="77777777" w:rsidTr="00664A0F">
        <w:trPr>
          <w:cnfStyle w:val="000000100000" w:firstRow="0" w:lastRow="0" w:firstColumn="0" w:lastColumn="0" w:oddVBand="0" w:evenVBand="0" w:oddHBand="1" w:evenHBand="0" w:firstRowFirstColumn="0" w:firstRowLastColumn="0" w:lastRowFirstColumn="0" w:lastRowLastColumn="0"/>
          <w:trHeight w:val="424"/>
          <w:jc w:val="right"/>
        </w:trPr>
        <w:tc>
          <w:tcPr>
            <w:cnfStyle w:val="001000000000" w:firstRow="0" w:lastRow="0" w:firstColumn="1" w:lastColumn="0" w:oddVBand="0" w:evenVBand="0" w:oddHBand="0" w:evenHBand="0" w:firstRowFirstColumn="0" w:firstRowLastColumn="0" w:lastRowFirstColumn="0" w:lastRowLastColumn="0"/>
            <w:tcW w:w="1085" w:type="pct"/>
            <w:vMerge w:val="restart"/>
            <w:tcBorders>
              <w:top w:val="single" w:sz="4" w:space="0" w:color="FFFFFF" w:themeColor="background1"/>
            </w:tcBorders>
            <w:shd w:val="clear" w:color="auto" w:fill="F2F2F2" w:themeFill="background1" w:themeFillShade="F2"/>
          </w:tcPr>
          <w:p w14:paraId="016538A0" w14:textId="77777777" w:rsidR="00664A0F" w:rsidRPr="00D21B72" w:rsidRDefault="00664A0F" w:rsidP="00CE5053">
            <w:pPr>
              <w:spacing w:before="40" w:after="40"/>
              <w:rPr>
                <w:b w:val="0"/>
                <w:bCs w:val="0"/>
                <w:sz w:val="18"/>
                <w:szCs w:val="18"/>
              </w:rPr>
            </w:pPr>
            <w:r w:rsidRPr="00D21B72">
              <w:rPr>
                <w:sz w:val="18"/>
                <w:szCs w:val="18"/>
              </w:rPr>
              <w:t>Downham Health &amp; Leisure Centre</w:t>
            </w:r>
          </w:p>
          <w:p w14:paraId="31F27C88" w14:textId="77777777" w:rsidR="00664A0F" w:rsidRPr="00D21B72" w:rsidRDefault="00664A0F" w:rsidP="00CE5053">
            <w:pPr>
              <w:spacing w:before="40" w:after="40"/>
              <w:rPr>
                <w:sz w:val="18"/>
                <w:szCs w:val="18"/>
              </w:rPr>
            </w:pPr>
          </w:p>
        </w:tc>
        <w:tc>
          <w:tcPr>
            <w:tcW w:w="6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9D2206F"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Main</w:t>
            </w:r>
          </w:p>
        </w:tc>
        <w:tc>
          <w:tcPr>
            <w:tcW w:w="52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4FB4232"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300</w:t>
            </w:r>
          </w:p>
        </w:tc>
        <w:tc>
          <w:tcPr>
            <w:tcW w:w="852" w:type="pct"/>
            <w:vMerge w:val="restart"/>
            <w:tcBorders>
              <w:top w:val="single" w:sz="4" w:space="0" w:color="FFFFFF" w:themeColor="background1"/>
            </w:tcBorders>
            <w:shd w:val="clear" w:color="auto" w:fill="F2F2F2" w:themeFill="background1" w:themeFillShade="F2"/>
            <w:vAlign w:val="center"/>
          </w:tcPr>
          <w:p w14:paraId="5AA05B6E"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90</w:t>
            </w:r>
          </w:p>
        </w:tc>
        <w:tc>
          <w:tcPr>
            <w:tcW w:w="810" w:type="pct"/>
            <w:vMerge w:val="restart"/>
            <w:tcBorders>
              <w:top w:val="single" w:sz="4" w:space="0" w:color="FFFFFF" w:themeColor="background1"/>
            </w:tcBorders>
            <w:shd w:val="clear" w:color="auto" w:fill="F2F2F2" w:themeFill="background1" w:themeFillShade="F2"/>
            <w:vAlign w:val="center"/>
          </w:tcPr>
          <w:p w14:paraId="2E383577"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Commercia</w:t>
            </w:r>
            <w:r>
              <w:rPr>
                <w:sz w:val="18"/>
                <w:szCs w:val="18"/>
              </w:rPr>
              <w:t>l</w:t>
            </w:r>
          </w:p>
        </w:tc>
        <w:tc>
          <w:tcPr>
            <w:tcW w:w="1090" w:type="pct"/>
            <w:vMerge w:val="restart"/>
            <w:tcBorders>
              <w:top w:val="single" w:sz="4" w:space="0" w:color="FFFFFF" w:themeColor="background1"/>
            </w:tcBorders>
            <w:shd w:val="clear" w:color="auto" w:fill="F2F2F2" w:themeFill="background1" w:themeFillShade="F2"/>
            <w:vAlign w:val="center"/>
          </w:tcPr>
          <w:p w14:paraId="14258003"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Community access</w:t>
            </w:r>
          </w:p>
        </w:tc>
      </w:tr>
      <w:tr w:rsidR="00664A0F" w:rsidRPr="00324C84" w14:paraId="420CD069" w14:textId="77777777" w:rsidTr="00664A0F">
        <w:trPr>
          <w:jc w:val="right"/>
        </w:trPr>
        <w:tc>
          <w:tcPr>
            <w:cnfStyle w:val="001000000000" w:firstRow="0" w:lastRow="0" w:firstColumn="1" w:lastColumn="0" w:oddVBand="0" w:evenVBand="0" w:oddHBand="0" w:evenHBand="0" w:firstRowFirstColumn="0" w:firstRowLastColumn="0" w:lastRowFirstColumn="0" w:lastRowLastColumn="0"/>
            <w:tcW w:w="1085" w:type="pct"/>
            <w:vMerge/>
            <w:tcBorders>
              <w:bottom w:val="single" w:sz="4" w:space="0" w:color="FFFFFF" w:themeColor="background1"/>
            </w:tcBorders>
            <w:shd w:val="clear" w:color="auto" w:fill="F2F2F2" w:themeFill="background1" w:themeFillShade="F2"/>
          </w:tcPr>
          <w:p w14:paraId="79B88F8C" w14:textId="77777777" w:rsidR="00664A0F" w:rsidRPr="00D21B72" w:rsidRDefault="00664A0F" w:rsidP="00CE5053">
            <w:pPr>
              <w:spacing w:before="40" w:after="40"/>
              <w:rPr>
                <w:sz w:val="18"/>
                <w:szCs w:val="18"/>
              </w:rPr>
            </w:pPr>
          </w:p>
        </w:tc>
        <w:tc>
          <w:tcPr>
            <w:tcW w:w="6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1621784"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Learner</w:t>
            </w:r>
          </w:p>
        </w:tc>
        <w:tc>
          <w:tcPr>
            <w:tcW w:w="52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2CF255B"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130</w:t>
            </w:r>
          </w:p>
        </w:tc>
        <w:tc>
          <w:tcPr>
            <w:tcW w:w="852" w:type="pct"/>
            <w:vMerge/>
            <w:tcBorders>
              <w:bottom w:val="single" w:sz="4" w:space="0" w:color="FFFFFF" w:themeColor="background1"/>
            </w:tcBorders>
            <w:shd w:val="clear" w:color="auto" w:fill="F2F2F2" w:themeFill="background1" w:themeFillShade="F2"/>
            <w:vAlign w:val="center"/>
          </w:tcPr>
          <w:p w14:paraId="145C11DD"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810" w:type="pct"/>
            <w:vMerge/>
            <w:tcBorders>
              <w:bottom w:val="single" w:sz="4" w:space="0" w:color="FFFFFF" w:themeColor="background1"/>
            </w:tcBorders>
            <w:shd w:val="clear" w:color="auto" w:fill="F2F2F2" w:themeFill="background1" w:themeFillShade="F2"/>
            <w:vAlign w:val="center"/>
          </w:tcPr>
          <w:p w14:paraId="6B40E7A7"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090" w:type="pct"/>
            <w:vMerge/>
            <w:tcBorders>
              <w:bottom w:val="single" w:sz="4" w:space="0" w:color="FFFFFF" w:themeColor="background1"/>
            </w:tcBorders>
            <w:shd w:val="clear" w:color="auto" w:fill="F2F2F2" w:themeFill="background1" w:themeFillShade="F2"/>
            <w:vAlign w:val="center"/>
          </w:tcPr>
          <w:p w14:paraId="3FFF7D4A"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664A0F" w:rsidRPr="00324C84" w14:paraId="77B92520" w14:textId="77777777" w:rsidTr="00664A0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5" w:type="pct"/>
            <w:vMerge w:val="restart"/>
            <w:tcBorders>
              <w:top w:val="single" w:sz="4" w:space="0" w:color="FFFFFF" w:themeColor="background1"/>
              <w:bottom w:val="single" w:sz="4" w:space="0" w:color="FFFFFF" w:themeColor="background1"/>
            </w:tcBorders>
            <w:shd w:val="clear" w:color="auto" w:fill="F2F2F2" w:themeFill="background1" w:themeFillShade="F2"/>
          </w:tcPr>
          <w:p w14:paraId="6CF5BB8C" w14:textId="77777777" w:rsidR="00664A0F" w:rsidRPr="00D21B72" w:rsidRDefault="00664A0F" w:rsidP="00CE5053">
            <w:pPr>
              <w:spacing w:before="40" w:after="40"/>
              <w:rPr>
                <w:sz w:val="18"/>
                <w:szCs w:val="18"/>
              </w:rPr>
            </w:pPr>
            <w:r w:rsidRPr="00D21B72">
              <w:rPr>
                <w:sz w:val="18"/>
                <w:szCs w:val="18"/>
              </w:rPr>
              <w:t>Forest Hill Pools</w:t>
            </w:r>
          </w:p>
        </w:tc>
        <w:tc>
          <w:tcPr>
            <w:tcW w:w="6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7BC9B94"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Main</w:t>
            </w:r>
          </w:p>
        </w:tc>
        <w:tc>
          <w:tcPr>
            <w:tcW w:w="52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BFAE67D"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325</w:t>
            </w:r>
          </w:p>
        </w:tc>
        <w:tc>
          <w:tcPr>
            <w:tcW w:w="852" w:type="pct"/>
            <w:vMerge w:val="restart"/>
            <w:tcBorders>
              <w:top w:val="single" w:sz="4" w:space="0" w:color="FFFFFF" w:themeColor="background1"/>
            </w:tcBorders>
            <w:shd w:val="clear" w:color="auto" w:fill="F2F2F2" w:themeFill="background1" w:themeFillShade="F2"/>
            <w:vAlign w:val="center"/>
          </w:tcPr>
          <w:p w14:paraId="2850DD93"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90</w:t>
            </w:r>
          </w:p>
        </w:tc>
        <w:tc>
          <w:tcPr>
            <w:tcW w:w="810" w:type="pct"/>
            <w:vMerge w:val="restart"/>
            <w:tcBorders>
              <w:top w:val="single" w:sz="4" w:space="0" w:color="FFFFFF" w:themeColor="background1"/>
            </w:tcBorders>
            <w:shd w:val="clear" w:color="auto" w:fill="F2F2F2" w:themeFill="background1" w:themeFillShade="F2"/>
            <w:vAlign w:val="center"/>
          </w:tcPr>
          <w:p w14:paraId="34B233E8"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Trust</w:t>
            </w:r>
          </w:p>
        </w:tc>
        <w:tc>
          <w:tcPr>
            <w:tcW w:w="1090" w:type="pct"/>
            <w:vMerge w:val="restart"/>
            <w:tcBorders>
              <w:top w:val="single" w:sz="4" w:space="0" w:color="FFFFFF" w:themeColor="background1"/>
            </w:tcBorders>
            <w:shd w:val="clear" w:color="auto" w:fill="F2F2F2" w:themeFill="background1" w:themeFillShade="F2"/>
            <w:vAlign w:val="center"/>
          </w:tcPr>
          <w:p w14:paraId="577EEA4F"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Community access</w:t>
            </w:r>
          </w:p>
        </w:tc>
      </w:tr>
      <w:tr w:rsidR="00664A0F" w:rsidRPr="00324C84" w14:paraId="735411C1" w14:textId="77777777" w:rsidTr="00664A0F">
        <w:trPr>
          <w:jc w:val="right"/>
        </w:trPr>
        <w:tc>
          <w:tcPr>
            <w:cnfStyle w:val="001000000000" w:firstRow="0" w:lastRow="0" w:firstColumn="1" w:lastColumn="0" w:oddVBand="0" w:evenVBand="0" w:oddHBand="0" w:evenHBand="0" w:firstRowFirstColumn="0" w:firstRowLastColumn="0" w:lastRowFirstColumn="0" w:lastRowLastColumn="0"/>
            <w:tcW w:w="1085" w:type="pct"/>
            <w:vMerge/>
            <w:tcBorders>
              <w:top w:val="single" w:sz="4" w:space="0" w:color="A5A5A5" w:themeColor="accent3"/>
              <w:bottom w:val="single" w:sz="4" w:space="0" w:color="FFFFFF" w:themeColor="background1"/>
            </w:tcBorders>
            <w:shd w:val="clear" w:color="auto" w:fill="F2F2F2" w:themeFill="background1" w:themeFillShade="F2"/>
          </w:tcPr>
          <w:p w14:paraId="287B69A3" w14:textId="77777777" w:rsidR="00664A0F" w:rsidRPr="00D21B72" w:rsidRDefault="00664A0F" w:rsidP="00CE5053">
            <w:pPr>
              <w:spacing w:before="40" w:after="40"/>
              <w:rPr>
                <w:sz w:val="18"/>
                <w:szCs w:val="18"/>
              </w:rPr>
            </w:pPr>
          </w:p>
        </w:tc>
        <w:tc>
          <w:tcPr>
            <w:tcW w:w="6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A68DBA4"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Learner</w:t>
            </w:r>
          </w:p>
        </w:tc>
        <w:tc>
          <w:tcPr>
            <w:tcW w:w="52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59D24EC"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117</w:t>
            </w:r>
          </w:p>
        </w:tc>
        <w:tc>
          <w:tcPr>
            <w:tcW w:w="852" w:type="pct"/>
            <w:vMerge/>
            <w:tcBorders>
              <w:bottom w:val="single" w:sz="4" w:space="0" w:color="FFFFFF" w:themeColor="background1"/>
            </w:tcBorders>
            <w:shd w:val="clear" w:color="auto" w:fill="F2F2F2" w:themeFill="background1" w:themeFillShade="F2"/>
            <w:vAlign w:val="center"/>
          </w:tcPr>
          <w:p w14:paraId="63A0829D"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810" w:type="pct"/>
            <w:vMerge/>
            <w:tcBorders>
              <w:bottom w:val="single" w:sz="4" w:space="0" w:color="FFFFFF" w:themeColor="background1"/>
            </w:tcBorders>
            <w:shd w:val="clear" w:color="auto" w:fill="F2F2F2" w:themeFill="background1" w:themeFillShade="F2"/>
          </w:tcPr>
          <w:p w14:paraId="39CA8924"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090" w:type="pct"/>
            <w:vMerge/>
            <w:tcBorders>
              <w:bottom w:val="single" w:sz="4" w:space="0" w:color="FFFFFF" w:themeColor="background1"/>
            </w:tcBorders>
            <w:shd w:val="clear" w:color="auto" w:fill="F2F2F2" w:themeFill="background1" w:themeFillShade="F2"/>
            <w:vAlign w:val="center"/>
          </w:tcPr>
          <w:p w14:paraId="1BB6F150"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664A0F" w:rsidRPr="00324C84" w14:paraId="601391DA" w14:textId="77777777" w:rsidTr="00664A0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5" w:type="pct"/>
            <w:vMerge w:val="restart"/>
            <w:tcBorders>
              <w:top w:val="single" w:sz="4" w:space="0" w:color="FFFFFF" w:themeColor="background1"/>
            </w:tcBorders>
            <w:shd w:val="clear" w:color="auto" w:fill="F2F2F2" w:themeFill="background1" w:themeFillShade="F2"/>
          </w:tcPr>
          <w:p w14:paraId="568D9CB5" w14:textId="77777777" w:rsidR="00664A0F" w:rsidRPr="00D21B72" w:rsidRDefault="00664A0F" w:rsidP="00CE5053">
            <w:pPr>
              <w:spacing w:before="40" w:after="40"/>
              <w:rPr>
                <w:sz w:val="18"/>
                <w:szCs w:val="18"/>
              </w:rPr>
            </w:pPr>
            <w:r w:rsidRPr="00D21B72">
              <w:rPr>
                <w:sz w:val="18"/>
                <w:szCs w:val="18"/>
              </w:rPr>
              <w:t>Glass Mill Leisure Centre</w:t>
            </w:r>
          </w:p>
        </w:tc>
        <w:tc>
          <w:tcPr>
            <w:tcW w:w="6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20F8B11"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Main</w:t>
            </w:r>
          </w:p>
        </w:tc>
        <w:tc>
          <w:tcPr>
            <w:tcW w:w="52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E298972"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425</w:t>
            </w:r>
          </w:p>
        </w:tc>
        <w:tc>
          <w:tcPr>
            <w:tcW w:w="852" w:type="pct"/>
            <w:vMerge w:val="restart"/>
            <w:tcBorders>
              <w:top w:val="single" w:sz="4" w:space="0" w:color="FFFFFF" w:themeColor="background1"/>
            </w:tcBorders>
            <w:shd w:val="clear" w:color="auto" w:fill="F2F2F2" w:themeFill="background1" w:themeFillShade="F2"/>
            <w:vAlign w:val="center"/>
          </w:tcPr>
          <w:p w14:paraId="77F386D3"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100</w:t>
            </w:r>
          </w:p>
        </w:tc>
        <w:tc>
          <w:tcPr>
            <w:tcW w:w="810" w:type="pct"/>
            <w:vMerge w:val="restart"/>
            <w:tcBorders>
              <w:top w:val="single" w:sz="4" w:space="0" w:color="FFFFFF" w:themeColor="background1"/>
            </w:tcBorders>
            <w:shd w:val="clear" w:color="auto" w:fill="F2F2F2" w:themeFill="background1" w:themeFillShade="F2"/>
            <w:vAlign w:val="center"/>
          </w:tcPr>
          <w:p w14:paraId="5B05E4C6"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Trust</w:t>
            </w:r>
          </w:p>
        </w:tc>
        <w:tc>
          <w:tcPr>
            <w:tcW w:w="1090" w:type="pct"/>
            <w:vMerge w:val="restart"/>
            <w:tcBorders>
              <w:top w:val="single" w:sz="4" w:space="0" w:color="FFFFFF" w:themeColor="background1"/>
            </w:tcBorders>
            <w:shd w:val="clear" w:color="auto" w:fill="F2F2F2" w:themeFill="background1" w:themeFillShade="F2"/>
            <w:vAlign w:val="center"/>
          </w:tcPr>
          <w:p w14:paraId="58FB3DF1"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Community access</w:t>
            </w:r>
          </w:p>
        </w:tc>
      </w:tr>
      <w:tr w:rsidR="00664A0F" w:rsidRPr="00324C84" w14:paraId="29B10C92" w14:textId="77777777" w:rsidTr="00664A0F">
        <w:trPr>
          <w:jc w:val="right"/>
        </w:trPr>
        <w:tc>
          <w:tcPr>
            <w:cnfStyle w:val="001000000000" w:firstRow="0" w:lastRow="0" w:firstColumn="1" w:lastColumn="0" w:oddVBand="0" w:evenVBand="0" w:oddHBand="0" w:evenHBand="0" w:firstRowFirstColumn="0" w:firstRowLastColumn="0" w:lastRowFirstColumn="0" w:lastRowLastColumn="0"/>
            <w:tcW w:w="1085" w:type="pct"/>
            <w:vMerge/>
            <w:tcBorders>
              <w:bottom w:val="single" w:sz="4" w:space="0" w:color="FFFFFF" w:themeColor="background1"/>
            </w:tcBorders>
            <w:shd w:val="clear" w:color="auto" w:fill="F2F2F2" w:themeFill="background1" w:themeFillShade="F2"/>
          </w:tcPr>
          <w:p w14:paraId="04338875" w14:textId="77777777" w:rsidR="00664A0F" w:rsidRPr="00D21B72" w:rsidRDefault="00664A0F" w:rsidP="00CE5053">
            <w:pPr>
              <w:spacing w:before="40" w:after="40"/>
              <w:rPr>
                <w:sz w:val="18"/>
                <w:szCs w:val="18"/>
              </w:rPr>
            </w:pPr>
          </w:p>
        </w:tc>
        <w:tc>
          <w:tcPr>
            <w:tcW w:w="6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71BA8D6"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Learner</w:t>
            </w:r>
          </w:p>
        </w:tc>
        <w:tc>
          <w:tcPr>
            <w:tcW w:w="52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706D5E6"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160</w:t>
            </w:r>
          </w:p>
        </w:tc>
        <w:tc>
          <w:tcPr>
            <w:tcW w:w="852" w:type="pct"/>
            <w:vMerge/>
            <w:tcBorders>
              <w:bottom w:val="single" w:sz="4" w:space="0" w:color="FFFFFF" w:themeColor="background1"/>
            </w:tcBorders>
            <w:shd w:val="clear" w:color="auto" w:fill="F2F2F2" w:themeFill="background1" w:themeFillShade="F2"/>
            <w:vAlign w:val="center"/>
          </w:tcPr>
          <w:p w14:paraId="2CCB938B"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810" w:type="pct"/>
            <w:vMerge/>
            <w:tcBorders>
              <w:bottom w:val="single" w:sz="4" w:space="0" w:color="FFFFFF" w:themeColor="background1"/>
            </w:tcBorders>
            <w:shd w:val="clear" w:color="auto" w:fill="F2F2F2" w:themeFill="background1" w:themeFillShade="F2"/>
          </w:tcPr>
          <w:p w14:paraId="796B98D5"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090" w:type="pct"/>
            <w:vMerge/>
            <w:tcBorders>
              <w:bottom w:val="single" w:sz="4" w:space="0" w:color="FFFFFF" w:themeColor="background1"/>
            </w:tcBorders>
            <w:shd w:val="clear" w:color="auto" w:fill="F2F2F2" w:themeFill="background1" w:themeFillShade="F2"/>
            <w:vAlign w:val="center"/>
          </w:tcPr>
          <w:p w14:paraId="344BE600"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7A4F0D" w:rsidRPr="00324C84" w14:paraId="4C9D562E" w14:textId="77777777" w:rsidTr="00664A0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5" w:type="pct"/>
            <w:tcBorders>
              <w:top w:val="single" w:sz="4" w:space="0" w:color="FFFFFF" w:themeColor="background1"/>
              <w:bottom w:val="single" w:sz="4" w:space="0" w:color="FFFFFF" w:themeColor="background1"/>
            </w:tcBorders>
            <w:shd w:val="clear" w:color="auto" w:fill="F2F2F2" w:themeFill="background1" w:themeFillShade="F2"/>
          </w:tcPr>
          <w:p w14:paraId="4839E55B" w14:textId="77777777" w:rsidR="007A4F0D" w:rsidRPr="00D21B72" w:rsidRDefault="007A4F0D" w:rsidP="00CE5053">
            <w:pPr>
              <w:spacing w:before="40" w:after="40"/>
              <w:rPr>
                <w:sz w:val="18"/>
                <w:szCs w:val="18"/>
              </w:rPr>
            </w:pPr>
            <w:r w:rsidRPr="00D21B72">
              <w:rPr>
                <w:sz w:val="18"/>
                <w:szCs w:val="18"/>
              </w:rPr>
              <w:t>St Dunstans College Sports Centre</w:t>
            </w:r>
          </w:p>
        </w:tc>
        <w:tc>
          <w:tcPr>
            <w:tcW w:w="6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E3B891F" w14:textId="77777777" w:rsidR="007A4F0D" w:rsidRPr="00D21B72" w:rsidRDefault="007A4F0D"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Main</w:t>
            </w:r>
          </w:p>
        </w:tc>
        <w:tc>
          <w:tcPr>
            <w:tcW w:w="52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351114B" w14:textId="77777777" w:rsidR="007A4F0D" w:rsidRPr="00D21B72" w:rsidRDefault="007A4F0D"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360</w:t>
            </w:r>
          </w:p>
        </w:tc>
        <w:tc>
          <w:tcPr>
            <w:tcW w:w="852"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937297E" w14:textId="77777777" w:rsidR="007A4F0D" w:rsidRPr="00D21B72" w:rsidRDefault="007A4F0D"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100</w:t>
            </w:r>
          </w:p>
        </w:tc>
        <w:tc>
          <w:tcPr>
            <w:tcW w:w="81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5391585" w14:textId="77777777" w:rsidR="007A4F0D" w:rsidRPr="00D21B72" w:rsidRDefault="007A4F0D"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Commercial</w:t>
            </w:r>
          </w:p>
        </w:tc>
        <w:tc>
          <w:tcPr>
            <w:tcW w:w="109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4C10FDC" w14:textId="77777777" w:rsidR="007A4F0D" w:rsidRPr="00D21B72" w:rsidRDefault="008F2320"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Limited community access.</w:t>
            </w:r>
          </w:p>
        </w:tc>
      </w:tr>
      <w:tr w:rsidR="00664A0F" w:rsidRPr="00324C84" w14:paraId="52A9FF89" w14:textId="77777777" w:rsidTr="00664A0F">
        <w:trPr>
          <w:jc w:val="right"/>
        </w:trPr>
        <w:tc>
          <w:tcPr>
            <w:cnfStyle w:val="001000000000" w:firstRow="0" w:lastRow="0" w:firstColumn="1" w:lastColumn="0" w:oddVBand="0" w:evenVBand="0" w:oddHBand="0" w:evenHBand="0" w:firstRowFirstColumn="0" w:firstRowLastColumn="0" w:lastRowFirstColumn="0" w:lastRowLastColumn="0"/>
            <w:tcW w:w="1085" w:type="pct"/>
            <w:vMerge w:val="restart"/>
            <w:tcBorders>
              <w:top w:val="single" w:sz="4" w:space="0" w:color="FFFFFF" w:themeColor="background1"/>
            </w:tcBorders>
            <w:shd w:val="clear" w:color="auto" w:fill="F2F2F2" w:themeFill="background1" w:themeFillShade="F2"/>
          </w:tcPr>
          <w:p w14:paraId="20128C82" w14:textId="77777777" w:rsidR="00664A0F" w:rsidRPr="00D21B72" w:rsidRDefault="00664A0F" w:rsidP="00CE5053">
            <w:pPr>
              <w:spacing w:before="40" w:after="40"/>
              <w:rPr>
                <w:sz w:val="18"/>
                <w:szCs w:val="18"/>
              </w:rPr>
            </w:pPr>
            <w:r w:rsidRPr="00D21B72">
              <w:rPr>
                <w:sz w:val="18"/>
                <w:szCs w:val="18"/>
              </w:rPr>
              <w:t>The Bridge Leisure Centre</w:t>
            </w:r>
          </w:p>
        </w:tc>
        <w:tc>
          <w:tcPr>
            <w:tcW w:w="6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4DF007F"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Main</w:t>
            </w:r>
          </w:p>
        </w:tc>
        <w:tc>
          <w:tcPr>
            <w:tcW w:w="52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865DFBE"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250</w:t>
            </w:r>
          </w:p>
        </w:tc>
        <w:tc>
          <w:tcPr>
            <w:tcW w:w="852" w:type="pct"/>
            <w:vMerge w:val="restart"/>
            <w:tcBorders>
              <w:top w:val="single" w:sz="4" w:space="0" w:color="FFFFFF" w:themeColor="background1"/>
            </w:tcBorders>
            <w:shd w:val="clear" w:color="auto" w:fill="F2F2F2" w:themeFill="background1" w:themeFillShade="F2"/>
            <w:vAlign w:val="center"/>
          </w:tcPr>
          <w:p w14:paraId="23D9E551"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72</w:t>
            </w:r>
          </w:p>
        </w:tc>
        <w:tc>
          <w:tcPr>
            <w:tcW w:w="810" w:type="pct"/>
            <w:vMerge w:val="restart"/>
            <w:tcBorders>
              <w:top w:val="single" w:sz="4" w:space="0" w:color="FFFFFF" w:themeColor="background1"/>
            </w:tcBorders>
            <w:shd w:val="clear" w:color="auto" w:fill="F2F2F2" w:themeFill="background1" w:themeFillShade="F2"/>
            <w:vAlign w:val="center"/>
          </w:tcPr>
          <w:p w14:paraId="7B20C3DA"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Trust</w:t>
            </w:r>
          </w:p>
        </w:tc>
        <w:tc>
          <w:tcPr>
            <w:tcW w:w="1090" w:type="pct"/>
            <w:vMerge w:val="restart"/>
            <w:tcBorders>
              <w:top w:val="single" w:sz="4" w:space="0" w:color="FFFFFF" w:themeColor="background1"/>
            </w:tcBorders>
            <w:shd w:val="clear" w:color="auto" w:fill="F2F2F2" w:themeFill="background1" w:themeFillShade="F2"/>
            <w:vAlign w:val="center"/>
          </w:tcPr>
          <w:p w14:paraId="59E2635D"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Community access</w:t>
            </w:r>
          </w:p>
        </w:tc>
      </w:tr>
      <w:tr w:rsidR="00664A0F" w:rsidRPr="00324C84" w14:paraId="411D5E57" w14:textId="77777777" w:rsidTr="00664A0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5" w:type="pct"/>
            <w:vMerge/>
            <w:tcBorders>
              <w:bottom w:val="single" w:sz="4" w:space="0" w:color="FFFFFF" w:themeColor="background1"/>
            </w:tcBorders>
            <w:shd w:val="clear" w:color="auto" w:fill="F2F2F2" w:themeFill="background1" w:themeFillShade="F2"/>
          </w:tcPr>
          <w:p w14:paraId="7EE3B4B9" w14:textId="77777777" w:rsidR="00664A0F" w:rsidRPr="00D21B72" w:rsidRDefault="00664A0F" w:rsidP="00CE5053">
            <w:pPr>
              <w:spacing w:before="40" w:after="40"/>
              <w:rPr>
                <w:sz w:val="18"/>
                <w:szCs w:val="18"/>
              </w:rPr>
            </w:pPr>
          </w:p>
        </w:tc>
        <w:tc>
          <w:tcPr>
            <w:tcW w:w="6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8D3CBDE"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Learner</w:t>
            </w:r>
          </w:p>
        </w:tc>
        <w:tc>
          <w:tcPr>
            <w:tcW w:w="52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F5DFF28"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111</w:t>
            </w:r>
          </w:p>
        </w:tc>
        <w:tc>
          <w:tcPr>
            <w:tcW w:w="852" w:type="pct"/>
            <w:vMerge/>
            <w:tcBorders>
              <w:bottom w:val="single" w:sz="4" w:space="0" w:color="FFFFFF" w:themeColor="background1"/>
            </w:tcBorders>
            <w:shd w:val="clear" w:color="auto" w:fill="F2F2F2" w:themeFill="background1" w:themeFillShade="F2"/>
            <w:vAlign w:val="center"/>
          </w:tcPr>
          <w:p w14:paraId="17D63EA2"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810" w:type="pct"/>
            <w:vMerge/>
            <w:tcBorders>
              <w:bottom w:val="single" w:sz="4" w:space="0" w:color="FFFFFF" w:themeColor="background1"/>
            </w:tcBorders>
            <w:shd w:val="clear" w:color="auto" w:fill="F2F2F2" w:themeFill="background1" w:themeFillShade="F2"/>
          </w:tcPr>
          <w:p w14:paraId="52E608EF"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090" w:type="pct"/>
            <w:vMerge/>
            <w:tcBorders>
              <w:bottom w:val="single" w:sz="4" w:space="0" w:color="FFFFFF" w:themeColor="background1"/>
            </w:tcBorders>
            <w:shd w:val="clear" w:color="auto" w:fill="F2F2F2" w:themeFill="background1" w:themeFillShade="F2"/>
            <w:vAlign w:val="center"/>
          </w:tcPr>
          <w:p w14:paraId="074E47F7"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r w:rsidR="00664A0F" w:rsidRPr="00324C84" w14:paraId="5C96F697" w14:textId="77777777" w:rsidTr="00664A0F">
        <w:trPr>
          <w:jc w:val="right"/>
        </w:trPr>
        <w:tc>
          <w:tcPr>
            <w:cnfStyle w:val="001000000000" w:firstRow="0" w:lastRow="0" w:firstColumn="1" w:lastColumn="0" w:oddVBand="0" w:evenVBand="0" w:oddHBand="0" w:evenHBand="0" w:firstRowFirstColumn="0" w:firstRowLastColumn="0" w:lastRowFirstColumn="0" w:lastRowLastColumn="0"/>
            <w:tcW w:w="1085" w:type="pct"/>
            <w:vMerge w:val="restart"/>
            <w:tcBorders>
              <w:top w:val="single" w:sz="4" w:space="0" w:color="FFFFFF" w:themeColor="background1"/>
            </w:tcBorders>
            <w:shd w:val="clear" w:color="auto" w:fill="F2F2F2" w:themeFill="background1" w:themeFillShade="F2"/>
          </w:tcPr>
          <w:p w14:paraId="50C1B576" w14:textId="77777777" w:rsidR="00664A0F" w:rsidRPr="00D21B72" w:rsidRDefault="00664A0F" w:rsidP="00CE5053">
            <w:pPr>
              <w:spacing w:before="40" w:after="40"/>
              <w:rPr>
                <w:sz w:val="18"/>
                <w:szCs w:val="18"/>
              </w:rPr>
            </w:pPr>
            <w:r w:rsidRPr="00D21B72">
              <w:rPr>
                <w:sz w:val="18"/>
                <w:szCs w:val="18"/>
              </w:rPr>
              <w:t>Wavelengths Leisure Centre</w:t>
            </w:r>
          </w:p>
        </w:tc>
        <w:tc>
          <w:tcPr>
            <w:tcW w:w="6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0FCA496"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Main</w:t>
            </w:r>
          </w:p>
        </w:tc>
        <w:tc>
          <w:tcPr>
            <w:tcW w:w="52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A96B3F4"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200</w:t>
            </w:r>
          </w:p>
        </w:tc>
        <w:tc>
          <w:tcPr>
            <w:tcW w:w="852" w:type="pct"/>
            <w:vMerge w:val="restart"/>
            <w:tcBorders>
              <w:top w:val="single" w:sz="4" w:space="0" w:color="FFFFFF" w:themeColor="background1"/>
            </w:tcBorders>
            <w:shd w:val="clear" w:color="auto" w:fill="F2F2F2" w:themeFill="background1" w:themeFillShade="F2"/>
            <w:vAlign w:val="center"/>
          </w:tcPr>
          <w:p w14:paraId="5BC6D2B2"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100</w:t>
            </w:r>
          </w:p>
        </w:tc>
        <w:tc>
          <w:tcPr>
            <w:tcW w:w="810" w:type="pct"/>
            <w:vMerge w:val="restart"/>
            <w:tcBorders>
              <w:top w:val="single" w:sz="4" w:space="0" w:color="FFFFFF" w:themeColor="background1"/>
            </w:tcBorders>
            <w:shd w:val="clear" w:color="auto" w:fill="F2F2F2" w:themeFill="background1" w:themeFillShade="F2"/>
            <w:vAlign w:val="center"/>
          </w:tcPr>
          <w:p w14:paraId="23F53FE7"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Trust</w:t>
            </w:r>
          </w:p>
        </w:tc>
        <w:tc>
          <w:tcPr>
            <w:tcW w:w="1090" w:type="pct"/>
            <w:vMerge w:val="restart"/>
            <w:tcBorders>
              <w:top w:val="single" w:sz="4" w:space="0" w:color="FFFFFF" w:themeColor="background1"/>
            </w:tcBorders>
            <w:shd w:val="clear" w:color="auto" w:fill="F2F2F2" w:themeFill="background1" w:themeFillShade="F2"/>
            <w:vAlign w:val="center"/>
          </w:tcPr>
          <w:p w14:paraId="3C37D978" w14:textId="77777777" w:rsidR="00664A0F" w:rsidRPr="00D21B72" w:rsidRDefault="00664A0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21B72">
              <w:rPr>
                <w:sz w:val="18"/>
                <w:szCs w:val="18"/>
              </w:rPr>
              <w:t>Community access</w:t>
            </w:r>
          </w:p>
        </w:tc>
      </w:tr>
      <w:tr w:rsidR="00664A0F" w:rsidRPr="00324C84" w14:paraId="22C43CAE" w14:textId="77777777" w:rsidTr="00664A0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5" w:type="pct"/>
            <w:vMerge/>
            <w:tcBorders>
              <w:bottom w:val="single" w:sz="4" w:space="0" w:color="FFFFFF" w:themeColor="background1"/>
            </w:tcBorders>
            <w:shd w:val="clear" w:color="auto" w:fill="F2F2F2" w:themeFill="background1" w:themeFillShade="F2"/>
            <w:vAlign w:val="center"/>
          </w:tcPr>
          <w:p w14:paraId="4A852BA6" w14:textId="77777777" w:rsidR="00664A0F" w:rsidRPr="00D21B72" w:rsidRDefault="00664A0F" w:rsidP="00CE5053">
            <w:pPr>
              <w:spacing w:before="40" w:after="40"/>
              <w:rPr>
                <w:sz w:val="18"/>
                <w:szCs w:val="18"/>
              </w:rPr>
            </w:pPr>
          </w:p>
        </w:tc>
        <w:tc>
          <w:tcPr>
            <w:tcW w:w="6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E990D4F"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Learner</w:t>
            </w:r>
          </w:p>
        </w:tc>
        <w:tc>
          <w:tcPr>
            <w:tcW w:w="524"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36A3AF0"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21B72">
              <w:rPr>
                <w:sz w:val="18"/>
                <w:szCs w:val="18"/>
              </w:rPr>
              <w:t>375</w:t>
            </w:r>
          </w:p>
        </w:tc>
        <w:tc>
          <w:tcPr>
            <w:tcW w:w="852" w:type="pct"/>
            <w:vMerge/>
            <w:tcBorders>
              <w:bottom w:val="single" w:sz="4" w:space="0" w:color="FFFFFF" w:themeColor="background1"/>
            </w:tcBorders>
            <w:shd w:val="clear" w:color="auto" w:fill="F2F2F2" w:themeFill="background1" w:themeFillShade="F2"/>
            <w:vAlign w:val="center"/>
          </w:tcPr>
          <w:p w14:paraId="1299FC03"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810" w:type="pct"/>
            <w:vMerge/>
            <w:tcBorders>
              <w:bottom w:val="single" w:sz="4" w:space="0" w:color="FFFFFF" w:themeColor="background1"/>
            </w:tcBorders>
            <w:shd w:val="clear" w:color="auto" w:fill="F2F2F2" w:themeFill="background1" w:themeFillShade="F2"/>
          </w:tcPr>
          <w:p w14:paraId="53508331"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090" w:type="pct"/>
            <w:vMerge/>
            <w:tcBorders>
              <w:bottom w:val="single" w:sz="4" w:space="0" w:color="FFFFFF" w:themeColor="background1"/>
            </w:tcBorders>
            <w:shd w:val="clear" w:color="auto" w:fill="F2F2F2" w:themeFill="background1" w:themeFillShade="F2"/>
          </w:tcPr>
          <w:p w14:paraId="4C694B97" w14:textId="77777777" w:rsidR="00664A0F" w:rsidRPr="00D21B72" w:rsidRDefault="00664A0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bl>
    <w:p w14:paraId="195A643D" w14:textId="77777777" w:rsidR="007A4F0D" w:rsidRPr="00C43DD5" w:rsidRDefault="007A4F0D" w:rsidP="00CE5053">
      <w:pPr>
        <w:pStyle w:val="Caption"/>
        <w:spacing w:before="120" w:after="360"/>
        <w:ind w:left="720"/>
        <w:rPr>
          <w:b/>
          <w:i w:val="0"/>
          <w:color w:val="auto"/>
        </w:rPr>
      </w:pPr>
      <w:r>
        <w:rPr>
          <w:b/>
          <w:i w:val="0"/>
          <w:color w:val="auto"/>
        </w:rPr>
        <w:t>T</w:t>
      </w:r>
      <w:r w:rsidRPr="00F067AD">
        <w:rPr>
          <w:b/>
          <w:i w:val="0"/>
          <w:color w:val="auto"/>
        </w:rPr>
        <w:t xml:space="preserve">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8</w:t>
      </w:r>
      <w:r>
        <w:rPr>
          <w:b/>
          <w:i w:val="0"/>
          <w:color w:val="auto"/>
        </w:rPr>
        <w:fldChar w:fldCharType="end"/>
      </w:r>
      <w:r w:rsidRPr="00C43DD5">
        <w:rPr>
          <w:i w:val="0"/>
          <w:color w:val="auto"/>
        </w:rPr>
        <w:t xml:space="preserve"> </w:t>
      </w:r>
      <w:r>
        <w:rPr>
          <w:i w:val="0"/>
          <w:color w:val="auto"/>
        </w:rPr>
        <w:t>Swimming pools available for community use. Source: Sport England, 2017.</w:t>
      </w:r>
    </w:p>
    <w:p w14:paraId="283BEFED" w14:textId="77777777" w:rsidR="00DF60C7" w:rsidRPr="00FD7C99" w:rsidRDefault="00DF60C7" w:rsidP="00CE5053">
      <w:pPr>
        <w:tabs>
          <w:tab w:val="left" w:pos="720"/>
          <w:tab w:val="left" w:pos="1440"/>
          <w:tab w:val="left" w:pos="2612"/>
          <w:tab w:val="left" w:pos="3047"/>
        </w:tabs>
        <w:spacing w:before="240" w:after="120"/>
        <w:ind w:left="720" w:hanging="720"/>
        <w:rPr>
          <w:b/>
        </w:rPr>
      </w:pPr>
      <w:r w:rsidRPr="00FD7C99">
        <w:rPr>
          <w:b/>
        </w:rPr>
        <w:tab/>
        <w:t xml:space="preserve">Future </w:t>
      </w:r>
      <w:r w:rsidR="005F5AF5" w:rsidRPr="00FD7C99">
        <w:rPr>
          <w:b/>
        </w:rPr>
        <w:t>requirement</w:t>
      </w:r>
    </w:p>
    <w:p w14:paraId="3EA0B2A4" w14:textId="77777777" w:rsidR="00D32129" w:rsidRDefault="00D32129" w:rsidP="00CE5053">
      <w:pPr>
        <w:pStyle w:val="ListParagraph"/>
        <w:numPr>
          <w:ilvl w:val="0"/>
          <w:numId w:val="27"/>
        </w:numPr>
        <w:spacing w:after="240"/>
        <w:ind w:left="737" w:hanging="737"/>
        <w:contextualSpacing w:val="0"/>
      </w:pPr>
      <w:r w:rsidRPr="00595E96">
        <w:t>The Council is continuing to monitor the deman</w:t>
      </w:r>
      <w:r>
        <w:t>d for swimming facilities</w:t>
      </w:r>
      <w:r w:rsidRPr="00595E96">
        <w:t xml:space="preserve">, and </w:t>
      </w:r>
      <w:r>
        <w:t>is currently preparing a Physical Activity and Healthy Lifestyles Strategy. Once finalised, the Strategy will provide a comprehensive strategy for the future provision and management of sports and recreation facilities in Lewisham, and will inform future updates to the IDP.</w:t>
      </w:r>
      <w:r>
        <w:br w:type="page"/>
      </w:r>
    </w:p>
    <w:p w14:paraId="57C11CE2" w14:textId="77777777" w:rsidR="00DF60C7" w:rsidRPr="00AF0D1E" w:rsidRDefault="00DF60C7" w:rsidP="00CE5053">
      <w:pPr>
        <w:pStyle w:val="Heading3"/>
      </w:pPr>
      <w:bookmarkStart w:id="32" w:name="_Toc56146022"/>
      <w:r w:rsidRPr="00AF0D1E">
        <w:lastRenderedPageBreak/>
        <w:t xml:space="preserve">Artificial </w:t>
      </w:r>
      <w:r w:rsidR="00A4202A">
        <w:t>playing surfaces</w:t>
      </w:r>
      <w:bookmarkEnd w:id="32"/>
    </w:p>
    <w:p w14:paraId="6C710847" w14:textId="77777777" w:rsidR="00FD7C99" w:rsidRPr="00FD7C99" w:rsidRDefault="00FD7C99" w:rsidP="00CE5053">
      <w:pPr>
        <w:tabs>
          <w:tab w:val="left" w:pos="720"/>
          <w:tab w:val="left" w:pos="1440"/>
          <w:tab w:val="left" w:pos="2428"/>
        </w:tabs>
        <w:spacing w:before="240" w:after="120"/>
        <w:ind w:left="720" w:hanging="720"/>
        <w:rPr>
          <w:b/>
        </w:rPr>
      </w:pPr>
      <w:r w:rsidRPr="00FD7C99">
        <w:rPr>
          <w:b/>
        </w:rPr>
        <w:tab/>
      </w:r>
      <w:r>
        <w:rPr>
          <w:b/>
        </w:rPr>
        <w:t>Background</w:t>
      </w:r>
      <w:r>
        <w:rPr>
          <w:b/>
        </w:rPr>
        <w:tab/>
      </w:r>
    </w:p>
    <w:p w14:paraId="35EB4CFE" w14:textId="77777777" w:rsidR="00DF60C7" w:rsidRDefault="00DF60C7" w:rsidP="00CE5053">
      <w:pPr>
        <w:pStyle w:val="ListParagraph"/>
        <w:numPr>
          <w:ilvl w:val="0"/>
          <w:numId w:val="27"/>
        </w:numPr>
        <w:spacing w:after="240"/>
        <w:ind w:left="737" w:hanging="737"/>
        <w:contextualSpacing w:val="0"/>
      </w:pPr>
      <w:r w:rsidRPr="003C3181">
        <w:t>Artificial grass pitches (AGPs) in the borough typically operate on a pay and play basis, or through a local sports club or community association. Most of the full-sized AGPs in the borough are provide</w:t>
      </w:r>
      <w:r w:rsidR="008D669E" w:rsidRPr="003C3181">
        <w:t>d</w:t>
      </w:r>
      <w:r w:rsidRPr="003C3181">
        <w:t xml:space="preserve"> within education sites and have reduced hours for community use</w:t>
      </w:r>
      <w:r w:rsidR="00A72E3B" w:rsidRPr="003C3181">
        <w:t xml:space="preserve">, or operate with restricted hours due to </w:t>
      </w:r>
      <w:r w:rsidR="00FD58D2" w:rsidRPr="003C3181">
        <w:t>lack of flood l</w:t>
      </w:r>
      <w:r w:rsidR="00A72E3B" w:rsidRPr="003C3181">
        <w:t>ighting</w:t>
      </w:r>
      <w:r w:rsidRPr="003C3181">
        <w:t xml:space="preserve">. </w:t>
      </w:r>
      <w:r w:rsidR="00FD58D2" w:rsidRPr="003C3181">
        <w:t>Adopted benchmarking encourages the provision of 0.2 AGP pitches per 10,000 people.</w:t>
      </w:r>
    </w:p>
    <w:p w14:paraId="3D17AB7B" w14:textId="77777777" w:rsidR="008E58DA" w:rsidRPr="008E58DA" w:rsidRDefault="008E58DA" w:rsidP="00CE5053">
      <w:pPr>
        <w:pStyle w:val="ListParagraph"/>
        <w:numPr>
          <w:ilvl w:val="0"/>
          <w:numId w:val="27"/>
        </w:numPr>
        <w:spacing w:after="240"/>
        <w:ind w:left="737" w:hanging="737"/>
        <w:contextualSpacing w:val="0"/>
      </w:pPr>
      <w:r>
        <w:t>In 2019 the Council prepared a Playing Pitch Strategy needs assessment, which provided an up to date assessment of supply and demand for playing pitches across the borough.</w:t>
      </w:r>
      <w:r w:rsidR="00DF60C7" w:rsidRPr="008E58DA">
        <w:tab/>
      </w:r>
    </w:p>
    <w:p w14:paraId="7A24ACD4" w14:textId="77777777" w:rsidR="00DF60C7" w:rsidRPr="003C3181" w:rsidRDefault="008E58DA" w:rsidP="00CE5053">
      <w:pPr>
        <w:tabs>
          <w:tab w:val="left" w:pos="720"/>
          <w:tab w:val="left" w:pos="1440"/>
          <w:tab w:val="left" w:pos="2428"/>
        </w:tabs>
        <w:spacing w:before="240" w:after="120"/>
        <w:ind w:left="720" w:hanging="720"/>
        <w:rPr>
          <w:b/>
        </w:rPr>
      </w:pPr>
      <w:r>
        <w:rPr>
          <w:b/>
        </w:rPr>
        <w:tab/>
      </w:r>
      <w:r w:rsidR="00DF60C7" w:rsidRPr="003C3181">
        <w:rPr>
          <w:b/>
        </w:rPr>
        <w:t>Current situation</w:t>
      </w:r>
    </w:p>
    <w:p w14:paraId="5F0757B4" w14:textId="77777777" w:rsidR="00D32129" w:rsidRPr="003C3181" w:rsidRDefault="00FD58D2" w:rsidP="00CE5053">
      <w:pPr>
        <w:pStyle w:val="ListParagraph"/>
        <w:numPr>
          <w:ilvl w:val="0"/>
          <w:numId w:val="27"/>
        </w:numPr>
        <w:spacing w:after="240"/>
        <w:ind w:left="737" w:hanging="737"/>
        <w:contextualSpacing w:val="0"/>
      </w:pPr>
      <w:r w:rsidRPr="003C3181">
        <w:t>T</w:t>
      </w:r>
      <w:r w:rsidR="00DF60C7" w:rsidRPr="003C3181">
        <w:t xml:space="preserve">here </w:t>
      </w:r>
      <w:r w:rsidRPr="003C3181">
        <w:t xml:space="preserve">are currently </w:t>
      </w:r>
      <w:r w:rsidR="00DF60C7" w:rsidRPr="003C3181">
        <w:t xml:space="preserve">four sites </w:t>
      </w:r>
      <w:r w:rsidRPr="003C3181">
        <w:t>with</w:t>
      </w:r>
      <w:r w:rsidR="00DF60C7" w:rsidRPr="003C3181">
        <w:t xml:space="preserve"> full-sized AGPs for community use in the borough, provid</w:t>
      </w:r>
      <w:r w:rsidRPr="003C3181">
        <w:t>ing</w:t>
      </w:r>
      <w:r w:rsidR="00DF60C7" w:rsidRPr="003C3181">
        <w:t xml:space="preserve"> </w:t>
      </w:r>
      <w:r w:rsidR="0035250E" w:rsidRPr="003C3181">
        <w:t>five</w:t>
      </w:r>
      <w:r w:rsidR="00DF60C7" w:rsidRPr="003C3181">
        <w:t xml:space="preserve"> pitches</w:t>
      </w:r>
      <w:r w:rsidRPr="003C3181">
        <w:t xml:space="preserve">. One pitch is a newer </w:t>
      </w:r>
      <w:r w:rsidR="00DF60C7" w:rsidRPr="003C3181">
        <w:t>3G pitch</w:t>
      </w:r>
      <w:r w:rsidRPr="003C3181">
        <w:t xml:space="preserve">, with the other </w:t>
      </w:r>
      <w:r w:rsidR="00DF60C7" w:rsidRPr="003C3181">
        <w:t xml:space="preserve">four </w:t>
      </w:r>
      <w:r w:rsidRPr="003C3181">
        <w:t xml:space="preserve">being </w:t>
      </w:r>
      <w:r w:rsidR="00DF60C7" w:rsidRPr="003C3181">
        <w:t>sand-based.</w:t>
      </w:r>
      <w:r w:rsidR="00EC1B89" w:rsidRPr="003C3181">
        <w:t xml:space="preserve"> The AGP at Sydenham High School operates to reduced hours due to the lack of flood lighting.</w:t>
      </w:r>
      <w:r w:rsidR="00DF60C7" w:rsidRPr="003C3181">
        <w:t xml:space="preserve"> </w:t>
      </w:r>
      <w:r w:rsidR="00D32129" w:rsidRPr="003C3181">
        <w:t>There is one athletics facility for community use in Ladywell, which includes a hard surface six lane 400 metre athletics track and gym facility.</w:t>
      </w:r>
    </w:p>
    <w:p w14:paraId="3C90EFDB" w14:textId="77777777" w:rsidR="008E7260" w:rsidRDefault="00FD58D2" w:rsidP="00CE5053">
      <w:pPr>
        <w:pStyle w:val="ListParagraph"/>
        <w:numPr>
          <w:ilvl w:val="0"/>
          <w:numId w:val="27"/>
        </w:numPr>
        <w:spacing w:after="360"/>
        <w:ind w:left="737" w:hanging="737"/>
        <w:contextualSpacing w:val="0"/>
      </w:pPr>
      <w:r>
        <w:t>A</w:t>
      </w:r>
      <w:r w:rsidR="00E77064">
        <w:t xml:space="preserve">pproximately </w:t>
      </w:r>
      <w:r w:rsidR="00DF60C7">
        <w:t>5</w:t>
      </w:r>
      <w:r w:rsidR="00E77064">
        <w:t>4</w:t>
      </w:r>
      <w:r w:rsidR="00DF60C7">
        <w:t xml:space="preserve">% of </w:t>
      </w:r>
      <w:r>
        <w:t xml:space="preserve">total </w:t>
      </w:r>
      <w:r w:rsidR="00944AF1">
        <w:t xml:space="preserve">resident </w:t>
      </w:r>
      <w:r w:rsidR="00DF60C7">
        <w:t xml:space="preserve">demand for AGPs </w:t>
      </w:r>
      <w:r w:rsidR="00944AF1">
        <w:t xml:space="preserve">is currently being met </w:t>
      </w:r>
      <w:r w:rsidR="00DF60C7">
        <w:t>in the borough was being met</w:t>
      </w:r>
      <w:r w:rsidR="00944AF1">
        <w:t xml:space="preserve"> in 2017,</w:t>
      </w:r>
      <w:r w:rsidR="00EC1B89">
        <w:t xml:space="preserve"> </w:t>
      </w:r>
      <w:r w:rsidR="00944AF1">
        <w:t>with unmet</w:t>
      </w:r>
      <w:r w:rsidR="00DF60C7">
        <w:t xml:space="preserve"> demand </w:t>
      </w:r>
      <w:r w:rsidR="00944AF1">
        <w:t xml:space="preserve">estimated to be at approximately </w:t>
      </w:r>
      <w:r w:rsidR="00DF60C7">
        <w:t>10.6 pitches</w:t>
      </w:r>
      <w:r w:rsidR="00EC1B89">
        <w:t>. D</w:t>
      </w:r>
      <w:r w:rsidR="00DF60C7">
        <w:t xml:space="preserve">emand </w:t>
      </w:r>
      <w:r w:rsidR="00EC1B89">
        <w:t xml:space="preserve">is </w:t>
      </w:r>
      <w:r w:rsidR="00DF60C7">
        <w:t>highest in the north of the borough</w:t>
      </w:r>
      <w:r w:rsidR="00922D56">
        <w:t xml:space="preserve">, particularly </w:t>
      </w:r>
      <w:r w:rsidR="00DF60C7">
        <w:t xml:space="preserve">in and around Evelyn and New Cross. </w:t>
      </w:r>
      <w:r w:rsidR="00922D56">
        <w:t>T</w:t>
      </w:r>
      <w:r w:rsidR="00DF60C7">
        <w:t xml:space="preserve">here is a </w:t>
      </w:r>
      <w:r w:rsidR="00922D56">
        <w:t xml:space="preserve">subsequently a </w:t>
      </w:r>
      <w:r w:rsidR="00DF60C7">
        <w:t xml:space="preserve">considerable </w:t>
      </w:r>
      <w:r w:rsidR="00922D56">
        <w:t xml:space="preserve">need for </w:t>
      </w:r>
      <w:r w:rsidR="00DF60C7">
        <w:t xml:space="preserve">additional AGPs </w:t>
      </w:r>
      <w:r w:rsidR="00922D56">
        <w:t>both in Lewisham, and across Greater London generally</w:t>
      </w:r>
      <w:r w:rsidR="00DF60C7">
        <w:t>.</w:t>
      </w:r>
    </w:p>
    <w:p w14:paraId="112EA26B" w14:textId="77777777" w:rsidR="00DF60C7" w:rsidRPr="008E7260" w:rsidRDefault="008E7260" w:rsidP="00CE5053">
      <w:pPr>
        <w:pStyle w:val="ListParagraph"/>
        <w:numPr>
          <w:ilvl w:val="0"/>
          <w:numId w:val="0"/>
        </w:numPr>
        <w:spacing w:after="360"/>
        <w:ind w:left="737"/>
        <w:contextualSpacing w:val="0"/>
        <w:rPr>
          <w:b/>
        </w:rPr>
      </w:pPr>
      <w:r w:rsidRPr="008E7260">
        <w:rPr>
          <w:b/>
        </w:rPr>
        <w:t>Future requirement</w:t>
      </w:r>
      <w:r w:rsidR="00380BAF" w:rsidRPr="008E7260">
        <w:rPr>
          <w:b/>
        </w:rPr>
        <w:tab/>
      </w:r>
    </w:p>
    <w:p w14:paraId="39C7EC36" w14:textId="77777777" w:rsidR="00434B7B" w:rsidRDefault="00F40FCB" w:rsidP="00CE5053">
      <w:pPr>
        <w:pStyle w:val="ListParagraph"/>
        <w:numPr>
          <w:ilvl w:val="0"/>
          <w:numId w:val="27"/>
        </w:numPr>
        <w:spacing w:after="240"/>
        <w:ind w:left="720" w:hanging="720"/>
        <w:contextualSpacing w:val="0"/>
      </w:pPr>
      <w:r w:rsidRPr="0053240E">
        <w:t xml:space="preserve">Based on forecast population growth, it is estimated that effective supply will reduce from 0.2 pitch to 0.1 pitch per 10,000 population. </w:t>
      </w:r>
      <w:r w:rsidR="00434B7B" w:rsidRPr="0053240E">
        <w:t xml:space="preserve">The Council is continuing to monitor the demand for </w:t>
      </w:r>
      <w:r w:rsidR="00A05222">
        <w:t>artificial playing surfaces</w:t>
      </w:r>
      <w:r w:rsidRPr="0053240E">
        <w:t xml:space="preserve"> over the plan period, and is</w:t>
      </w:r>
      <w:r>
        <w:t xml:space="preserve"> currently preparing a Physical Activity and Healthy Lifestyles Strategy. Once finalised, the Strategy will provide a comprehensive strategy for the future provision and management of sports and recreation facilities in Lewisham, and will inform future updates to the IDP.</w:t>
      </w:r>
    </w:p>
    <w:p w14:paraId="3530104E" w14:textId="77777777" w:rsidR="00DF60C7" w:rsidRPr="00AF0D1E" w:rsidRDefault="00A4202A" w:rsidP="00CE5053">
      <w:pPr>
        <w:pStyle w:val="Heading3"/>
      </w:pPr>
      <w:bookmarkStart w:id="33" w:name="_Toc56146023"/>
      <w:r>
        <w:t>Grass playing surfaces</w:t>
      </w:r>
      <w:bookmarkEnd w:id="33"/>
    </w:p>
    <w:p w14:paraId="3E6721F8" w14:textId="77777777" w:rsidR="00DF60C7" w:rsidRPr="00FD7C99" w:rsidRDefault="00DF60C7" w:rsidP="00CE5053">
      <w:pPr>
        <w:tabs>
          <w:tab w:val="left" w:pos="2997"/>
        </w:tabs>
        <w:spacing w:before="120"/>
        <w:ind w:left="720"/>
        <w:rPr>
          <w:b/>
          <w:bCs/>
        </w:rPr>
      </w:pPr>
      <w:r w:rsidRPr="7839D2B6">
        <w:rPr>
          <w:b/>
          <w:bCs/>
        </w:rPr>
        <w:t xml:space="preserve">Current situation </w:t>
      </w:r>
      <w:r w:rsidR="008E58DA">
        <w:rPr>
          <w:b/>
        </w:rPr>
        <w:tab/>
      </w:r>
    </w:p>
    <w:p w14:paraId="2EF90DBF" w14:textId="77777777" w:rsidR="00DF60C7" w:rsidRPr="00E017CC" w:rsidRDefault="00DF60C7" w:rsidP="00CE5053">
      <w:pPr>
        <w:tabs>
          <w:tab w:val="left" w:pos="720"/>
          <w:tab w:val="left" w:pos="1440"/>
          <w:tab w:val="left" w:pos="2428"/>
        </w:tabs>
        <w:spacing w:before="240" w:after="120"/>
        <w:ind w:left="720" w:hanging="720"/>
        <w:rPr>
          <w:i/>
        </w:rPr>
      </w:pPr>
      <w:r w:rsidRPr="00595E96">
        <w:tab/>
      </w:r>
      <w:r w:rsidR="0083729F" w:rsidRPr="00E017CC">
        <w:rPr>
          <w:i/>
        </w:rPr>
        <w:t>G</w:t>
      </w:r>
      <w:r w:rsidRPr="00E017CC">
        <w:rPr>
          <w:i/>
        </w:rPr>
        <w:t xml:space="preserve">rass </w:t>
      </w:r>
      <w:r w:rsidR="0083729F" w:rsidRPr="00E017CC">
        <w:rPr>
          <w:i/>
        </w:rPr>
        <w:t xml:space="preserve">football </w:t>
      </w:r>
      <w:r w:rsidRPr="00E017CC">
        <w:rPr>
          <w:i/>
        </w:rPr>
        <w:t>pitches</w:t>
      </w:r>
    </w:p>
    <w:p w14:paraId="3571E41F" w14:textId="77777777" w:rsidR="00FE3595" w:rsidRDefault="0053240E" w:rsidP="00CE5053">
      <w:pPr>
        <w:pStyle w:val="ListParagraph"/>
        <w:numPr>
          <w:ilvl w:val="0"/>
          <w:numId w:val="27"/>
        </w:numPr>
        <w:spacing w:after="240"/>
        <w:ind w:left="720" w:hanging="720"/>
        <w:contextualSpacing w:val="0"/>
      </w:pPr>
      <w:r>
        <w:t xml:space="preserve">There are currently </w:t>
      </w:r>
      <w:r w:rsidR="00DF60C7" w:rsidRPr="00595E96">
        <w:t xml:space="preserve">27 sites providing </w:t>
      </w:r>
      <w:r>
        <w:t xml:space="preserve">grass </w:t>
      </w:r>
      <w:r w:rsidR="00DF60C7" w:rsidRPr="00595E96">
        <w:t xml:space="preserve">football pitches </w:t>
      </w:r>
      <w:r w:rsidR="00FD7C99">
        <w:t xml:space="preserve">in the borough, </w:t>
      </w:r>
      <w:r>
        <w:t xml:space="preserve">however </w:t>
      </w:r>
      <w:r w:rsidR="00FD7C99">
        <w:t>o</w:t>
      </w:r>
      <w:r w:rsidR="00DF60C7" w:rsidRPr="00595E96">
        <w:t xml:space="preserve">nly three </w:t>
      </w:r>
      <w:r w:rsidR="00FD7C99">
        <w:t>ha</w:t>
      </w:r>
      <w:r>
        <w:t>ve</w:t>
      </w:r>
      <w:r w:rsidR="00DF60C7" w:rsidRPr="00595E96">
        <w:t xml:space="preserve"> a formal </w:t>
      </w:r>
      <w:r w:rsidR="00FD7C99">
        <w:t xml:space="preserve">community use </w:t>
      </w:r>
      <w:r w:rsidR="00DF60C7" w:rsidRPr="00595E96">
        <w:t xml:space="preserve">agreement or written confirmation </w:t>
      </w:r>
      <w:r w:rsidR="00FD7C99">
        <w:t xml:space="preserve">to ensure </w:t>
      </w:r>
      <w:r w:rsidR="0083729F">
        <w:t xml:space="preserve">unrestricted </w:t>
      </w:r>
      <w:r>
        <w:t xml:space="preserve">community </w:t>
      </w:r>
      <w:r w:rsidR="00FD7C99">
        <w:t>access</w:t>
      </w:r>
      <w:r w:rsidR="00B563BB" w:rsidRPr="00595E96">
        <w:t>. T</w:t>
      </w:r>
      <w:r w:rsidR="00DF60C7" w:rsidRPr="00595E96">
        <w:t xml:space="preserve">he remaining 24 sites </w:t>
      </w:r>
      <w:r w:rsidR="00FD7C99">
        <w:t xml:space="preserve">provide </w:t>
      </w:r>
      <w:r w:rsidR="0083729F">
        <w:t xml:space="preserve">community access on an </w:t>
      </w:r>
      <w:r w:rsidR="00FD7C99">
        <w:t xml:space="preserve">informal </w:t>
      </w:r>
      <w:r w:rsidR="0083729F">
        <w:t>basis</w:t>
      </w:r>
      <w:r w:rsidR="00FD7C99">
        <w:t>, or</w:t>
      </w:r>
      <w:r>
        <w:t xml:space="preserve"> are either </w:t>
      </w:r>
      <w:r w:rsidR="0083729F">
        <w:t xml:space="preserve">partially of wholly </w:t>
      </w:r>
      <w:r w:rsidR="00FD7C99">
        <w:t xml:space="preserve">restricted </w:t>
      </w:r>
      <w:r>
        <w:t>for</w:t>
      </w:r>
      <w:r w:rsidR="00FD7C99">
        <w:t xml:space="preserve"> </w:t>
      </w:r>
      <w:r w:rsidR="0083729F">
        <w:t>community use</w:t>
      </w:r>
      <w:r w:rsidR="00DF60C7" w:rsidRPr="00595E96">
        <w:t xml:space="preserve">. </w:t>
      </w:r>
      <w:r w:rsidR="00E0376B">
        <w:t>F</w:t>
      </w:r>
      <w:r w:rsidR="00DF60C7" w:rsidRPr="00595E96">
        <w:t xml:space="preserve">ootball </w:t>
      </w:r>
      <w:r w:rsidR="0083729F">
        <w:t xml:space="preserve">currently </w:t>
      </w:r>
      <w:r w:rsidR="00E0376B">
        <w:t xml:space="preserve">has the highest participation rate of any organised sport in </w:t>
      </w:r>
      <w:r w:rsidR="00DF60C7" w:rsidRPr="00595E96">
        <w:t xml:space="preserve">the borough, </w:t>
      </w:r>
      <w:r w:rsidR="00E0376B">
        <w:t xml:space="preserve">with a concentration of local </w:t>
      </w:r>
      <w:r w:rsidR="00DF60C7" w:rsidRPr="00595E96">
        <w:t xml:space="preserve">teams </w:t>
      </w:r>
      <w:r w:rsidR="00E0376B">
        <w:t>(</w:t>
      </w:r>
      <w:r w:rsidR="00DF60C7" w:rsidRPr="00595E96">
        <w:t xml:space="preserve">and </w:t>
      </w:r>
      <w:r w:rsidR="00E0376B">
        <w:t xml:space="preserve">subsequent </w:t>
      </w:r>
      <w:r w:rsidR="00DF60C7" w:rsidRPr="00595E96">
        <w:t>demand</w:t>
      </w:r>
      <w:r w:rsidR="00E0376B">
        <w:t>)</w:t>
      </w:r>
      <w:r w:rsidR="00DF60C7" w:rsidRPr="00595E96">
        <w:t xml:space="preserve"> for pitches </w:t>
      </w:r>
      <w:r w:rsidR="00E0376B">
        <w:t>in</w:t>
      </w:r>
      <w:r w:rsidR="00DF60C7" w:rsidRPr="00595E96">
        <w:t xml:space="preserve"> the south. </w:t>
      </w:r>
    </w:p>
    <w:p w14:paraId="42F269F0" w14:textId="77777777" w:rsidR="00DF60C7" w:rsidRPr="00595E96" w:rsidRDefault="00DF60C7" w:rsidP="00CE5053">
      <w:pPr>
        <w:pStyle w:val="ListParagraph"/>
        <w:numPr>
          <w:ilvl w:val="0"/>
          <w:numId w:val="27"/>
        </w:numPr>
        <w:spacing w:after="240"/>
        <w:ind w:left="720" w:hanging="720"/>
        <w:contextualSpacing w:val="0"/>
      </w:pPr>
      <w:r w:rsidRPr="00595E96">
        <w:t>Based o</w:t>
      </w:r>
      <w:r w:rsidR="0083729F">
        <w:t xml:space="preserve">n the supply available from </w:t>
      </w:r>
      <w:r w:rsidRPr="00595E96">
        <w:t xml:space="preserve">secured sites only, there is </w:t>
      </w:r>
      <w:r w:rsidR="00AE4364">
        <w:t xml:space="preserve">large </w:t>
      </w:r>
      <w:r w:rsidRPr="00595E96">
        <w:t>deficiency for most types of pitches (</w:t>
      </w:r>
      <w:r w:rsidR="00C34E21" w:rsidRPr="00595E96">
        <w:t xml:space="preserve">except </w:t>
      </w:r>
      <w:r w:rsidRPr="00595E96">
        <w:t>for 7</w:t>
      </w:r>
      <w:r w:rsidR="00C34E21" w:rsidRPr="00595E96">
        <w:t>-a-side</w:t>
      </w:r>
      <w:r w:rsidRPr="00595E96">
        <w:t xml:space="preserve"> mini soccer pitches),</w:t>
      </w:r>
      <w:r w:rsidR="0054488A">
        <w:t xml:space="preserve"> with</w:t>
      </w:r>
      <w:r w:rsidRPr="00595E96">
        <w:t xml:space="preserve"> a particular deficit </w:t>
      </w:r>
      <w:r w:rsidR="008E58DA">
        <w:t>(15 pitches) for</w:t>
      </w:r>
      <w:r w:rsidRPr="00595E96">
        <w:t xml:space="preserve"> 11</w:t>
      </w:r>
      <w:r w:rsidR="00C34E21" w:rsidRPr="00595E96">
        <w:t>-a-side</w:t>
      </w:r>
      <w:r w:rsidRPr="00595E96">
        <w:t xml:space="preserve"> youth football pitches.  </w:t>
      </w:r>
    </w:p>
    <w:p w14:paraId="4131C8CC" w14:textId="77777777" w:rsidR="00DF60C7" w:rsidRPr="00595E96" w:rsidRDefault="008E58DA" w:rsidP="00CE5053">
      <w:pPr>
        <w:pStyle w:val="ListParagraph"/>
        <w:numPr>
          <w:ilvl w:val="0"/>
          <w:numId w:val="27"/>
        </w:numPr>
        <w:spacing w:after="240"/>
        <w:ind w:left="720" w:hanging="720"/>
        <w:contextualSpacing w:val="0"/>
      </w:pPr>
      <w:r>
        <w:lastRenderedPageBreak/>
        <w:t>A</w:t>
      </w:r>
      <w:r w:rsidR="0083729F">
        <w:t xml:space="preserve"> number of</w:t>
      </w:r>
      <w:r w:rsidR="00DF60C7" w:rsidRPr="00595E96">
        <w:t xml:space="preserve"> sites in the borough are </w:t>
      </w:r>
      <w:r>
        <w:t xml:space="preserve">also </w:t>
      </w:r>
      <w:r w:rsidR="00DF60C7" w:rsidRPr="00595E96">
        <w:t>subject to over</w:t>
      </w:r>
      <w:r w:rsidR="0083729F">
        <w:t>use</w:t>
      </w:r>
      <w:r w:rsidR="00FE3595">
        <w:t xml:space="preserve">, </w:t>
      </w:r>
      <w:r>
        <w:t xml:space="preserve">which is </w:t>
      </w:r>
      <w:r w:rsidR="00FE3595" w:rsidRPr="0053240E">
        <w:t>increas</w:t>
      </w:r>
      <w:r w:rsidR="0083729F" w:rsidRPr="0053240E">
        <w:t>ing</w:t>
      </w:r>
      <w:r w:rsidR="00FE3595" w:rsidRPr="0053240E">
        <w:t xml:space="preserve"> maintenance costs </w:t>
      </w:r>
      <w:r>
        <w:t xml:space="preserve">to Council </w:t>
      </w:r>
      <w:r w:rsidR="00FE3595" w:rsidRPr="0053240E">
        <w:t>in the longer term</w:t>
      </w:r>
      <w:r w:rsidR="00FE3595">
        <w:t>.</w:t>
      </w:r>
      <w:r w:rsidR="00DF60C7" w:rsidRPr="00595E96">
        <w:t xml:space="preserve"> </w:t>
      </w:r>
      <w:r w:rsidR="00E909FE">
        <w:t xml:space="preserve">Evidence of overuse is particularly evident on </w:t>
      </w:r>
      <w:r w:rsidR="00DF60C7" w:rsidRPr="00595E96">
        <w:t>11</w:t>
      </w:r>
      <w:r w:rsidR="004B3EA9" w:rsidRPr="00595E96">
        <w:t xml:space="preserve">-a-side </w:t>
      </w:r>
      <w:r w:rsidR="00DF60C7" w:rsidRPr="00595E96">
        <w:t>pitches</w:t>
      </w:r>
      <w:r w:rsidR="00E909FE">
        <w:t>,</w:t>
      </w:r>
      <w:r w:rsidR="00DF60C7" w:rsidRPr="00595E96">
        <w:t xml:space="preserve"> due to </w:t>
      </w:r>
      <w:r>
        <w:t xml:space="preserve">the </w:t>
      </w:r>
      <w:r w:rsidR="0083729F">
        <w:t>existing undersupply</w:t>
      </w:r>
      <w:r w:rsidR="00E909FE">
        <w:t>. H</w:t>
      </w:r>
      <w:r w:rsidR="00DF60C7" w:rsidRPr="00595E96">
        <w:t>igh level</w:t>
      </w:r>
      <w:r w:rsidR="00E909FE">
        <w:t>s</w:t>
      </w:r>
      <w:r w:rsidR="00DF60C7" w:rsidRPr="00595E96">
        <w:t xml:space="preserve"> of informal demand from primary schools and local communities</w:t>
      </w:r>
      <w:r w:rsidR="00E909FE">
        <w:t xml:space="preserve"> further exacerbate</w:t>
      </w:r>
      <w:r>
        <w:t>s</w:t>
      </w:r>
      <w:r w:rsidR="00E909FE">
        <w:t xml:space="preserve"> capacity issue</w:t>
      </w:r>
      <w:r w:rsidR="0083729F">
        <w:t>s and associated maintenance costs</w:t>
      </w:r>
      <w:r w:rsidR="00DF60C7" w:rsidRPr="00595E96">
        <w:t xml:space="preserve"> across the borough.</w:t>
      </w:r>
      <w:r w:rsidR="004B3EA9" w:rsidRPr="00595E96">
        <w:t xml:space="preserve"> </w:t>
      </w:r>
    </w:p>
    <w:p w14:paraId="16D3BFFA" w14:textId="77777777" w:rsidR="00DF60C7" w:rsidRPr="00595E96" w:rsidRDefault="00DF60C7" w:rsidP="00CE5053">
      <w:pPr>
        <w:pStyle w:val="ListParagraph"/>
        <w:numPr>
          <w:ilvl w:val="0"/>
          <w:numId w:val="27"/>
        </w:numPr>
        <w:spacing w:after="240"/>
        <w:ind w:left="720" w:hanging="720"/>
        <w:contextualSpacing w:val="0"/>
      </w:pPr>
      <w:r w:rsidRPr="00595E96">
        <w:t xml:space="preserve">Overall, the quality of football pitches in the borough </w:t>
      </w:r>
      <w:r w:rsidR="0083729F">
        <w:t>are</w:t>
      </w:r>
      <w:r w:rsidR="005A6EBB">
        <w:t xml:space="preserve"> </w:t>
      </w:r>
      <w:r w:rsidRPr="00595E96">
        <w:t xml:space="preserve">considered to be </w:t>
      </w:r>
      <w:r w:rsidR="005A6EBB">
        <w:t xml:space="preserve">of </w:t>
      </w:r>
      <w:r w:rsidRPr="00595E96">
        <w:t xml:space="preserve">a good </w:t>
      </w:r>
      <w:r w:rsidR="0083729F">
        <w:t>standard</w:t>
      </w:r>
      <w:r w:rsidR="005A6EBB">
        <w:t xml:space="preserve">. </w:t>
      </w:r>
      <w:r w:rsidR="0083729F">
        <w:t>However</w:t>
      </w:r>
      <w:r w:rsidR="005A6EBB">
        <w:t>,</w:t>
      </w:r>
      <w:r w:rsidRPr="00595E96">
        <w:t xml:space="preserve"> several </w:t>
      </w:r>
      <w:r w:rsidR="005A6EBB">
        <w:t xml:space="preserve">user groups (including football </w:t>
      </w:r>
      <w:r w:rsidRPr="00595E96">
        <w:t>clubs</w:t>
      </w:r>
      <w:r w:rsidR="005A6EBB">
        <w:t>)</w:t>
      </w:r>
      <w:r w:rsidRPr="00595E96">
        <w:t xml:space="preserve"> have identified issue</w:t>
      </w:r>
      <w:r w:rsidR="0083729F">
        <w:t>s with drainage and maintenance, with a number of</w:t>
      </w:r>
      <w:r w:rsidRPr="00595E96">
        <w:t xml:space="preserve"> sites </w:t>
      </w:r>
      <w:r w:rsidR="005A6EBB">
        <w:t xml:space="preserve">considered </w:t>
      </w:r>
      <w:r w:rsidRPr="00595E96">
        <w:t xml:space="preserve">to be at risk of </w:t>
      </w:r>
      <w:r w:rsidR="005A6EBB">
        <w:t xml:space="preserve">degradation </w:t>
      </w:r>
      <w:r w:rsidRPr="00595E96">
        <w:t xml:space="preserve">if </w:t>
      </w:r>
      <w:r w:rsidR="005A6EBB">
        <w:t xml:space="preserve">current </w:t>
      </w:r>
      <w:r w:rsidRPr="00595E96">
        <w:t xml:space="preserve">maintenance </w:t>
      </w:r>
      <w:r w:rsidR="005A6EBB">
        <w:t>programmes a</w:t>
      </w:r>
      <w:r w:rsidRPr="00595E96">
        <w:t>re not continued</w:t>
      </w:r>
      <w:r w:rsidR="005A6EBB">
        <w:t xml:space="preserve"> at their current level</w:t>
      </w:r>
      <w:r w:rsidRPr="00595E96">
        <w:t xml:space="preserve">. </w:t>
      </w:r>
    </w:p>
    <w:p w14:paraId="1D970EC7" w14:textId="77777777" w:rsidR="008E58DA" w:rsidRPr="008E58DA" w:rsidRDefault="008E58DA" w:rsidP="00CE5053">
      <w:pPr>
        <w:tabs>
          <w:tab w:val="left" w:pos="2997"/>
        </w:tabs>
        <w:spacing w:before="120"/>
        <w:ind w:left="720"/>
        <w:rPr>
          <w:b/>
        </w:rPr>
      </w:pPr>
      <w:r>
        <w:rPr>
          <w:b/>
        </w:rPr>
        <w:t>Future requirement</w:t>
      </w:r>
      <w:r w:rsidRPr="008E58DA">
        <w:rPr>
          <w:b/>
        </w:rPr>
        <w:t xml:space="preserve"> </w:t>
      </w:r>
      <w:r w:rsidRPr="008E58DA">
        <w:rPr>
          <w:b/>
        </w:rPr>
        <w:tab/>
      </w:r>
    </w:p>
    <w:p w14:paraId="1143F945" w14:textId="77777777" w:rsidR="008E58DA" w:rsidRPr="00595E96" w:rsidRDefault="008E58DA" w:rsidP="00CE5053">
      <w:pPr>
        <w:pStyle w:val="ListParagraph"/>
        <w:numPr>
          <w:ilvl w:val="0"/>
          <w:numId w:val="27"/>
        </w:numPr>
        <w:spacing w:after="240"/>
        <w:ind w:left="720" w:hanging="720"/>
        <w:contextualSpacing w:val="0"/>
      </w:pPr>
      <w:r>
        <w:t>D</w:t>
      </w:r>
      <w:r w:rsidRPr="00595E96">
        <w:t>emand for football pitches is projected to increase to 55.5 matches per week, with growth in demand expected from adult and youth 11-a-side teams</w:t>
      </w:r>
      <w:r>
        <w:t>,</w:t>
      </w:r>
      <w:r w:rsidRPr="00595E96">
        <w:t xml:space="preserve"> and a decrease in </w:t>
      </w:r>
      <w:r>
        <w:t>y</w:t>
      </w:r>
      <w:r w:rsidRPr="00595E96">
        <w:t xml:space="preserve">outh 9-a-side and </w:t>
      </w:r>
      <w:r>
        <w:t>‘</w:t>
      </w:r>
      <w:r w:rsidRPr="00595E96">
        <w:t>mini</w:t>
      </w:r>
      <w:r>
        <w:t>’ format matches</w:t>
      </w:r>
      <w:r w:rsidRPr="00595E96">
        <w:t xml:space="preserve">. </w:t>
      </w:r>
      <w:r>
        <w:t>The forecast deficit of grass football pitches</w:t>
      </w:r>
      <w:r w:rsidR="00A05222">
        <w:t xml:space="preserve"> for youth games is forecast to increase to 17.5 pitches by 2041.</w:t>
      </w:r>
      <w:r>
        <w:t xml:space="preserve"> There is also the </w:t>
      </w:r>
      <w:r w:rsidRPr="00595E96">
        <w:t xml:space="preserve">potential </w:t>
      </w:r>
      <w:r>
        <w:t xml:space="preserve">that additional take up could occur </w:t>
      </w:r>
      <w:r w:rsidRPr="00595E96">
        <w:t xml:space="preserve">from local clubs if additional football pitches and/or improved </w:t>
      </w:r>
      <w:r>
        <w:t>f</w:t>
      </w:r>
      <w:r w:rsidRPr="00595E96">
        <w:t xml:space="preserve">acilities </w:t>
      </w:r>
      <w:r>
        <w:t xml:space="preserve">become </w:t>
      </w:r>
      <w:r w:rsidRPr="00595E96">
        <w:t>available</w:t>
      </w:r>
      <w:r>
        <w:t>.</w:t>
      </w:r>
    </w:p>
    <w:p w14:paraId="32C51A78" w14:textId="77777777" w:rsidR="008E58DA" w:rsidRDefault="00A05222" w:rsidP="00CE5053">
      <w:pPr>
        <w:pStyle w:val="ListParagraph"/>
        <w:numPr>
          <w:ilvl w:val="0"/>
          <w:numId w:val="27"/>
        </w:numPr>
        <w:spacing w:after="240"/>
        <w:ind w:left="720" w:hanging="720"/>
        <w:contextualSpacing w:val="0"/>
      </w:pPr>
      <w:r>
        <w:t xml:space="preserve">Council will need to </w:t>
      </w:r>
      <w:r w:rsidR="008E58DA" w:rsidRPr="00595E96">
        <w:t>secure</w:t>
      </w:r>
      <w:r>
        <w:t xml:space="preserve"> new formal agreements </w:t>
      </w:r>
      <w:r w:rsidR="008E58DA" w:rsidRPr="00595E96">
        <w:t xml:space="preserve">for community use </w:t>
      </w:r>
      <w:r>
        <w:t xml:space="preserve">to </w:t>
      </w:r>
      <w:r w:rsidR="008E58DA" w:rsidRPr="00595E96">
        <w:t>ensur</w:t>
      </w:r>
      <w:r>
        <w:t>e</w:t>
      </w:r>
      <w:r w:rsidR="008E58DA" w:rsidRPr="00595E96">
        <w:t xml:space="preserve"> th</w:t>
      </w:r>
      <w:r w:rsidR="008E58DA">
        <w:t>at</w:t>
      </w:r>
      <w:r w:rsidR="008E58DA" w:rsidRPr="00595E96">
        <w:t xml:space="preserve"> future demand for football can be accommodated in the borough. </w:t>
      </w:r>
    </w:p>
    <w:p w14:paraId="099E1F73" w14:textId="77777777" w:rsidR="00E017CC" w:rsidRDefault="00A05222" w:rsidP="00CE5053">
      <w:pPr>
        <w:pStyle w:val="ListParagraph"/>
        <w:numPr>
          <w:ilvl w:val="0"/>
          <w:numId w:val="27"/>
        </w:numPr>
        <w:spacing w:after="240"/>
        <w:ind w:left="720" w:hanging="720"/>
        <w:contextualSpacing w:val="0"/>
      </w:pPr>
      <w:r>
        <w:t>T</w:t>
      </w:r>
      <w:r w:rsidR="008E58DA" w:rsidRPr="00595E96">
        <w:t xml:space="preserve">he Council </w:t>
      </w:r>
      <w:r>
        <w:t xml:space="preserve">is currently </w:t>
      </w:r>
      <w:r w:rsidR="008E58DA">
        <w:t>investigat</w:t>
      </w:r>
      <w:r>
        <w:t>ing</w:t>
      </w:r>
      <w:r w:rsidR="008E58DA" w:rsidRPr="00595E96">
        <w:t xml:space="preserve"> the potential of reconfiguring some adult football pitches </w:t>
      </w:r>
      <w:r w:rsidR="008E58DA">
        <w:t>for</w:t>
      </w:r>
      <w:r w:rsidR="008E58DA" w:rsidRPr="00595E96">
        <w:t xml:space="preserve"> youth 11-a-side </w:t>
      </w:r>
      <w:r w:rsidR="008E58DA">
        <w:t xml:space="preserve">use. </w:t>
      </w:r>
      <w:r w:rsidRPr="0053240E">
        <w:t>The Council is continuing to monitor the demand for pitches over the plan period, and is</w:t>
      </w:r>
      <w:r>
        <w:t xml:space="preserve"> currently preparing a Physical Activity and Healthy Lifestyles Strategy. Once finalised, the Strategy will provide a comprehensive strategy for the future provision and management of sports and recreation facilities in Lewisham, and will inform future updates to the IDP.</w:t>
      </w:r>
    </w:p>
    <w:p w14:paraId="1B047D86" w14:textId="77777777" w:rsidR="00CA683B" w:rsidRDefault="00CA683B" w:rsidP="00CE5053">
      <w:pPr>
        <w:tabs>
          <w:tab w:val="left" w:pos="720"/>
          <w:tab w:val="left" w:pos="1440"/>
          <w:tab w:val="left" w:pos="2580"/>
        </w:tabs>
        <w:spacing w:before="120"/>
        <w:ind w:left="720"/>
        <w:rPr>
          <w:i/>
        </w:rPr>
      </w:pPr>
      <w:r>
        <w:rPr>
          <w:i/>
        </w:rPr>
        <w:t>Cricket pitches</w:t>
      </w:r>
    </w:p>
    <w:p w14:paraId="34B3E09E" w14:textId="77777777" w:rsidR="00CA683B" w:rsidRPr="00FD7C99" w:rsidRDefault="00CA683B" w:rsidP="00CE5053">
      <w:pPr>
        <w:tabs>
          <w:tab w:val="left" w:pos="2997"/>
        </w:tabs>
        <w:spacing w:before="120"/>
        <w:ind w:left="720"/>
        <w:rPr>
          <w:b/>
        </w:rPr>
      </w:pPr>
      <w:r w:rsidRPr="00FD7C99">
        <w:rPr>
          <w:b/>
        </w:rPr>
        <w:t xml:space="preserve">Current situation </w:t>
      </w:r>
      <w:r>
        <w:rPr>
          <w:b/>
        </w:rPr>
        <w:tab/>
      </w:r>
    </w:p>
    <w:p w14:paraId="3A8CE0CC" w14:textId="77777777" w:rsidR="00416EDF" w:rsidRPr="00595E96" w:rsidRDefault="00DF60C7" w:rsidP="00CE5053">
      <w:pPr>
        <w:pStyle w:val="ListParagraph"/>
        <w:numPr>
          <w:ilvl w:val="0"/>
          <w:numId w:val="27"/>
        </w:numPr>
        <w:spacing w:after="240"/>
        <w:ind w:left="720" w:hanging="720"/>
        <w:contextualSpacing w:val="0"/>
      </w:pPr>
      <w:r w:rsidRPr="00595E96">
        <w:t xml:space="preserve">There are </w:t>
      </w:r>
      <w:r w:rsidR="00C72E8B" w:rsidRPr="00595E96">
        <w:t>nine</w:t>
      </w:r>
      <w:r w:rsidRPr="00595E96">
        <w:t xml:space="preserve"> sites </w:t>
      </w:r>
      <w:r w:rsidR="00CA683B">
        <w:t>in the borough with</w:t>
      </w:r>
      <w:r w:rsidRPr="00595E96">
        <w:t xml:space="preserve"> cricket pitches for community use in the borough, two of </w:t>
      </w:r>
      <w:r w:rsidR="00471923">
        <w:t>which are</w:t>
      </w:r>
      <w:r w:rsidRPr="00595E96">
        <w:t xml:space="preserve"> secured for community use (Catford &amp; Cyphers Cricket Club and Wanderers Sports Club).</w:t>
      </w:r>
      <w:r w:rsidR="00471923">
        <w:t xml:space="preserve"> </w:t>
      </w:r>
      <w:r w:rsidR="00664A0F">
        <w:t>T</w:t>
      </w:r>
      <w:r w:rsidR="00471923">
        <w:t xml:space="preserve">here is </w:t>
      </w:r>
      <w:r w:rsidR="00664A0F">
        <w:t xml:space="preserve">a </w:t>
      </w:r>
      <w:r w:rsidR="00471923">
        <w:t xml:space="preserve">high demand </w:t>
      </w:r>
      <w:r w:rsidRPr="00595E96">
        <w:t>for cricket facilities</w:t>
      </w:r>
      <w:r w:rsidR="00471923">
        <w:t>, particularly in the sou</w:t>
      </w:r>
      <w:r w:rsidR="00664A0F">
        <w:t xml:space="preserve">th of the borough where a </w:t>
      </w:r>
      <w:r w:rsidR="00471923">
        <w:t>number of community</w:t>
      </w:r>
      <w:r w:rsidRPr="00595E96">
        <w:t xml:space="preserve"> cricket teams </w:t>
      </w:r>
      <w:r w:rsidR="00471923">
        <w:t>are located</w:t>
      </w:r>
      <w:r w:rsidRPr="00595E96">
        <w:t xml:space="preserve">. </w:t>
      </w:r>
    </w:p>
    <w:p w14:paraId="4244C369" w14:textId="77777777" w:rsidR="00471923" w:rsidRDefault="00CA683B" w:rsidP="00CE5053">
      <w:pPr>
        <w:pStyle w:val="ListParagraph"/>
        <w:numPr>
          <w:ilvl w:val="0"/>
          <w:numId w:val="27"/>
        </w:numPr>
        <w:spacing w:after="240"/>
        <w:ind w:left="720" w:hanging="720"/>
        <w:contextualSpacing w:val="0"/>
      </w:pPr>
      <w:r>
        <w:t>B</w:t>
      </w:r>
      <w:r w:rsidR="00DF60C7" w:rsidRPr="00595E96">
        <w:t>ased on the supply available from the two secured sites only, there is a deficit in provision for cricket facilities</w:t>
      </w:r>
      <w:r w:rsidR="00471923">
        <w:t xml:space="preserve"> based on current benchmarking</w:t>
      </w:r>
      <w:r w:rsidR="00DF60C7" w:rsidRPr="00595E96">
        <w:t xml:space="preserve">. </w:t>
      </w:r>
      <w:r w:rsidR="00471923">
        <w:t>I</w:t>
      </w:r>
      <w:r w:rsidR="00DF60C7" w:rsidRPr="00595E96">
        <w:t xml:space="preserve">f all sites </w:t>
      </w:r>
      <w:r w:rsidR="00471923">
        <w:t xml:space="preserve">with cricket facilities in the borough are </w:t>
      </w:r>
      <w:r w:rsidR="00DF60C7" w:rsidRPr="00595E96">
        <w:t>take</w:t>
      </w:r>
      <w:r w:rsidR="00471923">
        <w:t>n</w:t>
      </w:r>
      <w:r w:rsidR="00DF60C7" w:rsidRPr="00595E96">
        <w:t xml:space="preserve"> into </w:t>
      </w:r>
      <w:r w:rsidR="00471923">
        <w:t>account</w:t>
      </w:r>
      <w:r w:rsidR="00DF60C7" w:rsidRPr="00595E96">
        <w:t xml:space="preserve">, there is likely sufficient capacity to meet </w:t>
      </w:r>
      <w:r w:rsidR="00471923">
        <w:t xml:space="preserve">current </w:t>
      </w:r>
      <w:r w:rsidR="00DF60C7" w:rsidRPr="00595E96">
        <w:t xml:space="preserve">demand for cricket </w:t>
      </w:r>
      <w:r w:rsidR="00471923">
        <w:t>pitches for community use</w:t>
      </w:r>
      <w:r w:rsidR="00DF60C7" w:rsidRPr="00595E96">
        <w:t xml:space="preserve">. </w:t>
      </w:r>
    </w:p>
    <w:p w14:paraId="40F5BF18" w14:textId="77777777" w:rsidR="0033100F" w:rsidRDefault="00CA683B" w:rsidP="00CE5053">
      <w:pPr>
        <w:pStyle w:val="ListParagraph"/>
        <w:numPr>
          <w:ilvl w:val="0"/>
          <w:numId w:val="27"/>
        </w:numPr>
        <w:spacing w:after="240"/>
        <w:ind w:left="720" w:hanging="720"/>
        <w:contextualSpacing w:val="0"/>
      </w:pPr>
      <w:r>
        <w:t>A</w:t>
      </w:r>
      <w:r w:rsidR="00DF60C7" w:rsidRPr="00595E96">
        <w:t xml:space="preserve"> number of </w:t>
      </w:r>
      <w:r w:rsidR="00471923">
        <w:t>playing fields</w:t>
      </w:r>
      <w:r w:rsidR="00DF60C7" w:rsidRPr="00595E96">
        <w:t xml:space="preserve"> </w:t>
      </w:r>
      <w:r>
        <w:t>are operating</w:t>
      </w:r>
      <w:r w:rsidR="00DF60C7" w:rsidRPr="00595E96">
        <w:t xml:space="preserve"> at full capacity during peak periods of play, which could limit </w:t>
      </w:r>
      <w:r w:rsidR="00471923">
        <w:t>increased participation in the future</w:t>
      </w:r>
      <w:r w:rsidR="00DF60C7" w:rsidRPr="00595E96">
        <w:t xml:space="preserve">. </w:t>
      </w:r>
      <w:r w:rsidR="00471923">
        <w:t>S</w:t>
      </w:r>
      <w:r w:rsidR="00DF60C7" w:rsidRPr="00595E96">
        <w:t>t Dunstan</w:t>
      </w:r>
      <w:r w:rsidR="00471923">
        <w:t>’</w:t>
      </w:r>
      <w:r w:rsidR="00DF60C7" w:rsidRPr="00595E96">
        <w:t xml:space="preserve">s Jubilee Ground is </w:t>
      </w:r>
      <w:r w:rsidR="00471923">
        <w:t xml:space="preserve">also </w:t>
      </w:r>
      <w:r w:rsidR="00DF60C7" w:rsidRPr="00595E96">
        <w:t>likely to be subject to over</w:t>
      </w:r>
      <w:r w:rsidR="00471923">
        <w:t>use</w:t>
      </w:r>
      <w:r w:rsidR="00DF60C7" w:rsidRPr="00595E96">
        <w:t>.</w:t>
      </w:r>
      <w:r w:rsidR="00416EDF" w:rsidRPr="00595E96">
        <w:t xml:space="preserve"> </w:t>
      </w:r>
      <w:r w:rsidR="0033100F" w:rsidRPr="00595E96">
        <w:t xml:space="preserve">Overall, the quality of cricket </w:t>
      </w:r>
      <w:r w:rsidR="00471923">
        <w:t>facilities</w:t>
      </w:r>
      <w:r w:rsidR="0033100F" w:rsidRPr="00595E96">
        <w:t xml:space="preserve"> in the borough </w:t>
      </w:r>
      <w:r>
        <w:t xml:space="preserve">are </w:t>
      </w:r>
      <w:r w:rsidR="0033100F" w:rsidRPr="00595E96">
        <w:t xml:space="preserve">considered to be </w:t>
      </w:r>
      <w:r w:rsidR="00471923">
        <w:t>at</w:t>
      </w:r>
      <w:r w:rsidR="0033100F" w:rsidRPr="00595E96">
        <w:t xml:space="preserve"> a</w:t>
      </w:r>
      <w:r w:rsidR="00471923">
        <w:t>n acceptable</w:t>
      </w:r>
      <w:r w:rsidR="0033100F" w:rsidRPr="00595E96">
        <w:t xml:space="preserve"> standard, with </w:t>
      </w:r>
      <w:r w:rsidR="00471923">
        <w:t xml:space="preserve">only a </w:t>
      </w:r>
      <w:r w:rsidR="0033100F" w:rsidRPr="00595E96">
        <w:t xml:space="preserve">few sites considered to be in </w:t>
      </w:r>
      <w:r w:rsidR="00471923">
        <w:t xml:space="preserve">a </w:t>
      </w:r>
      <w:r w:rsidR="0033100F" w:rsidRPr="00595E96">
        <w:t>poor</w:t>
      </w:r>
      <w:r w:rsidR="006F110C">
        <w:t xml:space="preserve"> conditions. Artificial wickets, including cricket nets, </w:t>
      </w:r>
      <w:r w:rsidR="0033100F" w:rsidRPr="00595E96">
        <w:t>were generally considered to be of poorer quality.</w:t>
      </w:r>
    </w:p>
    <w:p w14:paraId="5EB26D91" w14:textId="77777777" w:rsidR="00CA683B" w:rsidRDefault="00CA683B" w:rsidP="00CE5053">
      <w:pPr>
        <w:pStyle w:val="ListParagraph"/>
        <w:numPr>
          <w:ilvl w:val="0"/>
          <w:numId w:val="0"/>
        </w:numPr>
        <w:spacing w:after="240"/>
        <w:ind w:left="720"/>
        <w:contextualSpacing w:val="0"/>
      </w:pPr>
    </w:p>
    <w:p w14:paraId="3BC8F9AD" w14:textId="77777777" w:rsidR="00CA683B" w:rsidRDefault="00CA683B" w:rsidP="00CE5053">
      <w:pPr>
        <w:pStyle w:val="ListParagraph"/>
        <w:numPr>
          <w:ilvl w:val="0"/>
          <w:numId w:val="0"/>
        </w:numPr>
        <w:spacing w:after="240"/>
        <w:ind w:left="720"/>
        <w:contextualSpacing w:val="0"/>
      </w:pPr>
    </w:p>
    <w:p w14:paraId="40F81C91" w14:textId="77777777" w:rsidR="00CA683B" w:rsidRPr="00CA683B" w:rsidRDefault="00CA683B" w:rsidP="00CE5053">
      <w:pPr>
        <w:tabs>
          <w:tab w:val="left" w:pos="2997"/>
        </w:tabs>
        <w:spacing w:before="120"/>
        <w:ind w:left="720"/>
        <w:rPr>
          <w:b/>
        </w:rPr>
      </w:pPr>
      <w:r w:rsidRPr="00CA683B">
        <w:rPr>
          <w:b/>
        </w:rPr>
        <w:lastRenderedPageBreak/>
        <w:t xml:space="preserve">Future requirement </w:t>
      </w:r>
      <w:r w:rsidRPr="00CA683B">
        <w:rPr>
          <w:b/>
        </w:rPr>
        <w:tab/>
      </w:r>
    </w:p>
    <w:p w14:paraId="4571B4FC" w14:textId="77777777" w:rsidR="00CA683B" w:rsidRDefault="00CA683B" w:rsidP="00CE5053">
      <w:pPr>
        <w:pStyle w:val="ListParagraph"/>
        <w:numPr>
          <w:ilvl w:val="0"/>
          <w:numId w:val="27"/>
        </w:numPr>
        <w:spacing w:after="240"/>
        <w:ind w:left="720" w:hanging="720"/>
        <w:contextualSpacing w:val="0"/>
      </w:pPr>
      <w:r>
        <w:t>F</w:t>
      </w:r>
      <w:r w:rsidRPr="00595E96">
        <w:t xml:space="preserve">uture demand for cricket </w:t>
      </w:r>
      <w:r>
        <w:t xml:space="preserve">facilities </w:t>
      </w:r>
      <w:r w:rsidRPr="00595E96">
        <w:t xml:space="preserve">is expected to increase across the borough </w:t>
      </w:r>
      <w:r>
        <w:t>to</w:t>
      </w:r>
      <w:r w:rsidRPr="00595E96">
        <w:t xml:space="preserve"> 2033. The lack of secured sites means that it was unclear whether there will be sufficient capacity to meet future demand for cricket in the borough. While the increase in demand is likely to be moderate, the lack of secured sites means that there could be a significant deficit for cricket pitches available for community use by 2033. </w:t>
      </w:r>
    </w:p>
    <w:p w14:paraId="7126D224" w14:textId="77777777" w:rsidR="00CA683B" w:rsidRDefault="00CA683B" w:rsidP="00CE5053">
      <w:pPr>
        <w:pStyle w:val="ListParagraph"/>
        <w:numPr>
          <w:ilvl w:val="0"/>
          <w:numId w:val="27"/>
        </w:numPr>
        <w:spacing w:after="240"/>
        <w:ind w:left="720" w:hanging="720"/>
        <w:contextualSpacing w:val="0"/>
      </w:pPr>
      <w:r w:rsidRPr="00CA683B">
        <w:t>The Council are considering the recommendations of the Playing Pitch Strategy 2019,</w:t>
      </w:r>
      <w:r>
        <w:t xml:space="preserve"> and i</w:t>
      </w:r>
      <w:r w:rsidRPr="0053240E">
        <w:t xml:space="preserve">s continuing to monitor the demand for </w:t>
      </w:r>
      <w:r>
        <w:t xml:space="preserve">cricket </w:t>
      </w:r>
      <w:r w:rsidRPr="0053240E">
        <w:t>pitches</w:t>
      </w:r>
      <w:r>
        <w:t>. The emerging Physical Activity and Healthy Lifestyles Strategy will also provide a comprehensive strategy for the future provision and management of sports and recreation facilities in Lewisham, and will inform future updates to the IDP.</w:t>
      </w:r>
    </w:p>
    <w:p w14:paraId="7B751C84" w14:textId="77777777" w:rsidR="00DF60C7" w:rsidRPr="00595E96" w:rsidRDefault="00DF60C7" w:rsidP="00CE5053">
      <w:pPr>
        <w:tabs>
          <w:tab w:val="left" w:pos="720"/>
          <w:tab w:val="left" w:pos="1440"/>
          <w:tab w:val="left" w:pos="2550"/>
        </w:tabs>
        <w:spacing w:before="120"/>
        <w:ind w:left="720"/>
        <w:rPr>
          <w:i/>
        </w:rPr>
      </w:pPr>
      <w:r w:rsidRPr="00595E96">
        <w:rPr>
          <w:i/>
        </w:rPr>
        <w:t>Rugby pitches</w:t>
      </w:r>
      <w:r w:rsidR="00E017CC">
        <w:rPr>
          <w:i/>
        </w:rPr>
        <w:tab/>
      </w:r>
    </w:p>
    <w:p w14:paraId="69491598" w14:textId="77777777" w:rsidR="00DF60C7" w:rsidRDefault="00DF60C7" w:rsidP="00CE5053">
      <w:pPr>
        <w:pStyle w:val="ListParagraph"/>
        <w:numPr>
          <w:ilvl w:val="0"/>
          <w:numId w:val="27"/>
        </w:numPr>
        <w:spacing w:after="240"/>
        <w:ind w:left="720" w:hanging="720"/>
        <w:contextualSpacing w:val="0"/>
      </w:pPr>
      <w:r w:rsidRPr="00595E96">
        <w:t xml:space="preserve">There are four sites </w:t>
      </w:r>
      <w:r w:rsidR="00E02416">
        <w:t xml:space="preserve">in the borough that are currently used for by community groups for </w:t>
      </w:r>
      <w:r w:rsidRPr="00595E96">
        <w:t>rugby</w:t>
      </w:r>
      <w:r w:rsidR="00E02416">
        <w:t xml:space="preserve">, however </w:t>
      </w:r>
      <w:r w:rsidRPr="00595E96">
        <w:t xml:space="preserve">none of these sites </w:t>
      </w:r>
      <w:r w:rsidR="00E02416">
        <w:t>have a</w:t>
      </w:r>
      <w:r w:rsidRPr="00595E96">
        <w:t xml:space="preserve"> secured community use</w:t>
      </w:r>
      <w:r w:rsidR="00E02416">
        <w:t xml:space="preserve"> agreement in place</w:t>
      </w:r>
      <w:r w:rsidRPr="00595E96">
        <w:t>.</w:t>
      </w:r>
      <w:r w:rsidR="00416EDF" w:rsidRPr="00595E96">
        <w:t xml:space="preserve"> </w:t>
      </w:r>
      <w:r w:rsidR="002E7140">
        <w:t xml:space="preserve">Council analysis </w:t>
      </w:r>
      <w:r w:rsidR="00E02416">
        <w:t xml:space="preserve">indicates that </w:t>
      </w:r>
      <w:r w:rsidRPr="00595E96">
        <w:t xml:space="preserve">there is currently </w:t>
      </w:r>
      <w:r w:rsidR="002E7140">
        <w:t>little</w:t>
      </w:r>
      <w:r w:rsidRPr="00595E96">
        <w:t xml:space="preserve"> </w:t>
      </w:r>
      <w:r w:rsidR="00E02416">
        <w:t>d</w:t>
      </w:r>
      <w:r w:rsidRPr="00595E96">
        <w:t>emand for rugby pitches</w:t>
      </w:r>
      <w:r w:rsidR="009F45C2" w:rsidRPr="00595E96">
        <w:t>,</w:t>
      </w:r>
      <w:r w:rsidRPr="00595E96">
        <w:t xml:space="preserve"> with no community rugby clubs </w:t>
      </w:r>
      <w:r w:rsidR="00E02416">
        <w:t xml:space="preserve">located </w:t>
      </w:r>
      <w:r w:rsidRPr="00595E96">
        <w:t xml:space="preserve">in the borough. </w:t>
      </w:r>
      <w:r w:rsidR="00E02416">
        <w:t>T</w:t>
      </w:r>
      <w:r w:rsidRPr="00595E96">
        <w:t>he Rugby Football Union (RFU) is looking to work with local authorities to increase participation in urban areas in line with the RFU’s national strategic priorities</w:t>
      </w:r>
      <w:r w:rsidR="00BB0DF4" w:rsidRPr="00595E96">
        <w:t xml:space="preserve">, and </w:t>
      </w:r>
      <w:r w:rsidRPr="00595E96">
        <w:t>demand and participation</w:t>
      </w:r>
      <w:r w:rsidR="00E02416">
        <w:t xml:space="preserve"> of women’s rugby is</w:t>
      </w:r>
      <w:r w:rsidRPr="00595E96">
        <w:t xml:space="preserve"> expected to grow</w:t>
      </w:r>
      <w:r w:rsidR="00E02416">
        <w:t xml:space="preserve"> in the future. Sites that can be used as </w:t>
      </w:r>
      <w:r w:rsidRPr="00595E96">
        <w:t xml:space="preserve">rugby pitches in the borough </w:t>
      </w:r>
      <w:r w:rsidR="00E02416">
        <w:t>are</w:t>
      </w:r>
      <w:r w:rsidRPr="00595E96">
        <w:t xml:space="preserve"> considered to be of a good </w:t>
      </w:r>
      <w:r w:rsidR="00E02416">
        <w:t>standard</w:t>
      </w:r>
      <w:r w:rsidRPr="00595E96">
        <w:t>.</w:t>
      </w:r>
    </w:p>
    <w:p w14:paraId="5CE1FBF5" w14:textId="77777777" w:rsidR="00DF60C7" w:rsidRPr="00595E96" w:rsidRDefault="00DF60C7" w:rsidP="00CE5053">
      <w:pPr>
        <w:tabs>
          <w:tab w:val="left" w:pos="720"/>
          <w:tab w:val="left" w:pos="1440"/>
          <w:tab w:val="left" w:pos="2550"/>
        </w:tabs>
        <w:spacing w:before="120"/>
        <w:ind w:left="720"/>
        <w:rPr>
          <w:i/>
        </w:rPr>
      </w:pPr>
      <w:r w:rsidRPr="00595E96">
        <w:rPr>
          <w:i/>
        </w:rPr>
        <w:t>Hockey pitches</w:t>
      </w:r>
    </w:p>
    <w:p w14:paraId="28EE51EB" w14:textId="77777777" w:rsidR="00DF60C7" w:rsidRPr="00595E96" w:rsidRDefault="00DF60C7" w:rsidP="00CE5053">
      <w:pPr>
        <w:pStyle w:val="ListParagraph"/>
        <w:numPr>
          <w:ilvl w:val="0"/>
          <w:numId w:val="27"/>
        </w:numPr>
        <w:spacing w:after="240"/>
        <w:ind w:left="720" w:hanging="720"/>
        <w:contextualSpacing w:val="0"/>
      </w:pPr>
      <w:r w:rsidRPr="00595E96">
        <w:t xml:space="preserve">There are three sites </w:t>
      </w:r>
      <w:r w:rsidR="00E02416">
        <w:t>with full sized, sand based artificial</w:t>
      </w:r>
      <w:r w:rsidRPr="00595E96">
        <w:t xml:space="preserve"> hockey pitches </w:t>
      </w:r>
      <w:r w:rsidR="00E02416">
        <w:t xml:space="preserve">currently </w:t>
      </w:r>
      <w:r w:rsidRPr="00595E96">
        <w:t>available for community use in the borough</w:t>
      </w:r>
      <w:r w:rsidR="00E02416">
        <w:t>. None</w:t>
      </w:r>
      <w:r w:rsidRPr="00595E96">
        <w:t xml:space="preserve"> of these sites </w:t>
      </w:r>
      <w:r w:rsidR="00E017CC">
        <w:t>have a secured community use agreement in place</w:t>
      </w:r>
      <w:r w:rsidRPr="00595E96">
        <w:t>.</w:t>
      </w:r>
      <w:r w:rsidR="00416EDF" w:rsidRPr="00595E96">
        <w:t xml:space="preserve"> </w:t>
      </w:r>
      <w:r w:rsidRPr="00595E96">
        <w:t>Based on sites available for community use, the</w:t>
      </w:r>
      <w:r w:rsidR="009C2244">
        <w:t xml:space="preserve">re </w:t>
      </w:r>
      <w:r w:rsidRPr="00595E96">
        <w:t>is currently sufficient supply to meet hockey demand in the borough</w:t>
      </w:r>
      <w:r w:rsidR="009C2244">
        <w:t>, though facilities are at capacity</w:t>
      </w:r>
      <w:r w:rsidRPr="00595E96">
        <w:t xml:space="preserve">. </w:t>
      </w:r>
      <w:r w:rsidR="009C2244">
        <w:t>A</w:t>
      </w:r>
      <w:r w:rsidRPr="00595E96">
        <w:t xml:space="preserve">ny </w:t>
      </w:r>
      <w:r w:rsidR="00E017CC">
        <w:t xml:space="preserve">future </w:t>
      </w:r>
      <w:r w:rsidRPr="00595E96">
        <w:t>demand will likely have to be accommodated elsewhere in the borough.</w:t>
      </w:r>
      <w:r w:rsidR="00AD34F4" w:rsidRPr="00595E96">
        <w:t xml:space="preserve"> </w:t>
      </w:r>
      <w:r w:rsidRPr="00595E96">
        <w:t xml:space="preserve">Overall, the quality of hockey pitches in the borough was considered high, with facilities at Kings College </w:t>
      </w:r>
      <w:r w:rsidR="00E017CC">
        <w:t xml:space="preserve">particularly </w:t>
      </w:r>
      <w:r w:rsidRPr="00595E96">
        <w:t xml:space="preserve">well maintained and considered to be of </w:t>
      </w:r>
      <w:r w:rsidR="00AD34F4" w:rsidRPr="00595E96">
        <w:t xml:space="preserve">a </w:t>
      </w:r>
      <w:r w:rsidRPr="00595E96">
        <w:t>high</w:t>
      </w:r>
      <w:r w:rsidR="00E017CC">
        <w:t xml:space="preserve"> standard</w:t>
      </w:r>
      <w:r w:rsidRPr="00595E96">
        <w:t>.</w:t>
      </w:r>
    </w:p>
    <w:p w14:paraId="0CFFABD1" w14:textId="77777777" w:rsidR="00A375C7" w:rsidRPr="00AF0D1E" w:rsidRDefault="00A375C7" w:rsidP="00CE5053">
      <w:pPr>
        <w:pStyle w:val="Heading3"/>
      </w:pPr>
      <w:bookmarkStart w:id="34" w:name="_Toc56146024"/>
      <w:r w:rsidRPr="00AF0D1E">
        <w:t>Play and informal recreation</w:t>
      </w:r>
      <w:bookmarkEnd w:id="34"/>
    </w:p>
    <w:p w14:paraId="74C40E52" w14:textId="77777777" w:rsidR="00A375C7" w:rsidRPr="00595E96" w:rsidRDefault="00A375C7" w:rsidP="00CE5053">
      <w:pPr>
        <w:tabs>
          <w:tab w:val="left" w:pos="2431"/>
        </w:tabs>
        <w:spacing w:before="120"/>
        <w:ind w:left="720"/>
        <w:rPr>
          <w:u w:val="single"/>
        </w:rPr>
      </w:pPr>
      <w:r w:rsidRPr="00CA4C64">
        <w:rPr>
          <w:b/>
        </w:rPr>
        <w:t>Background</w:t>
      </w:r>
      <w:r w:rsidR="00E80EE8">
        <w:rPr>
          <w:b/>
        </w:rPr>
        <w:tab/>
      </w:r>
    </w:p>
    <w:p w14:paraId="61AFBD44" w14:textId="77777777" w:rsidR="00A375C7" w:rsidRDefault="00A375C7" w:rsidP="00CE5053">
      <w:pPr>
        <w:pStyle w:val="ListParagraph"/>
        <w:numPr>
          <w:ilvl w:val="0"/>
          <w:numId w:val="27"/>
        </w:numPr>
        <w:spacing w:after="240"/>
        <w:ind w:left="720" w:hanging="720"/>
        <w:contextualSpacing w:val="0"/>
      </w:pPr>
      <w:r w:rsidRPr="00595E96">
        <w:t xml:space="preserve">The London Plan Policy S4 ‘Play &amp; Informal Recreation’ </w:t>
      </w:r>
      <w:r w:rsidR="006F110C">
        <w:t xml:space="preserve">sets out the requirements for </w:t>
      </w:r>
      <w:r w:rsidRPr="00595E96">
        <w:t xml:space="preserve">boroughs </w:t>
      </w:r>
      <w:r w:rsidR="006F110C">
        <w:t>t</w:t>
      </w:r>
      <w:r w:rsidRPr="00595E96">
        <w:t>o undertake audits of existing play and informal recreation provision, and produce strategies on play and informal recreation facilities and opportunities to address identified needs. Play spaces can be complemented by other facilities</w:t>
      </w:r>
      <w:r w:rsidR="006F110C">
        <w:t>, such as</w:t>
      </w:r>
      <w:r w:rsidRPr="00595E96">
        <w:t xml:space="preserve"> Multi-Use Games Areas.</w:t>
      </w:r>
    </w:p>
    <w:p w14:paraId="6EA7AD56" w14:textId="77777777" w:rsidR="00C53124" w:rsidRPr="00C53124" w:rsidRDefault="00C53124" w:rsidP="00CE5053">
      <w:pPr>
        <w:tabs>
          <w:tab w:val="left" w:pos="720"/>
          <w:tab w:val="left" w:pos="1440"/>
          <w:tab w:val="left" w:pos="2550"/>
        </w:tabs>
        <w:spacing w:before="120"/>
        <w:ind w:left="720"/>
        <w:rPr>
          <w:i/>
        </w:rPr>
      </w:pPr>
      <w:bookmarkStart w:id="35" w:name="_Hlk10544099"/>
      <w:r w:rsidRPr="00C53124">
        <w:rPr>
          <w:i/>
        </w:rPr>
        <w:t>Multi Use Games Areas</w:t>
      </w:r>
    </w:p>
    <w:p w14:paraId="0DD35B04" w14:textId="77777777" w:rsidR="00C53124" w:rsidRPr="009C2244" w:rsidRDefault="00C53124" w:rsidP="00CE5053">
      <w:r>
        <w:tab/>
      </w:r>
      <w:r>
        <w:rPr>
          <w:b/>
        </w:rPr>
        <w:t>Background</w:t>
      </w:r>
    </w:p>
    <w:bookmarkEnd w:id="35"/>
    <w:p w14:paraId="49270B81" w14:textId="77777777" w:rsidR="00C53124" w:rsidRDefault="00C53124" w:rsidP="00CE5053">
      <w:pPr>
        <w:pStyle w:val="ListParagraph"/>
        <w:numPr>
          <w:ilvl w:val="0"/>
          <w:numId w:val="27"/>
        </w:numPr>
        <w:spacing w:after="240"/>
        <w:ind w:left="720" w:hanging="720"/>
        <w:contextualSpacing w:val="0"/>
      </w:pPr>
      <w:r w:rsidRPr="00595E96">
        <w:t>Multi Use Games Areas (MUGAs) are playing spaces providing outdoor sport facilities/playing surfaces for several different sports and activities, including informal types of sports, p</w:t>
      </w:r>
      <w:r>
        <w:t>lay, and recreation activities.</w:t>
      </w:r>
    </w:p>
    <w:p w14:paraId="18D160CB" w14:textId="77777777" w:rsidR="00C53124" w:rsidRPr="00595E96" w:rsidRDefault="00C53124" w:rsidP="00CE5053">
      <w:pPr>
        <w:pStyle w:val="ListParagraph"/>
        <w:numPr>
          <w:ilvl w:val="0"/>
          <w:numId w:val="0"/>
        </w:numPr>
        <w:spacing w:after="240"/>
        <w:ind w:left="720"/>
        <w:contextualSpacing w:val="0"/>
      </w:pPr>
    </w:p>
    <w:p w14:paraId="41D579BF" w14:textId="77777777" w:rsidR="00C53124" w:rsidRPr="009C2244" w:rsidRDefault="00C53124" w:rsidP="00CE5053">
      <w:pPr>
        <w:rPr>
          <w:b/>
        </w:rPr>
      </w:pPr>
      <w:r w:rsidRPr="009C2244">
        <w:rPr>
          <w:b/>
        </w:rPr>
        <w:tab/>
        <w:t>Current situation</w:t>
      </w:r>
    </w:p>
    <w:p w14:paraId="390C4A59" w14:textId="77777777" w:rsidR="00C53124" w:rsidRPr="00595E96" w:rsidRDefault="00C53124" w:rsidP="00CE5053">
      <w:pPr>
        <w:pStyle w:val="ListParagraph"/>
        <w:numPr>
          <w:ilvl w:val="0"/>
          <w:numId w:val="27"/>
        </w:numPr>
        <w:spacing w:after="240"/>
        <w:ind w:left="720" w:hanging="720"/>
        <w:contextualSpacing w:val="0"/>
      </w:pPr>
      <w:r>
        <w:t>T</w:t>
      </w:r>
      <w:r w:rsidRPr="00595E96">
        <w:t>here are 31 MUGA facilities available for community use</w:t>
      </w:r>
      <w:r>
        <w:t>, with a further 26 sites that offer partial or restricted access</w:t>
      </w:r>
      <w:r w:rsidRPr="00595E96">
        <w:t>. The majority of MUGA sites are located in the northern, central, and south western areas of the borough</w:t>
      </w:r>
      <w:r>
        <w:t xml:space="preserve">. </w:t>
      </w:r>
      <w:r w:rsidRPr="00595E96">
        <w:t>MUGAs unavailable for community use are usually</w:t>
      </w:r>
      <w:r>
        <w:t xml:space="preserve"> located </w:t>
      </w:r>
      <w:r w:rsidRPr="00595E96">
        <w:t xml:space="preserve">in schools, which do not usually allow </w:t>
      </w:r>
      <w:r>
        <w:t xml:space="preserve">for </w:t>
      </w:r>
      <w:r w:rsidRPr="00595E96">
        <w:t>out-of-hours use.</w:t>
      </w:r>
    </w:p>
    <w:p w14:paraId="1680524B" w14:textId="77777777" w:rsidR="00C53124" w:rsidRPr="00595E96" w:rsidRDefault="00C53124" w:rsidP="00CE5053">
      <w:pPr>
        <w:pStyle w:val="ListParagraph"/>
        <w:numPr>
          <w:ilvl w:val="0"/>
          <w:numId w:val="27"/>
        </w:numPr>
        <w:spacing w:after="240"/>
        <w:ind w:left="720" w:hanging="720"/>
        <w:contextualSpacing w:val="0"/>
      </w:pPr>
      <w:r>
        <w:t xml:space="preserve">Based on sites that are available for community use, most areas to the north of the borough are identified to have good access, however large areas of Bellingham, Downham and Grove Park have limited access. Based on available population data in 2018, </w:t>
      </w:r>
      <w:r w:rsidR="5D644872">
        <w:t>approximately</w:t>
      </w:r>
      <w:r>
        <w:t xml:space="preserve"> 39,000 people in the borough do not have access to a MUGA facility within a 20 minute walk, and when looking at the target population for MUGA facilities (0-19 year olds), the unmet demand is over 9,700 people.</w:t>
      </w:r>
    </w:p>
    <w:p w14:paraId="3C9BCAC7" w14:textId="77777777" w:rsidR="00C53124" w:rsidRPr="00F13AAE" w:rsidRDefault="00C53124" w:rsidP="00CE5053">
      <w:pPr>
        <w:rPr>
          <w:b/>
        </w:rPr>
      </w:pPr>
      <w:r w:rsidRPr="00F13AAE">
        <w:rPr>
          <w:b/>
        </w:rPr>
        <w:tab/>
      </w:r>
      <w:bookmarkStart w:id="36" w:name="_Hlk12336750"/>
      <w:r w:rsidRPr="00F13AAE">
        <w:rPr>
          <w:b/>
        </w:rPr>
        <w:t>Future requirement</w:t>
      </w:r>
      <w:bookmarkEnd w:id="36"/>
    </w:p>
    <w:p w14:paraId="0742DE64" w14:textId="77777777" w:rsidR="00C53124" w:rsidRPr="00595E96" w:rsidRDefault="00C53124" w:rsidP="00CE5053">
      <w:pPr>
        <w:pStyle w:val="ListParagraph"/>
        <w:numPr>
          <w:ilvl w:val="0"/>
          <w:numId w:val="27"/>
        </w:numPr>
        <w:spacing w:after="240"/>
        <w:ind w:left="720" w:hanging="720"/>
        <w:contextualSpacing w:val="0"/>
      </w:pPr>
      <w:r w:rsidRPr="00595E96">
        <w:t xml:space="preserve">Based on projected population </w:t>
      </w:r>
      <w:r>
        <w:t>forecasts,</w:t>
      </w:r>
      <w:r w:rsidRPr="00595E96">
        <w:t xml:space="preserve"> by 2033 the number of people that do not have access to a </w:t>
      </w:r>
      <w:r>
        <w:t xml:space="preserve">MUGA </w:t>
      </w:r>
      <w:r w:rsidRPr="00595E96">
        <w:t>facility within a 20 minute walk will increase from approximately 39,000 to approximately 43,300 people</w:t>
      </w:r>
      <w:r>
        <w:t>.</w:t>
      </w:r>
    </w:p>
    <w:p w14:paraId="51D74EBA" w14:textId="77777777" w:rsidR="00C53124" w:rsidRDefault="00C53124" w:rsidP="00CE5053">
      <w:pPr>
        <w:pStyle w:val="ListParagraph"/>
        <w:numPr>
          <w:ilvl w:val="0"/>
          <w:numId w:val="27"/>
        </w:numPr>
        <w:spacing w:after="240"/>
        <w:ind w:left="720" w:hanging="720"/>
        <w:contextualSpacing w:val="0"/>
      </w:pPr>
      <w:r w:rsidRPr="0053240E">
        <w:t xml:space="preserve">The Council is continuing to monitor the demand for pitches over the plan period, </w:t>
      </w:r>
      <w:r>
        <w:t>with the emerging Physical Activity and Healthy Lifestyles Strategy to provide a comprehensive strategy for the future provision and management of sports and recreation facilities in Lewisham, informing future updates to the IDP.</w:t>
      </w:r>
    </w:p>
    <w:p w14:paraId="46940595" w14:textId="77777777" w:rsidR="00A375C7" w:rsidRPr="00CA4C64" w:rsidRDefault="00A375C7" w:rsidP="00CE5053">
      <w:pPr>
        <w:ind w:left="720"/>
        <w:rPr>
          <w:i/>
        </w:rPr>
      </w:pPr>
      <w:r w:rsidRPr="00CA4C64">
        <w:rPr>
          <w:i/>
        </w:rPr>
        <w:t>Children’s play spaces</w:t>
      </w:r>
    </w:p>
    <w:p w14:paraId="4A10D05F" w14:textId="77777777" w:rsidR="00A375C7" w:rsidRPr="00595E96" w:rsidRDefault="00A375C7" w:rsidP="00CE5053">
      <w:pPr>
        <w:pStyle w:val="ListParagraph"/>
        <w:numPr>
          <w:ilvl w:val="0"/>
          <w:numId w:val="27"/>
        </w:numPr>
        <w:spacing w:after="240"/>
        <w:ind w:left="720" w:hanging="720"/>
        <w:contextualSpacing w:val="0"/>
      </w:pPr>
      <w:r w:rsidRPr="00595E96">
        <w:t>The London Plan require</w:t>
      </w:r>
      <w:r w:rsidR="006F110C">
        <w:t>s</w:t>
      </w:r>
      <w:r w:rsidRPr="00595E96">
        <w:t xml:space="preserve"> </w:t>
      </w:r>
      <w:r w:rsidR="006F110C">
        <w:t>that</w:t>
      </w:r>
      <w:r w:rsidRPr="00595E96">
        <w:t xml:space="preserve"> adequate provision for play spaces </w:t>
      </w:r>
      <w:r w:rsidR="006F110C">
        <w:t>is made when determining large scale development applications.</w:t>
      </w:r>
    </w:p>
    <w:p w14:paraId="101E8431" w14:textId="77777777" w:rsidR="00A375C7" w:rsidRPr="00595E96" w:rsidRDefault="00A375C7" w:rsidP="00CE5053">
      <w:pPr>
        <w:pStyle w:val="ListParagraph"/>
        <w:numPr>
          <w:ilvl w:val="0"/>
          <w:numId w:val="27"/>
        </w:numPr>
        <w:spacing w:after="240"/>
        <w:ind w:left="720" w:hanging="720"/>
        <w:contextualSpacing w:val="0"/>
      </w:pPr>
      <w:r w:rsidRPr="00595E96">
        <w:t>Nationally, designated play spaces are typically considered in the form of Local Areas for Play (LAPs) aimed at very young children, Locally Equipped Areas for Play (LEAPs) aimed at children who can go out to play independently, and Neighbourhood Equipped Areas for Play (NEAPs) aimed at older children and young people.</w:t>
      </w:r>
    </w:p>
    <w:p w14:paraId="7421B8DD" w14:textId="77777777" w:rsidR="00E80EE8" w:rsidRPr="00E80EE8" w:rsidRDefault="00E80EE8" w:rsidP="00CE5053">
      <w:pPr>
        <w:tabs>
          <w:tab w:val="left" w:pos="2431"/>
        </w:tabs>
        <w:spacing w:before="120"/>
        <w:ind w:left="720"/>
        <w:rPr>
          <w:b/>
        </w:rPr>
      </w:pPr>
      <w:r w:rsidRPr="00E80EE8">
        <w:rPr>
          <w:b/>
        </w:rPr>
        <w:t>Current situation</w:t>
      </w:r>
    </w:p>
    <w:p w14:paraId="3210A11E" w14:textId="77777777" w:rsidR="00A375C7" w:rsidRPr="006F110C" w:rsidRDefault="006F110C" w:rsidP="00CE5053">
      <w:pPr>
        <w:pStyle w:val="ListParagraph"/>
        <w:numPr>
          <w:ilvl w:val="0"/>
          <w:numId w:val="27"/>
        </w:numPr>
        <w:spacing w:after="240"/>
        <w:ind w:left="720" w:hanging="720"/>
        <w:contextualSpacing w:val="0"/>
      </w:pPr>
      <w:r>
        <w:t>The p</w:t>
      </w:r>
      <w:r w:rsidR="00A375C7" w:rsidRPr="006F110C">
        <w:t xml:space="preserve">rovision of </w:t>
      </w:r>
      <w:r w:rsidR="00C53124">
        <w:t xml:space="preserve">LEAPs, LAPs, and </w:t>
      </w:r>
      <w:r w:rsidR="00A375C7" w:rsidRPr="006F110C">
        <w:t>NEAPs</w:t>
      </w:r>
      <w:r w:rsidR="00E80EE8" w:rsidRPr="006F110C">
        <w:t xml:space="preserve"> </w:t>
      </w:r>
      <w:r>
        <w:t xml:space="preserve">in Lewisham </w:t>
      </w:r>
      <w:r w:rsidR="00C53124">
        <w:t>are</w:t>
      </w:r>
      <w:r>
        <w:t xml:space="preserve"> considered to be well distributed across the borough, and o</w:t>
      </w:r>
      <w:r w:rsidR="00E80EE8" w:rsidRPr="006F110C">
        <w:t>f a good standard.</w:t>
      </w:r>
      <w:r w:rsidR="00A375C7" w:rsidRPr="006F110C">
        <w:t xml:space="preserve"> </w:t>
      </w:r>
      <w:r w:rsidR="00C53124">
        <w:t>H</w:t>
      </w:r>
      <w:r w:rsidR="002350A9" w:rsidRPr="006F110C">
        <w:t>owever</w:t>
      </w:r>
      <w:r w:rsidR="00C53124">
        <w:t>,</w:t>
      </w:r>
      <w:r w:rsidR="002350A9" w:rsidRPr="006F110C">
        <w:t xml:space="preserve"> there are </w:t>
      </w:r>
      <w:r w:rsidR="00A375C7" w:rsidRPr="006F110C">
        <w:t>small catchment</w:t>
      </w:r>
      <w:r w:rsidR="002350A9" w:rsidRPr="006F110C">
        <w:t>s</w:t>
      </w:r>
      <w:r w:rsidR="00A375C7" w:rsidRPr="006F110C">
        <w:t xml:space="preserve"> </w:t>
      </w:r>
      <w:r w:rsidR="002350A9" w:rsidRPr="006F110C">
        <w:t>with</w:t>
      </w:r>
      <w:r w:rsidR="00A375C7" w:rsidRPr="006F110C">
        <w:t xml:space="preserve"> areas of deficiency, including between</w:t>
      </w:r>
      <w:r w:rsidR="002350A9" w:rsidRPr="006F110C">
        <w:t xml:space="preserve"> New Cross and Forest Hill, between Catford and Grove Park.</w:t>
      </w:r>
      <w:r w:rsidR="00A375C7" w:rsidRPr="006F110C">
        <w:t xml:space="preserve"> </w:t>
      </w:r>
    </w:p>
    <w:p w14:paraId="359861D0" w14:textId="77777777" w:rsidR="00A375C7" w:rsidRDefault="00F574DF" w:rsidP="00CE5053">
      <w:pPr>
        <w:pStyle w:val="ListParagraph"/>
        <w:numPr>
          <w:ilvl w:val="0"/>
          <w:numId w:val="27"/>
        </w:numPr>
        <w:spacing w:after="240"/>
        <w:ind w:left="720" w:hanging="720"/>
        <w:contextualSpacing w:val="0"/>
      </w:pPr>
      <w:r>
        <w:t>Children’s play spaces i</w:t>
      </w:r>
      <w:r w:rsidR="00A375C7" w:rsidRPr="006F110C">
        <w:t xml:space="preserve">nclude playgrounds, playing fields, skate parks and other outdoor recreation areas. The </w:t>
      </w:r>
      <w:r>
        <w:t>C</w:t>
      </w:r>
      <w:r w:rsidR="00A375C7" w:rsidRPr="006F110C">
        <w:t>ouncil’s OSA identifie</w:t>
      </w:r>
      <w:r>
        <w:t>s</w:t>
      </w:r>
      <w:r w:rsidR="00A375C7" w:rsidRPr="006F110C">
        <w:t xml:space="preserve"> 23 h</w:t>
      </w:r>
      <w:r>
        <w:t>ectares o</w:t>
      </w:r>
      <w:r w:rsidR="00A375C7" w:rsidRPr="006F110C">
        <w:t>f standalone provision for children and young people (of which, 8.5 ha are publicly accessible spaces), and 79.8 ha of outdoor sports facilities (of which, 13.7 ha are publicly accessible spaces).</w:t>
      </w:r>
      <w:r w:rsidR="00A375C7" w:rsidRPr="00595E96">
        <w:t xml:space="preserve"> </w:t>
      </w:r>
    </w:p>
    <w:p w14:paraId="3AF4E965" w14:textId="77777777" w:rsidR="00A375C7" w:rsidRPr="00BE4DF7" w:rsidRDefault="00A375C7" w:rsidP="00CE5053">
      <w:pPr>
        <w:tabs>
          <w:tab w:val="left" w:pos="2431"/>
        </w:tabs>
        <w:spacing w:before="120"/>
        <w:ind w:left="720"/>
        <w:rPr>
          <w:b/>
        </w:rPr>
      </w:pPr>
      <w:r w:rsidRPr="00BE4DF7">
        <w:rPr>
          <w:b/>
        </w:rPr>
        <w:t>Future requirement</w:t>
      </w:r>
    </w:p>
    <w:p w14:paraId="57548465" w14:textId="77777777" w:rsidR="003C3181" w:rsidRPr="00595E96" w:rsidRDefault="00C53124" w:rsidP="00CE5053">
      <w:pPr>
        <w:pStyle w:val="ListParagraph"/>
        <w:numPr>
          <w:ilvl w:val="0"/>
          <w:numId w:val="27"/>
        </w:numPr>
        <w:spacing w:after="240"/>
        <w:ind w:left="720" w:hanging="720"/>
        <w:contextualSpacing w:val="0"/>
      </w:pPr>
      <w:r w:rsidRPr="0053240E">
        <w:t xml:space="preserve">The </w:t>
      </w:r>
      <w:r>
        <w:t xml:space="preserve">Council is continuing to provide children’s play spaces through the planning process, in accordance with the requirements of the London Plan and the Mayor of London’s </w:t>
      </w:r>
      <w:r w:rsidRPr="00C53124">
        <w:t>Play and Informal Recreation SPG</w:t>
      </w:r>
      <w:r>
        <w:t xml:space="preserve">. The emerging Physical Activity and Healthy Lifestyles Strategy to </w:t>
      </w:r>
      <w:r>
        <w:lastRenderedPageBreak/>
        <w:t>provide a comprehensive strategy for the future provision and management of sports and recreation facilities in Lewisham, informing future updates to the IDP.</w:t>
      </w:r>
    </w:p>
    <w:p w14:paraId="61AC30FB" w14:textId="77777777" w:rsidR="003C3181" w:rsidRPr="00595E96" w:rsidRDefault="003C3181" w:rsidP="00CE5053">
      <w:pPr>
        <w:ind w:left="720" w:hanging="720"/>
        <w:sectPr w:rsidR="003C3181" w:rsidRPr="00595E96" w:rsidSect="007B10F6">
          <w:pgSz w:w="11906" w:h="16838"/>
          <w:pgMar w:top="1440" w:right="1080" w:bottom="1440" w:left="1080" w:header="708" w:footer="708" w:gutter="0"/>
          <w:pgBorders w:offsetFrom="page">
            <w:top w:val="single" w:sz="4" w:space="24" w:color="FFFFFF" w:themeColor="background1"/>
            <w:bottom w:val="single" w:sz="4" w:space="24" w:color="FFFFFF" w:themeColor="background1"/>
          </w:pgBorders>
          <w:cols w:space="708"/>
          <w:docGrid w:linePitch="360"/>
        </w:sectPr>
      </w:pPr>
    </w:p>
    <w:p w14:paraId="5A77A065" w14:textId="77777777" w:rsidR="003C3181" w:rsidRDefault="0071357A" w:rsidP="00CE5053">
      <w:pPr>
        <w:pStyle w:val="Heading3"/>
      </w:pPr>
      <w:bookmarkStart w:id="37" w:name="_Toc56146025"/>
      <w:r>
        <w:lastRenderedPageBreak/>
        <w:t xml:space="preserve">Strategic infrastructure </w:t>
      </w:r>
      <w:r w:rsidR="003C3181" w:rsidRPr="00595E96">
        <w:t xml:space="preserve">list for </w:t>
      </w:r>
      <w:r>
        <w:t>s</w:t>
      </w:r>
      <w:r w:rsidR="003C3181" w:rsidRPr="00595E96">
        <w:t>ports and recreation facilities</w:t>
      </w:r>
      <w:bookmarkEnd w:id="37"/>
    </w:p>
    <w:tbl>
      <w:tblPr>
        <w:tblStyle w:val="ListTable3-Accent32"/>
        <w:tblW w:w="4774" w:type="pct"/>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Table"/>
      </w:tblPr>
      <w:tblGrid>
        <w:gridCol w:w="2343"/>
        <w:gridCol w:w="1757"/>
        <w:gridCol w:w="5941"/>
        <w:gridCol w:w="2414"/>
        <w:gridCol w:w="843"/>
        <w:gridCol w:w="885"/>
        <w:gridCol w:w="872"/>
        <w:gridCol w:w="893"/>
        <w:gridCol w:w="1282"/>
        <w:gridCol w:w="1017"/>
        <w:gridCol w:w="955"/>
        <w:gridCol w:w="1468"/>
      </w:tblGrid>
      <w:tr w:rsidR="000C6BE5" w:rsidRPr="004400BC" w14:paraId="5B799624"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63A69A42" w14:textId="77777777" w:rsidR="000C6BE5" w:rsidRPr="00356AF3" w:rsidRDefault="000C6BE5" w:rsidP="00CE5053">
            <w:pPr>
              <w:spacing w:before="40" w:after="40"/>
              <w:rPr>
                <w:b w:val="0"/>
                <w:bCs w:val="0"/>
                <w:sz w:val="18"/>
                <w:szCs w:val="18"/>
              </w:rPr>
            </w:pPr>
            <w:r w:rsidRPr="00356AF3">
              <w:rPr>
                <w:sz w:val="18"/>
                <w:szCs w:val="18"/>
              </w:rPr>
              <w:t>Planned provision</w:t>
            </w:r>
          </w:p>
        </w:tc>
        <w:tc>
          <w:tcPr>
            <w:tcW w:w="425"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B57644E"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Proposed location</w:t>
            </w:r>
          </w:p>
        </w:tc>
        <w:tc>
          <w:tcPr>
            <w:tcW w:w="143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0A138E26"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356AF3">
              <w:rPr>
                <w:bCs w:val="0"/>
                <w:sz w:val="18"/>
                <w:szCs w:val="18"/>
              </w:rPr>
              <w:t xml:space="preserve">Description of </w:t>
            </w:r>
            <w:r w:rsidRPr="00356AF3">
              <w:rPr>
                <w:bCs w:val="0"/>
                <w:noProof/>
                <w:sz w:val="18"/>
                <w:szCs w:val="18"/>
              </w:rPr>
              <w:t>project/proposal</w:t>
            </w:r>
          </w:p>
        </w:tc>
        <w:tc>
          <w:tcPr>
            <w:tcW w:w="58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66EB4960"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356AF3">
              <w:rPr>
                <w:bCs w:val="0"/>
                <w:sz w:val="18"/>
                <w:szCs w:val="18"/>
              </w:rPr>
              <w:t>Project lead (and delivery partners)</w:t>
            </w:r>
          </w:p>
        </w:tc>
        <w:tc>
          <w:tcPr>
            <w:tcW w:w="845"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8DE3850"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Indicative timescale</w:t>
            </w:r>
          </w:p>
        </w:tc>
        <w:tc>
          <w:tcPr>
            <w:tcW w:w="310"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1EDE0750"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Total cost (indicative)</w:t>
            </w:r>
          </w:p>
        </w:tc>
        <w:tc>
          <w:tcPr>
            <w:tcW w:w="246"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012F5F19"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Total funding available</w:t>
            </w:r>
          </w:p>
        </w:tc>
        <w:tc>
          <w:tcPr>
            <w:tcW w:w="231"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3E2488A1"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8"/>
              </w:rPr>
            </w:pPr>
            <w:r w:rsidRPr="00356AF3">
              <w:rPr>
                <w:sz w:val="18"/>
                <w:szCs w:val="18"/>
              </w:rPr>
              <w:t>Funding gap</w:t>
            </w:r>
          </w:p>
        </w:tc>
        <w:tc>
          <w:tcPr>
            <w:tcW w:w="355" w:type="pct"/>
            <w:vMerge w:val="restart"/>
            <w:tcBorders>
              <w:top w:val="single" w:sz="4" w:space="0" w:color="FFFFFF" w:themeColor="background1"/>
              <w:left w:val="single" w:sz="4" w:space="0" w:color="FFFFFF" w:themeColor="background1"/>
              <w:right w:val="nil"/>
            </w:tcBorders>
            <w:shd w:val="clear" w:color="auto" w:fill="002060"/>
          </w:tcPr>
          <w:p w14:paraId="33811662"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Prioritisation</w:t>
            </w:r>
          </w:p>
          <w:p w14:paraId="473B3D42"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(3) Critical</w:t>
            </w:r>
          </w:p>
          <w:p w14:paraId="168A2567"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(2) Essential</w:t>
            </w:r>
          </w:p>
          <w:p w14:paraId="65711736"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(1) Important</w:t>
            </w:r>
          </w:p>
        </w:tc>
      </w:tr>
      <w:tr w:rsidR="00CD1374" w:rsidRPr="004400BC" w14:paraId="255047FE"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26B1A375" w14:textId="77777777" w:rsidR="000C6BE5" w:rsidRPr="00356AF3" w:rsidRDefault="000C6BE5" w:rsidP="00CE5053">
            <w:pPr>
              <w:spacing w:before="40" w:after="40"/>
              <w:rPr>
                <w:sz w:val="18"/>
                <w:szCs w:val="18"/>
              </w:rPr>
            </w:pPr>
          </w:p>
        </w:tc>
        <w:tc>
          <w:tcPr>
            <w:tcW w:w="425"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211FC6EA"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143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764ED501"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p>
        </w:tc>
        <w:tc>
          <w:tcPr>
            <w:tcW w:w="584"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0AB93745"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p>
        </w:tc>
        <w:tc>
          <w:tcPr>
            <w:tcW w:w="2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8826CAD"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2020/25</w:t>
            </w: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37B738D"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2025/30</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9C1D3DD"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2030/35</w:t>
            </w: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992BC39"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2035/40</w:t>
            </w:r>
          </w:p>
        </w:tc>
        <w:tc>
          <w:tcPr>
            <w:tcW w:w="310"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9635555"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246"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17A53FC6"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231"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1CDEAE01"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355" w:type="pct"/>
            <w:vMerge/>
            <w:tcBorders>
              <w:left w:val="single" w:sz="4" w:space="0" w:color="FFFFFF" w:themeColor="background1"/>
              <w:bottom w:val="single" w:sz="4" w:space="0" w:color="FFFFFF" w:themeColor="background1"/>
              <w:right w:val="nil"/>
            </w:tcBorders>
            <w:shd w:val="clear" w:color="auto" w:fill="333399"/>
          </w:tcPr>
          <w:p w14:paraId="50F07069" w14:textId="77777777" w:rsidR="000C6BE5" w:rsidRPr="00356AF3" w:rsidRDefault="000C6BE5"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r>
      <w:tr w:rsidR="00C53124" w:rsidRPr="004400BC" w14:paraId="30F144F6" w14:textId="77777777" w:rsidTr="00C53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061037" w14:textId="77777777" w:rsidR="00C53124" w:rsidRPr="00C53124" w:rsidRDefault="00C53124" w:rsidP="00CE5053">
            <w:pPr>
              <w:spacing w:before="40" w:after="40"/>
              <w:rPr>
                <w:sz w:val="18"/>
                <w:szCs w:val="18"/>
              </w:rPr>
            </w:pPr>
            <w:r w:rsidRPr="00C53124">
              <w:rPr>
                <w:sz w:val="18"/>
                <w:szCs w:val="18"/>
              </w:rPr>
              <w:t xml:space="preserve">New </w:t>
            </w:r>
            <w:r>
              <w:rPr>
                <w:sz w:val="18"/>
                <w:szCs w:val="18"/>
              </w:rPr>
              <w:t>l</w:t>
            </w:r>
            <w:r w:rsidRPr="00C53124">
              <w:rPr>
                <w:sz w:val="18"/>
                <w:szCs w:val="18"/>
              </w:rPr>
              <w:t xml:space="preserve">eisure </w:t>
            </w:r>
            <w:r>
              <w:rPr>
                <w:sz w:val="18"/>
                <w:szCs w:val="18"/>
              </w:rPr>
              <w:t>c</w:t>
            </w:r>
            <w:r w:rsidRPr="00C53124">
              <w:rPr>
                <w:sz w:val="18"/>
                <w:szCs w:val="18"/>
              </w:rPr>
              <w:t>entre</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B96C28"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Surrey Canal Triangle</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99D1C2"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bCs/>
                <w:sz w:val="18"/>
                <w:szCs w:val="18"/>
              </w:rPr>
              <w:t>N</w:t>
            </w:r>
            <w:r w:rsidRPr="00C53124">
              <w:rPr>
                <w:bCs/>
                <w:sz w:val="18"/>
                <w:szCs w:val="18"/>
              </w:rPr>
              <w:t xml:space="preserve">ew leisure centre that provides a range of services, to </w:t>
            </w:r>
            <w:r>
              <w:rPr>
                <w:bCs/>
                <w:sz w:val="18"/>
                <w:szCs w:val="18"/>
              </w:rPr>
              <w:t xml:space="preserve">be considered in the </w:t>
            </w:r>
            <w:r w:rsidRPr="00C53124">
              <w:rPr>
                <w:bCs/>
                <w:sz w:val="18"/>
                <w:szCs w:val="18"/>
              </w:rPr>
              <w:t>emerging Physical Activity and Healthy Lifestyles Strategy</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7A2DB3"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3124">
              <w:rPr>
                <w:bCs/>
                <w:sz w:val="18"/>
                <w:szCs w:val="18"/>
              </w:rPr>
              <w:t>LB Lewisham</w:t>
            </w:r>
            <w:r>
              <w:rPr>
                <w:bCs/>
                <w:sz w:val="18"/>
                <w:szCs w:val="18"/>
              </w:rPr>
              <w:t>, Developer</w:t>
            </w:r>
          </w:p>
          <w:p w14:paraId="2FF85D32"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954643"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26C1C2"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3124">
              <w:rPr>
                <w:sz w:val="18"/>
                <w:szCs w:val="18"/>
              </w:rPr>
              <w:t>X</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BCFF2A"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3124">
              <w:rPr>
                <w:sz w:val="18"/>
                <w:szCs w:val="18"/>
              </w:rPr>
              <w:t>X</w:t>
            </w: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7AA0AC"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0E1333"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3124">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06D56F"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4454D">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50E5C3"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44454D">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A90BE3" w14:textId="77777777" w:rsidR="00C53124" w:rsidRPr="00C53124" w:rsidRDefault="00C5312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C53124">
              <w:rPr>
                <w:sz w:val="18"/>
                <w:szCs w:val="18"/>
              </w:rPr>
              <w:t>3</w:t>
            </w:r>
          </w:p>
        </w:tc>
      </w:tr>
      <w:tr w:rsidR="00C53124" w:rsidRPr="004400BC" w14:paraId="29D3A2DD" w14:textId="77777777" w:rsidTr="00C53124">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AC1421" w14:textId="77777777" w:rsidR="00C53124" w:rsidRPr="00C53124" w:rsidRDefault="00C53124" w:rsidP="00CE5053">
            <w:pPr>
              <w:spacing w:before="40" w:after="40"/>
              <w:rPr>
                <w:sz w:val="18"/>
                <w:szCs w:val="18"/>
              </w:rPr>
            </w:pPr>
            <w:r w:rsidRPr="00C53124">
              <w:rPr>
                <w:sz w:val="18"/>
                <w:szCs w:val="18"/>
              </w:rPr>
              <w:t>3G artificial grass pitches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C34134" w14:textId="77777777" w:rsidR="00C53124" w:rsidRPr="00C53124" w:rsidRDefault="00C53124"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3124">
              <w:rPr>
                <w:sz w:val="18"/>
                <w:szCs w:val="18"/>
              </w:rPr>
              <w:t>TBC</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AC66F8" w14:textId="77777777" w:rsidR="00C53124" w:rsidRPr="00C53124" w:rsidRDefault="00C53124"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3124">
              <w:rPr>
                <w:bCs/>
                <w:sz w:val="18"/>
                <w:szCs w:val="18"/>
              </w:rPr>
              <w:t xml:space="preserve">Installation of two </w:t>
            </w:r>
            <w:r w:rsidRPr="00C53124">
              <w:rPr>
                <w:bCs/>
                <w:noProof/>
                <w:sz w:val="18"/>
                <w:szCs w:val="18"/>
              </w:rPr>
              <w:t>full-sized</w:t>
            </w:r>
            <w:r w:rsidRPr="00C53124">
              <w:rPr>
                <w:bCs/>
                <w:sz w:val="18"/>
                <w:szCs w:val="18"/>
              </w:rPr>
              <w:t xml:space="preserve"> 3G artificial grass pitches with floodlighting for community use</w:t>
            </w:r>
            <w:r>
              <w:rPr>
                <w:bCs/>
                <w:sz w:val="18"/>
                <w:szCs w:val="18"/>
              </w:rPr>
              <w:t>.</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D222FB" w14:textId="77777777" w:rsidR="00C53124" w:rsidRPr="00C53124" w:rsidRDefault="00C53124"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bCs/>
                <w:sz w:val="18"/>
                <w:szCs w:val="18"/>
              </w:rPr>
              <w:t>LB Lewisham, Sport England</w:t>
            </w:r>
          </w:p>
        </w:tc>
        <w:tc>
          <w:tcPr>
            <w:tcW w:w="845"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37D6CF" w14:textId="77777777" w:rsidR="00C53124" w:rsidRPr="00C53124" w:rsidRDefault="00C53124"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C16A7A7" w14:textId="77777777" w:rsidR="00C53124" w:rsidRPr="00C53124" w:rsidRDefault="00C53124"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16A38">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F018BD" w14:textId="77777777" w:rsidR="00C53124" w:rsidRPr="00C53124" w:rsidRDefault="00C53124"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16A38">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41AA30" w14:textId="77777777" w:rsidR="00C53124" w:rsidRPr="00C53124" w:rsidRDefault="0028544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A2C4CD" w14:textId="77777777" w:rsidR="00C53124" w:rsidRPr="00C53124" w:rsidRDefault="0028544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r>
      <w:tr w:rsidR="00285446" w:rsidRPr="004400BC" w14:paraId="5A7AF15D" w14:textId="77777777" w:rsidTr="00285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686FEF" w14:textId="77777777" w:rsidR="00285446" w:rsidRPr="00C53124" w:rsidRDefault="00285446" w:rsidP="00CE5053">
            <w:pPr>
              <w:spacing w:before="40" w:after="40"/>
              <w:rPr>
                <w:sz w:val="18"/>
                <w:szCs w:val="18"/>
              </w:rPr>
            </w:pP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1A7268" w14:textId="77777777" w:rsidR="00285446" w:rsidRPr="00C53124" w:rsidRDefault="0028544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2F30A4" w14:textId="77777777" w:rsidR="00285446" w:rsidRPr="00C53124" w:rsidRDefault="0028544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48BA75" w14:textId="77777777" w:rsidR="00285446" w:rsidRPr="00C53124" w:rsidRDefault="0028544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845"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93568E" w14:textId="77777777" w:rsidR="00285446" w:rsidRPr="00C53124" w:rsidRDefault="0028544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1CEB47" w14:textId="77777777" w:rsidR="00285446" w:rsidRPr="00C53124" w:rsidRDefault="0028544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D4AFED" w14:textId="77777777" w:rsidR="00285446" w:rsidRPr="00C53124" w:rsidRDefault="0028544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BA7733" w14:textId="77777777" w:rsidR="00285446" w:rsidRPr="00C53124" w:rsidRDefault="0028544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6B019F" w14:textId="77777777" w:rsidR="00285446" w:rsidRPr="00C53124" w:rsidRDefault="0028544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r w:rsidR="000C6BE5" w:rsidRPr="004400BC" w14:paraId="5B4130AB" w14:textId="77777777" w:rsidTr="00285446">
        <w:tc>
          <w:tcPr>
            <w:cnfStyle w:val="001000000000" w:firstRow="0" w:lastRow="0" w:firstColumn="1" w:lastColumn="0" w:oddVBand="0" w:evenVBand="0" w:oddHBand="0" w:evenHBand="0" w:firstRowFirstColumn="0" w:firstRowLastColumn="0" w:lastRowFirstColumn="0" w:lastRowLastColumn="0"/>
            <w:tcW w:w="3431"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F7836D1" w14:textId="77777777" w:rsidR="000C6BE5" w:rsidRPr="00356AF3" w:rsidRDefault="000C6BE5" w:rsidP="00CE5053">
            <w:pPr>
              <w:spacing w:before="40" w:after="40"/>
              <w:rPr>
                <w:sz w:val="18"/>
                <w:szCs w:val="18"/>
              </w:rPr>
            </w:pPr>
          </w:p>
        </w:tc>
        <w:tc>
          <w:tcPr>
            <w:tcW w:w="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C05890"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b/>
                <w:sz w:val="18"/>
                <w:szCs w:val="18"/>
              </w:rPr>
              <w:t>Sub-total</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50ECE7" w14:textId="77777777" w:rsidR="000C6BE5" w:rsidRPr="00356AF3" w:rsidRDefault="0028544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4FAFFB" w14:textId="77777777" w:rsidR="000C6BE5" w:rsidRPr="00356AF3" w:rsidRDefault="0028544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AB6E758" w14:textId="77777777" w:rsidR="000C6BE5" w:rsidRPr="00356AF3" w:rsidRDefault="0028544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8D7399" w14:textId="77777777" w:rsidR="000C6BE5" w:rsidRPr="00356AF3" w:rsidRDefault="000C6BE5" w:rsidP="00CE5053">
            <w:pPr>
              <w:spacing w:before="40" w:after="40"/>
              <w:cnfStyle w:val="000000000000" w:firstRow="0" w:lastRow="0" w:firstColumn="0" w:lastColumn="0" w:oddVBand="0" w:evenVBand="0" w:oddHBand="0" w:evenHBand="0" w:firstRowFirstColumn="0" w:firstRowLastColumn="0" w:lastRowFirstColumn="0" w:lastRowLastColumn="0"/>
              <w:rPr>
                <w:b/>
                <w:sz w:val="18"/>
                <w:szCs w:val="18"/>
              </w:rPr>
            </w:pPr>
          </w:p>
        </w:tc>
      </w:tr>
    </w:tbl>
    <w:p w14:paraId="1AB2B8F9" w14:textId="77777777" w:rsidR="000C6BE5" w:rsidRDefault="000C6BE5" w:rsidP="00CE5053"/>
    <w:p w14:paraId="3FBF0C5E" w14:textId="77777777" w:rsidR="000C6BE5" w:rsidRPr="000C6BE5" w:rsidRDefault="000C6BE5" w:rsidP="00CE5053"/>
    <w:p w14:paraId="7896E9D9" w14:textId="77777777" w:rsidR="003C3181" w:rsidRDefault="003C3181" w:rsidP="00CE5053">
      <w:pPr>
        <w:ind w:left="720" w:hanging="720"/>
        <w:rPr>
          <w:b/>
        </w:rPr>
      </w:pPr>
    </w:p>
    <w:p w14:paraId="1B319C6E" w14:textId="77777777" w:rsidR="003C3181" w:rsidRPr="00595E96" w:rsidRDefault="003C3181" w:rsidP="00CE5053">
      <w:pPr>
        <w:ind w:left="720" w:hanging="720"/>
      </w:pPr>
    </w:p>
    <w:p w14:paraId="1DCF0334" w14:textId="77777777" w:rsidR="003C3181" w:rsidRPr="00595E96" w:rsidRDefault="003C3181" w:rsidP="00CE5053">
      <w:pPr>
        <w:ind w:left="720" w:hanging="720"/>
        <w:sectPr w:rsidR="003C3181" w:rsidRPr="00595E96" w:rsidSect="007B10F6">
          <w:pgSz w:w="23814" w:h="16839" w:orient="landscape" w:code="8"/>
          <w:pgMar w:top="1440" w:right="1080" w:bottom="1440" w:left="1080" w:header="709" w:footer="709" w:gutter="0"/>
          <w:pgBorders w:offsetFrom="page">
            <w:top w:val="single" w:sz="4" w:space="24" w:color="FFFFFF" w:themeColor="background1"/>
            <w:bottom w:val="single" w:sz="4" w:space="24" w:color="FFFFFF" w:themeColor="background1"/>
          </w:pgBorders>
          <w:cols w:space="708"/>
          <w:docGrid w:linePitch="360"/>
        </w:sectPr>
      </w:pPr>
    </w:p>
    <w:p w14:paraId="77A566C1" w14:textId="77777777" w:rsidR="00AB2A60" w:rsidRDefault="00AB2A60" w:rsidP="00CE5053">
      <w:pPr>
        <w:pStyle w:val="Heading2"/>
      </w:pPr>
      <w:bookmarkStart w:id="38" w:name="_Toc56146026"/>
      <w:r>
        <w:lastRenderedPageBreak/>
        <w:t>Youth</w:t>
      </w:r>
      <w:r w:rsidR="009222F2">
        <w:t xml:space="preserve"> and </w:t>
      </w:r>
      <w:r w:rsidR="00535654">
        <w:t>Community</w:t>
      </w:r>
      <w:r>
        <w:t xml:space="preserve"> Facilities</w:t>
      </w:r>
      <w:bookmarkEnd w:id="38"/>
    </w:p>
    <w:p w14:paraId="4ACE25FF" w14:textId="77777777" w:rsidR="00DA346C" w:rsidRDefault="00DA346C" w:rsidP="00CE5053">
      <w:pPr>
        <w:tabs>
          <w:tab w:val="left" w:pos="2431"/>
        </w:tabs>
        <w:spacing w:before="120"/>
        <w:ind w:left="720"/>
        <w:rPr>
          <w:b/>
        </w:rPr>
      </w:pPr>
      <w:r>
        <w:rPr>
          <w:b/>
        </w:rPr>
        <w:t>Policy context</w:t>
      </w:r>
    </w:p>
    <w:p w14:paraId="2986A200" w14:textId="77777777" w:rsidR="00DA346C" w:rsidRPr="00980890" w:rsidRDefault="00DA346C" w:rsidP="00CE5053">
      <w:pPr>
        <w:pStyle w:val="ListParagraph"/>
        <w:numPr>
          <w:ilvl w:val="0"/>
          <w:numId w:val="23"/>
        </w:numPr>
        <w:spacing w:after="240" w:line="240" w:lineRule="auto"/>
        <w:ind w:left="737" w:hanging="737"/>
        <w:contextualSpacing w:val="0"/>
        <w:rPr>
          <w:rFonts w:cs="Arial"/>
        </w:rPr>
      </w:pPr>
      <w:r w:rsidRPr="00980890">
        <w:rPr>
          <w:rFonts w:cs="Arial"/>
        </w:rPr>
        <w:t xml:space="preserve">Local authorities have a statutory duty under the Education Act 1996 to secure sufficient educational and recreational leisure time activities and facilities for young people aged 13 to 19, and those with learning difficulties to age 24. </w:t>
      </w:r>
      <w:r w:rsidRPr="00980890">
        <w:rPr>
          <w:rFonts w:eastAsiaTheme="majorEastAsia" w:cs="Arial"/>
        </w:rPr>
        <w:t>In revised statutory guidance introduced in 2012, the Act also placed new responsibilities on local authorities to:</w:t>
      </w:r>
    </w:p>
    <w:p w14:paraId="72F8CD79" w14:textId="77777777" w:rsidR="00DA346C" w:rsidRPr="009222F2" w:rsidRDefault="00DA346C" w:rsidP="00CE5053">
      <w:pPr>
        <w:pStyle w:val="ListParagraph"/>
        <w:numPr>
          <w:ilvl w:val="0"/>
          <w:numId w:val="2"/>
        </w:numPr>
      </w:pPr>
      <w:r w:rsidRPr="009222F2">
        <w:t>Ascertain young people</w:t>
      </w:r>
      <w:r>
        <w:t>’s views on positive activities;</w:t>
      </w:r>
    </w:p>
    <w:p w14:paraId="7010BDAE" w14:textId="77777777" w:rsidR="00DA346C" w:rsidRPr="009222F2" w:rsidRDefault="00DA346C" w:rsidP="00CE5053">
      <w:pPr>
        <w:pStyle w:val="ListParagraph"/>
        <w:numPr>
          <w:ilvl w:val="0"/>
          <w:numId w:val="2"/>
        </w:numPr>
      </w:pPr>
      <w:r w:rsidRPr="009222F2">
        <w:t>Publicise positive activities</w:t>
      </w:r>
      <w:r>
        <w:t>; and</w:t>
      </w:r>
    </w:p>
    <w:p w14:paraId="1344A27D" w14:textId="77777777" w:rsidR="00DA346C" w:rsidRPr="009222F2" w:rsidRDefault="00DA346C" w:rsidP="00CE5053">
      <w:pPr>
        <w:pStyle w:val="ListParagraph"/>
        <w:numPr>
          <w:ilvl w:val="0"/>
          <w:numId w:val="2"/>
        </w:numPr>
        <w:spacing w:after="240"/>
        <w:ind w:left="1451" w:hanging="357"/>
        <w:contextualSpacing w:val="0"/>
      </w:pPr>
      <w:r w:rsidRPr="009222F2">
        <w:t>Consider alternative provide</w:t>
      </w:r>
      <w:r>
        <w:t>rs.</w:t>
      </w:r>
    </w:p>
    <w:p w14:paraId="06B0BB19" w14:textId="77777777" w:rsidR="00DA346C" w:rsidRPr="00CB79F0" w:rsidRDefault="00DA346C" w:rsidP="00CE5053">
      <w:pPr>
        <w:pStyle w:val="ListParagraph"/>
        <w:numPr>
          <w:ilvl w:val="0"/>
          <w:numId w:val="23"/>
        </w:numPr>
        <w:spacing w:after="240" w:line="240" w:lineRule="auto"/>
        <w:ind w:left="737" w:hanging="737"/>
        <w:contextualSpacing w:val="0"/>
        <w:rPr>
          <w:rFonts w:cs="Arial"/>
        </w:rPr>
      </w:pPr>
      <w:r>
        <w:rPr>
          <w:rFonts w:cs="Arial"/>
        </w:rPr>
        <w:t xml:space="preserve">The Council’s </w:t>
      </w:r>
      <w:r w:rsidRPr="00CB79F0">
        <w:rPr>
          <w:rFonts w:cs="Arial"/>
        </w:rPr>
        <w:t>Youth Services contribute to the delivery of priorities in Lewisham’s Corporate Strategy 2018-2020, with greatest impact on:</w:t>
      </w:r>
    </w:p>
    <w:p w14:paraId="66F20500" w14:textId="77777777" w:rsidR="00DA346C" w:rsidRPr="009222F2" w:rsidRDefault="00DA346C" w:rsidP="00CE5053">
      <w:pPr>
        <w:pStyle w:val="ListParagraph"/>
        <w:numPr>
          <w:ilvl w:val="0"/>
          <w:numId w:val="2"/>
        </w:numPr>
        <w:rPr>
          <w:i/>
        </w:rPr>
      </w:pPr>
      <w:r w:rsidRPr="009222F2">
        <w:rPr>
          <w:b/>
        </w:rPr>
        <w:t>Giving children and young people the best start in life:</w:t>
      </w:r>
      <w:r w:rsidRPr="009222F2">
        <w:t xml:space="preserve"> </w:t>
      </w:r>
      <w:r w:rsidRPr="009222F2">
        <w:rPr>
          <w:i/>
        </w:rPr>
        <w:t>We will work tirelessly with our partners to keep Lewisham's children and young people safe from exploitation, violence, and serious youth crime. We will work with our local communities to ensure that children and young people have early access to a strong and ambitious early help offer;</w:t>
      </w:r>
    </w:p>
    <w:p w14:paraId="4E5E7109" w14:textId="77777777" w:rsidR="00DA346C" w:rsidRPr="009222F2" w:rsidRDefault="00DA346C" w:rsidP="00CE5053">
      <w:pPr>
        <w:pStyle w:val="ListParagraph"/>
        <w:numPr>
          <w:ilvl w:val="0"/>
          <w:numId w:val="2"/>
        </w:numPr>
        <w:spacing w:after="240"/>
        <w:ind w:left="1451" w:hanging="357"/>
        <w:contextualSpacing w:val="0"/>
        <w:rPr>
          <w:i/>
        </w:rPr>
      </w:pPr>
      <w:r w:rsidRPr="009222F2">
        <w:rPr>
          <w:b/>
        </w:rPr>
        <w:t>Building Safer Communities:</w:t>
      </w:r>
      <w:r w:rsidRPr="009222F2">
        <w:t xml:space="preserve"> </w:t>
      </w:r>
      <w:r w:rsidRPr="009222F2">
        <w:rPr>
          <w:i/>
        </w:rPr>
        <w:t>We will continue to work with the organisations we supported to gain funding from the Mayor of London’s Young Londoners’ Fund in their delivery of services to turn children away from crime and provide early interventions.</w:t>
      </w:r>
    </w:p>
    <w:p w14:paraId="0AF2E164" w14:textId="77777777" w:rsidR="00DA346C" w:rsidRPr="009222F2" w:rsidRDefault="00DA346C" w:rsidP="00CE5053">
      <w:pPr>
        <w:pStyle w:val="ListParagraph"/>
        <w:numPr>
          <w:ilvl w:val="0"/>
          <w:numId w:val="23"/>
        </w:numPr>
        <w:tabs>
          <w:tab w:val="left" w:pos="2431"/>
        </w:tabs>
        <w:spacing w:before="120" w:after="240" w:line="240" w:lineRule="auto"/>
        <w:ind w:left="720" w:hanging="737"/>
        <w:contextualSpacing w:val="0"/>
        <w:rPr>
          <w:b/>
        </w:rPr>
      </w:pPr>
      <w:r w:rsidRPr="009222F2">
        <w:rPr>
          <w:rFonts w:cs="Arial"/>
        </w:rPr>
        <w:t xml:space="preserve">Youth services additionally support our approach to Early Help and wider strategic developments in Lewisham, such as the Public Health approach to reducing violence, contextual safeguarding, and our Mental Health and Emotional wellbeing strategy and action plan. </w:t>
      </w:r>
    </w:p>
    <w:p w14:paraId="13C93482" w14:textId="77777777" w:rsidR="00DA346C" w:rsidRDefault="00DA346C" w:rsidP="00CE5053">
      <w:pPr>
        <w:tabs>
          <w:tab w:val="left" w:pos="2431"/>
        </w:tabs>
        <w:spacing w:before="120"/>
        <w:ind w:left="720"/>
        <w:rPr>
          <w:b/>
        </w:rPr>
      </w:pPr>
      <w:r>
        <w:rPr>
          <w:b/>
        </w:rPr>
        <w:t>Background</w:t>
      </w:r>
    </w:p>
    <w:p w14:paraId="634F0FFD" w14:textId="77777777" w:rsidR="00DA346C" w:rsidRDefault="00DA346C" w:rsidP="00CE5053">
      <w:pPr>
        <w:pStyle w:val="ListParagraph"/>
        <w:numPr>
          <w:ilvl w:val="0"/>
          <w:numId w:val="23"/>
        </w:numPr>
        <w:spacing w:after="240" w:line="240" w:lineRule="auto"/>
        <w:ind w:left="737" w:hanging="737"/>
        <w:contextualSpacing w:val="0"/>
        <w:rPr>
          <w:rFonts w:cs="Arial"/>
        </w:rPr>
      </w:pPr>
      <w:r>
        <w:rPr>
          <w:rFonts w:cs="Arial"/>
        </w:rPr>
        <w:t>The Council</w:t>
      </w:r>
      <w:r w:rsidRPr="009222F2">
        <w:rPr>
          <w:rFonts w:cs="Arial"/>
        </w:rPr>
        <w:t xml:space="preserve"> meets </w:t>
      </w:r>
      <w:r>
        <w:rPr>
          <w:rFonts w:cs="Arial"/>
        </w:rPr>
        <w:t xml:space="preserve">its statutory requirements </w:t>
      </w:r>
      <w:r w:rsidRPr="009222F2">
        <w:rPr>
          <w:rFonts w:cs="Arial"/>
        </w:rPr>
        <w:t xml:space="preserve">in part through </w:t>
      </w:r>
      <w:r>
        <w:rPr>
          <w:rFonts w:cs="Arial"/>
        </w:rPr>
        <w:t>its</w:t>
      </w:r>
      <w:r w:rsidRPr="009222F2">
        <w:rPr>
          <w:rFonts w:cs="Arial"/>
        </w:rPr>
        <w:t xml:space="preserve"> provision of youth services. In this area of work, the </w:t>
      </w:r>
      <w:r>
        <w:rPr>
          <w:rFonts w:cs="Arial"/>
        </w:rPr>
        <w:t>Council’s</w:t>
      </w:r>
      <w:r w:rsidRPr="009222F2">
        <w:rPr>
          <w:rFonts w:cs="Arial"/>
        </w:rPr>
        <w:t xml:space="preserve"> </w:t>
      </w:r>
      <w:r>
        <w:rPr>
          <w:rFonts w:cs="Arial"/>
        </w:rPr>
        <w:t xml:space="preserve">requirement </w:t>
      </w:r>
      <w:r w:rsidRPr="009222F2">
        <w:rPr>
          <w:rFonts w:cs="Arial"/>
        </w:rPr>
        <w:t>is very minimal</w:t>
      </w:r>
      <w:r>
        <w:rPr>
          <w:rFonts w:cs="Arial"/>
        </w:rPr>
        <w:t xml:space="preserve">, and </w:t>
      </w:r>
      <w:r w:rsidRPr="009222F2">
        <w:rPr>
          <w:rFonts w:cs="Arial"/>
        </w:rPr>
        <w:t xml:space="preserve">could be met, for example, through the provision of targeted support for the most vulnerable together with signposting of more general universal activities. </w:t>
      </w:r>
      <w:r>
        <w:rPr>
          <w:rFonts w:cs="Arial"/>
        </w:rPr>
        <w:t xml:space="preserve">As a result, during the current period </w:t>
      </w:r>
      <w:r w:rsidRPr="00641DDA">
        <w:rPr>
          <w:rFonts w:cs="Arial"/>
        </w:rPr>
        <w:t>of central government financial austerity there has been a near complete withdrawal of youth services provision by local authorities in England. Lewisham has sought to maintain some level of provision, despite the loss of central government investment. Recent changes to national policy is</w:t>
      </w:r>
      <w:r w:rsidRPr="009222F2">
        <w:rPr>
          <w:rFonts w:cs="Arial"/>
        </w:rPr>
        <w:t xml:space="preserve"> now beginning to recognise the value of youth services, albeit without a</w:t>
      </w:r>
      <w:r>
        <w:rPr>
          <w:rFonts w:cs="Arial"/>
        </w:rPr>
        <w:t xml:space="preserve"> commitment to</w:t>
      </w:r>
      <w:r w:rsidRPr="009222F2">
        <w:rPr>
          <w:rFonts w:cs="Arial"/>
        </w:rPr>
        <w:t xml:space="preserve"> </w:t>
      </w:r>
      <w:r>
        <w:rPr>
          <w:rFonts w:cs="Arial"/>
        </w:rPr>
        <w:t>central government funding</w:t>
      </w:r>
      <w:r w:rsidRPr="009222F2">
        <w:rPr>
          <w:rFonts w:cs="Arial"/>
        </w:rPr>
        <w:t>. </w:t>
      </w:r>
    </w:p>
    <w:p w14:paraId="540838FD" w14:textId="77777777" w:rsidR="00DA346C" w:rsidRDefault="00DA346C" w:rsidP="00CE5053">
      <w:pPr>
        <w:pStyle w:val="ListParagraph"/>
        <w:numPr>
          <w:ilvl w:val="0"/>
          <w:numId w:val="23"/>
        </w:numPr>
        <w:spacing w:after="240" w:line="240" w:lineRule="auto"/>
        <w:ind w:left="737" w:hanging="737"/>
        <w:contextualSpacing w:val="0"/>
        <w:rPr>
          <w:rFonts w:cs="Arial"/>
        </w:rPr>
      </w:pPr>
      <w:r>
        <w:rPr>
          <w:rFonts w:cs="Arial"/>
        </w:rPr>
        <w:t xml:space="preserve">The Council’s </w:t>
      </w:r>
      <w:r w:rsidRPr="00953AA3">
        <w:rPr>
          <w:rFonts w:cs="Arial"/>
        </w:rPr>
        <w:t xml:space="preserve">youth services are a critical provision </w:t>
      </w:r>
      <w:r>
        <w:rPr>
          <w:rFonts w:cs="Arial"/>
        </w:rPr>
        <w:t xml:space="preserve">to </w:t>
      </w:r>
      <w:r w:rsidRPr="00953AA3">
        <w:rPr>
          <w:rFonts w:cs="Arial"/>
        </w:rPr>
        <w:t xml:space="preserve">support our young people, </w:t>
      </w:r>
      <w:r>
        <w:rPr>
          <w:rFonts w:cs="Arial"/>
        </w:rPr>
        <w:t xml:space="preserve">which can impact </w:t>
      </w:r>
      <w:r w:rsidRPr="00953AA3">
        <w:rPr>
          <w:rFonts w:cs="Arial"/>
        </w:rPr>
        <w:t>positively on a wide range of outcomes</w:t>
      </w:r>
      <w:r>
        <w:rPr>
          <w:rFonts w:cs="Arial"/>
        </w:rPr>
        <w:t xml:space="preserve">, including: </w:t>
      </w:r>
      <w:r w:rsidRPr="00953AA3">
        <w:rPr>
          <w:rFonts w:cs="Arial"/>
        </w:rPr>
        <w:t xml:space="preserve">increased engagement and attainment in </w:t>
      </w:r>
      <w:r>
        <w:rPr>
          <w:rFonts w:cs="Arial"/>
        </w:rPr>
        <w:t>education, employment and training;</w:t>
      </w:r>
      <w:r w:rsidRPr="00953AA3">
        <w:rPr>
          <w:rFonts w:cs="Arial"/>
        </w:rPr>
        <w:t xml:space="preserve"> developing life skills and transition into adulthood</w:t>
      </w:r>
      <w:r>
        <w:rPr>
          <w:rFonts w:cs="Arial"/>
        </w:rPr>
        <w:t>;</w:t>
      </w:r>
      <w:r w:rsidRPr="00953AA3">
        <w:rPr>
          <w:rFonts w:cs="Arial"/>
        </w:rPr>
        <w:t xml:space="preserve"> </w:t>
      </w:r>
      <w:r>
        <w:rPr>
          <w:rFonts w:cs="Arial"/>
        </w:rPr>
        <w:t xml:space="preserve">increased </w:t>
      </w:r>
      <w:r w:rsidRPr="00953AA3">
        <w:rPr>
          <w:rFonts w:cs="Arial"/>
        </w:rPr>
        <w:t>self-esteem and resilience</w:t>
      </w:r>
      <w:r>
        <w:rPr>
          <w:rFonts w:cs="Arial"/>
        </w:rPr>
        <w:t>;</w:t>
      </w:r>
      <w:r w:rsidRPr="00953AA3">
        <w:rPr>
          <w:rFonts w:cs="Arial"/>
        </w:rPr>
        <w:t xml:space="preserve"> and promoting positive behaviour and relationships.</w:t>
      </w:r>
    </w:p>
    <w:p w14:paraId="3EE24319" w14:textId="77777777" w:rsidR="00DA346C" w:rsidRPr="008C1307" w:rsidRDefault="00DA346C" w:rsidP="00CE5053">
      <w:pPr>
        <w:pStyle w:val="ListParagraph"/>
        <w:numPr>
          <w:ilvl w:val="0"/>
          <w:numId w:val="23"/>
        </w:numPr>
        <w:spacing w:after="240" w:line="240" w:lineRule="auto"/>
        <w:ind w:left="737" w:hanging="737"/>
        <w:contextualSpacing w:val="0"/>
        <w:rPr>
          <w:rFonts w:cs="Arial"/>
        </w:rPr>
      </w:pPr>
      <w:r>
        <w:rPr>
          <w:rFonts w:cs="Arial"/>
        </w:rPr>
        <w:t>Providing youth specific Council facilities allows for the provision of services (including organised activities and informal space for recreation) in a safe environment for young people aged 8–19 (</w:t>
      </w:r>
      <w:r w:rsidRPr="008C1307">
        <w:rPr>
          <w:rFonts w:cs="Arial"/>
        </w:rPr>
        <w:t>25 for young people with additional needs)</w:t>
      </w:r>
      <w:r>
        <w:rPr>
          <w:rFonts w:cs="Arial"/>
        </w:rPr>
        <w:t>. These spaces provide the opportunity for y</w:t>
      </w:r>
      <w:r w:rsidRPr="008C1307">
        <w:rPr>
          <w:rFonts w:cs="Arial"/>
        </w:rPr>
        <w:t xml:space="preserve">outh workers </w:t>
      </w:r>
      <w:r>
        <w:rPr>
          <w:rFonts w:cs="Arial"/>
        </w:rPr>
        <w:t xml:space="preserve">to </w:t>
      </w:r>
      <w:r w:rsidRPr="008C1307">
        <w:rPr>
          <w:rFonts w:cs="Arial"/>
        </w:rPr>
        <w:t xml:space="preserve">build trusted relationships with young people through consistent contact, and </w:t>
      </w:r>
      <w:r>
        <w:rPr>
          <w:rFonts w:cs="Arial"/>
        </w:rPr>
        <w:t>can become</w:t>
      </w:r>
      <w:r w:rsidRPr="008C1307">
        <w:rPr>
          <w:rFonts w:cs="Arial"/>
        </w:rPr>
        <w:t xml:space="preserve"> a protective factor in their lives – able to identify when things are going wrong and</w:t>
      </w:r>
      <w:r>
        <w:rPr>
          <w:rFonts w:cs="Arial"/>
        </w:rPr>
        <w:t xml:space="preserve"> </w:t>
      </w:r>
      <w:r w:rsidRPr="008C1307">
        <w:rPr>
          <w:rFonts w:cs="Arial"/>
        </w:rPr>
        <w:t xml:space="preserve">ensuring access to the right support. The variety of activities </w:t>
      </w:r>
      <w:r w:rsidRPr="008C1307">
        <w:rPr>
          <w:rFonts w:cs="Arial"/>
        </w:rPr>
        <w:lastRenderedPageBreak/>
        <w:t xml:space="preserve">offered is the draw that encourages young people to attend sites and allow those trusted relationship to build. </w:t>
      </w:r>
    </w:p>
    <w:p w14:paraId="09C0B48C" w14:textId="77777777" w:rsidR="00DA346C" w:rsidRDefault="00DA346C" w:rsidP="00CE5053">
      <w:pPr>
        <w:pStyle w:val="Heading3"/>
      </w:pPr>
      <w:bookmarkStart w:id="39" w:name="_Toc56146027"/>
      <w:r>
        <w:t>Youth Centres and Adventure Playgrounds</w:t>
      </w:r>
      <w:bookmarkEnd w:id="39"/>
    </w:p>
    <w:p w14:paraId="6ACB74FE" w14:textId="77777777" w:rsidR="00DA346C" w:rsidRPr="0043183C" w:rsidRDefault="00DA346C" w:rsidP="00CE5053">
      <w:pPr>
        <w:tabs>
          <w:tab w:val="left" w:pos="2431"/>
        </w:tabs>
        <w:spacing w:before="120"/>
        <w:ind w:left="720"/>
        <w:rPr>
          <w:b/>
        </w:rPr>
      </w:pPr>
      <w:r>
        <w:rPr>
          <w:b/>
        </w:rPr>
        <w:t>Background</w:t>
      </w:r>
    </w:p>
    <w:p w14:paraId="383ABA5F" w14:textId="77777777" w:rsidR="00DA346C" w:rsidRPr="00024DA3" w:rsidRDefault="00DA346C" w:rsidP="00CE5053">
      <w:pPr>
        <w:pStyle w:val="ListParagraph"/>
        <w:numPr>
          <w:ilvl w:val="0"/>
          <w:numId w:val="23"/>
        </w:numPr>
        <w:spacing w:after="240" w:line="240" w:lineRule="auto"/>
        <w:ind w:left="737" w:hanging="737"/>
        <w:contextualSpacing w:val="0"/>
        <w:rPr>
          <w:rFonts w:cs="Arial"/>
        </w:rPr>
      </w:pPr>
      <w:r w:rsidRPr="00CB79F0">
        <w:rPr>
          <w:rFonts w:cs="Arial"/>
        </w:rPr>
        <w:t>Youth services have been subject to a number of funding reductions in recent years, with a cut of £1.034m delivered across 2013-15, and a further cut of £1.4m agreed as part of the Council’s budget strategy for 2015-2018. These cuts were delivered via restructures of the existing internal service</w:t>
      </w:r>
      <w:r>
        <w:rPr>
          <w:rFonts w:cs="Arial"/>
        </w:rPr>
        <w:t xml:space="preserve">, </w:t>
      </w:r>
      <w:r w:rsidRPr="00CB79F0">
        <w:rPr>
          <w:rFonts w:cs="Arial"/>
        </w:rPr>
        <w:t xml:space="preserve">and a </w:t>
      </w:r>
      <w:r>
        <w:rPr>
          <w:rFonts w:cs="Arial"/>
        </w:rPr>
        <w:t>reduction</w:t>
      </w:r>
      <w:r w:rsidRPr="00CB79F0">
        <w:rPr>
          <w:rFonts w:cs="Arial"/>
        </w:rPr>
        <w:t xml:space="preserve"> of </w:t>
      </w:r>
      <w:r>
        <w:rPr>
          <w:rFonts w:cs="Arial"/>
        </w:rPr>
        <w:t xml:space="preserve">service </w:t>
      </w:r>
      <w:r w:rsidRPr="00CB79F0">
        <w:rPr>
          <w:rFonts w:cs="Arial"/>
        </w:rPr>
        <w:t>delivery at sites.</w:t>
      </w:r>
    </w:p>
    <w:p w14:paraId="4C0804C3" w14:textId="77777777" w:rsidR="00DA346C" w:rsidRDefault="00DA346C" w:rsidP="00CE5053">
      <w:pPr>
        <w:pStyle w:val="ListParagraph"/>
        <w:numPr>
          <w:ilvl w:val="0"/>
          <w:numId w:val="23"/>
        </w:numPr>
        <w:spacing w:after="240" w:line="240" w:lineRule="auto"/>
        <w:ind w:left="737" w:hanging="737"/>
        <w:contextualSpacing w:val="0"/>
        <w:rPr>
          <w:rFonts w:cs="Arial"/>
        </w:rPr>
      </w:pPr>
      <w:r w:rsidRPr="00CB79F0">
        <w:rPr>
          <w:rFonts w:cs="Arial"/>
        </w:rPr>
        <w:t>The current service</w:t>
      </w:r>
      <w:r>
        <w:rPr>
          <w:rFonts w:cs="Arial"/>
        </w:rPr>
        <w:t xml:space="preserve"> is provided by Youth First, who operate</w:t>
      </w:r>
      <w:r w:rsidRPr="00CB79F0">
        <w:rPr>
          <w:rFonts w:cs="Arial"/>
        </w:rPr>
        <w:t xml:space="preserve"> </w:t>
      </w:r>
      <w:r>
        <w:rPr>
          <w:rFonts w:cs="Arial"/>
        </w:rPr>
        <w:t>five</w:t>
      </w:r>
      <w:r w:rsidRPr="00024DA3">
        <w:rPr>
          <w:rFonts w:cs="Arial"/>
        </w:rPr>
        <w:t xml:space="preserve"> youth clubs and </w:t>
      </w:r>
      <w:r>
        <w:rPr>
          <w:rFonts w:cs="Arial"/>
        </w:rPr>
        <w:t>five</w:t>
      </w:r>
      <w:r w:rsidRPr="00024DA3">
        <w:rPr>
          <w:rFonts w:cs="Arial"/>
        </w:rPr>
        <w:t xml:space="preserve"> adventure </w:t>
      </w:r>
      <w:r w:rsidRPr="00641DDA">
        <w:rPr>
          <w:rFonts w:cs="Arial"/>
        </w:rPr>
        <w:t>playgrounds which are leased from the Council. In addition, further provision is delivered in other sites and spaces across the borough, for example, a “pop up” service provided in Glass Mill.</w:t>
      </w:r>
    </w:p>
    <w:p w14:paraId="31FCCCB0" w14:textId="77777777" w:rsidR="00DA346C" w:rsidRPr="00024DA3" w:rsidRDefault="00DA346C" w:rsidP="00CE5053">
      <w:pPr>
        <w:pStyle w:val="ListParagraph"/>
        <w:numPr>
          <w:ilvl w:val="0"/>
          <w:numId w:val="23"/>
        </w:numPr>
        <w:spacing w:after="240" w:line="240" w:lineRule="auto"/>
        <w:ind w:left="737" w:hanging="737"/>
        <w:contextualSpacing w:val="0"/>
        <w:rPr>
          <w:rFonts w:cs="Arial"/>
        </w:rPr>
      </w:pPr>
      <w:r w:rsidRPr="00024DA3">
        <w:rPr>
          <w:rFonts w:cs="Arial"/>
        </w:rPr>
        <w:t xml:space="preserve">Youth services are currently delivered </w:t>
      </w:r>
      <w:r>
        <w:rPr>
          <w:rFonts w:cs="Arial"/>
        </w:rPr>
        <w:t xml:space="preserve">Youth First, </w:t>
      </w:r>
      <w:r w:rsidRPr="00024DA3">
        <w:rPr>
          <w:rFonts w:cs="Arial"/>
        </w:rPr>
        <w:t>by a staff and young person owned mutual.</w:t>
      </w:r>
    </w:p>
    <w:p w14:paraId="030EA0E2" w14:textId="77777777" w:rsidR="00DA346C" w:rsidRPr="00CA5C39" w:rsidRDefault="00DA346C" w:rsidP="00CE5053">
      <w:pPr>
        <w:tabs>
          <w:tab w:val="left" w:pos="720"/>
          <w:tab w:val="left" w:pos="1440"/>
          <w:tab w:val="left" w:pos="2160"/>
          <w:tab w:val="left" w:pos="2713"/>
          <w:tab w:val="left" w:pos="3349"/>
          <w:tab w:val="left" w:pos="5492"/>
        </w:tabs>
        <w:spacing w:before="240" w:after="120"/>
        <w:ind w:left="720" w:hanging="720"/>
        <w:rPr>
          <w:b/>
        </w:rPr>
      </w:pPr>
      <w:r>
        <w:rPr>
          <w:b/>
        </w:rPr>
        <w:tab/>
      </w:r>
      <w:r w:rsidRPr="00CA5C39">
        <w:rPr>
          <w:b/>
        </w:rPr>
        <w:t>Current situation</w:t>
      </w:r>
    </w:p>
    <w:p w14:paraId="44382DBF" w14:textId="77777777" w:rsidR="00DA346C" w:rsidRPr="00024DA3" w:rsidRDefault="00DA346C" w:rsidP="00CE5053">
      <w:pPr>
        <w:pStyle w:val="ListParagraph"/>
        <w:numPr>
          <w:ilvl w:val="0"/>
          <w:numId w:val="23"/>
        </w:numPr>
        <w:spacing w:after="240" w:line="240" w:lineRule="auto"/>
        <w:ind w:left="737" w:hanging="737"/>
        <w:contextualSpacing w:val="0"/>
        <w:rPr>
          <w:rFonts w:cs="Arial"/>
        </w:rPr>
      </w:pPr>
      <w:r w:rsidRPr="00024DA3">
        <w:rPr>
          <w:rFonts w:cs="Arial"/>
        </w:rPr>
        <w:t xml:space="preserve">There are currently ten council owned sites in the borough that provide youth and adventure play facilities:  </w:t>
      </w:r>
    </w:p>
    <w:p w14:paraId="203E1FA1" w14:textId="77777777" w:rsidR="00DA346C" w:rsidRPr="00BA59E3" w:rsidRDefault="00DA346C" w:rsidP="00CE5053">
      <w:pPr>
        <w:pStyle w:val="ListParagraph"/>
        <w:numPr>
          <w:ilvl w:val="0"/>
          <w:numId w:val="2"/>
        </w:numPr>
      </w:pPr>
      <w:r w:rsidRPr="00BA59E3">
        <w:t>Riverside Youth Club</w:t>
      </w:r>
    </w:p>
    <w:p w14:paraId="20E02E69" w14:textId="77777777" w:rsidR="00DA346C" w:rsidRPr="00BA59E3" w:rsidRDefault="00DA346C" w:rsidP="00CE5053">
      <w:pPr>
        <w:pStyle w:val="ListParagraph"/>
        <w:numPr>
          <w:ilvl w:val="0"/>
          <w:numId w:val="2"/>
        </w:numPr>
      </w:pPr>
      <w:r w:rsidRPr="00BA59E3">
        <w:t>Honor Oak Youth Club</w:t>
      </w:r>
    </w:p>
    <w:p w14:paraId="6A42BD9C" w14:textId="77777777" w:rsidR="00DA346C" w:rsidRPr="00BA59E3" w:rsidRDefault="00DA346C" w:rsidP="00CE5053">
      <w:pPr>
        <w:pStyle w:val="ListParagraph"/>
        <w:numPr>
          <w:ilvl w:val="0"/>
          <w:numId w:val="2"/>
        </w:numPr>
      </w:pPr>
      <w:r w:rsidRPr="00BA59E3">
        <w:t>Woodpecker Youth Club</w:t>
      </w:r>
    </w:p>
    <w:p w14:paraId="654482CC" w14:textId="77777777" w:rsidR="00DA346C" w:rsidRPr="00BA59E3" w:rsidRDefault="00DA346C" w:rsidP="00CE5053">
      <w:pPr>
        <w:pStyle w:val="ListParagraph"/>
        <w:numPr>
          <w:ilvl w:val="0"/>
          <w:numId w:val="2"/>
        </w:numPr>
      </w:pPr>
      <w:r w:rsidRPr="00BA59E3">
        <w:t>TNG Youth Club</w:t>
      </w:r>
    </w:p>
    <w:p w14:paraId="687FEE28" w14:textId="77777777" w:rsidR="00DA346C" w:rsidRPr="00BA59E3" w:rsidRDefault="00DA346C" w:rsidP="00CE5053">
      <w:pPr>
        <w:pStyle w:val="ListParagraph"/>
        <w:numPr>
          <w:ilvl w:val="0"/>
          <w:numId w:val="2"/>
        </w:numPr>
      </w:pPr>
      <w:r w:rsidRPr="00BA59E3">
        <w:t>Bellingham Gateway</w:t>
      </w:r>
    </w:p>
    <w:p w14:paraId="495A5643" w14:textId="77777777" w:rsidR="00DA346C" w:rsidRPr="00BA59E3" w:rsidRDefault="00DA346C" w:rsidP="00CE5053">
      <w:pPr>
        <w:pStyle w:val="ListParagraph"/>
        <w:numPr>
          <w:ilvl w:val="0"/>
          <w:numId w:val="2"/>
        </w:numPr>
      </w:pPr>
      <w:r w:rsidRPr="00BA59E3">
        <w:t>The Richard MacVicar Adventure Playground</w:t>
      </w:r>
      <w:r w:rsidRPr="00BA59E3">
        <w:tab/>
      </w:r>
    </w:p>
    <w:p w14:paraId="4B57C0A7" w14:textId="77777777" w:rsidR="00DA346C" w:rsidRPr="00BA59E3" w:rsidRDefault="00DA346C" w:rsidP="00CE5053">
      <w:pPr>
        <w:pStyle w:val="ListParagraph"/>
        <w:numPr>
          <w:ilvl w:val="0"/>
          <w:numId w:val="2"/>
        </w:numPr>
      </w:pPr>
      <w:r w:rsidRPr="00BA59E3">
        <w:t>Ladywell Fields Adventure Playground</w:t>
      </w:r>
    </w:p>
    <w:p w14:paraId="4FE4BD50" w14:textId="77777777" w:rsidR="00DA346C" w:rsidRPr="00BA59E3" w:rsidRDefault="00DA346C" w:rsidP="00CE5053">
      <w:pPr>
        <w:pStyle w:val="ListParagraph"/>
        <w:numPr>
          <w:ilvl w:val="0"/>
          <w:numId w:val="2"/>
        </w:numPr>
      </w:pPr>
      <w:r w:rsidRPr="00BA59E3">
        <w:t>Home Park Adventure Playground</w:t>
      </w:r>
    </w:p>
    <w:p w14:paraId="5851C9DE" w14:textId="77777777" w:rsidR="00DA346C" w:rsidRPr="00BA59E3" w:rsidRDefault="00DA346C" w:rsidP="00CE5053">
      <w:pPr>
        <w:pStyle w:val="ListParagraph"/>
        <w:numPr>
          <w:ilvl w:val="0"/>
          <w:numId w:val="2"/>
        </w:numPr>
      </w:pPr>
      <w:r w:rsidRPr="00BA59E3">
        <w:t>Honor Oak Adventure Playground</w:t>
      </w:r>
    </w:p>
    <w:p w14:paraId="64FF825C" w14:textId="77777777" w:rsidR="00DA346C" w:rsidRPr="00BA59E3" w:rsidRDefault="00DA346C" w:rsidP="00CE5053">
      <w:pPr>
        <w:pStyle w:val="ListParagraph"/>
        <w:numPr>
          <w:ilvl w:val="0"/>
          <w:numId w:val="2"/>
        </w:numPr>
        <w:spacing w:after="240"/>
        <w:ind w:left="1451" w:hanging="357"/>
        <w:contextualSpacing w:val="0"/>
      </w:pPr>
      <w:r w:rsidRPr="00BA59E3">
        <w:t>Dumps Adventure Playground</w:t>
      </w:r>
    </w:p>
    <w:p w14:paraId="44231C25" w14:textId="77777777" w:rsidR="00DA346C" w:rsidRPr="00CB79F0" w:rsidRDefault="00DA346C" w:rsidP="00CE5053">
      <w:pPr>
        <w:pStyle w:val="ListParagraph"/>
        <w:numPr>
          <w:ilvl w:val="0"/>
          <w:numId w:val="23"/>
        </w:numPr>
        <w:spacing w:after="240" w:line="240" w:lineRule="auto"/>
        <w:ind w:left="737" w:hanging="737"/>
        <w:contextualSpacing w:val="0"/>
        <w:rPr>
          <w:rFonts w:cs="Arial"/>
        </w:rPr>
      </w:pPr>
      <w:r w:rsidRPr="00CB79F0">
        <w:rPr>
          <w:rFonts w:cs="Arial"/>
        </w:rPr>
        <w:t xml:space="preserve">Youth First additionally offer – either directly or through subcontracting arrangements - delivery at the following sites: </w:t>
      </w:r>
    </w:p>
    <w:p w14:paraId="11D6A99A" w14:textId="77777777" w:rsidR="00DA346C" w:rsidRPr="00BA59E3" w:rsidRDefault="00DA346C" w:rsidP="00CE5053">
      <w:pPr>
        <w:pStyle w:val="ListParagraph"/>
        <w:numPr>
          <w:ilvl w:val="0"/>
          <w:numId w:val="2"/>
        </w:numPr>
      </w:pPr>
      <w:r w:rsidRPr="00BA59E3">
        <w:t>Lee Green Youth Club</w:t>
      </w:r>
    </w:p>
    <w:p w14:paraId="3417C387" w14:textId="77777777" w:rsidR="00DA346C" w:rsidRPr="00BA59E3" w:rsidRDefault="00DA346C" w:rsidP="00CE5053">
      <w:pPr>
        <w:pStyle w:val="ListParagraph"/>
        <w:numPr>
          <w:ilvl w:val="0"/>
          <w:numId w:val="2"/>
        </w:numPr>
      </w:pPr>
      <w:r w:rsidRPr="00BA59E3">
        <w:t>Lewisham Pop-up Youth Club</w:t>
      </w:r>
    </w:p>
    <w:p w14:paraId="15CB8F9E" w14:textId="77777777" w:rsidR="00DA346C" w:rsidRPr="00BA59E3" w:rsidRDefault="00DA346C" w:rsidP="00CE5053">
      <w:pPr>
        <w:pStyle w:val="ListParagraph"/>
        <w:numPr>
          <w:ilvl w:val="0"/>
          <w:numId w:val="2"/>
        </w:numPr>
      </w:pPr>
      <w:r w:rsidRPr="00BA59E3">
        <w:t>Bromley &amp; Downham Youth Club</w:t>
      </w:r>
    </w:p>
    <w:p w14:paraId="6960E282" w14:textId="77777777" w:rsidR="00DA346C" w:rsidRPr="00BA59E3" w:rsidRDefault="00DA346C" w:rsidP="00CE5053">
      <w:pPr>
        <w:pStyle w:val="ListParagraph"/>
        <w:numPr>
          <w:ilvl w:val="0"/>
          <w:numId w:val="2"/>
        </w:numPr>
      </w:pPr>
      <w:r w:rsidRPr="00BA59E3">
        <w:t>Grove Park Youth Club</w:t>
      </w:r>
    </w:p>
    <w:p w14:paraId="7E89174B" w14:textId="77777777" w:rsidR="00DA346C" w:rsidRPr="00BA59E3" w:rsidRDefault="00DA346C" w:rsidP="00CE5053">
      <w:pPr>
        <w:pStyle w:val="ListParagraph"/>
        <w:numPr>
          <w:ilvl w:val="0"/>
          <w:numId w:val="2"/>
        </w:numPr>
      </w:pPr>
      <w:r w:rsidRPr="00BA59E3">
        <w:t>Goldsmith Urban Connect Youth Club</w:t>
      </w:r>
    </w:p>
    <w:p w14:paraId="2E92F4C1" w14:textId="77777777" w:rsidR="00DA346C" w:rsidRDefault="00DA346C" w:rsidP="00CE5053">
      <w:pPr>
        <w:tabs>
          <w:tab w:val="left" w:pos="720"/>
          <w:tab w:val="left" w:pos="1440"/>
          <w:tab w:val="left" w:pos="2160"/>
          <w:tab w:val="left" w:pos="3232"/>
          <w:tab w:val="left" w:pos="5492"/>
        </w:tabs>
        <w:spacing w:before="240" w:after="120"/>
        <w:ind w:left="720" w:hanging="720"/>
        <w:rPr>
          <w:b/>
        </w:rPr>
      </w:pPr>
      <w:r>
        <w:tab/>
      </w:r>
      <w:r>
        <w:rPr>
          <w:b/>
        </w:rPr>
        <w:t>Future requirement</w:t>
      </w:r>
    </w:p>
    <w:p w14:paraId="36DBC36A" w14:textId="77777777" w:rsidR="00846445" w:rsidRDefault="00DA346C" w:rsidP="00CE5053">
      <w:pPr>
        <w:pStyle w:val="ListParagraph"/>
        <w:numPr>
          <w:ilvl w:val="0"/>
          <w:numId w:val="23"/>
        </w:numPr>
        <w:spacing w:after="240" w:line="240" w:lineRule="auto"/>
        <w:ind w:left="737" w:hanging="737"/>
        <w:contextualSpacing w:val="0"/>
        <w:rPr>
          <w:rFonts w:cs="Arial"/>
        </w:rPr>
      </w:pPr>
      <w:r w:rsidRPr="00846445">
        <w:rPr>
          <w:rFonts w:cs="Arial"/>
        </w:rPr>
        <w:t>Officers are currently in negotiation for the delivery of services post April 20 following an invitation to tender for provision of Youth Services</w:t>
      </w:r>
      <w:r w:rsidR="00392010">
        <w:rPr>
          <w:rFonts w:cs="Arial"/>
        </w:rPr>
        <w:t xml:space="preserve">. </w:t>
      </w:r>
      <w:r w:rsidRPr="00846445">
        <w:rPr>
          <w:rFonts w:cs="Arial"/>
        </w:rPr>
        <w:t>Officers are looking at usage of Children and Family Centres at the same time to see if shared usage can be an option for some buildings across the two service areas.</w:t>
      </w:r>
    </w:p>
    <w:p w14:paraId="2E780729" w14:textId="77777777" w:rsidR="00846445" w:rsidRDefault="00846445" w:rsidP="00CE5053">
      <w:pPr>
        <w:rPr>
          <w:rFonts w:cs="Arial"/>
        </w:rPr>
      </w:pPr>
      <w:r>
        <w:rPr>
          <w:rFonts w:cs="Arial"/>
        </w:rPr>
        <w:br w:type="page"/>
      </w:r>
    </w:p>
    <w:p w14:paraId="6B3DBC39" w14:textId="77777777" w:rsidR="00DA346C" w:rsidRDefault="00DA346C" w:rsidP="00CE5053">
      <w:pPr>
        <w:pStyle w:val="Heading3"/>
      </w:pPr>
      <w:bookmarkStart w:id="40" w:name="_Toc56146028"/>
      <w:r>
        <w:lastRenderedPageBreak/>
        <w:t>Children and family centres</w:t>
      </w:r>
      <w:bookmarkEnd w:id="40"/>
    </w:p>
    <w:p w14:paraId="758AE376" w14:textId="77777777" w:rsidR="00DA346C" w:rsidRPr="00BA59E3" w:rsidRDefault="00DA346C" w:rsidP="00CE5053">
      <w:pPr>
        <w:tabs>
          <w:tab w:val="left" w:pos="2431"/>
        </w:tabs>
        <w:spacing w:before="120"/>
        <w:ind w:left="720"/>
      </w:pPr>
      <w:r w:rsidRPr="00BA59E3">
        <w:rPr>
          <w:b/>
        </w:rPr>
        <w:t>Background</w:t>
      </w:r>
    </w:p>
    <w:p w14:paraId="169A1402" w14:textId="77777777" w:rsidR="00071184" w:rsidRDefault="00DA346C" w:rsidP="00CE5053">
      <w:pPr>
        <w:pStyle w:val="ListParagraph"/>
        <w:numPr>
          <w:ilvl w:val="0"/>
          <w:numId w:val="23"/>
        </w:numPr>
        <w:spacing w:after="240" w:line="240" w:lineRule="auto"/>
        <w:ind w:left="851" w:hanging="851"/>
        <w:contextualSpacing w:val="0"/>
        <w:rPr>
          <w:rFonts w:cs="Arial"/>
        </w:rPr>
      </w:pPr>
      <w:r w:rsidRPr="74CA9E56">
        <w:rPr>
          <w:rFonts w:cs="Arial"/>
        </w:rPr>
        <w:t>As with youth services, Children’s Centres have been subject to a number of funding reductions in recent years. These cuts were delivered initially in outsourcing provision, and then through tender exercises and amendments to service specifications. This has had an impact on the number of sites and the amount of activity delivered in sites since 2010/11</w:t>
      </w:r>
      <w:r w:rsidR="00071184">
        <w:rPr>
          <w:rFonts w:cs="Arial"/>
        </w:rPr>
        <w:t>.</w:t>
      </w:r>
    </w:p>
    <w:p w14:paraId="25317C44" w14:textId="77777777" w:rsidR="00DA346C" w:rsidRPr="00071184" w:rsidRDefault="00DA346C" w:rsidP="00CE5053">
      <w:pPr>
        <w:pStyle w:val="ListParagraph"/>
        <w:numPr>
          <w:ilvl w:val="0"/>
          <w:numId w:val="23"/>
        </w:numPr>
        <w:spacing w:after="240" w:line="240" w:lineRule="auto"/>
        <w:ind w:left="851" w:hanging="851"/>
        <w:contextualSpacing w:val="0"/>
        <w:rPr>
          <w:rFonts w:cs="Arial"/>
        </w:rPr>
      </w:pPr>
      <w:r w:rsidRPr="00071184">
        <w:rPr>
          <w:rFonts w:cs="Arial"/>
        </w:rPr>
        <w:t xml:space="preserve">Lewisham Children and Family Centres provide a wide range of support and advice for families with young children. </w:t>
      </w:r>
      <w:r w:rsidR="63DB5050" w:rsidRPr="00071184">
        <w:rPr>
          <w:rFonts w:cs="Arial"/>
        </w:rPr>
        <w:t xml:space="preserve">Along with Health Visiting, they also deliver </w:t>
      </w:r>
      <w:r w:rsidRPr="00071184">
        <w:rPr>
          <w:rFonts w:cs="Arial"/>
        </w:rPr>
        <w:t xml:space="preserve">a pathway of support across the early years  to ensure our pre-school aged children are nurtured, healthy and school ready at 5, they also provide more specific and targeted support for families who may be more vulnerable or benefit from a higher level of support. </w:t>
      </w:r>
    </w:p>
    <w:p w14:paraId="7D67F302" w14:textId="77777777" w:rsidR="00DA346C" w:rsidRPr="00CB79F0" w:rsidRDefault="00DA346C" w:rsidP="00CE5053">
      <w:pPr>
        <w:pStyle w:val="ListParagraph"/>
        <w:numPr>
          <w:ilvl w:val="0"/>
          <w:numId w:val="23"/>
        </w:numPr>
        <w:spacing w:after="240" w:line="240" w:lineRule="auto"/>
        <w:ind w:left="851" w:hanging="737"/>
        <w:contextualSpacing w:val="0"/>
        <w:rPr>
          <w:rFonts w:cs="Arial"/>
        </w:rPr>
      </w:pPr>
      <w:r w:rsidRPr="74CA9E56">
        <w:rPr>
          <w:rFonts w:cs="Arial"/>
        </w:rPr>
        <w:t xml:space="preserve">The core purpose of children and family centres is to improve outcomes for young children and their families, specifically the current offer focuses on: </w:t>
      </w:r>
    </w:p>
    <w:p w14:paraId="5A04474D" w14:textId="77777777" w:rsidR="00DA346C" w:rsidRPr="00BA59E3" w:rsidRDefault="00DA346C" w:rsidP="00CE5053">
      <w:pPr>
        <w:pStyle w:val="ListParagraph"/>
        <w:numPr>
          <w:ilvl w:val="0"/>
          <w:numId w:val="2"/>
        </w:numPr>
      </w:pPr>
      <w:r w:rsidRPr="00BA59E3">
        <w:t>Improved parenting and attachment</w:t>
      </w:r>
    </w:p>
    <w:p w14:paraId="1E959121" w14:textId="77777777" w:rsidR="00DA346C" w:rsidRPr="00BA59E3" w:rsidRDefault="00DA346C" w:rsidP="00CE5053">
      <w:pPr>
        <w:pStyle w:val="ListParagraph"/>
        <w:numPr>
          <w:ilvl w:val="0"/>
          <w:numId w:val="2"/>
        </w:numPr>
      </w:pPr>
      <w:r w:rsidRPr="00BA59E3">
        <w:t xml:space="preserve">Improved school readiness </w:t>
      </w:r>
    </w:p>
    <w:p w14:paraId="035F6343" w14:textId="77777777" w:rsidR="00DA346C" w:rsidRPr="00BA59E3" w:rsidRDefault="00DA346C" w:rsidP="00CE5053">
      <w:pPr>
        <w:pStyle w:val="ListParagraph"/>
        <w:numPr>
          <w:ilvl w:val="0"/>
          <w:numId w:val="2"/>
        </w:numPr>
      </w:pPr>
      <w:r w:rsidRPr="00BA59E3">
        <w:t>Improved child and family health and life chances</w:t>
      </w:r>
    </w:p>
    <w:p w14:paraId="63359B62" w14:textId="77777777" w:rsidR="00DA346C" w:rsidRPr="00BA59E3" w:rsidRDefault="00DA346C" w:rsidP="00CE5053">
      <w:pPr>
        <w:pStyle w:val="ListParagraph"/>
        <w:numPr>
          <w:ilvl w:val="0"/>
          <w:numId w:val="2"/>
        </w:numPr>
      </w:pPr>
      <w:r w:rsidRPr="00BA59E3">
        <w:t>Prevention of escalation</w:t>
      </w:r>
    </w:p>
    <w:p w14:paraId="318C6A79" w14:textId="77777777" w:rsidR="00DA346C" w:rsidRPr="00BA59E3" w:rsidRDefault="00DA346C" w:rsidP="00CE5053">
      <w:pPr>
        <w:pStyle w:val="ListParagraph"/>
        <w:numPr>
          <w:ilvl w:val="0"/>
          <w:numId w:val="2"/>
        </w:numPr>
        <w:spacing w:after="240"/>
        <w:ind w:left="1451" w:hanging="357"/>
        <w:contextualSpacing w:val="0"/>
      </w:pPr>
      <w:r w:rsidRPr="00BA59E3">
        <w:t>Housing, Employment &amp; Finance Support</w:t>
      </w:r>
    </w:p>
    <w:p w14:paraId="3E6F4CC2" w14:textId="77777777" w:rsidR="00DA346C" w:rsidRDefault="00DA346C" w:rsidP="00CE5053">
      <w:pPr>
        <w:pStyle w:val="ListParagraph"/>
        <w:numPr>
          <w:ilvl w:val="0"/>
          <w:numId w:val="23"/>
        </w:numPr>
        <w:spacing w:after="240" w:line="240" w:lineRule="auto"/>
        <w:ind w:left="737" w:hanging="737"/>
        <w:contextualSpacing w:val="0"/>
        <w:rPr>
          <w:rFonts w:cs="Arial"/>
        </w:rPr>
      </w:pPr>
      <w:r w:rsidRPr="74CA9E56">
        <w:rPr>
          <w:rFonts w:cs="Arial"/>
        </w:rPr>
        <w:t>The Lewisham Children and Family Centre service providers have responded flexibly to the changing needs of the borough and delivered successful outcomes for many families, as well as providing considerable added value. Equally they are a core contributor to Lewisham’s Troubled Families claims.</w:t>
      </w:r>
    </w:p>
    <w:p w14:paraId="7730A928" w14:textId="77777777" w:rsidR="00DA346C" w:rsidRDefault="00DA346C" w:rsidP="00CE5053">
      <w:pPr>
        <w:spacing w:after="240" w:line="240" w:lineRule="auto"/>
        <w:ind w:firstLine="720"/>
      </w:pPr>
      <w:r>
        <w:rPr>
          <w:b/>
        </w:rPr>
        <w:t>Current situation</w:t>
      </w:r>
    </w:p>
    <w:p w14:paraId="408DCFA3" w14:textId="77777777" w:rsidR="00DA346C" w:rsidRPr="00BA59E3" w:rsidRDefault="00DA346C" w:rsidP="00CE5053">
      <w:pPr>
        <w:pStyle w:val="ListParagraph"/>
        <w:numPr>
          <w:ilvl w:val="0"/>
          <w:numId w:val="23"/>
        </w:numPr>
        <w:spacing w:after="240" w:line="240" w:lineRule="auto"/>
        <w:ind w:left="737" w:hanging="737"/>
        <w:contextualSpacing w:val="0"/>
        <w:rPr>
          <w:rFonts w:cs="Arial"/>
        </w:rPr>
      </w:pPr>
      <w:r w:rsidRPr="74CA9E56">
        <w:rPr>
          <w:rFonts w:cs="Arial"/>
        </w:rPr>
        <w:t>The current service is delivered across 8 children and family centres (3 delivered by and in schools) leased from the Council, with further provision in other sites and spaces across the borough.</w:t>
      </w:r>
    </w:p>
    <w:p w14:paraId="5C1952CF" w14:textId="77777777" w:rsidR="00DA346C" w:rsidRPr="00CB79F0" w:rsidRDefault="00DA346C" w:rsidP="00CE5053">
      <w:pPr>
        <w:pStyle w:val="ListParagraph"/>
        <w:numPr>
          <w:ilvl w:val="0"/>
          <w:numId w:val="23"/>
        </w:numPr>
        <w:spacing w:after="240" w:line="240" w:lineRule="auto"/>
        <w:ind w:left="737" w:hanging="737"/>
        <w:contextualSpacing w:val="0"/>
        <w:rPr>
          <w:rFonts w:cs="Arial"/>
        </w:rPr>
      </w:pPr>
      <w:r w:rsidRPr="74CA9E56">
        <w:rPr>
          <w:rFonts w:cs="Arial"/>
        </w:rPr>
        <w:t>Children and Family Centres in Lewisham are currently delivered by Early Years Alliance, Downderry School and Eliot Bank and Kelvin Grove School:</w:t>
      </w:r>
    </w:p>
    <w:p w14:paraId="6B265456" w14:textId="77777777" w:rsidR="00DA346C" w:rsidRPr="008E192C" w:rsidRDefault="00DA346C" w:rsidP="00CE5053">
      <w:pPr>
        <w:pStyle w:val="ListParagraph"/>
        <w:numPr>
          <w:ilvl w:val="0"/>
          <w:numId w:val="23"/>
        </w:numPr>
        <w:spacing w:after="240" w:line="240" w:lineRule="auto"/>
        <w:ind w:left="737" w:hanging="737"/>
        <w:contextualSpacing w:val="0"/>
        <w:rPr>
          <w:rFonts w:cs="Arial"/>
        </w:rPr>
      </w:pPr>
      <w:r w:rsidRPr="74CA9E56">
        <w:rPr>
          <w:rFonts w:cs="Arial"/>
        </w:rPr>
        <w:t>There are currently 5 council owned Children and Family centres in the borough:</w:t>
      </w:r>
    </w:p>
    <w:p w14:paraId="3F7B46E9" w14:textId="77777777" w:rsidR="00DA346C" w:rsidRPr="008E192C" w:rsidRDefault="00DA346C" w:rsidP="00CE5053">
      <w:pPr>
        <w:pStyle w:val="ListParagraph"/>
        <w:numPr>
          <w:ilvl w:val="0"/>
          <w:numId w:val="2"/>
        </w:numPr>
      </w:pPr>
      <w:r w:rsidRPr="008E192C">
        <w:t>Evelyn Children's Centre</w:t>
      </w:r>
    </w:p>
    <w:p w14:paraId="39D7A91B" w14:textId="77777777" w:rsidR="00DA346C" w:rsidRPr="008E192C" w:rsidRDefault="00DA346C" w:rsidP="00CE5053">
      <w:pPr>
        <w:pStyle w:val="ListParagraph"/>
        <w:numPr>
          <w:ilvl w:val="0"/>
          <w:numId w:val="2"/>
        </w:numPr>
      </w:pPr>
      <w:r w:rsidRPr="008E192C">
        <w:t>The Honor Oak - Old Depot Children Centre</w:t>
      </w:r>
    </w:p>
    <w:p w14:paraId="2E15A40B" w14:textId="77777777" w:rsidR="00DA346C" w:rsidRPr="008E192C" w:rsidRDefault="00DA346C" w:rsidP="00CE5053">
      <w:pPr>
        <w:pStyle w:val="ListParagraph"/>
        <w:numPr>
          <w:ilvl w:val="0"/>
          <w:numId w:val="2"/>
        </w:numPr>
      </w:pPr>
      <w:r w:rsidRPr="008E192C">
        <w:t>Hatcham Oak Children's Centre</w:t>
      </w:r>
      <w:r w:rsidRPr="008E192C">
        <w:tab/>
      </w:r>
    </w:p>
    <w:p w14:paraId="41E71B89" w14:textId="77777777" w:rsidR="00DA346C" w:rsidRPr="008E192C" w:rsidRDefault="00DA346C" w:rsidP="00CE5053">
      <w:pPr>
        <w:pStyle w:val="ListParagraph"/>
        <w:numPr>
          <w:ilvl w:val="0"/>
          <w:numId w:val="2"/>
        </w:numPr>
      </w:pPr>
      <w:r w:rsidRPr="008E192C">
        <w:t>Ladywell Early Childhood Centre</w:t>
      </w:r>
    </w:p>
    <w:p w14:paraId="0D1D8622" w14:textId="77777777" w:rsidR="00DA346C" w:rsidRPr="008E192C" w:rsidRDefault="00DA346C" w:rsidP="00CE5053">
      <w:pPr>
        <w:pStyle w:val="ListParagraph"/>
        <w:numPr>
          <w:ilvl w:val="0"/>
          <w:numId w:val="2"/>
        </w:numPr>
        <w:spacing w:after="240"/>
        <w:ind w:left="1451" w:hanging="357"/>
        <w:contextualSpacing w:val="0"/>
      </w:pPr>
      <w:r w:rsidRPr="008E192C">
        <w:t>Bellingham Children's Centre</w:t>
      </w:r>
    </w:p>
    <w:p w14:paraId="694D9507" w14:textId="77777777" w:rsidR="00DA346C" w:rsidRPr="00CB79F0" w:rsidRDefault="00DA346C" w:rsidP="00CE5053">
      <w:pPr>
        <w:pStyle w:val="ListParagraph"/>
        <w:numPr>
          <w:ilvl w:val="0"/>
          <w:numId w:val="23"/>
        </w:numPr>
        <w:spacing w:after="240" w:line="240" w:lineRule="auto"/>
        <w:ind w:left="737" w:hanging="737"/>
        <w:contextualSpacing w:val="0"/>
        <w:rPr>
          <w:rFonts w:cs="Arial"/>
        </w:rPr>
      </w:pPr>
      <w:r w:rsidRPr="74CA9E56">
        <w:rPr>
          <w:rFonts w:cs="Arial"/>
        </w:rPr>
        <w:t>A further 3 dedicated Children and Family Centres sites are provided by schools:</w:t>
      </w:r>
    </w:p>
    <w:p w14:paraId="1155F6EF" w14:textId="77777777" w:rsidR="00DA346C" w:rsidRPr="008E192C" w:rsidRDefault="00DA346C" w:rsidP="00CE5053">
      <w:pPr>
        <w:pStyle w:val="ListParagraph"/>
        <w:numPr>
          <w:ilvl w:val="0"/>
          <w:numId w:val="2"/>
        </w:numPr>
      </w:pPr>
      <w:r w:rsidRPr="008E192C">
        <w:t>Kelvin Grove &amp; Elliot Bank (School)</w:t>
      </w:r>
    </w:p>
    <w:p w14:paraId="5FFEB0CF" w14:textId="77777777" w:rsidR="00DA346C" w:rsidRPr="008E192C" w:rsidRDefault="00DA346C" w:rsidP="00CE5053">
      <w:pPr>
        <w:pStyle w:val="ListParagraph"/>
        <w:numPr>
          <w:ilvl w:val="0"/>
          <w:numId w:val="2"/>
        </w:numPr>
      </w:pPr>
      <w:r w:rsidRPr="008E192C">
        <w:t>Downderry (School)</w:t>
      </w:r>
    </w:p>
    <w:p w14:paraId="28FCD98F" w14:textId="77777777" w:rsidR="00DA346C" w:rsidRPr="008E192C" w:rsidRDefault="00DA346C" w:rsidP="00CE5053">
      <w:pPr>
        <w:pStyle w:val="ListParagraph"/>
        <w:numPr>
          <w:ilvl w:val="0"/>
          <w:numId w:val="2"/>
        </w:numPr>
        <w:spacing w:after="240"/>
        <w:ind w:left="1451" w:hanging="357"/>
        <w:contextualSpacing w:val="0"/>
      </w:pPr>
      <w:r w:rsidRPr="008E192C">
        <w:t>Clyde (School)</w:t>
      </w:r>
    </w:p>
    <w:p w14:paraId="50D5B5F4" w14:textId="77777777" w:rsidR="00DA346C" w:rsidRPr="00CB79F0" w:rsidRDefault="00DA346C" w:rsidP="00CE5053">
      <w:pPr>
        <w:pStyle w:val="ListParagraph"/>
        <w:numPr>
          <w:ilvl w:val="0"/>
          <w:numId w:val="23"/>
        </w:numPr>
        <w:spacing w:after="240" w:line="240" w:lineRule="auto"/>
        <w:ind w:left="737" w:hanging="737"/>
        <w:contextualSpacing w:val="0"/>
        <w:rPr>
          <w:rFonts w:cs="Arial"/>
        </w:rPr>
      </w:pPr>
      <w:r w:rsidRPr="74CA9E56">
        <w:rPr>
          <w:rFonts w:cs="Arial"/>
        </w:rPr>
        <w:t xml:space="preserve">Early Years Alliance, additionally deliver in a number of other locations: </w:t>
      </w:r>
    </w:p>
    <w:p w14:paraId="087DEA4E" w14:textId="77777777" w:rsidR="00DA346C" w:rsidRPr="008E192C" w:rsidRDefault="00DA346C" w:rsidP="00CE5053">
      <w:pPr>
        <w:pStyle w:val="ListParagraph"/>
        <w:numPr>
          <w:ilvl w:val="0"/>
          <w:numId w:val="2"/>
        </w:numPr>
      </w:pPr>
      <w:r w:rsidRPr="008E192C">
        <w:lastRenderedPageBreak/>
        <w:t>Beecroft Gardens (School)</w:t>
      </w:r>
    </w:p>
    <w:p w14:paraId="60AE0743" w14:textId="77777777" w:rsidR="00DA346C" w:rsidRPr="008E192C" w:rsidRDefault="00DA346C" w:rsidP="00CE5053">
      <w:pPr>
        <w:pStyle w:val="ListParagraph"/>
        <w:numPr>
          <w:ilvl w:val="0"/>
          <w:numId w:val="2"/>
        </w:numPr>
      </w:pPr>
      <w:r w:rsidRPr="008E192C">
        <w:t>Marvel’s Lane (School)</w:t>
      </w:r>
    </w:p>
    <w:p w14:paraId="4E02922B" w14:textId="77777777" w:rsidR="00DA346C" w:rsidRPr="008E192C" w:rsidRDefault="00DA346C" w:rsidP="00CE5053">
      <w:pPr>
        <w:pStyle w:val="ListParagraph"/>
        <w:numPr>
          <w:ilvl w:val="0"/>
          <w:numId w:val="2"/>
        </w:numPr>
      </w:pPr>
      <w:r w:rsidRPr="008E192C">
        <w:t>Sandhurst (School)</w:t>
      </w:r>
    </w:p>
    <w:p w14:paraId="76DDBED3" w14:textId="77777777" w:rsidR="00DA346C" w:rsidRPr="008E192C" w:rsidRDefault="00DA346C" w:rsidP="00CE5053">
      <w:pPr>
        <w:pStyle w:val="ListParagraph"/>
        <w:numPr>
          <w:ilvl w:val="0"/>
          <w:numId w:val="2"/>
        </w:numPr>
        <w:spacing w:after="240"/>
        <w:ind w:left="1451" w:hanging="357"/>
        <w:contextualSpacing w:val="0"/>
      </w:pPr>
      <w:r w:rsidRPr="008E192C">
        <w:t>Goldsmith’s Community Centre</w:t>
      </w:r>
    </w:p>
    <w:p w14:paraId="57ABBD08" w14:textId="77777777" w:rsidR="00DA346C" w:rsidRDefault="00DA346C" w:rsidP="00CE5053">
      <w:pPr>
        <w:tabs>
          <w:tab w:val="left" w:pos="720"/>
          <w:tab w:val="left" w:pos="1440"/>
          <w:tab w:val="left" w:pos="2160"/>
          <w:tab w:val="left" w:pos="3232"/>
          <w:tab w:val="left" w:pos="5492"/>
        </w:tabs>
        <w:spacing w:before="240" w:after="120"/>
        <w:ind w:left="720" w:hanging="720"/>
        <w:rPr>
          <w:b/>
        </w:rPr>
      </w:pPr>
      <w:r>
        <w:tab/>
      </w:r>
      <w:r>
        <w:rPr>
          <w:b/>
        </w:rPr>
        <w:t>Future requirement</w:t>
      </w:r>
    </w:p>
    <w:p w14:paraId="4D02F5F6" w14:textId="77777777" w:rsidR="00DA346C" w:rsidRPr="00641DDA" w:rsidRDefault="144756F9" w:rsidP="00CE5053">
      <w:pPr>
        <w:pStyle w:val="ListParagraph"/>
        <w:numPr>
          <w:ilvl w:val="0"/>
          <w:numId w:val="23"/>
        </w:numPr>
        <w:spacing w:after="240" w:line="240" w:lineRule="auto"/>
        <w:ind w:left="737" w:hanging="737"/>
        <w:contextualSpacing w:val="0"/>
        <w:rPr>
          <w:rFonts w:cs="Arial"/>
        </w:rPr>
      </w:pPr>
      <w:r w:rsidRPr="74CA9E56">
        <w:rPr>
          <w:rFonts w:cs="Arial"/>
        </w:rPr>
        <w:t>The c</w:t>
      </w:r>
      <w:r w:rsidR="00DA346C" w:rsidRPr="74CA9E56">
        <w:rPr>
          <w:rFonts w:cs="Arial"/>
        </w:rPr>
        <w:t xml:space="preserve">ontracts for Children and Family Centres </w:t>
      </w:r>
      <w:r w:rsidR="45CECB9F" w:rsidRPr="74CA9E56">
        <w:rPr>
          <w:rFonts w:cs="Arial"/>
        </w:rPr>
        <w:t xml:space="preserve">will </w:t>
      </w:r>
      <w:r w:rsidR="00DA346C" w:rsidRPr="74CA9E56">
        <w:rPr>
          <w:rFonts w:cs="Arial"/>
        </w:rPr>
        <w:t>end in March 2021, with an option to extend for a further 12 months</w:t>
      </w:r>
      <w:r w:rsidR="2EDB8051" w:rsidRPr="74CA9E56">
        <w:rPr>
          <w:rFonts w:cs="Arial"/>
        </w:rPr>
        <w:t>, which is</w:t>
      </w:r>
      <w:r w:rsidR="00DA346C" w:rsidRPr="74CA9E56">
        <w:rPr>
          <w:rFonts w:cs="Arial"/>
        </w:rPr>
        <w:t xml:space="preserve"> available within the existing contract terms. Officers are looking at </w:t>
      </w:r>
      <w:r w:rsidR="6609FE11" w:rsidRPr="74CA9E56">
        <w:rPr>
          <w:rFonts w:cs="Arial"/>
        </w:rPr>
        <w:t>the use</w:t>
      </w:r>
      <w:r w:rsidR="00DA346C" w:rsidRPr="74CA9E56">
        <w:rPr>
          <w:rFonts w:cs="Arial"/>
        </w:rPr>
        <w:t xml:space="preserve"> of Children and Family Centres at the same time as reviewing Youth Services delivery to see if shared usage can be an option for some buildings across the two service areas.</w:t>
      </w:r>
    </w:p>
    <w:p w14:paraId="1C03A7DC" w14:textId="77777777" w:rsidR="00071184" w:rsidRDefault="00DA346C" w:rsidP="00CE5053">
      <w:pPr>
        <w:pStyle w:val="ListParagraph"/>
        <w:numPr>
          <w:ilvl w:val="0"/>
          <w:numId w:val="23"/>
        </w:numPr>
        <w:spacing w:after="0" w:line="240" w:lineRule="auto"/>
        <w:ind w:left="737" w:hanging="737"/>
        <w:contextualSpacing w:val="0"/>
        <w:rPr>
          <w:rFonts w:cs="Arial"/>
        </w:rPr>
      </w:pPr>
      <w:r w:rsidRPr="74CA9E56">
        <w:rPr>
          <w:rFonts w:cs="Arial"/>
        </w:rPr>
        <w:t>Approximately a quarter of Lewisham’s population is under 18, with recent years seeing a rise in the number of births and population of 0-5 years olds who, if they stay in the borough, will become our teenagers. We therefore anticipate demand for our services remaining high, or growing in coming years, and there is a need to have a quality and sufficient number of buildings in the borough from which to deliver services.</w:t>
      </w:r>
    </w:p>
    <w:p w14:paraId="7118DC78" w14:textId="77777777" w:rsidR="00071184" w:rsidRDefault="00071184" w:rsidP="00CE5053">
      <w:pPr>
        <w:pStyle w:val="ListParagraph"/>
        <w:numPr>
          <w:ilvl w:val="0"/>
          <w:numId w:val="0"/>
        </w:numPr>
        <w:spacing w:after="0" w:line="240" w:lineRule="auto"/>
        <w:ind w:left="737"/>
        <w:contextualSpacing w:val="0"/>
        <w:rPr>
          <w:rFonts w:cs="Arial"/>
        </w:rPr>
      </w:pPr>
    </w:p>
    <w:p w14:paraId="7274FB7D" w14:textId="77777777" w:rsidR="00364C20" w:rsidRPr="00071184" w:rsidRDefault="00DA346C" w:rsidP="00CE5053">
      <w:pPr>
        <w:pStyle w:val="ListParagraph"/>
        <w:numPr>
          <w:ilvl w:val="0"/>
          <w:numId w:val="23"/>
        </w:numPr>
        <w:spacing w:after="0" w:line="240" w:lineRule="auto"/>
        <w:ind w:left="737" w:hanging="737"/>
        <w:contextualSpacing w:val="0"/>
        <w:rPr>
          <w:rFonts w:cs="Arial"/>
        </w:rPr>
      </w:pPr>
      <w:r w:rsidRPr="00071184">
        <w:rPr>
          <w:rFonts w:cs="Arial"/>
        </w:rPr>
        <w:t xml:space="preserve">Further, in line with our developing strategy to deliver ‘Early Help’ in Lewisham, we seek to deliver support to children and families early, at the first sign of need to stop needs from escalating – and we seek to do this in a locality model, so that families can access the support the need close to where they live. This adds to the need to maintain and improve buildings across Lewisham to deliver this successfully. </w:t>
      </w:r>
    </w:p>
    <w:p w14:paraId="7876FC12" w14:textId="77777777" w:rsidR="0071357A" w:rsidRPr="00595E96" w:rsidRDefault="0071357A" w:rsidP="00CE5053">
      <w:pPr>
        <w:ind w:left="720" w:hanging="720"/>
      </w:pPr>
    </w:p>
    <w:p w14:paraId="35703EDE" w14:textId="77777777" w:rsidR="0071357A" w:rsidRPr="00595E96" w:rsidRDefault="0071357A" w:rsidP="00CE5053">
      <w:pPr>
        <w:ind w:left="720" w:hanging="720"/>
        <w:sectPr w:rsidR="0071357A" w:rsidRPr="00595E96" w:rsidSect="007B10F6">
          <w:pgSz w:w="11906" w:h="16838"/>
          <w:pgMar w:top="1440" w:right="1080" w:bottom="1440" w:left="1080" w:header="708" w:footer="708" w:gutter="0"/>
          <w:pgBorders w:offsetFrom="page">
            <w:top w:val="single" w:sz="4" w:space="24" w:color="FFFFFF" w:themeColor="background1"/>
            <w:bottom w:val="single" w:sz="4" w:space="24" w:color="FFFFFF" w:themeColor="background1"/>
          </w:pgBorders>
          <w:cols w:space="708"/>
          <w:docGrid w:linePitch="360"/>
        </w:sectPr>
      </w:pPr>
    </w:p>
    <w:p w14:paraId="7C08D322" w14:textId="77777777" w:rsidR="006B5DD6" w:rsidRDefault="006B5DD6" w:rsidP="00CE5053">
      <w:pPr>
        <w:pStyle w:val="Heading3"/>
      </w:pPr>
      <w:bookmarkStart w:id="41" w:name="_Toc56146029"/>
      <w:r>
        <w:lastRenderedPageBreak/>
        <w:t xml:space="preserve">Strategic infrastructure </w:t>
      </w:r>
      <w:r w:rsidRPr="00595E96">
        <w:t xml:space="preserve">list for </w:t>
      </w:r>
      <w:r>
        <w:t>Youth and Community</w:t>
      </w:r>
      <w:r w:rsidRPr="00595E96">
        <w:t xml:space="preserve"> facilities</w:t>
      </w:r>
      <w:bookmarkEnd w:id="41"/>
    </w:p>
    <w:tbl>
      <w:tblPr>
        <w:tblStyle w:val="ListTable3-Accent32"/>
        <w:tblpPr w:leftFromText="180" w:rightFromText="180" w:vertAnchor="text" w:tblpY="1"/>
        <w:tblOverlap w:val="never"/>
        <w:tblW w:w="4774" w:type="pct"/>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Table"/>
      </w:tblPr>
      <w:tblGrid>
        <w:gridCol w:w="2343"/>
        <w:gridCol w:w="1757"/>
        <w:gridCol w:w="5941"/>
        <w:gridCol w:w="2414"/>
        <w:gridCol w:w="881"/>
        <w:gridCol w:w="856"/>
        <w:gridCol w:w="872"/>
        <w:gridCol w:w="893"/>
        <w:gridCol w:w="1282"/>
        <w:gridCol w:w="1017"/>
        <w:gridCol w:w="955"/>
        <w:gridCol w:w="1459"/>
      </w:tblGrid>
      <w:tr w:rsidR="006B5DD6" w:rsidRPr="004400BC" w14:paraId="05215991"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6EF94403" w14:textId="77777777" w:rsidR="006B5DD6" w:rsidRPr="00356AF3" w:rsidRDefault="006B5DD6" w:rsidP="00CE5053">
            <w:pPr>
              <w:spacing w:before="40" w:after="40"/>
              <w:rPr>
                <w:b w:val="0"/>
                <w:bCs w:val="0"/>
                <w:sz w:val="18"/>
                <w:szCs w:val="18"/>
              </w:rPr>
            </w:pPr>
            <w:r w:rsidRPr="00356AF3">
              <w:rPr>
                <w:sz w:val="18"/>
                <w:szCs w:val="18"/>
              </w:rPr>
              <w:t>Planned provision</w:t>
            </w:r>
          </w:p>
        </w:tc>
        <w:tc>
          <w:tcPr>
            <w:tcW w:w="425"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8DAD871"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Proposed location</w:t>
            </w:r>
          </w:p>
        </w:tc>
        <w:tc>
          <w:tcPr>
            <w:tcW w:w="143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081A9160"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356AF3">
              <w:rPr>
                <w:bCs w:val="0"/>
                <w:sz w:val="18"/>
                <w:szCs w:val="18"/>
              </w:rPr>
              <w:t xml:space="preserve">Description of </w:t>
            </w:r>
            <w:r w:rsidRPr="00356AF3">
              <w:rPr>
                <w:bCs w:val="0"/>
                <w:noProof/>
                <w:sz w:val="18"/>
                <w:szCs w:val="18"/>
              </w:rPr>
              <w:t>project/proposal</w:t>
            </w:r>
          </w:p>
        </w:tc>
        <w:tc>
          <w:tcPr>
            <w:tcW w:w="58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140B95B6"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356AF3">
              <w:rPr>
                <w:bCs w:val="0"/>
                <w:sz w:val="18"/>
                <w:szCs w:val="18"/>
              </w:rPr>
              <w:t>Project lead (and delivery partners)</w:t>
            </w:r>
          </w:p>
        </w:tc>
        <w:tc>
          <w:tcPr>
            <w:tcW w:w="847"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2C366D0"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Indicative timescale</w:t>
            </w:r>
          </w:p>
        </w:tc>
        <w:tc>
          <w:tcPr>
            <w:tcW w:w="310"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43C891C9"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Total cost (indicative)</w:t>
            </w:r>
          </w:p>
        </w:tc>
        <w:tc>
          <w:tcPr>
            <w:tcW w:w="246"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57216AF3"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Total funding available</w:t>
            </w:r>
          </w:p>
        </w:tc>
        <w:tc>
          <w:tcPr>
            <w:tcW w:w="231"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752255BC"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8"/>
              </w:rPr>
            </w:pPr>
            <w:r w:rsidRPr="00356AF3">
              <w:rPr>
                <w:sz w:val="18"/>
                <w:szCs w:val="18"/>
              </w:rPr>
              <w:t>Funding gap</w:t>
            </w:r>
          </w:p>
        </w:tc>
        <w:tc>
          <w:tcPr>
            <w:tcW w:w="353" w:type="pct"/>
            <w:vMerge w:val="restart"/>
            <w:tcBorders>
              <w:top w:val="single" w:sz="4" w:space="0" w:color="FFFFFF" w:themeColor="background1"/>
              <w:left w:val="single" w:sz="4" w:space="0" w:color="FFFFFF" w:themeColor="background1"/>
              <w:right w:val="nil"/>
            </w:tcBorders>
            <w:shd w:val="clear" w:color="auto" w:fill="002060"/>
          </w:tcPr>
          <w:p w14:paraId="1E420EB5"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Prioritisation</w:t>
            </w:r>
          </w:p>
          <w:p w14:paraId="3D2D8A06"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(3) Critical</w:t>
            </w:r>
          </w:p>
          <w:p w14:paraId="3BAF2027"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(2) Essential</w:t>
            </w:r>
          </w:p>
          <w:p w14:paraId="624328D8"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(1) Important</w:t>
            </w:r>
          </w:p>
        </w:tc>
      </w:tr>
      <w:tr w:rsidR="00CD1374" w:rsidRPr="004400BC" w14:paraId="66ABD508"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 w:type="pct"/>
            <w:vMerge/>
          </w:tcPr>
          <w:p w14:paraId="5E86F948" w14:textId="77777777" w:rsidR="006B5DD6" w:rsidRPr="00356AF3" w:rsidRDefault="006B5DD6" w:rsidP="00CE5053">
            <w:pPr>
              <w:spacing w:before="40" w:after="40"/>
              <w:rPr>
                <w:sz w:val="18"/>
                <w:szCs w:val="18"/>
              </w:rPr>
            </w:pPr>
          </w:p>
        </w:tc>
        <w:tc>
          <w:tcPr>
            <w:tcW w:w="425" w:type="pct"/>
            <w:vMerge/>
          </w:tcPr>
          <w:p w14:paraId="1946BE5E"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1437" w:type="pct"/>
            <w:vMerge/>
          </w:tcPr>
          <w:p w14:paraId="51C34A15"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p>
        </w:tc>
        <w:tc>
          <w:tcPr>
            <w:tcW w:w="584" w:type="pct"/>
            <w:vMerge/>
          </w:tcPr>
          <w:p w14:paraId="7E051CA8"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p>
        </w:tc>
        <w:tc>
          <w:tcPr>
            <w:tcW w:w="2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63F2E63"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2020/25</w:t>
            </w:r>
          </w:p>
        </w:tc>
        <w:tc>
          <w:tcPr>
            <w:tcW w:w="2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B3B1E80"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2025/30</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04C3BF5"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2030/35</w:t>
            </w: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F62B45E"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2035/40</w:t>
            </w:r>
          </w:p>
        </w:tc>
        <w:tc>
          <w:tcPr>
            <w:tcW w:w="310" w:type="pct"/>
            <w:vMerge/>
          </w:tcPr>
          <w:p w14:paraId="126953D2"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246" w:type="pct"/>
            <w:vMerge/>
          </w:tcPr>
          <w:p w14:paraId="1E5BF58C"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231" w:type="pct"/>
            <w:vMerge/>
          </w:tcPr>
          <w:p w14:paraId="053A08E0"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353" w:type="pct"/>
            <w:vMerge/>
          </w:tcPr>
          <w:p w14:paraId="1674D195" w14:textId="77777777" w:rsidR="006B5DD6" w:rsidRPr="00356AF3" w:rsidRDefault="006B5DD6"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r>
      <w:tr w:rsidR="00DA346C" w:rsidRPr="004400BC" w14:paraId="425BBBAD" w14:textId="77777777" w:rsidTr="74CA9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BAFFD0" w14:textId="77777777" w:rsidR="00DA346C" w:rsidRPr="00DA346C" w:rsidRDefault="00DA346C" w:rsidP="00CE5053">
            <w:pPr>
              <w:spacing w:before="40" w:after="40"/>
              <w:rPr>
                <w:sz w:val="18"/>
                <w:szCs w:val="18"/>
              </w:rPr>
            </w:pPr>
            <w:r w:rsidRPr="00DA346C">
              <w:rPr>
                <w:rFonts w:cs="Arial"/>
                <w:sz w:val="18"/>
                <w:szCs w:val="18"/>
              </w:rPr>
              <w:t xml:space="preserve">Youth Clubs </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AC43853"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A346C">
              <w:rPr>
                <w:sz w:val="18"/>
                <w:szCs w:val="18"/>
              </w:rPr>
              <w:t>Various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8DDDAA" w14:textId="77777777" w:rsidR="00DA346C" w:rsidRPr="00DA346C" w:rsidRDefault="004471E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Maintenance works </w:t>
            </w:r>
            <w:r w:rsidR="00DA346C" w:rsidRPr="00DA346C">
              <w:rPr>
                <w:sz w:val="18"/>
                <w:szCs w:val="18"/>
              </w:rPr>
              <w:t>to mainta</w:t>
            </w:r>
            <w:r>
              <w:rPr>
                <w:sz w:val="18"/>
                <w:szCs w:val="18"/>
              </w:rPr>
              <w:t>in buildings for ongoing usage.</w:t>
            </w:r>
          </w:p>
          <w:p w14:paraId="3C72A837"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834693"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LB Lewisham</w:t>
            </w:r>
            <w:r w:rsidRPr="00DA346C">
              <w:rPr>
                <w:sz w:val="18"/>
                <w:szCs w:val="18"/>
              </w:rPr>
              <w:t>, Provider</w:t>
            </w:r>
          </w:p>
        </w:tc>
        <w:tc>
          <w:tcPr>
            <w:tcW w:w="2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A5B967"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A346C">
              <w:rPr>
                <w:sz w:val="18"/>
                <w:szCs w:val="18"/>
              </w:rPr>
              <w:t>X</w:t>
            </w:r>
          </w:p>
        </w:tc>
        <w:tc>
          <w:tcPr>
            <w:tcW w:w="2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A9A139D"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A0069A"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F6F7AA"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E7C5DB"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A346C">
              <w:rPr>
                <w:sz w:val="18"/>
                <w:szCs w:val="18"/>
              </w:rPr>
              <w:t>£300k</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E61ABC" w14:textId="77777777" w:rsidR="00DA346C" w:rsidRPr="00DA346C" w:rsidRDefault="004471E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5B4FA7" w14:textId="77777777" w:rsidR="00DA346C" w:rsidRPr="00DA346C" w:rsidRDefault="004471E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3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E1534E"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A346C">
              <w:rPr>
                <w:sz w:val="18"/>
                <w:szCs w:val="18"/>
              </w:rPr>
              <w:t>2</w:t>
            </w:r>
          </w:p>
        </w:tc>
      </w:tr>
      <w:tr w:rsidR="00DA346C" w:rsidRPr="004400BC" w14:paraId="19401A8E" w14:textId="77777777" w:rsidTr="74CA9E56">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9AE283F" w14:textId="77777777" w:rsidR="00DA346C" w:rsidRPr="00DA346C" w:rsidRDefault="00592FDA" w:rsidP="00CE5053">
            <w:pPr>
              <w:spacing w:before="40" w:after="40"/>
              <w:rPr>
                <w:sz w:val="18"/>
                <w:szCs w:val="18"/>
              </w:rPr>
            </w:pPr>
            <w:r>
              <w:rPr>
                <w:sz w:val="18"/>
                <w:szCs w:val="18"/>
              </w:rPr>
              <w:t>Riverside Youth Club</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6C2D39" w14:textId="77777777" w:rsidR="00DA346C" w:rsidRPr="00DA346C" w:rsidRDefault="00592FD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highlight w:val="yellow"/>
              </w:rPr>
            </w:pPr>
            <w:r>
              <w:rPr>
                <w:rFonts w:cs="Arial"/>
                <w:sz w:val="18"/>
                <w:szCs w:val="18"/>
              </w:rPr>
              <w:t>Evelyn</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0CE0F4"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A346C">
              <w:rPr>
                <w:sz w:val="18"/>
                <w:szCs w:val="18"/>
              </w:rPr>
              <w:t>In addition to ongoing maintenance, our current provider is working in partnership with the Council to secure funding to develop Riverside site</w:t>
            </w:r>
            <w:r w:rsidR="00592FDA">
              <w:rPr>
                <w:sz w:val="18"/>
                <w:szCs w:val="18"/>
              </w:rPr>
              <w:t xml:space="preserve"> and re-provide a new youth club on-site</w:t>
            </w:r>
            <w:r w:rsidRPr="00DA346C">
              <w:rPr>
                <w:sz w:val="18"/>
                <w:szCs w:val="18"/>
              </w:rPr>
              <w:t>.</w:t>
            </w:r>
          </w:p>
          <w:p w14:paraId="320646EB"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F404CB"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LB Lewisham</w:t>
            </w:r>
            <w:r w:rsidRPr="00DA346C">
              <w:rPr>
                <w:sz w:val="18"/>
                <w:szCs w:val="18"/>
              </w:rPr>
              <w:t xml:space="preserve">, Provider </w:t>
            </w:r>
          </w:p>
        </w:tc>
        <w:tc>
          <w:tcPr>
            <w:tcW w:w="2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A56624"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A346C">
              <w:rPr>
                <w:sz w:val="18"/>
                <w:szCs w:val="18"/>
              </w:rPr>
              <w:t>X</w:t>
            </w:r>
          </w:p>
        </w:tc>
        <w:tc>
          <w:tcPr>
            <w:tcW w:w="2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ED7778"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2070F0"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9B60E1"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2A122E"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A346C">
              <w:rPr>
                <w:sz w:val="18"/>
                <w:szCs w:val="18"/>
              </w:rPr>
              <w:t>£1m</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E68354" w14:textId="77777777" w:rsidR="00DA346C" w:rsidRPr="00DA346C" w:rsidRDefault="00592FD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440807" w14:textId="77777777" w:rsidR="00DA346C" w:rsidRPr="00DA346C" w:rsidRDefault="00592FD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3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1CE365"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A346C">
              <w:rPr>
                <w:sz w:val="18"/>
                <w:szCs w:val="18"/>
              </w:rPr>
              <w:t>2</w:t>
            </w:r>
          </w:p>
        </w:tc>
      </w:tr>
      <w:tr w:rsidR="00DA346C" w:rsidRPr="004400BC" w14:paraId="4180A86A" w14:textId="77777777" w:rsidTr="74CA9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219B1A4" w14:textId="77777777" w:rsidR="00DA346C" w:rsidRPr="00DA346C" w:rsidRDefault="00DA346C" w:rsidP="00CE5053">
            <w:pPr>
              <w:spacing w:before="40" w:after="40"/>
              <w:rPr>
                <w:sz w:val="18"/>
                <w:szCs w:val="18"/>
              </w:rPr>
            </w:pPr>
            <w:r w:rsidRPr="00DA346C">
              <w:rPr>
                <w:rFonts w:cs="Arial"/>
                <w:sz w:val="18"/>
                <w:szCs w:val="18"/>
              </w:rPr>
              <w:t>Youth APGs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15A8D9"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A346C">
              <w:rPr>
                <w:sz w:val="18"/>
                <w:szCs w:val="18"/>
              </w:rPr>
              <w:t>Various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9B8C8E"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74CA9E56">
              <w:rPr>
                <w:sz w:val="18"/>
                <w:szCs w:val="18"/>
              </w:rPr>
              <w:t xml:space="preserve">Adventure </w:t>
            </w:r>
            <w:r w:rsidR="3DF5D323" w:rsidRPr="74CA9E56">
              <w:rPr>
                <w:sz w:val="18"/>
                <w:szCs w:val="18"/>
              </w:rPr>
              <w:t>p</w:t>
            </w:r>
            <w:r w:rsidRPr="74CA9E56">
              <w:rPr>
                <w:sz w:val="18"/>
                <w:szCs w:val="18"/>
              </w:rPr>
              <w:t>laygrounds have a shorter lifespan than our youth clubs. Condition surveys have not been carried out, but if this provision is to remain in the borough, they will need significant work in the next ten years</w:t>
            </w:r>
          </w:p>
          <w:p w14:paraId="3E190F5E"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0FB76C7C"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2B64A8"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LB Lewisham, Provider</w:t>
            </w:r>
          </w:p>
        </w:tc>
        <w:tc>
          <w:tcPr>
            <w:tcW w:w="2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EE7A80"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4ED782"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A346C">
              <w:rPr>
                <w:sz w:val="18"/>
                <w:szCs w:val="18"/>
              </w:rPr>
              <w:t>X</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8E47C2"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E12EC1"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F6F791"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A346C">
              <w:rPr>
                <w:sz w:val="18"/>
                <w:szCs w:val="18"/>
              </w:rPr>
              <w:t>£1m</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36E708" w14:textId="77777777" w:rsidR="00DA346C" w:rsidRPr="00DA346C" w:rsidRDefault="00592FDA"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B8C668" w14:textId="77777777" w:rsidR="00DA346C" w:rsidRPr="00DA346C" w:rsidRDefault="004471E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£1m</w:t>
            </w:r>
          </w:p>
        </w:tc>
        <w:tc>
          <w:tcPr>
            <w:tcW w:w="3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8B1BD1" w14:textId="77777777" w:rsidR="00DA346C" w:rsidRPr="00DA346C" w:rsidRDefault="00DA346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A346C">
              <w:rPr>
                <w:sz w:val="18"/>
                <w:szCs w:val="18"/>
              </w:rPr>
              <w:t>2</w:t>
            </w:r>
          </w:p>
        </w:tc>
      </w:tr>
      <w:tr w:rsidR="00DA346C" w:rsidRPr="004400BC" w14:paraId="07402DB4" w14:textId="77777777" w:rsidTr="74CA9E56">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A81E685" w14:textId="77777777" w:rsidR="00DA346C" w:rsidRPr="00DA346C" w:rsidRDefault="00DA346C" w:rsidP="00CE5053">
            <w:pPr>
              <w:spacing w:before="40" w:after="40"/>
              <w:rPr>
                <w:sz w:val="18"/>
                <w:szCs w:val="18"/>
              </w:rPr>
            </w:pPr>
            <w:r w:rsidRPr="00DA346C">
              <w:rPr>
                <w:rFonts w:cs="Arial"/>
                <w:sz w:val="18"/>
                <w:szCs w:val="18"/>
              </w:rPr>
              <w:t>Children &amp; Family Centres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9AD4B6F"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DA346C">
              <w:rPr>
                <w:sz w:val="18"/>
                <w:szCs w:val="18"/>
              </w:rPr>
              <w:t>Various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9A1DFF" w14:textId="77777777" w:rsidR="00DA346C" w:rsidRPr="00DA346C" w:rsidRDefault="00592FD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Maintenance works</w:t>
            </w:r>
            <w:r w:rsidR="00DA346C" w:rsidRPr="00DA346C">
              <w:rPr>
                <w:sz w:val="18"/>
                <w:szCs w:val="18"/>
              </w:rPr>
              <w:t xml:space="preserve"> to maintain buildings for ongoing usage.</w:t>
            </w:r>
          </w:p>
          <w:p w14:paraId="6A2BC471"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4DCC6F47"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5CE3388"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LB Lewisham</w:t>
            </w:r>
            <w:r w:rsidRPr="00DA346C">
              <w:rPr>
                <w:sz w:val="18"/>
                <w:szCs w:val="18"/>
              </w:rPr>
              <w:t>, Provider</w:t>
            </w:r>
          </w:p>
        </w:tc>
        <w:tc>
          <w:tcPr>
            <w:tcW w:w="2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4A065C"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A346C">
              <w:rPr>
                <w:sz w:val="18"/>
                <w:szCs w:val="18"/>
              </w:rPr>
              <w:t>X</w:t>
            </w:r>
          </w:p>
        </w:tc>
        <w:tc>
          <w:tcPr>
            <w:tcW w:w="2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5E47D9"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D6C40E"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E7D592"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5D0C7C"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A346C">
              <w:rPr>
                <w:sz w:val="18"/>
                <w:szCs w:val="18"/>
              </w:rPr>
              <w:t>£250k</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5B697B" w14:textId="77777777" w:rsidR="00DA346C" w:rsidRPr="00DA346C" w:rsidRDefault="00592FD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AF4684" w14:textId="77777777" w:rsidR="00DA346C" w:rsidRPr="00DA346C" w:rsidRDefault="00592FD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3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BD66DB" w14:textId="77777777" w:rsidR="00DA346C" w:rsidRPr="00DA346C" w:rsidRDefault="00DA346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A346C">
              <w:rPr>
                <w:sz w:val="18"/>
                <w:szCs w:val="18"/>
              </w:rPr>
              <w:t>2</w:t>
            </w:r>
          </w:p>
        </w:tc>
      </w:tr>
      <w:tr w:rsidR="006B5DD6" w:rsidRPr="004400BC" w14:paraId="4B858102" w14:textId="77777777" w:rsidTr="74CA9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3"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C8AA0D" w14:textId="77777777" w:rsidR="006B5DD6" w:rsidRPr="00356AF3" w:rsidRDefault="006B5DD6" w:rsidP="00CE5053">
            <w:pPr>
              <w:spacing w:before="40" w:after="40"/>
              <w:rPr>
                <w:sz w:val="18"/>
                <w:szCs w:val="18"/>
              </w:rPr>
            </w:pPr>
          </w:p>
        </w:tc>
        <w:tc>
          <w:tcPr>
            <w:tcW w:w="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60A599" w14:textId="77777777" w:rsidR="006B5DD6" w:rsidRPr="00356AF3" w:rsidRDefault="006B5DD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b/>
                <w:sz w:val="18"/>
                <w:szCs w:val="18"/>
              </w:rPr>
              <w:t>Sub-total</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EA9923" w14:textId="77777777" w:rsidR="006B5DD6" w:rsidRPr="00356AF3" w:rsidRDefault="00592FDA"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£2.55m</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2537C3" w14:textId="77777777" w:rsidR="006B5DD6" w:rsidRPr="00356AF3" w:rsidRDefault="00592FDA"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1A0082C" w14:textId="77777777" w:rsidR="006B5DD6" w:rsidRPr="00356AF3" w:rsidRDefault="00FD6AEA"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£1m</w:t>
            </w:r>
          </w:p>
        </w:tc>
        <w:tc>
          <w:tcPr>
            <w:tcW w:w="3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387D0D6" w14:textId="77777777" w:rsidR="006B5DD6" w:rsidRPr="00356AF3" w:rsidRDefault="006B5DD6" w:rsidP="00CE5053">
            <w:pPr>
              <w:spacing w:before="40" w:after="40"/>
              <w:cnfStyle w:val="000000100000" w:firstRow="0" w:lastRow="0" w:firstColumn="0" w:lastColumn="0" w:oddVBand="0" w:evenVBand="0" w:oddHBand="1" w:evenHBand="0" w:firstRowFirstColumn="0" w:firstRowLastColumn="0" w:lastRowFirstColumn="0" w:lastRowLastColumn="0"/>
              <w:rPr>
                <w:b/>
                <w:sz w:val="18"/>
                <w:szCs w:val="18"/>
              </w:rPr>
            </w:pPr>
          </w:p>
        </w:tc>
      </w:tr>
    </w:tbl>
    <w:p w14:paraId="565BFF5B" w14:textId="77777777" w:rsidR="00EC7896" w:rsidRDefault="00EC7896" w:rsidP="00CE5053">
      <w:pPr>
        <w:ind w:left="720" w:hanging="720"/>
        <w:rPr>
          <w:b/>
        </w:rPr>
      </w:pPr>
    </w:p>
    <w:p w14:paraId="34CDD9EB" w14:textId="77777777" w:rsidR="00EC7896" w:rsidRDefault="00EC7896" w:rsidP="00CE5053">
      <w:pPr>
        <w:ind w:left="720" w:hanging="720"/>
        <w:rPr>
          <w:b/>
        </w:rPr>
      </w:pPr>
    </w:p>
    <w:p w14:paraId="498AF0D8" w14:textId="77777777" w:rsidR="00EC7896" w:rsidRDefault="00EC7896" w:rsidP="00CE5053">
      <w:pPr>
        <w:ind w:left="720" w:hanging="720"/>
        <w:rPr>
          <w:b/>
        </w:rPr>
      </w:pPr>
    </w:p>
    <w:p w14:paraId="263F3B9E" w14:textId="77777777" w:rsidR="00EC7896" w:rsidRDefault="00EC7896" w:rsidP="00CE5053">
      <w:pPr>
        <w:ind w:left="720" w:hanging="720"/>
        <w:rPr>
          <w:b/>
        </w:rPr>
      </w:pPr>
    </w:p>
    <w:p w14:paraId="16E5E008" w14:textId="77777777" w:rsidR="00EC7896" w:rsidRPr="00595E96" w:rsidRDefault="00EC7896" w:rsidP="00CE5053">
      <w:pPr>
        <w:ind w:left="720" w:hanging="720"/>
      </w:pPr>
    </w:p>
    <w:p w14:paraId="40D2860B" w14:textId="77777777" w:rsidR="006B5DD6" w:rsidRDefault="006B5DD6" w:rsidP="00CE5053">
      <w:pPr>
        <w:ind w:left="720" w:hanging="720"/>
      </w:pPr>
    </w:p>
    <w:p w14:paraId="42050CB3" w14:textId="77777777" w:rsidR="00EC7896" w:rsidRDefault="00EC7896" w:rsidP="00CE5053">
      <w:pPr>
        <w:ind w:left="720" w:hanging="720"/>
      </w:pPr>
    </w:p>
    <w:p w14:paraId="130CC4CD" w14:textId="77777777" w:rsidR="00EC7896" w:rsidRPr="00595E96" w:rsidRDefault="00EC7896" w:rsidP="00CE5053">
      <w:pPr>
        <w:ind w:left="720" w:hanging="720"/>
        <w:sectPr w:rsidR="00EC7896" w:rsidRPr="00595E96" w:rsidSect="006B5DD6">
          <w:pgSz w:w="23814" w:h="16839" w:orient="landscape" w:code="8"/>
          <w:pgMar w:top="1440" w:right="1080" w:bottom="1440" w:left="1080" w:header="709" w:footer="709" w:gutter="0"/>
          <w:pgBorders w:offsetFrom="page">
            <w:top w:val="single" w:sz="4" w:space="24" w:color="FFFFFF" w:themeColor="background1"/>
            <w:bottom w:val="single" w:sz="4" w:space="24" w:color="FFFFFF" w:themeColor="background1"/>
          </w:pgBorders>
          <w:cols w:space="708"/>
          <w:docGrid w:linePitch="360"/>
        </w:sectPr>
      </w:pPr>
    </w:p>
    <w:p w14:paraId="4B9D5725" w14:textId="77777777" w:rsidR="00DF60C7" w:rsidRPr="00DF60C7" w:rsidRDefault="00DF60C7" w:rsidP="00CE5053">
      <w:pPr>
        <w:pStyle w:val="Heading1"/>
        <w:ind w:left="431" w:hanging="431"/>
      </w:pPr>
      <w:r w:rsidRPr="00DF60C7">
        <w:lastRenderedPageBreak/>
        <w:tab/>
      </w:r>
      <w:bookmarkStart w:id="42" w:name="_Toc56146030"/>
      <w:r w:rsidRPr="00DF60C7">
        <w:t>Green infrastructure</w:t>
      </w:r>
      <w:bookmarkEnd w:id="42"/>
    </w:p>
    <w:p w14:paraId="148A9C12" w14:textId="77777777" w:rsidR="00DF60C7" w:rsidRDefault="00C669F9" w:rsidP="00CE5053">
      <w:pPr>
        <w:pStyle w:val="Heading2"/>
      </w:pPr>
      <w:bookmarkStart w:id="43" w:name="_Toc56146031"/>
      <w:r>
        <w:t>Parks and o</w:t>
      </w:r>
      <w:r w:rsidR="00DF60C7" w:rsidRPr="00AF0D1E">
        <w:t>pen space</w:t>
      </w:r>
      <w:bookmarkEnd w:id="43"/>
    </w:p>
    <w:p w14:paraId="65CC31AB" w14:textId="77777777" w:rsidR="00BE4DF7" w:rsidRPr="00BE4DF7" w:rsidRDefault="00F21C19" w:rsidP="00CE5053">
      <w:pPr>
        <w:tabs>
          <w:tab w:val="left" w:pos="720"/>
          <w:tab w:val="left" w:pos="1440"/>
          <w:tab w:val="left" w:pos="2562"/>
        </w:tabs>
        <w:spacing w:before="240" w:after="120"/>
        <w:ind w:left="578"/>
        <w:rPr>
          <w:b/>
        </w:rPr>
      </w:pPr>
      <w:r>
        <w:rPr>
          <w:b/>
        </w:rPr>
        <w:tab/>
        <w:t>Policy context</w:t>
      </w:r>
    </w:p>
    <w:p w14:paraId="055BFDB1" w14:textId="77777777" w:rsidR="0073241E" w:rsidRPr="0073241E" w:rsidRDefault="0073241E" w:rsidP="00CE5053">
      <w:pPr>
        <w:pStyle w:val="ListParagraph"/>
        <w:numPr>
          <w:ilvl w:val="0"/>
          <w:numId w:val="24"/>
        </w:numPr>
        <w:spacing w:after="240"/>
        <w:contextualSpacing w:val="0"/>
        <w:rPr>
          <w:vanish/>
        </w:rPr>
      </w:pPr>
    </w:p>
    <w:p w14:paraId="38E78751" w14:textId="77777777" w:rsidR="0073241E" w:rsidRPr="0073241E" w:rsidRDefault="0073241E" w:rsidP="00CE5053">
      <w:pPr>
        <w:pStyle w:val="ListParagraph"/>
        <w:numPr>
          <w:ilvl w:val="0"/>
          <w:numId w:val="24"/>
        </w:numPr>
        <w:spacing w:after="240"/>
        <w:contextualSpacing w:val="0"/>
        <w:rPr>
          <w:vanish/>
        </w:rPr>
      </w:pPr>
    </w:p>
    <w:p w14:paraId="62A75F99" w14:textId="77777777" w:rsidR="0073241E" w:rsidRPr="0073241E" w:rsidRDefault="0073241E" w:rsidP="00CE5053">
      <w:pPr>
        <w:pStyle w:val="ListParagraph"/>
        <w:numPr>
          <w:ilvl w:val="1"/>
          <w:numId w:val="24"/>
        </w:numPr>
        <w:spacing w:after="240"/>
        <w:contextualSpacing w:val="0"/>
        <w:rPr>
          <w:vanish/>
        </w:rPr>
      </w:pPr>
    </w:p>
    <w:p w14:paraId="13704548" w14:textId="77777777" w:rsidR="00AF01CB" w:rsidRDefault="00BE4DF7" w:rsidP="00CE5053">
      <w:pPr>
        <w:pStyle w:val="ListParagraph"/>
        <w:numPr>
          <w:ilvl w:val="2"/>
          <w:numId w:val="24"/>
        </w:numPr>
        <w:spacing w:after="240"/>
        <w:ind w:left="737" w:hanging="737"/>
        <w:contextualSpacing w:val="0"/>
      </w:pPr>
      <w:r w:rsidRPr="00595E96">
        <w:t xml:space="preserve">The </w:t>
      </w:r>
      <w:r w:rsidR="00AF01CB">
        <w:t xml:space="preserve">draft </w:t>
      </w:r>
      <w:r w:rsidRPr="00473207">
        <w:rPr>
          <w:bCs/>
        </w:rPr>
        <w:t>Lo</w:t>
      </w:r>
      <w:r w:rsidR="00AF01CB" w:rsidRPr="00473207">
        <w:rPr>
          <w:bCs/>
        </w:rPr>
        <w:t>ndon Plan Policy G4 ‘Open Space</w:t>
      </w:r>
      <w:r w:rsidRPr="00473207">
        <w:rPr>
          <w:bCs/>
        </w:rPr>
        <w:t xml:space="preserve">’ </w:t>
      </w:r>
      <w:r w:rsidR="00AF01CB" w:rsidRPr="00473207">
        <w:rPr>
          <w:bCs/>
        </w:rPr>
        <w:t xml:space="preserve">directs </w:t>
      </w:r>
      <w:r w:rsidR="00AF01CB">
        <w:t>local authorities</w:t>
      </w:r>
      <w:r w:rsidRPr="00595E96">
        <w:t xml:space="preserve"> to undertake a needs assessment of </w:t>
      </w:r>
      <w:r w:rsidR="00AF01CB">
        <w:t xml:space="preserve">all </w:t>
      </w:r>
      <w:r w:rsidRPr="00595E96">
        <w:t xml:space="preserve">open space </w:t>
      </w:r>
      <w:r w:rsidR="00AF01CB">
        <w:t xml:space="preserve">in the borough to inform policy, </w:t>
      </w:r>
      <w:r w:rsidRPr="00595E96">
        <w:t xml:space="preserve">and to identify areas of public green and open space deficiency. </w:t>
      </w:r>
      <w:r w:rsidR="00AF01CB">
        <w:t>Local authorities</w:t>
      </w:r>
      <w:r w:rsidRPr="00595E96">
        <w:t xml:space="preserve"> are also expected to ensure future open space needs are planned for in areas with potential for substantial change, and to promote the creation of new publicly accessible open spaces, particularly green spaces, and improved public access to open</w:t>
      </w:r>
      <w:r w:rsidR="00473207">
        <w:t xml:space="preserve"> spaces in areas of deficiency.</w:t>
      </w:r>
    </w:p>
    <w:p w14:paraId="3AFFD9EE" w14:textId="77777777" w:rsidR="0073241E" w:rsidRDefault="00BE4DF7" w:rsidP="00CE5053">
      <w:pPr>
        <w:pStyle w:val="ListParagraph"/>
        <w:numPr>
          <w:ilvl w:val="2"/>
          <w:numId w:val="24"/>
        </w:numPr>
        <w:spacing w:after="240"/>
        <w:ind w:left="737" w:hanging="737"/>
        <w:contextualSpacing w:val="0"/>
      </w:pPr>
      <w:r w:rsidRPr="00595E96">
        <w:t xml:space="preserve">The </w:t>
      </w:r>
      <w:r w:rsidR="00AF01CB">
        <w:t xml:space="preserve">draft </w:t>
      </w:r>
      <w:r w:rsidRPr="00473207">
        <w:t xml:space="preserve">London Plan Policy G6 ‘Biodiversity and Access to Nature’ </w:t>
      </w:r>
      <w:r w:rsidR="00D111EC" w:rsidRPr="00473207">
        <w:t xml:space="preserve">also </w:t>
      </w:r>
      <w:r w:rsidR="00AF01CB" w:rsidRPr="00473207">
        <w:t>directs local authorities</w:t>
      </w:r>
      <w:r w:rsidRPr="00595E96">
        <w:t xml:space="preserve"> to identify Sites of Importance for Nature Conservation (SINCs) and green corridors, </w:t>
      </w:r>
      <w:r w:rsidR="00AF01CB">
        <w:t xml:space="preserve">as well as areas of deficiency where </w:t>
      </w:r>
      <w:r w:rsidRPr="00595E96">
        <w:t xml:space="preserve">access </w:t>
      </w:r>
      <w:r w:rsidR="00AF01CB">
        <w:t>to an accessible Metropolitan or Borough SINC is greater than 1km walking distance.</w:t>
      </w:r>
    </w:p>
    <w:p w14:paraId="3AFEE792" w14:textId="77777777" w:rsidR="0073241E" w:rsidRPr="0073241E" w:rsidRDefault="00473207" w:rsidP="00CE5053">
      <w:pPr>
        <w:pStyle w:val="ListParagraph"/>
        <w:numPr>
          <w:ilvl w:val="0"/>
          <w:numId w:val="0"/>
        </w:numPr>
        <w:spacing w:after="240"/>
        <w:ind w:left="737"/>
        <w:contextualSpacing w:val="0"/>
      </w:pPr>
      <w:r w:rsidRPr="0073241E">
        <w:rPr>
          <w:b/>
        </w:rPr>
        <w:t>Background</w:t>
      </w:r>
    </w:p>
    <w:p w14:paraId="31525C6A" w14:textId="77777777" w:rsidR="0073241E" w:rsidRDefault="00AF01CB" w:rsidP="00CE5053">
      <w:pPr>
        <w:pStyle w:val="ListParagraph"/>
        <w:numPr>
          <w:ilvl w:val="2"/>
          <w:numId w:val="24"/>
        </w:numPr>
        <w:spacing w:after="240"/>
        <w:ind w:left="737" w:hanging="737"/>
        <w:contextualSpacing w:val="0"/>
      </w:pPr>
      <w:r>
        <w:t xml:space="preserve">In preparing the new Lewisham Local Plan, the Council commissioned an </w:t>
      </w:r>
      <w:r w:rsidR="00DF60C7" w:rsidRPr="00595E96">
        <w:t>Open Space Assessment (OSA)</w:t>
      </w:r>
      <w:r w:rsidR="003F4B7E">
        <w:t xml:space="preserve"> in 2019</w:t>
      </w:r>
      <w:r>
        <w:t xml:space="preserve"> to </w:t>
      </w:r>
      <w:r w:rsidR="00DF60C7" w:rsidRPr="00595E96">
        <w:t xml:space="preserve">audit </w:t>
      </w:r>
      <w:r w:rsidR="00D111EC">
        <w:t>all</w:t>
      </w:r>
      <w:r w:rsidR="00DF60C7" w:rsidRPr="00595E96">
        <w:t xml:space="preserve"> existing green and open spaces in the borough</w:t>
      </w:r>
      <w:r w:rsidR="00473207">
        <w:t xml:space="preserve">. The OSA also </w:t>
      </w:r>
      <w:r w:rsidR="00D111EC">
        <w:t>provide</w:t>
      </w:r>
      <w:r w:rsidR="00473207">
        <w:t>d</w:t>
      </w:r>
      <w:r w:rsidR="00D111EC">
        <w:t xml:space="preserve"> a register of</w:t>
      </w:r>
      <w:r w:rsidR="00DF60C7" w:rsidRPr="00595E96">
        <w:t xml:space="preserve"> the range of uses, facilities</w:t>
      </w:r>
      <w:r w:rsidR="00801D4B" w:rsidRPr="00595E96">
        <w:t>,</w:t>
      </w:r>
      <w:r w:rsidR="00DF60C7" w:rsidRPr="00595E96">
        <w:t xml:space="preserve"> and </w:t>
      </w:r>
      <w:r w:rsidR="00473207">
        <w:t xml:space="preserve">levels of </w:t>
      </w:r>
      <w:r w:rsidR="00DF60C7" w:rsidRPr="00595E96">
        <w:t>accessibility</w:t>
      </w:r>
      <w:r w:rsidR="00473207">
        <w:t xml:space="preserve"> to </w:t>
      </w:r>
      <w:r w:rsidR="00D111EC">
        <w:t xml:space="preserve">Lewisham’s green and open spaces. The OSA is </w:t>
      </w:r>
      <w:r w:rsidR="00590291">
        <w:t>the</w:t>
      </w:r>
      <w:r w:rsidR="00D111EC">
        <w:t xml:space="preserve"> primary evidence base </w:t>
      </w:r>
      <w:r w:rsidR="0073241E">
        <w:t xml:space="preserve">document </w:t>
      </w:r>
      <w:r w:rsidR="003F4B7E">
        <w:t xml:space="preserve">that has been used to inform the </w:t>
      </w:r>
      <w:r w:rsidR="00590291">
        <w:t xml:space="preserve">Council’s understanding of its </w:t>
      </w:r>
      <w:r w:rsidR="00D111EC">
        <w:t>objectively assess</w:t>
      </w:r>
      <w:r w:rsidR="003F4B7E">
        <w:t>ed need for public open space</w:t>
      </w:r>
      <w:r w:rsidR="00590291">
        <w:t>.</w:t>
      </w:r>
    </w:p>
    <w:p w14:paraId="6E9A1B8B" w14:textId="77777777" w:rsidR="0073241E" w:rsidRDefault="0073241E" w:rsidP="00CE5053">
      <w:pPr>
        <w:pStyle w:val="ListParagraph"/>
        <w:numPr>
          <w:ilvl w:val="2"/>
          <w:numId w:val="24"/>
        </w:numPr>
        <w:spacing w:after="240"/>
        <w:ind w:left="737" w:hanging="737"/>
        <w:contextualSpacing w:val="0"/>
      </w:pPr>
      <w:r>
        <w:t xml:space="preserve">The </w:t>
      </w:r>
      <w:r w:rsidR="006F5157" w:rsidRPr="00DC747B">
        <w:t>Council’s Parks and Open Space Strategy</w:t>
      </w:r>
      <w:r w:rsidR="00590291" w:rsidRPr="00DC747B">
        <w:t xml:space="preserve"> (OSS)</w:t>
      </w:r>
      <w:r w:rsidR="006F5157" w:rsidRPr="00DC747B">
        <w:t xml:space="preserve"> has also been used</w:t>
      </w:r>
      <w:r w:rsidR="00590291" w:rsidRPr="00DC747B">
        <w:t xml:space="preserve"> as a guide to describe the general types of interventions that may be required in the future to improve community access to public open space, parks and gardens in the borough.</w:t>
      </w:r>
      <w:r w:rsidR="006F5157">
        <w:t xml:space="preserve"> </w:t>
      </w:r>
      <w:r w:rsidR="00D13202">
        <w:t xml:space="preserve">A key principle of the </w:t>
      </w:r>
      <w:r w:rsidR="00590291">
        <w:t>OSS</w:t>
      </w:r>
      <w:r w:rsidR="00D13202">
        <w:t xml:space="preserve"> w</w:t>
      </w:r>
      <w:r w:rsidR="00473207">
        <w:t>ill be</w:t>
      </w:r>
      <w:r w:rsidR="00D13202">
        <w:t xml:space="preserve"> to recognise the critical importance of supporting and enhancing the biodiversity of Lewisham’s parks and open spaces for wildlife and conservation purposes as well as for the enjoyment of local communities</w:t>
      </w:r>
      <w:r w:rsidR="00FF7D7B">
        <w:t>.</w:t>
      </w:r>
    </w:p>
    <w:p w14:paraId="59C0BB46" w14:textId="77777777" w:rsidR="0073241E" w:rsidRDefault="00B244DF" w:rsidP="00CE5053">
      <w:pPr>
        <w:pStyle w:val="ListParagraph"/>
        <w:numPr>
          <w:ilvl w:val="2"/>
          <w:numId w:val="24"/>
        </w:numPr>
        <w:spacing w:after="240"/>
        <w:ind w:left="737" w:hanging="737"/>
        <w:contextualSpacing w:val="0"/>
      </w:pPr>
      <w:r>
        <w:t xml:space="preserve">References to ‘open space’ in this section refer to the Greenspace Information for Greater London </w:t>
      </w:r>
      <w:r w:rsidR="00DC747B">
        <w:t>GIC (GiGL) categories</w:t>
      </w:r>
      <w:r>
        <w:t xml:space="preserve">, some of which by their nature provide </w:t>
      </w:r>
      <w:r w:rsidR="00CE46B4">
        <w:t xml:space="preserve">a </w:t>
      </w:r>
      <w:r>
        <w:t xml:space="preserve">greater </w:t>
      </w:r>
      <w:r w:rsidR="00CE46B4">
        <w:t xml:space="preserve">level of </w:t>
      </w:r>
      <w:r>
        <w:t xml:space="preserve">public access than others. </w:t>
      </w:r>
      <w:r w:rsidR="00CE46B4">
        <w:t>References to ‘public open space’ follows the GiGL definition of “a designation applied to sites that are publicly accessible and perform a role in the local community”.</w:t>
      </w:r>
    </w:p>
    <w:p w14:paraId="192AA78D" w14:textId="77777777" w:rsidR="00B244DF" w:rsidRDefault="00796CC1" w:rsidP="00CE5053">
      <w:pPr>
        <w:pStyle w:val="ListParagraph"/>
        <w:numPr>
          <w:ilvl w:val="2"/>
          <w:numId w:val="24"/>
        </w:numPr>
        <w:spacing w:after="240"/>
        <w:ind w:left="737" w:hanging="737"/>
        <w:contextualSpacing w:val="0"/>
      </w:pPr>
      <w:r>
        <w:t>The cate</w:t>
      </w:r>
      <w:r w:rsidR="00B244DF">
        <w:t>gories</w:t>
      </w:r>
      <w:r w:rsidR="00DC747B">
        <w:t xml:space="preserve"> </w:t>
      </w:r>
      <w:r>
        <w:t>surveyed in the OSA were</w:t>
      </w:r>
      <w:r w:rsidR="00B244DF">
        <w:t>:</w:t>
      </w:r>
    </w:p>
    <w:p w14:paraId="7CB3CED3" w14:textId="77777777" w:rsidR="00DC747B" w:rsidRDefault="00B244DF" w:rsidP="00CE5053">
      <w:pPr>
        <w:pStyle w:val="ListParagraph"/>
        <w:numPr>
          <w:ilvl w:val="0"/>
          <w:numId w:val="2"/>
        </w:numPr>
      </w:pPr>
      <w:r>
        <w:t>Allotments</w:t>
      </w:r>
      <w:r w:rsidR="00DC747B">
        <w:t>, community gardens and City farms;</w:t>
      </w:r>
    </w:p>
    <w:p w14:paraId="31AD7383" w14:textId="77777777" w:rsidR="00DC747B" w:rsidRDefault="00DC747B" w:rsidP="00CE5053">
      <w:pPr>
        <w:pStyle w:val="ListParagraph"/>
        <w:numPr>
          <w:ilvl w:val="0"/>
          <w:numId w:val="2"/>
        </w:numPr>
      </w:pPr>
      <w:r>
        <w:t>Amenity</w:t>
      </w:r>
      <w:r w:rsidR="00796CC1">
        <w:t xml:space="preserve"> (including gardens</w:t>
      </w:r>
      <w:r w:rsidR="00CE46B4">
        <w:t xml:space="preserve"> and</w:t>
      </w:r>
      <w:r w:rsidR="00796CC1">
        <w:t xml:space="preserve"> landscaped open spaces within</w:t>
      </w:r>
      <w:r w:rsidR="00CE46B4">
        <w:t xml:space="preserve"> housing estates</w:t>
      </w:r>
      <w:r w:rsidR="00796CC1">
        <w:t>)</w:t>
      </w:r>
      <w:r>
        <w:t>;</w:t>
      </w:r>
    </w:p>
    <w:p w14:paraId="79D58227" w14:textId="77777777" w:rsidR="00DC747B" w:rsidRDefault="00DC747B" w:rsidP="00CE5053">
      <w:pPr>
        <w:pStyle w:val="ListParagraph"/>
        <w:numPr>
          <w:ilvl w:val="0"/>
          <w:numId w:val="2"/>
        </w:numPr>
      </w:pPr>
      <w:r>
        <w:t>Cemeteries and churchyards;</w:t>
      </w:r>
    </w:p>
    <w:p w14:paraId="2192C09D" w14:textId="77777777" w:rsidR="00DC747B" w:rsidRDefault="00DC747B" w:rsidP="00CE5053">
      <w:pPr>
        <w:pStyle w:val="ListParagraph"/>
        <w:numPr>
          <w:ilvl w:val="0"/>
          <w:numId w:val="2"/>
        </w:numPr>
      </w:pPr>
      <w:r>
        <w:t>Children and teenagers</w:t>
      </w:r>
      <w:r w:rsidR="00796CC1">
        <w:t xml:space="preserve"> (including playgrounds with equipment / facilities for informal play, that can be public or semi-public in nature)</w:t>
      </w:r>
      <w:r>
        <w:t>;</w:t>
      </w:r>
    </w:p>
    <w:p w14:paraId="11D4AC4D" w14:textId="77777777" w:rsidR="00DC747B" w:rsidRDefault="00DC747B" w:rsidP="00CE5053">
      <w:pPr>
        <w:pStyle w:val="ListParagraph"/>
        <w:numPr>
          <w:ilvl w:val="0"/>
          <w:numId w:val="2"/>
        </w:numPr>
      </w:pPr>
      <w:r>
        <w:t>Green corridors</w:t>
      </w:r>
      <w:r w:rsidR="00796CC1">
        <w:t xml:space="preserve"> (including rail corridors and embankments, residual utility land with restricted public access)</w:t>
      </w:r>
      <w:r>
        <w:t>;</w:t>
      </w:r>
    </w:p>
    <w:p w14:paraId="4FB1483C" w14:textId="77777777" w:rsidR="00DC747B" w:rsidRDefault="00DC747B" w:rsidP="00CE5053">
      <w:pPr>
        <w:pStyle w:val="ListParagraph"/>
        <w:numPr>
          <w:ilvl w:val="0"/>
          <w:numId w:val="2"/>
        </w:numPr>
      </w:pPr>
      <w:r>
        <w:t>Natural and semi-natural urban greenspace;</w:t>
      </w:r>
    </w:p>
    <w:p w14:paraId="0393DA2A" w14:textId="77777777" w:rsidR="00DC747B" w:rsidRDefault="00DC747B" w:rsidP="00CE5053">
      <w:pPr>
        <w:pStyle w:val="ListParagraph"/>
        <w:numPr>
          <w:ilvl w:val="0"/>
          <w:numId w:val="2"/>
        </w:numPr>
      </w:pPr>
      <w:r>
        <w:t>Outdoor sports facilities; and</w:t>
      </w:r>
    </w:p>
    <w:p w14:paraId="752D570B" w14:textId="77777777" w:rsidR="00B244DF" w:rsidRDefault="00DC747B" w:rsidP="00CE5053">
      <w:pPr>
        <w:pStyle w:val="ListParagraph"/>
        <w:numPr>
          <w:ilvl w:val="0"/>
          <w:numId w:val="2"/>
        </w:numPr>
        <w:spacing w:after="240"/>
        <w:ind w:left="1451" w:hanging="357"/>
        <w:contextualSpacing w:val="0"/>
      </w:pPr>
      <w:r>
        <w:lastRenderedPageBreak/>
        <w:t>Parks and gardens.</w:t>
      </w:r>
    </w:p>
    <w:p w14:paraId="3A531F1F" w14:textId="77777777" w:rsidR="008101F8" w:rsidRDefault="00796CC1" w:rsidP="00CE5053">
      <w:pPr>
        <w:pStyle w:val="ListParagraph"/>
        <w:numPr>
          <w:ilvl w:val="2"/>
          <w:numId w:val="24"/>
        </w:numPr>
        <w:spacing w:after="240"/>
        <w:ind w:left="737" w:hanging="737"/>
        <w:contextualSpacing w:val="0"/>
      </w:pPr>
      <w:r>
        <w:t>Council’s OSA survey excluded the following open space categories: private green</w:t>
      </w:r>
      <w:r w:rsidR="00CE46B4">
        <w:t xml:space="preserve"> </w:t>
      </w:r>
      <w:r>
        <w:t>space; golf courses; agricultural land; urban greyspaces; road verges; and sites left over after development.</w:t>
      </w:r>
    </w:p>
    <w:p w14:paraId="2ED78256" w14:textId="77777777" w:rsidR="008101F8" w:rsidRPr="008101F8" w:rsidRDefault="00DF60C7" w:rsidP="00CE5053">
      <w:pPr>
        <w:pStyle w:val="ListParagraph"/>
        <w:numPr>
          <w:ilvl w:val="0"/>
          <w:numId w:val="0"/>
        </w:numPr>
        <w:spacing w:after="240"/>
        <w:ind w:left="737"/>
        <w:contextualSpacing w:val="0"/>
      </w:pPr>
      <w:r w:rsidRPr="008101F8">
        <w:rPr>
          <w:b/>
        </w:rPr>
        <w:t xml:space="preserve">Current situation </w:t>
      </w:r>
    </w:p>
    <w:p w14:paraId="4E752395" w14:textId="77777777" w:rsidR="00DF60C7" w:rsidRDefault="00590291" w:rsidP="00CE5053">
      <w:pPr>
        <w:pStyle w:val="ListParagraph"/>
        <w:numPr>
          <w:ilvl w:val="2"/>
          <w:numId w:val="24"/>
        </w:numPr>
        <w:spacing w:after="240"/>
        <w:ind w:left="737" w:hanging="737"/>
        <w:contextualSpacing w:val="0"/>
      </w:pPr>
      <w:r>
        <w:t xml:space="preserve">As of 2018, there </w:t>
      </w:r>
      <w:r w:rsidR="00CE46B4">
        <w:t>is</w:t>
      </w:r>
      <w:r>
        <w:t xml:space="preserve"> </w:t>
      </w:r>
      <w:r w:rsidR="00AE2AEE">
        <w:t>777</w:t>
      </w:r>
      <w:r w:rsidR="00CE46B4">
        <w:t>.59</w:t>
      </w:r>
      <w:r w:rsidR="00AE2AEE">
        <w:t xml:space="preserve"> hectares (ha) of</w:t>
      </w:r>
      <w:r w:rsidR="00DF60C7" w:rsidRPr="00595E96">
        <w:t xml:space="preserve"> open space</w:t>
      </w:r>
      <w:r w:rsidR="00AE2AEE">
        <w:t xml:space="preserve"> in the borough</w:t>
      </w:r>
      <w:r w:rsidR="00832B41">
        <w:t>, as set out in Table 9 below</w:t>
      </w:r>
      <w:r w:rsidR="00AE2AEE">
        <w:t>. Of this, around two-thirds (</w:t>
      </w:r>
      <w:r w:rsidR="00DF60C7" w:rsidRPr="00595E96">
        <w:t>5</w:t>
      </w:r>
      <w:r w:rsidR="00CE46B4">
        <w:t>0</w:t>
      </w:r>
      <w:r w:rsidR="00DF60C7" w:rsidRPr="00595E96">
        <w:t>4</w:t>
      </w:r>
      <w:r w:rsidR="00CE46B4">
        <w:t>.46</w:t>
      </w:r>
      <w:r w:rsidR="00DF60C7" w:rsidRPr="00595E96">
        <w:t xml:space="preserve"> h</w:t>
      </w:r>
      <w:r w:rsidR="00AE2AEE">
        <w:t xml:space="preserve">ectares) </w:t>
      </w:r>
      <w:r w:rsidR="00CE46B4">
        <w:t>is</w:t>
      </w:r>
      <w:r w:rsidR="00AE2AEE">
        <w:t xml:space="preserve"> considered to be </w:t>
      </w:r>
      <w:r w:rsidR="00DF60C7" w:rsidRPr="00595E96">
        <w:t>public</w:t>
      </w:r>
      <w:r w:rsidR="00AE2AEE">
        <w:t xml:space="preserve"> open space and accessible to the community, with the remaining one-third </w:t>
      </w:r>
      <w:r w:rsidR="00CE46B4">
        <w:t xml:space="preserve">(273.13 hectares) </w:t>
      </w:r>
      <w:r w:rsidR="00AE2AEE">
        <w:t>co</w:t>
      </w:r>
      <w:r w:rsidR="00CE46B4">
        <w:t>mpris</w:t>
      </w:r>
      <w:r w:rsidR="00AE2AEE">
        <w:t xml:space="preserve">ing </w:t>
      </w:r>
      <w:r w:rsidR="00CE46B4">
        <w:t>mainly of</w:t>
      </w:r>
      <w:r w:rsidR="00B244DF">
        <w:t xml:space="preserve"> </w:t>
      </w:r>
      <w:r w:rsidR="00AE2AEE">
        <w:t>g</w:t>
      </w:r>
      <w:r w:rsidR="00DF60C7" w:rsidRPr="00595E96">
        <w:t>reen corridors</w:t>
      </w:r>
      <w:r w:rsidR="00CE46B4">
        <w:t xml:space="preserve"> (such as </w:t>
      </w:r>
      <w:r w:rsidR="00AE2AEE">
        <w:t>railway embankment land</w:t>
      </w:r>
      <w:r w:rsidR="00CE46B4">
        <w:t xml:space="preserve"> and cutting reserves) and</w:t>
      </w:r>
      <w:r w:rsidR="00AE2AEE">
        <w:t xml:space="preserve"> </w:t>
      </w:r>
      <w:r w:rsidR="00CE46B4">
        <w:t>outdoor sports facilities that provide no or highly restricted public access</w:t>
      </w:r>
      <w:r w:rsidR="00DF60C7" w:rsidRPr="00595E96">
        <w:t>.</w:t>
      </w:r>
    </w:p>
    <w:tbl>
      <w:tblPr>
        <w:tblStyle w:val="ListTable3-Accent32"/>
        <w:tblW w:w="4590"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3047"/>
        <w:gridCol w:w="1051"/>
        <w:gridCol w:w="888"/>
        <w:gridCol w:w="987"/>
        <w:gridCol w:w="989"/>
        <w:gridCol w:w="987"/>
        <w:gridCol w:w="989"/>
      </w:tblGrid>
      <w:tr w:rsidR="007B10F6" w:rsidRPr="00324C84" w14:paraId="6BBEE302" w14:textId="77777777" w:rsidTr="00796CC1">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705" w:type="pct"/>
            <w:vMerge w:val="restart"/>
            <w:shd w:val="clear" w:color="auto" w:fill="002060"/>
          </w:tcPr>
          <w:p w14:paraId="2455D20B" w14:textId="77777777" w:rsidR="007B10F6" w:rsidRPr="00796CC1" w:rsidRDefault="007B10F6" w:rsidP="00CE5053">
            <w:pPr>
              <w:tabs>
                <w:tab w:val="center" w:pos="3056"/>
                <w:tab w:val="left" w:pos="4975"/>
              </w:tabs>
              <w:spacing w:before="40" w:after="40"/>
              <w:rPr>
                <w:sz w:val="20"/>
                <w:szCs w:val="18"/>
              </w:rPr>
            </w:pPr>
            <w:r w:rsidRPr="00796CC1">
              <w:rPr>
                <w:sz w:val="20"/>
                <w:szCs w:val="18"/>
              </w:rPr>
              <w:t>Open space category</w:t>
            </w:r>
          </w:p>
        </w:tc>
        <w:tc>
          <w:tcPr>
            <w:tcW w:w="1085" w:type="pct"/>
            <w:gridSpan w:val="2"/>
            <w:tcBorders>
              <w:bottom w:val="single" w:sz="4" w:space="0" w:color="FFFFFF" w:themeColor="background1"/>
            </w:tcBorders>
            <w:shd w:val="clear" w:color="auto" w:fill="002060"/>
          </w:tcPr>
          <w:p w14:paraId="5DD8FE58" w14:textId="77777777" w:rsidR="007B10F6" w:rsidRPr="00796CC1" w:rsidRDefault="007B7D3F"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No public access</w:t>
            </w:r>
          </w:p>
        </w:tc>
        <w:tc>
          <w:tcPr>
            <w:tcW w:w="1105" w:type="pct"/>
            <w:gridSpan w:val="2"/>
            <w:tcBorders>
              <w:bottom w:val="single" w:sz="4" w:space="0" w:color="FFFFFF" w:themeColor="background1"/>
            </w:tcBorders>
            <w:shd w:val="clear" w:color="auto" w:fill="002060"/>
          </w:tcPr>
          <w:p w14:paraId="12C3F6C7" w14:textId="77777777" w:rsidR="007B10F6" w:rsidRPr="00796CC1" w:rsidRDefault="007B7D3F"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bCs w:val="0"/>
                <w:sz w:val="20"/>
                <w:szCs w:val="18"/>
              </w:rPr>
            </w:pPr>
            <w:r>
              <w:rPr>
                <w:bCs w:val="0"/>
                <w:sz w:val="20"/>
                <w:szCs w:val="18"/>
              </w:rPr>
              <w:t>Public access</w:t>
            </w:r>
          </w:p>
        </w:tc>
        <w:tc>
          <w:tcPr>
            <w:tcW w:w="1105" w:type="pct"/>
            <w:gridSpan w:val="2"/>
            <w:tcBorders>
              <w:bottom w:val="single" w:sz="4" w:space="0" w:color="FFFFFF" w:themeColor="background1"/>
            </w:tcBorders>
            <w:shd w:val="clear" w:color="auto" w:fill="002060"/>
          </w:tcPr>
          <w:p w14:paraId="72A0185B" w14:textId="77777777" w:rsidR="007B10F6" w:rsidRPr="00796CC1" w:rsidRDefault="007B10F6"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sidRPr="00796CC1">
              <w:rPr>
                <w:sz w:val="20"/>
                <w:szCs w:val="18"/>
              </w:rPr>
              <w:t>Borough total</w:t>
            </w:r>
          </w:p>
        </w:tc>
      </w:tr>
      <w:tr w:rsidR="007B10F6" w:rsidRPr="00324C84" w14:paraId="26FCDBE1" w14:textId="77777777" w:rsidTr="00796CC1">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705" w:type="pct"/>
            <w:vMerge/>
            <w:tcBorders>
              <w:bottom w:val="single" w:sz="4" w:space="0" w:color="FFFFFF" w:themeColor="background1"/>
            </w:tcBorders>
            <w:shd w:val="clear" w:color="auto" w:fill="002060"/>
          </w:tcPr>
          <w:p w14:paraId="2ECAA31B" w14:textId="77777777" w:rsidR="007B10F6" w:rsidRPr="00796CC1" w:rsidRDefault="007B10F6" w:rsidP="00CE5053">
            <w:pPr>
              <w:tabs>
                <w:tab w:val="center" w:pos="3056"/>
                <w:tab w:val="left" w:pos="4975"/>
              </w:tabs>
              <w:spacing w:before="40" w:after="40"/>
              <w:rPr>
                <w:sz w:val="20"/>
                <w:szCs w:val="18"/>
              </w:rPr>
            </w:pPr>
          </w:p>
        </w:tc>
        <w:tc>
          <w:tcPr>
            <w:tcW w:w="588" w:type="pct"/>
            <w:tcBorders>
              <w:top w:val="single" w:sz="4" w:space="0" w:color="FFFFFF" w:themeColor="background1"/>
              <w:bottom w:val="single" w:sz="4" w:space="0" w:color="FFFFFF" w:themeColor="background1"/>
            </w:tcBorders>
            <w:shd w:val="clear" w:color="auto" w:fill="002060"/>
          </w:tcPr>
          <w:p w14:paraId="6BABE843" w14:textId="77777777" w:rsidR="007B10F6" w:rsidRPr="00796CC1" w:rsidRDefault="007B10F6"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 w:val="0"/>
                <w:bCs w:val="0"/>
                <w:sz w:val="20"/>
                <w:szCs w:val="18"/>
              </w:rPr>
            </w:pPr>
            <w:r w:rsidRPr="00796CC1">
              <w:rPr>
                <w:sz w:val="20"/>
                <w:szCs w:val="18"/>
              </w:rPr>
              <w:t># sites</w:t>
            </w:r>
          </w:p>
        </w:tc>
        <w:tc>
          <w:tcPr>
            <w:tcW w:w="497" w:type="pct"/>
            <w:tcBorders>
              <w:top w:val="single" w:sz="4" w:space="0" w:color="FFFFFF" w:themeColor="background1"/>
              <w:bottom w:val="single" w:sz="4" w:space="0" w:color="FFFFFF" w:themeColor="background1"/>
            </w:tcBorders>
            <w:shd w:val="clear" w:color="auto" w:fill="002060"/>
          </w:tcPr>
          <w:p w14:paraId="558B2A42" w14:textId="77777777" w:rsidR="007B10F6" w:rsidRPr="00796CC1" w:rsidRDefault="007B10F6"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 w:val="0"/>
                <w:bCs w:val="0"/>
                <w:sz w:val="20"/>
                <w:szCs w:val="18"/>
              </w:rPr>
            </w:pPr>
            <w:r w:rsidRPr="00796CC1">
              <w:rPr>
                <w:sz w:val="20"/>
                <w:szCs w:val="18"/>
              </w:rPr>
              <w:t>Area (Ha)</w:t>
            </w:r>
          </w:p>
        </w:tc>
        <w:tc>
          <w:tcPr>
            <w:tcW w:w="552" w:type="pct"/>
            <w:tcBorders>
              <w:top w:val="single" w:sz="4" w:space="0" w:color="FFFFFF" w:themeColor="background1"/>
              <w:bottom w:val="single" w:sz="4" w:space="0" w:color="FFFFFF" w:themeColor="background1"/>
            </w:tcBorders>
            <w:shd w:val="clear" w:color="auto" w:fill="002060"/>
          </w:tcPr>
          <w:p w14:paraId="753210D9" w14:textId="77777777" w:rsidR="007B10F6" w:rsidRPr="00796CC1" w:rsidRDefault="007B10F6"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b w:val="0"/>
                <w:bCs w:val="0"/>
                <w:sz w:val="20"/>
                <w:szCs w:val="18"/>
              </w:rPr>
            </w:pPr>
            <w:r w:rsidRPr="00796CC1">
              <w:rPr>
                <w:sz w:val="20"/>
                <w:szCs w:val="18"/>
              </w:rPr>
              <w:t># sites</w:t>
            </w:r>
          </w:p>
        </w:tc>
        <w:tc>
          <w:tcPr>
            <w:tcW w:w="553" w:type="pct"/>
            <w:tcBorders>
              <w:top w:val="single" w:sz="4" w:space="0" w:color="FFFFFF" w:themeColor="background1"/>
              <w:bottom w:val="single" w:sz="4" w:space="0" w:color="FFFFFF" w:themeColor="background1"/>
            </w:tcBorders>
            <w:shd w:val="clear" w:color="auto" w:fill="002060"/>
          </w:tcPr>
          <w:p w14:paraId="72153764" w14:textId="77777777" w:rsidR="007B10F6" w:rsidRPr="00796CC1" w:rsidRDefault="007B10F6"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b w:val="0"/>
                <w:bCs w:val="0"/>
                <w:sz w:val="20"/>
                <w:szCs w:val="18"/>
              </w:rPr>
            </w:pPr>
            <w:r w:rsidRPr="00796CC1">
              <w:rPr>
                <w:sz w:val="20"/>
                <w:szCs w:val="18"/>
              </w:rPr>
              <w:t>Area (Ha)</w:t>
            </w:r>
          </w:p>
        </w:tc>
        <w:tc>
          <w:tcPr>
            <w:tcW w:w="552" w:type="pct"/>
            <w:tcBorders>
              <w:top w:val="single" w:sz="4" w:space="0" w:color="FFFFFF" w:themeColor="background1"/>
              <w:bottom w:val="single" w:sz="4" w:space="0" w:color="FFFFFF" w:themeColor="background1"/>
            </w:tcBorders>
            <w:shd w:val="clear" w:color="auto" w:fill="002060"/>
          </w:tcPr>
          <w:p w14:paraId="066A9C5D" w14:textId="77777777" w:rsidR="007B10F6" w:rsidRPr="00796CC1" w:rsidRDefault="007B10F6"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b w:val="0"/>
                <w:bCs w:val="0"/>
                <w:sz w:val="20"/>
                <w:szCs w:val="18"/>
              </w:rPr>
            </w:pPr>
            <w:r w:rsidRPr="00796CC1">
              <w:rPr>
                <w:sz w:val="20"/>
                <w:szCs w:val="18"/>
              </w:rPr>
              <w:t># sites</w:t>
            </w:r>
          </w:p>
        </w:tc>
        <w:tc>
          <w:tcPr>
            <w:tcW w:w="553" w:type="pct"/>
            <w:tcBorders>
              <w:top w:val="single" w:sz="4" w:space="0" w:color="FFFFFF" w:themeColor="background1"/>
              <w:bottom w:val="single" w:sz="4" w:space="0" w:color="FFFFFF" w:themeColor="background1"/>
            </w:tcBorders>
            <w:shd w:val="clear" w:color="auto" w:fill="002060"/>
          </w:tcPr>
          <w:p w14:paraId="638337CD" w14:textId="77777777" w:rsidR="007B10F6" w:rsidRPr="00796CC1" w:rsidRDefault="007B10F6"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b w:val="0"/>
                <w:bCs w:val="0"/>
                <w:sz w:val="20"/>
                <w:szCs w:val="18"/>
              </w:rPr>
            </w:pPr>
            <w:r w:rsidRPr="00796CC1">
              <w:rPr>
                <w:sz w:val="20"/>
                <w:szCs w:val="18"/>
              </w:rPr>
              <w:t>Area (Ha)</w:t>
            </w:r>
          </w:p>
        </w:tc>
      </w:tr>
      <w:tr w:rsidR="00E84C3D" w:rsidRPr="00324C84" w14:paraId="0C41F7F4" w14:textId="77777777" w:rsidTr="00D4202B">
        <w:trPr>
          <w:cnfStyle w:val="100000000000" w:firstRow="1" w:lastRow="0" w:firstColumn="0" w:lastColumn="0" w:oddVBand="0" w:evenVBand="0" w:oddHBand="0" w:evenHBand="0" w:firstRowFirstColumn="0" w:firstRowLastColumn="0" w:lastRowFirstColumn="0" w:lastRowLastColumn="0"/>
          <w:trHeight w:val="171"/>
          <w:tblHeader/>
          <w:jc w:val="right"/>
        </w:trPr>
        <w:tc>
          <w:tcPr>
            <w:cnfStyle w:val="001000000100" w:firstRow="0" w:lastRow="0" w:firstColumn="1" w:lastColumn="0" w:oddVBand="0" w:evenVBand="0" w:oddHBand="0" w:evenHBand="0" w:firstRowFirstColumn="1" w:firstRowLastColumn="0" w:lastRowFirstColumn="0" w:lastRowLastColumn="0"/>
            <w:tcW w:w="1705" w:type="pct"/>
            <w:tcBorders>
              <w:top w:val="single" w:sz="4" w:space="0" w:color="FFFFFF" w:themeColor="background1"/>
              <w:bottom w:val="single" w:sz="4" w:space="0" w:color="FFFFFF" w:themeColor="background1"/>
            </w:tcBorders>
            <w:shd w:val="clear" w:color="auto" w:fill="F2F2F2" w:themeFill="background1" w:themeFillShade="F2"/>
          </w:tcPr>
          <w:p w14:paraId="43DF392E" w14:textId="77777777" w:rsidR="00E84C3D" w:rsidRPr="00EB77AC" w:rsidRDefault="007B7D3F" w:rsidP="00CE5053">
            <w:pPr>
              <w:spacing w:before="40" w:after="40"/>
              <w:rPr>
                <w:color w:val="auto"/>
                <w:sz w:val="20"/>
                <w:szCs w:val="18"/>
              </w:rPr>
            </w:pPr>
            <w:r w:rsidRPr="00EB77AC">
              <w:rPr>
                <w:color w:val="auto"/>
                <w:sz w:val="20"/>
                <w:szCs w:val="18"/>
              </w:rPr>
              <w:t xml:space="preserve">Allotments, </w:t>
            </w:r>
            <w:r w:rsidR="00E84C3D" w:rsidRPr="00EB77AC">
              <w:rPr>
                <w:color w:val="auto"/>
                <w:sz w:val="20"/>
                <w:szCs w:val="18"/>
              </w:rPr>
              <w:t xml:space="preserve">community gardens </w:t>
            </w:r>
            <w:r w:rsidRPr="00EB77AC">
              <w:rPr>
                <w:color w:val="auto"/>
                <w:sz w:val="20"/>
                <w:szCs w:val="18"/>
              </w:rPr>
              <w:t>and city farms</w:t>
            </w:r>
          </w:p>
        </w:tc>
        <w:tc>
          <w:tcPr>
            <w:tcW w:w="588" w:type="pct"/>
            <w:tcBorders>
              <w:top w:val="single" w:sz="4" w:space="0" w:color="FFFFFF" w:themeColor="background1"/>
              <w:bottom w:val="single" w:sz="4" w:space="0" w:color="FFFFFF" w:themeColor="background1"/>
            </w:tcBorders>
            <w:shd w:val="clear" w:color="auto" w:fill="F2F2F2" w:themeFill="background1" w:themeFillShade="F2"/>
          </w:tcPr>
          <w:p w14:paraId="065D2414"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w:t>
            </w:r>
          </w:p>
        </w:tc>
        <w:tc>
          <w:tcPr>
            <w:tcW w:w="497" w:type="pct"/>
            <w:tcBorders>
              <w:top w:val="single" w:sz="4" w:space="0" w:color="FFFFFF" w:themeColor="background1"/>
              <w:bottom w:val="single" w:sz="4" w:space="0" w:color="FFFFFF" w:themeColor="background1"/>
            </w:tcBorders>
            <w:shd w:val="clear" w:color="auto" w:fill="F2F2F2" w:themeFill="background1" w:themeFillShade="F2"/>
          </w:tcPr>
          <w:p w14:paraId="2A585808"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0.34</w:t>
            </w:r>
          </w:p>
        </w:tc>
        <w:tc>
          <w:tcPr>
            <w:tcW w:w="552" w:type="pct"/>
            <w:tcBorders>
              <w:top w:val="single" w:sz="4" w:space="0" w:color="FFFFFF" w:themeColor="background1"/>
            </w:tcBorders>
            <w:shd w:val="clear" w:color="auto" w:fill="F2F2F2" w:themeFill="background1" w:themeFillShade="F2"/>
          </w:tcPr>
          <w:p w14:paraId="43FBD11F"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45</w:t>
            </w:r>
          </w:p>
        </w:tc>
        <w:tc>
          <w:tcPr>
            <w:tcW w:w="553" w:type="pct"/>
            <w:tcBorders>
              <w:top w:val="single" w:sz="4" w:space="0" w:color="FFFFFF" w:themeColor="background1"/>
            </w:tcBorders>
            <w:shd w:val="clear" w:color="auto" w:fill="F2F2F2" w:themeFill="background1" w:themeFillShade="F2"/>
          </w:tcPr>
          <w:p w14:paraId="0ADCE1E0"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21.54</w:t>
            </w:r>
          </w:p>
        </w:tc>
        <w:tc>
          <w:tcPr>
            <w:tcW w:w="552" w:type="pct"/>
            <w:tcBorders>
              <w:top w:val="single" w:sz="4" w:space="0" w:color="FFFFFF" w:themeColor="background1"/>
            </w:tcBorders>
            <w:shd w:val="clear" w:color="auto" w:fill="F2F2F2" w:themeFill="background1" w:themeFillShade="F2"/>
          </w:tcPr>
          <w:p w14:paraId="3BBCF047"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46</w:t>
            </w:r>
          </w:p>
        </w:tc>
        <w:tc>
          <w:tcPr>
            <w:tcW w:w="553" w:type="pct"/>
            <w:tcBorders>
              <w:top w:val="single" w:sz="4" w:space="0" w:color="FFFFFF" w:themeColor="background1"/>
            </w:tcBorders>
            <w:shd w:val="clear" w:color="auto" w:fill="F2F2F2" w:themeFill="background1" w:themeFillShade="F2"/>
          </w:tcPr>
          <w:p w14:paraId="5744DE5A"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21.88</w:t>
            </w:r>
          </w:p>
        </w:tc>
      </w:tr>
      <w:tr w:rsidR="00E84C3D" w:rsidRPr="00324C84" w14:paraId="1FC20696" w14:textId="77777777" w:rsidTr="00D4202B">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1705" w:type="pct"/>
            <w:tcBorders>
              <w:top w:val="single" w:sz="4" w:space="0" w:color="FFFFFF" w:themeColor="background1"/>
              <w:bottom w:val="single" w:sz="4" w:space="0" w:color="FFFFFF" w:themeColor="background1"/>
            </w:tcBorders>
            <w:shd w:val="clear" w:color="auto" w:fill="F2F2F2" w:themeFill="background1" w:themeFillShade="F2"/>
          </w:tcPr>
          <w:p w14:paraId="179E380B" w14:textId="77777777" w:rsidR="00E84C3D" w:rsidRPr="00EB77AC" w:rsidRDefault="00E84C3D" w:rsidP="00CE5053">
            <w:pPr>
              <w:spacing w:before="40" w:after="40"/>
              <w:rPr>
                <w:color w:val="auto"/>
                <w:sz w:val="20"/>
                <w:szCs w:val="18"/>
              </w:rPr>
            </w:pPr>
            <w:r w:rsidRPr="00EB77AC">
              <w:rPr>
                <w:color w:val="auto"/>
                <w:sz w:val="20"/>
                <w:szCs w:val="18"/>
              </w:rPr>
              <w:t>Amenity spaces</w:t>
            </w:r>
          </w:p>
        </w:tc>
        <w:tc>
          <w:tcPr>
            <w:tcW w:w="588" w:type="pct"/>
            <w:tcBorders>
              <w:top w:val="single" w:sz="4" w:space="0" w:color="FFFFFF" w:themeColor="background1"/>
              <w:bottom w:val="single" w:sz="4" w:space="0" w:color="FFFFFF" w:themeColor="background1"/>
            </w:tcBorders>
            <w:shd w:val="clear" w:color="auto" w:fill="F2F2F2" w:themeFill="background1" w:themeFillShade="F2"/>
          </w:tcPr>
          <w:p w14:paraId="111B77A1"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17</w:t>
            </w:r>
          </w:p>
        </w:tc>
        <w:tc>
          <w:tcPr>
            <w:tcW w:w="497" w:type="pct"/>
            <w:tcBorders>
              <w:top w:val="single" w:sz="4" w:space="0" w:color="FFFFFF" w:themeColor="background1"/>
              <w:bottom w:val="single" w:sz="4" w:space="0" w:color="FFFFFF" w:themeColor="background1"/>
            </w:tcBorders>
            <w:shd w:val="clear" w:color="auto" w:fill="F2F2F2" w:themeFill="background1" w:themeFillShade="F2"/>
          </w:tcPr>
          <w:p w14:paraId="4C2D371D"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7.78</w:t>
            </w:r>
          </w:p>
        </w:tc>
        <w:tc>
          <w:tcPr>
            <w:tcW w:w="552" w:type="pct"/>
            <w:tcBorders>
              <w:top w:val="single" w:sz="4" w:space="0" w:color="FFFFFF" w:themeColor="background1"/>
              <w:bottom w:val="single" w:sz="4" w:space="0" w:color="FFFFFF" w:themeColor="background1"/>
            </w:tcBorders>
            <w:shd w:val="clear" w:color="auto" w:fill="F2F2F2" w:themeFill="background1" w:themeFillShade="F2"/>
          </w:tcPr>
          <w:p w14:paraId="58B94B75"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72</w:t>
            </w:r>
          </w:p>
        </w:tc>
        <w:tc>
          <w:tcPr>
            <w:tcW w:w="553" w:type="pct"/>
            <w:tcBorders>
              <w:top w:val="single" w:sz="4" w:space="0" w:color="FFFFFF" w:themeColor="background1"/>
              <w:bottom w:val="single" w:sz="4" w:space="0" w:color="FFFFFF" w:themeColor="background1"/>
            </w:tcBorders>
            <w:shd w:val="clear" w:color="auto" w:fill="F2F2F2" w:themeFill="background1" w:themeFillShade="F2"/>
          </w:tcPr>
          <w:p w14:paraId="52DEC9A2"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65.59</w:t>
            </w:r>
          </w:p>
        </w:tc>
        <w:tc>
          <w:tcPr>
            <w:tcW w:w="552" w:type="pct"/>
            <w:tcBorders>
              <w:top w:val="single" w:sz="4" w:space="0" w:color="FFFFFF" w:themeColor="background1"/>
              <w:bottom w:val="single" w:sz="4" w:space="0" w:color="FFFFFF" w:themeColor="background1"/>
            </w:tcBorders>
            <w:shd w:val="clear" w:color="auto" w:fill="F2F2F2" w:themeFill="background1" w:themeFillShade="F2"/>
          </w:tcPr>
          <w:p w14:paraId="4EF93A77"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89</w:t>
            </w:r>
          </w:p>
        </w:tc>
        <w:tc>
          <w:tcPr>
            <w:tcW w:w="553" w:type="pct"/>
            <w:tcBorders>
              <w:top w:val="single" w:sz="4" w:space="0" w:color="FFFFFF" w:themeColor="background1"/>
              <w:bottom w:val="single" w:sz="4" w:space="0" w:color="FFFFFF" w:themeColor="background1"/>
            </w:tcBorders>
            <w:shd w:val="clear" w:color="auto" w:fill="F2F2F2" w:themeFill="background1" w:themeFillShade="F2"/>
          </w:tcPr>
          <w:p w14:paraId="7251CE88" w14:textId="77777777" w:rsidR="00E84C3D"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65.59</w:t>
            </w:r>
          </w:p>
        </w:tc>
      </w:tr>
      <w:tr w:rsidR="00D4202B" w:rsidRPr="00324C84" w14:paraId="73642EDC" w14:textId="77777777" w:rsidTr="00D4202B">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1705" w:type="pct"/>
            <w:tcBorders>
              <w:top w:val="single" w:sz="4" w:space="0" w:color="FFFFFF" w:themeColor="background1"/>
              <w:bottom w:val="single" w:sz="4" w:space="0" w:color="FFFFFF" w:themeColor="background1"/>
            </w:tcBorders>
            <w:shd w:val="clear" w:color="auto" w:fill="F2F2F2" w:themeFill="background1" w:themeFillShade="F2"/>
          </w:tcPr>
          <w:p w14:paraId="04CF3CF3" w14:textId="77777777" w:rsidR="00D4202B" w:rsidRPr="00EB77AC" w:rsidRDefault="00D4202B" w:rsidP="00CE5053">
            <w:pPr>
              <w:spacing w:before="40" w:after="40"/>
              <w:rPr>
                <w:color w:val="auto"/>
                <w:sz w:val="20"/>
                <w:szCs w:val="18"/>
              </w:rPr>
            </w:pPr>
            <w:r w:rsidRPr="00EB77AC">
              <w:rPr>
                <w:color w:val="auto"/>
                <w:sz w:val="20"/>
                <w:szCs w:val="18"/>
              </w:rPr>
              <w:t>Cemeteries &amp; churchyards</w:t>
            </w:r>
          </w:p>
        </w:tc>
        <w:tc>
          <w:tcPr>
            <w:tcW w:w="588" w:type="pct"/>
            <w:tcBorders>
              <w:top w:val="single" w:sz="4" w:space="0" w:color="FFFFFF" w:themeColor="background1"/>
              <w:bottom w:val="single" w:sz="4" w:space="0" w:color="FFFFFF" w:themeColor="background1"/>
            </w:tcBorders>
            <w:shd w:val="clear" w:color="auto" w:fill="F2F2F2" w:themeFill="background1" w:themeFillShade="F2"/>
          </w:tcPr>
          <w:p w14:paraId="6DF7B9A8"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w:t>
            </w:r>
          </w:p>
        </w:tc>
        <w:tc>
          <w:tcPr>
            <w:tcW w:w="497" w:type="pct"/>
            <w:tcBorders>
              <w:top w:val="single" w:sz="4" w:space="0" w:color="FFFFFF" w:themeColor="background1"/>
              <w:bottom w:val="single" w:sz="4" w:space="0" w:color="FFFFFF" w:themeColor="background1"/>
            </w:tcBorders>
            <w:shd w:val="clear" w:color="auto" w:fill="F2F2F2" w:themeFill="background1" w:themeFillShade="F2"/>
          </w:tcPr>
          <w:p w14:paraId="41ED30F3"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w:t>
            </w:r>
          </w:p>
        </w:tc>
        <w:tc>
          <w:tcPr>
            <w:tcW w:w="552" w:type="pct"/>
            <w:shd w:val="clear" w:color="auto" w:fill="F2F2F2" w:themeFill="background1" w:themeFillShade="F2"/>
          </w:tcPr>
          <w:p w14:paraId="4737E36C"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11</w:t>
            </w:r>
          </w:p>
        </w:tc>
        <w:tc>
          <w:tcPr>
            <w:tcW w:w="553" w:type="pct"/>
            <w:shd w:val="clear" w:color="auto" w:fill="F2F2F2" w:themeFill="background1" w:themeFillShade="F2"/>
          </w:tcPr>
          <w:p w14:paraId="61CF2CE6"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52.3</w:t>
            </w:r>
          </w:p>
        </w:tc>
        <w:tc>
          <w:tcPr>
            <w:tcW w:w="552" w:type="pct"/>
            <w:shd w:val="clear" w:color="auto" w:fill="F2F2F2" w:themeFill="background1" w:themeFillShade="F2"/>
          </w:tcPr>
          <w:p w14:paraId="735DA4F4"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11</w:t>
            </w:r>
          </w:p>
        </w:tc>
        <w:tc>
          <w:tcPr>
            <w:tcW w:w="553" w:type="pct"/>
            <w:shd w:val="clear" w:color="auto" w:fill="F2F2F2" w:themeFill="background1" w:themeFillShade="F2"/>
          </w:tcPr>
          <w:p w14:paraId="0121ED12"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52.3</w:t>
            </w:r>
          </w:p>
        </w:tc>
      </w:tr>
      <w:tr w:rsidR="007B10F6" w:rsidRPr="00324C84" w14:paraId="486D3779" w14:textId="77777777" w:rsidTr="00D4202B">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1705" w:type="pct"/>
            <w:tcBorders>
              <w:top w:val="single" w:sz="4" w:space="0" w:color="FFFFFF" w:themeColor="background1"/>
              <w:bottom w:val="single" w:sz="4" w:space="0" w:color="FFFFFF" w:themeColor="background1"/>
            </w:tcBorders>
            <w:shd w:val="clear" w:color="auto" w:fill="F2F2F2" w:themeFill="background1" w:themeFillShade="F2"/>
          </w:tcPr>
          <w:p w14:paraId="7F736D47" w14:textId="77777777" w:rsidR="007B10F6" w:rsidRPr="00EB77AC" w:rsidRDefault="007B10F6" w:rsidP="00CE5053">
            <w:pPr>
              <w:spacing w:before="40" w:after="40"/>
              <w:rPr>
                <w:color w:val="auto"/>
                <w:sz w:val="20"/>
                <w:szCs w:val="18"/>
              </w:rPr>
            </w:pPr>
            <w:r w:rsidRPr="00EB77AC">
              <w:rPr>
                <w:color w:val="auto"/>
                <w:sz w:val="20"/>
                <w:szCs w:val="18"/>
              </w:rPr>
              <w:t>Children &amp; teenagers</w:t>
            </w:r>
          </w:p>
        </w:tc>
        <w:tc>
          <w:tcPr>
            <w:tcW w:w="588" w:type="pct"/>
            <w:tcBorders>
              <w:top w:val="single" w:sz="4" w:space="0" w:color="FFFFFF" w:themeColor="background1"/>
              <w:bottom w:val="single" w:sz="4" w:space="0" w:color="FFFFFF" w:themeColor="background1"/>
            </w:tcBorders>
            <w:shd w:val="clear" w:color="auto" w:fill="F2F2F2" w:themeFill="background1" w:themeFillShade="F2"/>
          </w:tcPr>
          <w:p w14:paraId="39F18D26"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13</w:t>
            </w:r>
          </w:p>
        </w:tc>
        <w:tc>
          <w:tcPr>
            <w:tcW w:w="497" w:type="pct"/>
            <w:tcBorders>
              <w:top w:val="single" w:sz="4" w:space="0" w:color="FFFFFF" w:themeColor="background1"/>
              <w:bottom w:val="single" w:sz="4" w:space="0" w:color="FFFFFF" w:themeColor="background1"/>
            </w:tcBorders>
            <w:shd w:val="clear" w:color="auto" w:fill="F2F2F2" w:themeFill="background1" w:themeFillShade="F2"/>
          </w:tcPr>
          <w:p w14:paraId="36621E49"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15.72</w:t>
            </w:r>
          </w:p>
        </w:tc>
        <w:tc>
          <w:tcPr>
            <w:tcW w:w="552" w:type="pct"/>
            <w:tcBorders>
              <w:top w:val="single" w:sz="4" w:space="0" w:color="FFFFFF" w:themeColor="background1"/>
              <w:bottom w:val="single" w:sz="4" w:space="0" w:color="FFFFFF" w:themeColor="background1"/>
            </w:tcBorders>
            <w:shd w:val="clear" w:color="auto" w:fill="F2F2F2" w:themeFill="background1" w:themeFillShade="F2"/>
          </w:tcPr>
          <w:p w14:paraId="219897CE"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30</w:t>
            </w:r>
          </w:p>
        </w:tc>
        <w:tc>
          <w:tcPr>
            <w:tcW w:w="553" w:type="pct"/>
            <w:tcBorders>
              <w:top w:val="single" w:sz="4" w:space="0" w:color="FFFFFF" w:themeColor="background1"/>
              <w:bottom w:val="single" w:sz="4" w:space="0" w:color="FFFFFF" w:themeColor="background1"/>
            </w:tcBorders>
            <w:shd w:val="clear" w:color="auto" w:fill="F2F2F2" w:themeFill="background1" w:themeFillShade="F2"/>
          </w:tcPr>
          <w:p w14:paraId="35B336A9"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8.47</w:t>
            </w:r>
          </w:p>
        </w:tc>
        <w:tc>
          <w:tcPr>
            <w:tcW w:w="552" w:type="pct"/>
            <w:tcBorders>
              <w:top w:val="single" w:sz="4" w:space="0" w:color="FFFFFF" w:themeColor="background1"/>
              <w:bottom w:val="single" w:sz="4" w:space="0" w:color="FFFFFF" w:themeColor="background1"/>
            </w:tcBorders>
            <w:shd w:val="clear" w:color="auto" w:fill="F2F2F2" w:themeFill="background1" w:themeFillShade="F2"/>
          </w:tcPr>
          <w:p w14:paraId="55739EF0"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43</w:t>
            </w:r>
          </w:p>
        </w:tc>
        <w:tc>
          <w:tcPr>
            <w:tcW w:w="553" w:type="pct"/>
            <w:tcBorders>
              <w:top w:val="single" w:sz="4" w:space="0" w:color="FFFFFF" w:themeColor="background1"/>
              <w:bottom w:val="single" w:sz="4" w:space="0" w:color="FFFFFF" w:themeColor="background1"/>
            </w:tcBorders>
            <w:shd w:val="clear" w:color="auto" w:fill="F2F2F2" w:themeFill="background1" w:themeFillShade="F2"/>
          </w:tcPr>
          <w:p w14:paraId="1C54D410"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24.19</w:t>
            </w:r>
          </w:p>
        </w:tc>
      </w:tr>
      <w:tr w:rsidR="007B10F6" w:rsidRPr="00324C84" w14:paraId="685CF4AF" w14:textId="77777777" w:rsidTr="00D4202B">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1705" w:type="pct"/>
            <w:tcBorders>
              <w:top w:val="single" w:sz="4" w:space="0" w:color="FFFFFF" w:themeColor="background1"/>
              <w:bottom w:val="single" w:sz="4" w:space="0" w:color="FFFFFF" w:themeColor="background1"/>
            </w:tcBorders>
            <w:shd w:val="clear" w:color="auto" w:fill="F2F2F2" w:themeFill="background1" w:themeFillShade="F2"/>
          </w:tcPr>
          <w:p w14:paraId="244053B6" w14:textId="77777777" w:rsidR="007B10F6" w:rsidRPr="00EB77AC" w:rsidRDefault="007B10F6" w:rsidP="00CE5053">
            <w:pPr>
              <w:spacing w:before="40" w:after="40"/>
              <w:rPr>
                <w:color w:val="auto"/>
                <w:sz w:val="20"/>
                <w:szCs w:val="18"/>
              </w:rPr>
            </w:pPr>
            <w:r w:rsidRPr="00EB77AC">
              <w:rPr>
                <w:color w:val="auto"/>
                <w:sz w:val="20"/>
                <w:szCs w:val="18"/>
              </w:rPr>
              <w:t>Green corridors</w:t>
            </w:r>
          </w:p>
        </w:tc>
        <w:tc>
          <w:tcPr>
            <w:tcW w:w="588" w:type="pct"/>
            <w:tcBorders>
              <w:top w:val="single" w:sz="4" w:space="0" w:color="FFFFFF" w:themeColor="background1"/>
              <w:bottom w:val="single" w:sz="4" w:space="0" w:color="FFFFFF" w:themeColor="background1"/>
            </w:tcBorders>
            <w:shd w:val="clear" w:color="auto" w:fill="F2F2F2" w:themeFill="background1" w:themeFillShade="F2"/>
          </w:tcPr>
          <w:p w14:paraId="6F8A58DE"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56</w:t>
            </w:r>
          </w:p>
        </w:tc>
        <w:tc>
          <w:tcPr>
            <w:tcW w:w="497" w:type="pct"/>
            <w:tcBorders>
              <w:top w:val="single" w:sz="4" w:space="0" w:color="FFFFFF" w:themeColor="background1"/>
              <w:bottom w:val="single" w:sz="4" w:space="0" w:color="FFFFFF" w:themeColor="background1"/>
            </w:tcBorders>
            <w:shd w:val="clear" w:color="auto" w:fill="F2F2F2" w:themeFill="background1" w:themeFillShade="F2"/>
          </w:tcPr>
          <w:p w14:paraId="733BD752"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134.74</w:t>
            </w:r>
          </w:p>
        </w:tc>
        <w:tc>
          <w:tcPr>
            <w:tcW w:w="552" w:type="pct"/>
            <w:shd w:val="clear" w:color="auto" w:fill="F2F2F2" w:themeFill="background1" w:themeFillShade="F2"/>
          </w:tcPr>
          <w:p w14:paraId="29B4EA11"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6</w:t>
            </w:r>
          </w:p>
        </w:tc>
        <w:tc>
          <w:tcPr>
            <w:tcW w:w="553" w:type="pct"/>
            <w:shd w:val="clear" w:color="auto" w:fill="F2F2F2" w:themeFill="background1" w:themeFillShade="F2"/>
          </w:tcPr>
          <w:p w14:paraId="0B9584FF"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1.86</w:t>
            </w:r>
          </w:p>
        </w:tc>
        <w:tc>
          <w:tcPr>
            <w:tcW w:w="552" w:type="pct"/>
            <w:shd w:val="clear" w:color="auto" w:fill="F2F2F2" w:themeFill="background1" w:themeFillShade="F2"/>
          </w:tcPr>
          <w:p w14:paraId="04C1D538"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62</w:t>
            </w:r>
          </w:p>
        </w:tc>
        <w:tc>
          <w:tcPr>
            <w:tcW w:w="553" w:type="pct"/>
            <w:shd w:val="clear" w:color="auto" w:fill="F2F2F2" w:themeFill="background1" w:themeFillShade="F2"/>
          </w:tcPr>
          <w:p w14:paraId="69D8A9C4"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136.6</w:t>
            </w:r>
          </w:p>
        </w:tc>
      </w:tr>
      <w:tr w:rsidR="00D4202B" w:rsidRPr="00324C84" w14:paraId="6784FE51" w14:textId="77777777" w:rsidTr="00D4202B">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1705" w:type="pct"/>
            <w:tcBorders>
              <w:top w:val="single" w:sz="4" w:space="0" w:color="FFFFFF" w:themeColor="background1"/>
              <w:bottom w:val="single" w:sz="4" w:space="0" w:color="FFFFFF" w:themeColor="background1"/>
            </w:tcBorders>
            <w:shd w:val="clear" w:color="auto" w:fill="F2F2F2" w:themeFill="background1" w:themeFillShade="F2"/>
          </w:tcPr>
          <w:p w14:paraId="57CDD12B" w14:textId="77777777" w:rsidR="00D4202B" w:rsidRPr="00EB77AC" w:rsidRDefault="00D4202B" w:rsidP="00CE5053">
            <w:pPr>
              <w:spacing w:before="40" w:after="40"/>
              <w:rPr>
                <w:color w:val="auto"/>
                <w:sz w:val="20"/>
                <w:szCs w:val="18"/>
              </w:rPr>
            </w:pPr>
            <w:r w:rsidRPr="00EB77AC">
              <w:rPr>
                <w:color w:val="auto"/>
                <w:sz w:val="20"/>
                <w:szCs w:val="18"/>
              </w:rPr>
              <w:t>Natural/semi natural greenspace</w:t>
            </w:r>
          </w:p>
        </w:tc>
        <w:tc>
          <w:tcPr>
            <w:tcW w:w="588" w:type="pct"/>
            <w:tcBorders>
              <w:top w:val="single" w:sz="4" w:space="0" w:color="FFFFFF" w:themeColor="background1"/>
              <w:bottom w:val="single" w:sz="4" w:space="0" w:color="FFFFFF" w:themeColor="background1"/>
            </w:tcBorders>
            <w:shd w:val="clear" w:color="auto" w:fill="F2F2F2" w:themeFill="background1" w:themeFillShade="F2"/>
          </w:tcPr>
          <w:p w14:paraId="4E1E336A"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14</w:t>
            </w:r>
          </w:p>
        </w:tc>
        <w:tc>
          <w:tcPr>
            <w:tcW w:w="497" w:type="pct"/>
            <w:tcBorders>
              <w:top w:val="single" w:sz="4" w:space="0" w:color="FFFFFF" w:themeColor="background1"/>
              <w:bottom w:val="single" w:sz="4" w:space="0" w:color="FFFFFF" w:themeColor="background1"/>
            </w:tcBorders>
            <w:shd w:val="clear" w:color="auto" w:fill="F2F2F2" w:themeFill="background1" w:themeFillShade="F2"/>
          </w:tcPr>
          <w:p w14:paraId="719700E0"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16.92</w:t>
            </w:r>
          </w:p>
        </w:tc>
        <w:tc>
          <w:tcPr>
            <w:tcW w:w="552" w:type="pct"/>
            <w:tcBorders>
              <w:top w:val="single" w:sz="4" w:space="0" w:color="FFFFFF" w:themeColor="background1"/>
              <w:bottom w:val="single" w:sz="4" w:space="0" w:color="FFFFFF" w:themeColor="background1"/>
            </w:tcBorders>
            <w:shd w:val="clear" w:color="auto" w:fill="F2F2F2" w:themeFill="background1" w:themeFillShade="F2"/>
          </w:tcPr>
          <w:p w14:paraId="4B73E586"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12</w:t>
            </w:r>
          </w:p>
        </w:tc>
        <w:tc>
          <w:tcPr>
            <w:tcW w:w="553" w:type="pct"/>
            <w:tcBorders>
              <w:top w:val="single" w:sz="4" w:space="0" w:color="FFFFFF" w:themeColor="background1"/>
              <w:bottom w:val="single" w:sz="4" w:space="0" w:color="FFFFFF" w:themeColor="background1"/>
            </w:tcBorders>
            <w:shd w:val="clear" w:color="auto" w:fill="F2F2F2" w:themeFill="background1" w:themeFillShade="F2"/>
          </w:tcPr>
          <w:p w14:paraId="405A7C0A"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105.89</w:t>
            </w:r>
          </w:p>
        </w:tc>
        <w:tc>
          <w:tcPr>
            <w:tcW w:w="552" w:type="pct"/>
            <w:tcBorders>
              <w:top w:val="single" w:sz="4" w:space="0" w:color="FFFFFF" w:themeColor="background1"/>
              <w:bottom w:val="single" w:sz="4" w:space="0" w:color="FFFFFF" w:themeColor="background1"/>
            </w:tcBorders>
            <w:shd w:val="clear" w:color="auto" w:fill="F2F2F2" w:themeFill="background1" w:themeFillShade="F2"/>
          </w:tcPr>
          <w:p w14:paraId="36334656"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26</w:t>
            </w:r>
          </w:p>
        </w:tc>
        <w:tc>
          <w:tcPr>
            <w:tcW w:w="553" w:type="pct"/>
            <w:tcBorders>
              <w:top w:val="single" w:sz="4" w:space="0" w:color="FFFFFF" w:themeColor="background1"/>
              <w:bottom w:val="single" w:sz="4" w:space="0" w:color="FFFFFF" w:themeColor="background1"/>
            </w:tcBorders>
            <w:shd w:val="clear" w:color="auto" w:fill="F2F2F2" w:themeFill="background1" w:themeFillShade="F2"/>
          </w:tcPr>
          <w:p w14:paraId="3D3ED6FE" w14:textId="77777777" w:rsidR="00D4202B"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122.8</w:t>
            </w:r>
          </w:p>
        </w:tc>
      </w:tr>
      <w:tr w:rsidR="007B10F6" w:rsidRPr="00324C84" w14:paraId="4F95D4F4" w14:textId="77777777" w:rsidTr="00D4202B">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1705" w:type="pct"/>
            <w:tcBorders>
              <w:top w:val="single" w:sz="4" w:space="0" w:color="FFFFFF" w:themeColor="background1"/>
              <w:bottom w:val="single" w:sz="4" w:space="0" w:color="FFFFFF" w:themeColor="background1"/>
            </w:tcBorders>
            <w:shd w:val="clear" w:color="auto" w:fill="F2F2F2" w:themeFill="background1" w:themeFillShade="F2"/>
          </w:tcPr>
          <w:p w14:paraId="6D9CDC3A" w14:textId="77777777" w:rsidR="007B10F6" w:rsidRPr="00EB77AC" w:rsidRDefault="007B10F6" w:rsidP="00CE5053">
            <w:pPr>
              <w:spacing w:before="40" w:after="40"/>
              <w:rPr>
                <w:color w:val="auto"/>
                <w:sz w:val="20"/>
                <w:szCs w:val="18"/>
              </w:rPr>
            </w:pPr>
            <w:r w:rsidRPr="00EB77AC">
              <w:rPr>
                <w:color w:val="auto"/>
                <w:sz w:val="20"/>
                <w:szCs w:val="18"/>
              </w:rPr>
              <w:t>Outdoor sports facilities</w:t>
            </w:r>
          </w:p>
        </w:tc>
        <w:tc>
          <w:tcPr>
            <w:tcW w:w="588" w:type="pct"/>
            <w:tcBorders>
              <w:top w:val="single" w:sz="4" w:space="0" w:color="FFFFFF" w:themeColor="background1"/>
              <w:bottom w:val="single" w:sz="4" w:space="0" w:color="FFFFFF" w:themeColor="background1"/>
            </w:tcBorders>
            <w:shd w:val="clear" w:color="auto" w:fill="F2F2F2" w:themeFill="background1" w:themeFillShade="F2"/>
          </w:tcPr>
          <w:p w14:paraId="44C26413"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22</w:t>
            </w:r>
          </w:p>
        </w:tc>
        <w:tc>
          <w:tcPr>
            <w:tcW w:w="497" w:type="pct"/>
            <w:tcBorders>
              <w:top w:val="single" w:sz="4" w:space="0" w:color="FFFFFF" w:themeColor="background1"/>
              <w:bottom w:val="single" w:sz="4" w:space="0" w:color="FFFFFF" w:themeColor="background1"/>
            </w:tcBorders>
            <w:shd w:val="clear" w:color="auto" w:fill="F2F2F2" w:themeFill="background1" w:themeFillShade="F2"/>
          </w:tcPr>
          <w:p w14:paraId="52811AD2"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66.72</w:t>
            </w:r>
          </w:p>
        </w:tc>
        <w:tc>
          <w:tcPr>
            <w:tcW w:w="552" w:type="pct"/>
            <w:shd w:val="clear" w:color="auto" w:fill="F2F2F2" w:themeFill="background1" w:themeFillShade="F2"/>
          </w:tcPr>
          <w:p w14:paraId="73999762"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3</w:t>
            </w:r>
          </w:p>
        </w:tc>
        <w:tc>
          <w:tcPr>
            <w:tcW w:w="553" w:type="pct"/>
            <w:shd w:val="clear" w:color="auto" w:fill="F2F2F2" w:themeFill="background1" w:themeFillShade="F2"/>
          </w:tcPr>
          <w:p w14:paraId="52A88D44"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13.72</w:t>
            </w:r>
          </w:p>
        </w:tc>
        <w:tc>
          <w:tcPr>
            <w:tcW w:w="552" w:type="pct"/>
            <w:shd w:val="clear" w:color="auto" w:fill="F2F2F2" w:themeFill="background1" w:themeFillShade="F2"/>
          </w:tcPr>
          <w:p w14:paraId="4BFDD700"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25</w:t>
            </w:r>
          </w:p>
        </w:tc>
        <w:tc>
          <w:tcPr>
            <w:tcW w:w="553" w:type="pct"/>
            <w:shd w:val="clear" w:color="auto" w:fill="F2F2F2" w:themeFill="background1" w:themeFillShade="F2"/>
          </w:tcPr>
          <w:p w14:paraId="6887E353"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80.44</w:t>
            </w:r>
          </w:p>
        </w:tc>
      </w:tr>
      <w:tr w:rsidR="007B10F6" w:rsidRPr="00324C84" w14:paraId="23B3BAFD" w14:textId="77777777" w:rsidTr="00D4202B">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1705" w:type="pct"/>
            <w:tcBorders>
              <w:top w:val="single" w:sz="4" w:space="0" w:color="FFFFFF" w:themeColor="background1"/>
              <w:bottom w:val="single" w:sz="4" w:space="0" w:color="FFFFFF" w:themeColor="background1"/>
            </w:tcBorders>
            <w:shd w:val="clear" w:color="auto" w:fill="F2F2F2" w:themeFill="background1" w:themeFillShade="F2"/>
          </w:tcPr>
          <w:p w14:paraId="6407A29A" w14:textId="77777777" w:rsidR="007B10F6" w:rsidRPr="00EB77AC" w:rsidRDefault="007B10F6" w:rsidP="00CE5053">
            <w:pPr>
              <w:spacing w:before="40" w:after="40"/>
              <w:rPr>
                <w:color w:val="auto"/>
                <w:sz w:val="20"/>
                <w:szCs w:val="18"/>
              </w:rPr>
            </w:pPr>
            <w:r w:rsidRPr="00EB77AC">
              <w:rPr>
                <w:color w:val="auto"/>
                <w:sz w:val="20"/>
                <w:szCs w:val="18"/>
              </w:rPr>
              <w:t>Parks &amp; Gardens</w:t>
            </w:r>
          </w:p>
        </w:tc>
        <w:tc>
          <w:tcPr>
            <w:tcW w:w="588" w:type="pct"/>
            <w:tcBorders>
              <w:top w:val="single" w:sz="4" w:space="0" w:color="FFFFFF" w:themeColor="background1"/>
              <w:bottom w:val="single" w:sz="4" w:space="0" w:color="FFFFFF" w:themeColor="background1"/>
            </w:tcBorders>
            <w:shd w:val="clear" w:color="auto" w:fill="F2F2F2" w:themeFill="background1" w:themeFillShade="F2"/>
          </w:tcPr>
          <w:p w14:paraId="798B00B3"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w:t>
            </w:r>
          </w:p>
        </w:tc>
        <w:tc>
          <w:tcPr>
            <w:tcW w:w="497" w:type="pct"/>
            <w:tcBorders>
              <w:top w:val="single" w:sz="4" w:space="0" w:color="FFFFFF" w:themeColor="background1"/>
              <w:bottom w:val="single" w:sz="4" w:space="0" w:color="FFFFFF" w:themeColor="background1"/>
            </w:tcBorders>
            <w:shd w:val="clear" w:color="auto" w:fill="F2F2F2" w:themeFill="background1" w:themeFillShade="F2"/>
          </w:tcPr>
          <w:p w14:paraId="781E6FF2"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w:t>
            </w:r>
          </w:p>
        </w:tc>
        <w:tc>
          <w:tcPr>
            <w:tcW w:w="552" w:type="pct"/>
            <w:tcBorders>
              <w:top w:val="single" w:sz="4" w:space="0" w:color="FFFFFF" w:themeColor="background1"/>
              <w:bottom w:val="single" w:sz="4" w:space="0" w:color="FFFFFF" w:themeColor="background1"/>
            </w:tcBorders>
            <w:shd w:val="clear" w:color="auto" w:fill="F2F2F2" w:themeFill="background1" w:themeFillShade="F2"/>
          </w:tcPr>
          <w:p w14:paraId="28E52AA1"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47</w:t>
            </w:r>
          </w:p>
        </w:tc>
        <w:tc>
          <w:tcPr>
            <w:tcW w:w="553" w:type="pct"/>
            <w:tcBorders>
              <w:top w:val="single" w:sz="4" w:space="0" w:color="FFFFFF" w:themeColor="background1"/>
              <w:bottom w:val="single" w:sz="4" w:space="0" w:color="FFFFFF" w:themeColor="background1"/>
            </w:tcBorders>
            <w:shd w:val="clear" w:color="auto" w:fill="F2F2F2" w:themeFill="background1" w:themeFillShade="F2"/>
          </w:tcPr>
          <w:p w14:paraId="72BCD5E4"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273.15</w:t>
            </w:r>
          </w:p>
        </w:tc>
        <w:tc>
          <w:tcPr>
            <w:tcW w:w="552" w:type="pct"/>
            <w:tcBorders>
              <w:top w:val="single" w:sz="4" w:space="0" w:color="FFFFFF" w:themeColor="background1"/>
              <w:bottom w:val="single" w:sz="4" w:space="0" w:color="FFFFFF" w:themeColor="background1"/>
            </w:tcBorders>
            <w:shd w:val="clear" w:color="auto" w:fill="F2F2F2" w:themeFill="background1" w:themeFillShade="F2"/>
          </w:tcPr>
          <w:p w14:paraId="763AF537"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47</w:t>
            </w:r>
          </w:p>
        </w:tc>
        <w:tc>
          <w:tcPr>
            <w:tcW w:w="553" w:type="pct"/>
            <w:tcBorders>
              <w:top w:val="single" w:sz="4" w:space="0" w:color="FFFFFF" w:themeColor="background1"/>
              <w:bottom w:val="single" w:sz="4" w:space="0" w:color="FFFFFF" w:themeColor="background1"/>
            </w:tcBorders>
            <w:shd w:val="clear" w:color="auto" w:fill="F2F2F2" w:themeFill="background1" w:themeFillShade="F2"/>
          </w:tcPr>
          <w:p w14:paraId="7DEA55A4"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273.15</w:t>
            </w:r>
          </w:p>
        </w:tc>
      </w:tr>
      <w:tr w:rsidR="007B10F6" w:rsidRPr="00324C84" w14:paraId="1DE66618" w14:textId="77777777" w:rsidTr="00D4202B">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1705" w:type="pct"/>
            <w:tcBorders>
              <w:top w:val="single" w:sz="4" w:space="0" w:color="FFFFFF" w:themeColor="background1"/>
              <w:bottom w:val="single" w:sz="4" w:space="0" w:color="FFFFFF" w:themeColor="background1"/>
            </w:tcBorders>
            <w:shd w:val="clear" w:color="auto" w:fill="F2F2F2" w:themeFill="background1" w:themeFillShade="F2"/>
          </w:tcPr>
          <w:p w14:paraId="24AC8ADA" w14:textId="77777777" w:rsidR="007B10F6" w:rsidRPr="00EB77AC" w:rsidRDefault="007B10F6" w:rsidP="00CE5053">
            <w:pPr>
              <w:spacing w:before="40" w:after="40"/>
              <w:rPr>
                <w:color w:val="auto"/>
                <w:sz w:val="20"/>
                <w:szCs w:val="18"/>
              </w:rPr>
            </w:pPr>
            <w:r w:rsidRPr="00EB77AC">
              <w:rPr>
                <w:color w:val="auto"/>
                <w:sz w:val="20"/>
                <w:szCs w:val="18"/>
              </w:rPr>
              <w:t>LB Lewisham Total</w:t>
            </w:r>
          </w:p>
        </w:tc>
        <w:tc>
          <w:tcPr>
            <w:tcW w:w="588" w:type="pct"/>
            <w:tcBorders>
              <w:top w:val="single" w:sz="4" w:space="0" w:color="FFFFFF" w:themeColor="background1"/>
              <w:bottom w:val="single" w:sz="4" w:space="0" w:color="FFFFFF" w:themeColor="background1"/>
            </w:tcBorders>
            <w:shd w:val="clear" w:color="auto" w:fill="F2F2F2" w:themeFill="background1" w:themeFillShade="F2"/>
          </w:tcPr>
          <w:p w14:paraId="77A01D7C"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168</w:t>
            </w:r>
          </w:p>
        </w:tc>
        <w:tc>
          <w:tcPr>
            <w:tcW w:w="497" w:type="pct"/>
            <w:tcBorders>
              <w:top w:val="single" w:sz="4" w:space="0" w:color="FFFFFF" w:themeColor="background1"/>
              <w:bottom w:val="single" w:sz="4" w:space="0" w:color="FFFFFF" w:themeColor="background1"/>
            </w:tcBorders>
            <w:shd w:val="clear" w:color="auto" w:fill="F2F2F2" w:themeFill="background1" w:themeFillShade="F2"/>
          </w:tcPr>
          <w:p w14:paraId="109B9FE4"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273.13</w:t>
            </w:r>
          </w:p>
        </w:tc>
        <w:tc>
          <w:tcPr>
            <w:tcW w:w="552" w:type="pct"/>
            <w:tcBorders>
              <w:bottom w:val="single" w:sz="4" w:space="0" w:color="FFFFFF" w:themeColor="background1"/>
            </w:tcBorders>
            <w:shd w:val="clear" w:color="auto" w:fill="F2F2F2" w:themeFill="background1" w:themeFillShade="F2"/>
          </w:tcPr>
          <w:p w14:paraId="1685C624"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181</w:t>
            </w:r>
          </w:p>
        </w:tc>
        <w:tc>
          <w:tcPr>
            <w:tcW w:w="553" w:type="pct"/>
            <w:tcBorders>
              <w:bottom w:val="single" w:sz="4" w:space="0" w:color="FFFFFF" w:themeColor="background1"/>
            </w:tcBorders>
            <w:shd w:val="clear" w:color="auto" w:fill="F2F2F2" w:themeFill="background1" w:themeFillShade="F2"/>
          </w:tcPr>
          <w:p w14:paraId="2BE55EA2"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504.46</w:t>
            </w:r>
          </w:p>
        </w:tc>
        <w:tc>
          <w:tcPr>
            <w:tcW w:w="552" w:type="pct"/>
            <w:tcBorders>
              <w:bottom w:val="single" w:sz="4" w:space="0" w:color="FFFFFF" w:themeColor="background1"/>
            </w:tcBorders>
            <w:shd w:val="clear" w:color="auto" w:fill="F2F2F2" w:themeFill="background1" w:themeFillShade="F2"/>
          </w:tcPr>
          <w:p w14:paraId="3ECBE2CE"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349</w:t>
            </w:r>
          </w:p>
        </w:tc>
        <w:tc>
          <w:tcPr>
            <w:tcW w:w="553" w:type="pct"/>
            <w:tcBorders>
              <w:bottom w:val="single" w:sz="4" w:space="0" w:color="FFFFFF" w:themeColor="background1"/>
            </w:tcBorders>
            <w:shd w:val="clear" w:color="auto" w:fill="F2F2F2" w:themeFill="background1" w:themeFillShade="F2"/>
          </w:tcPr>
          <w:p w14:paraId="5F5B0765" w14:textId="77777777" w:rsidR="007B10F6" w:rsidRPr="00EB77AC" w:rsidRDefault="007B7D3F"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B77AC">
              <w:rPr>
                <w:b w:val="0"/>
                <w:color w:val="auto"/>
                <w:sz w:val="20"/>
                <w:szCs w:val="18"/>
              </w:rPr>
              <w:t>777.59</w:t>
            </w:r>
          </w:p>
        </w:tc>
      </w:tr>
    </w:tbl>
    <w:p w14:paraId="33A665CC" w14:textId="77777777" w:rsidR="00BE4DF7" w:rsidRPr="00C43DD5" w:rsidRDefault="00BE4DF7" w:rsidP="00CE5053">
      <w:pPr>
        <w:pStyle w:val="Caption"/>
        <w:spacing w:before="120" w:after="480"/>
        <w:ind w:left="720"/>
        <w:rPr>
          <w:b/>
          <w:bCs/>
          <w:i w:val="0"/>
          <w:iCs w:val="0"/>
          <w:color w:val="auto"/>
        </w:rPr>
      </w:pPr>
      <w:r w:rsidRPr="74CA9E56">
        <w:rPr>
          <w:b/>
          <w:bCs/>
          <w:i w:val="0"/>
          <w:iCs w:val="0"/>
          <w:color w:val="auto"/>
        </w:rPr>
        <w:t xml:space="preserve">Table </w:t>
      </w:r>
      <w:r w:rsidRPr="74CA9E56">
        <w:rPr>
          <w:b/>
          <w:bCs/>
          <w:i w:val="0"/>
          <w:iCs w:val="0"/>
          <w:color w:val="auto"/>
        </w:rPr>
        <w:fldChar w:fldCharType="begin"/>
      </w:r>
      <w:r w:rsidRPr="74CA9E56">
        <w:rPr>
          <w:b/>
          <w:bCs/>
          <w:i w:val="0"/>
          <w:iCs w:val="0"/>
          <w:color w:val="auto"/>
        </w:rPr>
        <w:instrText xml:space="preserve"> SEQ Table \* ARABIC </w:instrText>
      </w:r>
      <w:r w:rsidRPr="74CA9E56">
        <w:rPr>
          <w:b/>
          <w:bCs/>
          <w:i w:val="0"/>
          <w:iCs w:val="0"/>
          <w:color w:val="auto"/>
        </w:rPr>
        <w:fldChar w:fldCharType="separate"/>
      </w:r>
      <w:r w:rsidR="00C93475" w:rsidRPr="74CA9E56">
        <w:rPr>
          <w:b/>
          <w:bCs/>
          <w:i w:val="0"/>
          <w:iCs w:val="0"/>
          <w:noProof/>
          <w:color w:val="auto"/>
        </w:rPr>
        <w:t>9</w:t>
      </w:r>
      <w:r w:rsidRPr="74CA9E56">
        <w:rPr>
          <w:b/>
          <w:bCs/>
          <w:i w:val="0"/>
          <w:iCs w:val="0"/>
          <w:color w:val="auto"/>
        </w:rPr>
        <w:fldChar w:fldCharType="end"/>
      </w:r>
      <w:r w:rsidRPr="74CA9E56">
        <w:rPr>
          <w:i w:val="0"/>
          <w:iCs w:val="0"/>
          <w:color w:val="auto"/>
        </w:rPr>
        <w:t xml:space="preserve"> Green and open spaces in Lewisham. Source: LB Lewisham</w:t>
      </w:r>
      <w:r w:rsidR="00D4202B" w:rsidRPr="74CA9E56">
        <w:rPr>
          <w:i w:val="0"/>
          <w:iCs w:val="0"/>
          <w:color w:val="auto"/>
        </w:rPr>
        <w:t xml:space="preserve"> (2020), </w:t>
      </w:r>
      <w:r w:rsidR="00D4202B" w:rsidRPr="74CA9E56">
        <w:rPr>
          <w:color w:val="auto"/>
        </w:rPr>
        <w:t>Open Spaces Assessment: London Borough of Lewisham</w:t>
      </w:r>
    </w:p>
    <w:p w14:paraId="43793904" w14:textId="77777777" w:rsidR="008101F8" w:rsidRDefault="00DF60C7" w:rsidP="00CE5053">
      <w:pPr>
        <w:pStyle w:val="ListParagraph"/>
        <w:numPr>
          <w:ilvl w:val="2"/>
          <w:numId w:val="24"/>
        </w:numPr>
        <w:spacing w:after="240"/>
        <w:ind w:left="737" w:hanging="737"/>
        <w:contextualSpacing w:val="0"/>
      </w:pPr>
      <w:r w:rsidRPr="009246C8">
        <w:t xml:space="preserve">According to GLA’s published Natural Capital Account, over a </w:t>
      </w:r>
      <w:r w:rsidR="009347D7" w:rsidRPr="009246C8">
        <w:t xml:space="preserve">30 </w:t>
      </w:r>
      <w:r w:rsidRPr="009246C8">
        <w:t>year period, parks and other green</w:t>
      </w:r>
      <w:r w:rsidR="00896A47" w:rsidRPr="009246C8">
        <w:t xml:space="preserve"> </w:t>
      </w:r>
      <w:r w:rsidRPr="009246C8">
        <w:t xml:space="preserve">spaces in </w:t>
      </w:r>
      <w:r w:rsidR="009246C8">
        <w:t>Lewisham</w:t>
      </w:r>
      <w:r w:rsidRPr="009246C8">
        <w:t xml:space="preserve"> </w:t>
      </w:r>
      <w:r w:rsidR="009347D7" w:rsidRPr="009246C8">
        <w:t xml:space="preserve">are </w:t>
      </w:r>
      <w:r w:rsidRPr="009246C8">
        <w:t xml:space="preserve">estimated to provide up to £2.1 billion </w:t>
      </w:r>
      <w:r w:rsidR="009347D7" w:rsidRPr="009246C8">
        <w:t xml:space="preserve">in </w:t>
      </w:r>
      <w:r w:rsidR="009246C8">
        <w:t>public benefit</w:t>
      </w:r>
      <w:r w:rsidRPr="009246C8">
        <w:t>, including £371 million in physical health savings, £215 million in mental health savings</w:t>
      </w:r>
      <w:r w:rsidR="009347D7" w:rsidRPr="009246C8">
        <w:t>,</w:t>
      </w:r>
      <w:r w:rsidRPr="009246C8">
        <w:t xml:space="preserve"> and £444 million in recreational benefit</w:t>
      </w:r>
      <w:r w:rsidR="00224484">
        <w:t>.</w:t>
      </w:r>
    </w:p>
    <w:p w14:paraId="74CB3FA1" w14:textId="77777777" w:rsidR="008101F8" w:rsidRPr="008101F8" w:rsidRDefault="002866BE" w:rsidP="00CE5053">
      <w:pPr>
        <w:pStyle w:val="ListParagraph"/>
        <w:numPr>
          <w:ilvl w:val="0"/>
          <w:numId w:val="0"/>
        </w:numPr>
        <w:spacing w:after="240"/>
        <w:ind w:left="737"/>
        <w:contextualSpacing w:val="0"/>
      </w:pPr>
      <w:r w:rsidRPr="008101F8">
        <w:rPr>
          <w:i/>
        </w:rPr>
        <w:t>Access</w:t>
      </w:r>
      <w:r w:rsidR="003A4741" w:rsidRPr="008101F8">
        <w:rPr>
          <w:i/>
        </w:rPr>
        <w:t xml:space="preserve"> </w:t>
      </w:r>
      <w:r w:rsidR="00DF60C7" w:rsidRPr="008101F8">
        <w:rPr>
          <w:i/>
        </w:rPr>
        <w:t>to public open spaces</w:t>
      </w:r>
    </w:p>
    <w:p w14:paraId="7683A6EC" w14:textId="77777777" w:rsidR="008101F8" w:rsidRDefault="003A4741" w:rsidP="00CE5053">
      <w:pPr>
        <w:pStyle w:val="ListParagraph"/>
        <w:numPr>
          <w:ilvl w:val="2"/>
          <w:numId w:val="24"/>
        </w:numPr>
        <w:spacing w:after="240"/>
        <w:ind w:left="737" w:hanging="737"/>
        <w:contextualSpacing w:val="0"/>
      </w:pPr>
      <w:r>
        <w:t>The London Plan identifies a range of distance based benchmarks to a range of public open space categories to determine whether Londoners can be considered to have desirable access to green spaces, or are in</w:t>
      </w:r>
      <w:r w:rsidR="008101F8">
        <w:t xml:space="preserve"> an ‘Area of Deficiency’ (AoD).</w:t>
      </w:r>
    </w:p>
    <w:p w14:paraId="43030901" w14:textId="77777777" w:rsidR="004D5C01" w:rsidRPr="006F78E0" w:rsidRDefault="003A4741" w:rsidP="00CE5053">
      <w:pPr>
        <w:pStyle w:val="ListParagraph"/>
        <w:numPr>
          <w:ilvl w:val="2"/>
          <w:numId w:val="24"/>
        </w:numPr>
        <w:spacing w:after="240"/>
        <w:ind w:left="737" w:hanging="737"/>
        <w:contextualSpacing w:val="0"/>
      </w:pPr>
      <w:r>
        <w:t xml:space="preserve">Lewisham is </w:t>
      </w:r>
      <w:r w:rsidR="004D5C01">
        <w:t xml:space="preserve">bisected by a number of natural and constructed features (including two significant river valleys, as well as railway lines and </w:t>
      </w:r>
      <w:r>
        <w:t>major arterial roads), which</w:t>
      </w:r>
      <w:r w:rsidR="004D5C01">
        <w:t xml:space="preserve"> act as a</w:t>
      </w:r>
      <w:r w:rsidR="006F78E0">
        <w:t xml:space="preserve"> barrier to pedestrian movement</w:t>
      </w:r>
      <w:r w:rsidR="004D5C01">
        <w:t xml:space="preserve"> and interrupt the walking distance fro</w:t>
      </w:r>
      <w:r w:rsidR="00A871F9">
        <w:t xml:space="preserve">m homes to public open spaces. Council commissioned GiGL to audit </w:t>
      </w:r>
      <w:r w:rsidR="006F78E0">
        <w:t>Lewisham’s access to public open space</w:t>
      </w:r>
      <w:r w:rsidR="00A871F9">
        <w:t xml:space="preserve"> against the London Plan benchmarking, which</w:t>
      </w:r>
      <w:r w:rsidR="006F78E0">
        <w:t xml:space="preserve"> is summarised in</w:t>
      </w:r>
      <w:r w:rsidR="006F78E0" w:rsidRPr="008101F8">
        <w:rPr>
          <w:b/>
          <w:bCs/>
        </w:rPr>
        <w:t xml:space="preserve"> Table</w:t>
      </w:r>
      <w:r w:rsidR="006F78E0">
        <w:t xml:space="preserve"> </w:t>
      </w:r>
      <w:r w:rsidR="00EB77AC" w:rsidRPr="008101F8">
        <w:rPr>
          <w:b/>
          <w:bCs/>
        </w:rPr>
        <w:t>10</w:t>
      </w:r>
      <w:r w:rsidR="006F78E0" w:rsidRPr="008101F8">
        <w:rPr>
          <w:b/>
          <w:bCs/>
        </w:rPr>
        <w:t xml:space="preserve"> </w:t>
      </w:r>
      <w:r w:rsidR="006F78E0">
        <w:t>below:</w:t>
      </w:r>
    </w:p>
    <w:tbl>
      <w:tblPr>
        <w:tblStyle w:val="ListTable3-Accent32"/>
        <w:tblW w:w="4638"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1555"/>
        <w:gridCol w:w="4111"/>
        <w:gridCol w:w="3365"/>
      </w:tblGrid>
      <w:tr w:rsidR="00A871F9" w:rsidRPr="00324C84" w14:paraId="3491A8DF" w14:textId="77777777" w:rsidTr="0097175D">
        <w:trPr>
          <w:cnfStyle w:val="100000000000" w:firstRow="1" w:lastRow="0" w:firstColumn="0" w:lastColumn="0" w:oddVBand="0" w:evenVBand="0" w:oddHBand="0" w:evenHBand="0" w:firstRowFirstColumn="0" w:firstRowLastColumn="0" w:lastRowFirstColumn="0" w:lastRowLastColumn="0"/>
          <w:trHeight w:val="246"/>
          <w:tblHeader/>
          <w:jc w:val="right"/>
        </w:trPr>
        <w:tc>
          <w:tcPr>
            <w:cnfStyle w:val="001000000100" w:firstRow="0" w:lastRow="0" w:firstColumn="1" w:lastColumn="0" w:oddVBand="0" w:evenVBand="0" w:oddHBand="0" w:evenHBand="0" w:firstRowFirstColumn="1" w:firstRowLastColumn="0" w:lastRowFirstColumn="0" w:lastRowLastColumn="0"/>
            <w:tcW w:w="861" w:type="pct"/>
            <w:shd w:val="clear" w:color="auto" w:fill="002060"/>
          </w:tcPr>
          <w:p w14:paraId="0EDC1A84" w14:textId="77777777" w:rsidR="00A871F9" w:rsidRPr="00796CC1" w:rsidRDefault="00A871F9" w:rsidP="00CE5053">
            <w:pPr>
              <w:tabs>
                <w:tab w:val="center" w:pos="3056"/>
                <w:tab w:val="left" w:pos="4975"/>
              </w:tabs>
              <w:spacing w:before="40" w:after="40"/>
              <w:rPr>
                <w:sz w:val="20"/>
                <w:szCs w:val="18"/>
              </w:rPr>
            </w:pPr>
            <w:r>
              <w:rPr>
                <w:sz w:val="20"/>
                <w:szCs w:val="18"/>
              </w:rPr>
              <w:lastRenderedPageBreak/>
              <w:t>Type</w:t>
            </w:r>
          </w:p>
        </w:tc>
        <w:tc>
          <w:tcPr>
            <w:tcW w:w="2276" w:type="pct"/>
            <w:shd w:val="clear" w:color="auto" w:fill="002060"/>
          </w:tcPr>
          <w:p w14:paraId="31FF54C8" w14:textId="77777777" w:rsidR="00A871F9" w:rsidRDefault="00A871F9"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Description</w:t>
            </w:r>
          </w:p>
        </w:tc>
        <w:tc>
          <w:tcPr>
            <w:tcW w:w="1863" w:type="pct"/>
            <w:shd w:val="clear" w:color="auto" w:fill="002060"/>
          </w:tcPr>
          <w:p w14:paraId="1B371DD6" w14:textId="77777777" w:rsidR="00A871F9" w:rsidRPr="00796CC1" w:rsidRDefault="00A871F9"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Summary of access</w:t>
            </w:r>
          </w:p>
        </w:tc>
      </w:tr>
      <w:tr w:rsidR="00A871F9" w:rsidRPr="00324C84" w14:paraId="04B0B9C1" w14:textId="77777777" w:rsidTr="0097175D">
        <w:trPr>
          <w:cnfStyle w:val="100000000000" w:firstRow="1" w:lastRow="0" w:firstColumn="0" w:lastColumn="0" w:oddVBand="0" w:evenVBand="0" w:oddHBand="0" w:evenHBand="0" w:firstRowFirstColumn="0" w:firstRowLastColumn="0" w:lastRowFirstColumn="0" w:lastRowLastColumn="0"/>
          <w:trHeight w:val="171"/>
          <w:tblHeader/>
          <w:jc w:val="right"/>
        </w:trPr>
        <w:tc>
          <w:tcPr>
            <w:cnfStyle w:val="001000000100" w:firstRow="0" w:lastRow="0" w:firstColumn="1" w:lastColumn="0" w:oddVBand="0" w:evenVBand="0" w:oddHBand="0" w:evenHBand="0" w:firstRowFirstColumn="1" w:firstRowLastColumn="0" w:lastRowFirstColumn="0" w:lastRowLastColumn="0"/>
            <w:tcW w:w="861" w:type="pct"/>
            <w:tcBorders>
              <w:top w:val="single" w:sz="4" w:space="0" w:color="FFFFFF" w:themeColor="background1"/>
              <w:bottom w:val="single" w:sz="4" w:space="0" w:color="FFFFFF" w:themeColor="background1"/>
            </w:tcBorders>
            <w:shd w:val="clear" w:color="auto" w:fill="F2F2F2" w:themeFill="background1" w:themeFillShade="F2"/>
          </w:tcPr>
          <w:p w14:paraId="26C65B70" w14:textId="77777777" w:rsidR="00A871F9" w:rsidRPr="00F476C4" w:rsidRDefault="00A871F9" w:rsidP="00CE5053">
            <w:pPr>
              <w:spacing w:before="40" w:after="40"/>
              <w:rPr>
                <w:color w:val="auto"/>
                <w:sz w:val="20"/>
                <w:szCs w:val="18"/>
              </w:rPr>
            </w:pPr>
            <w:r w:rsidRPr="00F476C4">
              <w:rPr>
                <w:color w:val="auto"/>
                <w:sz w:val="20"/>
                <w:szCs w:val="18"/>
              </w:rPr>
              <w:t>Regional Parks</w:t>
            </w:r>
          </w:p>
        </w:tc>
        <w:tc>
          <w:tcPr>
            <w:tcW w:w="2276" w:type="pct"/>
            <w:tcBorders>
              <w:top w:val="single" w:sz="4" w:space="0" w:color="FFFFFF" w:themeColor="background1"/>
            </w:tcBorders>
            <w:shd w:val="clear" w:color="auto" w:fill="F2F2F2" w:themeFill="background1" w:themeFillShade="F2"/>
          </w:tcPr>
          <w:p w14:paraId="42A18A6C" w14:textId="77777777" w:rsidR="00A871F9" w:rsidRPr="00F476C4" w:rsidRDefault="00A871F9"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F476C4">
              <w:rPr>
                <w:b w:val="0"/>
                <w:color w:val="auto"/>
                <w:sz w:val="20"/>
                <w:szCs w:val="18"/>
              </w:rPr>
              <w:t>Large areas, corridors or networks of open space, the majority of which will be publicly accessible and provide a range of facilities and features offering recreational, ecological, landscape, cultural or green infrastructure benefits.</w:t>
            </w:r>
          </w:p>
          <w:p w14:paraId="76581DB5" w14:textId="77777777" w:rsidR="00A871F9" w:rsidRPr="00F476C4" w:rsidRDefault="00A871F9"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Minimum size: 400 hectares</w:t>
            </w:r>
          </w:p>
          <w:p w14:paraId="2D024EE2" w14:textId="77777777" w:rsidR="00A871F9" w:rsidRPr="00F476C4" w:rsidRDefault="00A871F9"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Distance from home: 3.2km to 8km</w:t>
            </w:r>
          </w:p>
        </w:tc>
        <w:tc>
          <w:tcPr>
            <w:tcW w:w="1863" w:type="pct"/>
            <w:tcBorders>
              <w:top w:val="single" w:sz="4" w:space="0" w:color="FFFFFF" w:themeColor="background1"/>
            </w:tcBorders>
            <w:shd w:val="clear" w:color="auto" w:fill="F2F2F2" w:themeFill="background1" w:themeFillShade="F2"/>
          </w:tcPr>
          <w:p w14:paraId="54292F95" w14:textId="77777777" w:rsidR="00A871F9" w:rsidRPr="00F476C4" w:rsidRDefault="00A871F9"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F476C4">
              <w:rPr>
                <w:b w:val="0"/>
                <w:color w:val="auto"/>
                <w:sz w:val="20"/>
                <w:szCs w:val="18"/>
              </w:rPr>
              <w:t xml:space="preserve">The whole of the borough is identified as being </w:t>
            </w:r>
            <w:r w:rsidR="00021A8D" w:rsidRPr="00F476C4">
              <w:rPr>
                <w:b w:val="0"/>
                <w:color w:val="auto"/>
                <w:sz w:val="20"/>
                <w:szCs w:val="18"/>
              </w:rPr>
              <w:t xml:space="preserve">within </w:t>
            </w:r>
            <w:r w:rsidRPr="00F476C4">
              <w:rPr>
                <w:b w:val="0"/>
                <w:color w:val="auto"/>
                <w:sz w:val="20"/>
                <w:szCs w:val="18"/>
              </w:rPr>
              <w:t>an Area of Deficiency.</w:t>
            </w:r>
          </w:p>
        </w:tc>
      </w:tr>
      <w:tr w:rsidR="00A871F9" w:rsidRPr="00324C84" w14:paraId="499AA81A" w14:textId="77777777" w:rsidTr="0097175D">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861" w:type="pct"/>
            <w:tcBorders>
              <w:top w:val="single" w:sz="4" w:space="0" w:color="FFFFFF" w:themeColor="background1"/>
              <w:bottom w:val="single" w:sz="4" w:space="0" w:color="FFFFFF" w:themeColor="background1"/>
            </w:tcBorders>
            <w:shd w:val="clear" w:color="auto" w:fill="F2F2F2" w:themeFill="background1" w:themeFillShade="F2"/>
          </w:tcPr>
          <w:p w14:paraId="3F26155F" w14:textId="77777777" w:rsidR="00A871F9" w:rsidRPr="00F476C4" w:rsidRDefault="00A871F9" w:rsidP="00CE5053">
            <w:pPr>
              <w:spacing w:before="40" w:after="40"/>
              <w:rPr>
                <w:color w:val="auto"/>
                <w:sz w:val="20"/>
                <w:szCs w:val="18"/>
              </w:rPr>
            </w:pPr>
            <w:r w:rsidRPr="00F476C4">
              <w:rPr>
                <w:color w:val="auto"/>
                <w:sz w:val="20"/>
                <w:szCs w:val="18"/>
              </w:rPr>
              <w:t>Metropolitan Parks</w:t>
            </w:r>
          </w:p>
        </w:tc>
        <w:tc>
          <w:tcPr>
            <w:tcW w:w="2276" w:type="pct"/>
            <w:shd w:val="clear" w:color="auto" w:fill="F2F2F2" w:themeFill="background1" w:themeFillShade="F2"/>
          </w:tcPr>
          <w:p w14:paraId="2F5BE1C2" w14:textId="77777777" w:rsidR="00A871F9" w:rsidRPr="00F476C4" w:rsidRDefault="00A871F9"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F476C4">
              <w:rPr>
                <w:b w:val="0"/>
                <w:color w:val="auto"/>
                <w:sz w:val="20"/>
                <w:szCs w:val="18"/>
              </w:rPr>
              <w:t>Large areas of open space that provide a similar range of benefits to Regional Parks and offer a combination of facilities at a sub-regional level.</w:t>
            </w:r>
          </w:p>
          <w:p w14:paraId="1FBC83A6" w14:textId="77777777" w:rsidR="00A871F9" w:rsidRPr="00F476C4" w:rsidRDefault="00A871F9"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Minimum size: 60 hectares</w:t>
            </w:r>
          </w:p>
          <w:p w14:paraId="171529F1" w14:textId="77777777" w:rsidR="00A871F9" w:rsidRPr="00F476C4" w:rsidRDefault="00A871F9"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Distance from home: 3.2km</w:t>
            </w:r>
          </w:p>
        </w:tc>
        <w:tc>
          <w:tcPr>
            <w:tcW w:w="1863" w:type="pct"/>
            <w:shd w:val="clear" w:color="auto" w:fill="F2F2F2" w:themeFill="background1" w:themeFillShade="F2"/>
          </w:tcPr>
          <w:p w14:paraId="64D90029" w14:textId="77777777" w:rsidR="00A871F9" w:rsidRPr="00F476C4" w:rsidRDefault="00A871F9"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F476C4">
              <w:rPr>
                <w:b w:val="0"/>
                <w:color w:val="auto"/>
                <w:sz w:val="20"/>
                <w:szCs w:val="18"/>
              </w:rPr>
              <w:t xml:space="preserve">Area of Deficiency identified mainly along the western boundary </w:t>
            </w:r>
            <w:r w:rsidR="00021A8D" w:rsidRPr="00F476C4">
              <w:rPr>
                <w:b w:val="0"/>
                <w:color w:val="auto"/>
                <w:sz w:val="20"/>
                <w:szCs w:val="18"/>
              </w:rPr>
              <w:t>(</w:t>
            </w:r>
            <w:r w:rsidRPr="00F476C4">
              <w:rPr>
                <w:b w:val="0"/>
                <w:color w:val="auto"/>
                <w:sz w:val="20"/>
                <w:szCs w:val="18"/>
              </w:rPr>
              <w:t>New Cross to Crofton Park</w:t>
            </w:r>
            <w:r w:rsidR="00021A8D" w:rsidRPr="00F476C4">
              <w:rPr>
                <w:b w:val="0"/>
                <w:color w:val="auto"/>
                <w:sz w:val="20"/>
                <w:szCs w:val="18"/>
              </w:rPr>
              <w:t>,</w:t>
            </w:r>
            <w:r w:rsidRPr="00F476C4">
              <w:rPr>
                <w:b w:val="0"/>
                <w:color w:val="auto"/>
                <w:sz w:val="20"/>
                <w:szCs w:val="18"/>
              </w:rPr>
              <w:t xml:space="preserve"> and north of Forest Hill</w:t>
            </w:r>
            <w:r w:rsidR="00021A8D" w:rsidRPr="00F476C4">
              <w:rPr>
                <w:b w:val="0"/>
                <w:color w:val="auto"/>
                <w:sz w:val="20"/>
                <w:szCs w:val="18"/>
              </w:rPr>
              <w:t>)</w:t>
            </w:r>
            <w:r w:rsidRPr="00F476C4">
              <w:rPr>
                <w:b w:val="0"/>
                <w:color w:val="auto"/>
                <w:sz w:val="20"/>
                <w:szCs w:val="18"/>
              </w:rPr>
              <w:t xml:space="preserve">; and </w:t>
            </w:r>
            <w:r w:rsidR="00021A8D" w:rsidRPr="00F476C4">
              <w:rPr>
                <w:b w:val="0"/>
                <w:color w:val="auto"/>
                <w:sz w:val="20"/>
                <w:szCs w:val="18"/>
              </w:rPr>
              <w:t xml:space="preserve">a small area in </w:t>
            </w:r>
            <w:r w:rsidRPr="00F476C4">
              <w:rPr>
                <w:b w:val="0"/>
                <w:color w:val="auto"/>
                <w:sz w:val="20"/>
                <w:szCs w:val="18"/>
              </w:rPr>
              <w:t xml:space="preserve">the southeast </w:t>
            </w:r>
            <w:r w:rsidR="00021A8D" w:rsidRPr="00F476C4">
              <w:rPr>
                <w:b w:val="0"/>
                <w:color w:val="auto"/>
                <w:sz w:val="20"/>
                <w:szCs w:val="18"/>
              </w:rPr>
              <w:t>(Grove Park).</w:t>
            </w:r>
          </w:p>
        </w:tc>
      </w:tr>
      <w:tr w:rsidR="00A871F9" w:rsidRPr="00324C84" w14:paraId="0686E2FF" w14:textId="77777777" w:rsidTr="0097175D">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861" w:type="pct"/>
            <w:tcBorders>
              <w:top w:val="single" w:sz="4" w:space="0" w:color="FFFFFF" w:themeColor="background1"/>
              <w:bottom w:val="single" w:sz="4" w:space="0" w:color="FFFFFF" w:themeColor="background1"/>
            </w:tcBorders>
            <w:shd w:val="clear" w:color="auto" w:fill="F2F2F2" w:themeFill="background1" w:themeFillShade="F2"/>
          </w:tcPr>
          <w:p w14:paraId="1A964803" w14:textId="77777777" w:rsidR="00A871F9" w:rsidRPr="00F476C4" w:rsidRDefault="00A871F9" w:rsidP="00CE5053">
            <w:pPr>
              <w:spacing w:before="40" w:after="40"/>
              <w:rPr>
                <w:color w:val="auto"/>
                <w:sz w:val="20"/>
                <w:szCs w:val="18"/>
              </w:rPr>
            </w:pPr>
            <w:r w:rsidRPr="00F476C4">
              <w:rPr>
                <w:color w:val="auto"/>
                <w:sz w:val="20"/>
                <w:szCs w:val="18"/>
              </w:rPr>
              <w:t>District Parks</w:t>
            </w:r>
          </w:p>
        </w:tc>
        <w:tc>
          <w:tcPr>
            <w:tcW w:w="2276" w:type="pct"/>
            <w:shd w:val="clear" w:color="auto" w:fill="F2F2F2" w:themeFill="background1" w:themeFillShade="F2"/>
          </w:tcPr>
          <w:p w14:paraId="01A5B7C5" w14:textId="77777777" w:rsidR="00A871F9" w:rsidRPr="00F476C4" w:rsidRDefault="00A871F9"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F476C4">
              <w:rPr>
                <w:b w:val="0"/>
                <w:color w:val="auto"/>
                <w:sz w:val="20"/>
                <w:szCs w:val="18"/>
              </w:rPr>
              <w:t>Large areas of open space that provide a landscape setting with a variety of natural features providing a wide range of activities, including outdoor sports facilities and playing fields, children's play for different age groups and informal recreation pursuits.</w:t>
            </w:r>
          </w:p>
          <w:p w14:paraId="3CD75BD5" w14:textId="77777777" w:rsidR="00A871F9" w:rsidRPr="00F476C4" w:rsidRDefault="00A871F9"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Minimum size: 20 hectares</w:t>
            </w:r>
          </w:p>
          <w:p w14:paraId="2D975C4D" w14:textId="77777777" w:rsidR="00A871F9" w:rsidRPr="00F476C4" w:rsidRDefault="00A871F9"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Distance from home: 1.2km</w:t>
            </w:r>
          </w:p>
        </w:tc>
        <w:tc>
          <w:tcPr>
            <w:tcW w:w="1863" w:type="pct"/>
            <w:shd w:val="clear" w:color="auto" w:fill="F2F2F2" w:themeFill="background1" w:themeFillShade="F2"/>
          </w:tcPr>
          <w:p w14:paraId="43E31864" w14:textId="77777777" w:rsidR="00A871F9" w:rsidRPr="00F476C4"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F476C4">
              <w:rPr>
                <w:b w:val="0"/>
                <w:color w:val="auto"/>
                <w:sz w:val="20"/>
                <w:szCs w:val="18"/>
              </w:rPr>
              <w:t>Many parts of the borough are identified as being within an Area of Deficiency. The wards of Blackheath, Lewisham Central, Ladywell, Crofton Park, Rushey Green, Downham and Bellingham generally have access to District Parks. Other areas of the borough are substantially within an Area of Deficiency.</w:t>
            </w:r>
          </w:p>
        </w:tc>
      </w:tr>
      <w:tr w:rsidR="00021A8D" w:rsidRPr="00324C84" w14:paraId="378BE169" w14:textId="77777777" w:rsidTr="0097175D">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861" w:type="pct"/>
            <w:tcBorders>
              <w:top w:val="single" w:sz="4" w:space="0" w:color="FFFFFF" w:themeColor="background1"/>
              <w:bottom w:val="single" w:sz="4" w:space="0" w:color="FFFFFF" w:themeColor="background1"/>
            </w:tcBorders>
            <w:shd w:val="clear" w:color="auto" w:fill="F2F2F2" w:themeFill="background1" w:themeFillShade="F2"/>
          </w:tcPr>
          <w:p w14:paraId="086A22DA" w14:textId="77777777" w:rsidR="00021A8D" w:rsidRPr="00F476C4" w:rsidRDefault="00021A8D" w:rsidP="00CE5053">
            <w:pPr>
              <w:spacing w:before="40" w:after="40"/>
              <w:rPr>
                <w:color w:val="auto"/>
                <w:sz w:val="20"/>
                <w:szCs w:val="18"/>
              </w:rPr>
            </w:pPr>
            <w:r w:rsidRPr="00F476C4">
              <w:rPr>
                <w:color w:val="auto"/>
                <w:sz w:val="20"/>
                <w:szCs w:val="18"/>
              </w:rPr>
              <w:t>Local Parks and Open spaces</w:t>
            </w:r>
          </w:p>
        </w:tc>
        <w:tc>
          <w:tcPr>
            <w:tcW w:w="2276" w:type="pct"/>
            <w:shd w:val="clear" w:color="auto" w:fill="F2F2F2" w:themeFill="background1" w:themeFillShade="F2"/>
          </w:tcPr>
          <w:p w14:paraId="7B2B419D" w14:textId="77777777" w:rsidR="00021A8D" w:rsidRPr="00F476C4"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F476C4">
              <w:rPr>
                <w:b w:val="0"/>
                <w:color w:val="auto"/>
                <w:sz w:val="20"/>
                <w:szCs w:val="18"/>
              </w:rPr>
              <w:t>Providing for court games, children's play, sitting out areas and nature conservation areas.</w:t>
            </w:r>
          </w:p>
          <w:p w14:paraId="55D09F51" w14:textId="77777777" w:rsidR="00021A8D" w:rsidRPr="00F476C4"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Minimum size: 2 hectares</w:t>
            </w:r>
          </w:p>
          <w:p w14:paraId="1F41DAF6" w14:textId="77777777" w:rsidR="00021A8D" w:rsidRPr="00F476C4"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Distance from home: &gt;400m</w:t>
            </w:r>
          </w:p>
        </w:tc>
        <w:tc>
          <w:tcPr>
            <w:tcW w:w="1863" w:type="pct"/>
            <w:vMerge w:val="restart"/>
            <w:shd w:val="clear" w:color="auto" w:fill="F2F2F2" w:themeFill="background1" w:themeFillShade="F2"/>
          </w:tcPr>
          <w:p w14:paraId="525D2280" w14:textId="77777777" w:rsidR="00021A8D" w:rsidRPr="00F476C4" w:rsidRDefault="00F86911"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F476C4">
              <w:rPr>
                <w:b w:val="0"/>
                <w:color w:val="auto"/>
                <w:sz w:val="20"/>
                <w:szCs w:val="18"/>
              </w:rPr>
              <w:t>South, parts of central, and the north-west of the borough generally have better access to these public open space categories than other areas of the borough.</w:t>
            </w:r>
          </w:p>
        </w:tc>
      </w:tr>
      <w:tr w:rsidR="00021A8D" w:rsidRPr="00324C84" w14:paraId="6B3F312F" w14:textId="77777777" w:rsidTr="0097175D">
        <w:trPr>
          <w:cnfStyle w:val="100000000000" w:firstRow="1" w:lastRow="0" w:firstColumn="0" w:lastColumn="0" w:oddVBand="0" w:evenVBand="0" w:oddHBand="0" w:evenHBand="0" w:firstRowFirstColumn="0" w:firstRowLastColumn="0" w:lastRowFirstColumn="0" w:lastRowLastColumn="0"/>
          <w:trHeight w:val="85"/>
          <w:tblHeader/>
          <w:jc w:val="right"/>
        </w:trPr>
        <w:tc>
          <w:tcPr>
            <w:cnfStyle w:val="001000000100" w:firstRow="0" w:lastRow="0" w:firstColumn="1" w:lastColumn="0" w:oddVBand="0" w:evenVBand="0" w:oddHBand="0" w:evenHBand="0" w:firstRowFirstColumn="1" w:firstRowLastColumn="0" w:lastRowFirstColumn="0" w:lastRowLastColumn="0"/>
            <w:tcW w:w="861" w:type="pct"/>
            <w:tcBorders>
              <w:top w:val="single" w:sz="4" w:space="0" w:color="FFFFFF" w:themeColor="background1"/>
              <w:bottom w:val="single" w:sz="4" w:space="0" w:color="FFFFFF" w:themeColor="background1"/>
            </w:tcBorders>
            <w:shd w:val="clear" w:color="auto" w:fill="F2F2F2" w:themeFill="background1" w:themeFillShade="F2"/>
          </w:tcPr>
          <w:p w14:paraId="0FF23F6F" w14:textId="77777777" w:rsidR="00021A8D" w:rsidRPr="00F476C4" w:rsidRDefault="00021A8D" w:rsidP="00CE5053">
            <w:pPr>
              <w:spacing w:before="40" w:after="40"/>
              <w:rPr>
                <w:color w:val="auto"/>
                <w:sz w:val="20"/>
                <w:szCs w:val="18"/>
              </w:rPr>
            </w:pPr>
            <w:r w:rsidRPr="00F476C4">
              <w:rPr>
                <w:color w:val="auto"/>
                <w:sz w:val="20"/>
                <w:szCs w:val="18"/>
              </w:rPr>
              <w:t>Small Open spaces</w:t>
            </w:r>
          </w:p>
        </w:tc>
        <w:tc>
          <w:tcPr>
            <w:tcW w:w="2276" w:type="pct"/>
            <w:shd w:val="clear" w:color="auto" w:fill="F2F2F2" w:themeFill="background1" w:themeFillShade="F2"/>
          </w:tcPr>
          <w:p w14:paraId="460D46EA" w14:textId="77777777" w:rsidR="00021A8D" w:rsidRPr="00F476C4"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F476C4">
              <w:rPr>
                <w:b w:val="0"/>
                <w:color w:val="auto"/>
                <w:sz w:val="20"/>
                <w:szCs w:val="18"/>
              </w:rPr>
              <w:t>Gardens, sitting out areas, children's play spaces or other areas of a specialist nature, including nature conservation areas.</w:t>
            </w:r>
          </w:p>
          <w:p w14:paraId="47E69A0A" w14:textId="77777777" w:rsidR="00021A8D" w:rsidRPr="00F476C4"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Minimum size: &lt; 2 hectares</w:t>
            </w:r>
          </w:p>
          <w:p w14:paraId="6B1CC355" w14:textId="77777777" w:rsidR="00021A8D" w:rsidRPr="00F476C4"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Distance from home: &lt;400m</w:t>
            </w:r>
          </w:p>
        </w:tc>
        <w:tc>
          <w:tcPr>
            <w:tcW w:w="1863" w:type="pct"/>
            <w:vMerge/>
            <w:shd w:val="clear" w:color="auto" w:fill="F2F2F2" w:themeFill="background1" w:themeFillShade="F2"/>
          </w:tcPr>
          <w:p w14:paraId="2FBD1CFD" w14:textId="77777777" w:rsidR="00021A8D" w:rsidRPr="00A871F9"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18"/>
                <w:szCs w:val="18"/>
              </w:rPr>
            </w:pPr>
          </w:p>
        </w:tc>
      </w:tr>
      <w:tr w:rsidR="00021A8D" w:rsidRPr="00324C84" w14:paraId="6936FB3A" w14:textId="77777777" w:rsidTr="0097175D">
        <w:trPr>
          <w:cnfStyle w:val="100000000000" w:firstRow="1" w:lastRow="0" w:firstColumn="0" w:lastColumn="0" w:oddVBand="0" w:evenVBand="0" w:oddHBand="0" w:evenHBand="0" w:firstRowFirstColumn="0" w:firstRowLastColumn="0" w:lastRowFirstColumn="0" w:lastRowLastColumn="0"/>
          <w:trHeight w:val="143"/>
          <w:tblHeader/>
          <w:jc w:val="right"/>
        </w:trPr>
        <w:tc>
          <w:tcPr>
            <w:cnfStyle w:val="001000000100" w:firstRow="0" w:lastRow="0" w:firstColumn="1" w:lastColumn="0" w:oddVBand="0" w:evenVBand="0" w:oddHBand="0" w:evenHBand="0" w:firstRowFirstColumn="1" w:firstRowLastColumn="0" w:lastRowFirstColumn="0" w:lastRowLastColumn="0"/>
            <w:tcW w:w="861" w:type="pct"/>
            <w:tcBorders>
              <w:top w:val="single" w:sz="4" w:space="0" w:color="FFFFFF" w:themeColor="background1"/>
            </w:tcBorders>
            <w:shd w:val="clear" w:color="auto" w:fill="F2F2F2" w:themeFill="background1" w:themeFillShade="F2"/>
          </w:tcPr>
          <w:p w14:paraId="260862EE" w14:textId="77777777" w:rsidR="00021A8D" w:rsidRPr="00F476C4" w:rsidRDefault="00021A8D" w:rsidP="00CE5053">
            <w:pPr>
              <w:spacing w:before="40" w:after="40"/>
              <w:rPr>
                <w:color w:val="auto"/>
                <w:sz w:val="20"/>
                <w:szCs w:val="18"/>
              </w:rPr>
            </w:pPr>
            <w:r w:rsidRPr="00F476C4">
              <w:rPr>
                <w:color w:val="auto"/>
                <w:sz w:val="20"/>
                <w:szCs w:val="18"/>
              </w:rPr>
              <w:t>Linear Open space</w:t>
            </w:r>
          </w:p>
        </w:tc>
        <w:tc>
          <w:tcPr>
            <w:tcW w:w="2276" w:type="pct"/>
            <w:shd w:val="clear" w:color="auto" w:fill="F2F2F2" w:themeFill="background1" w:themeFillShade="F2"/>
          </w:tcPr>
          <w:p w14:paraId="1F5CD4BA" w14:textId="77777777" w:rsidR="00021A8D" w:rsidRPr="00F476C4"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F476C4">
              <w:rPr>
                <w:b w:val="0"/>
                <w:color w:val="auto"/>
                <w:sz w:val="20"/>
                <w:szCs w:val="18"/>
              </w:rPr>
              <w:t>Open spaces and towpaths alongside the Thames, canals and other waterways; paths, disused railways; nature conservation areas; and other routes that provide opportunities for informal recreation.</w:t>
            </w:r>
          </w:p>
          <w:p w14:paraId="70E5A1C2" w14:textId="77777777" w:rsidR="00021A8D" w:rsidRPr="00F476C4"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Minimum size: N/A</w:t>
            </w:r>
          </w:p>
          <w:p w14:paraId="786EF971" w14:textId="77777777" w:rsidR="00021A8D" w:rsidRPr="00F476C4"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color w:val="auto"/>
                <w:sz w:val="20"/>
                <w:szCs w:val="18"/>
              </w:rPr>
            </w:pPr>
            <w:r w:rsidRPr="00F476C4">
              <w:rPr>
                <w:color w:val="auto"/>
                <w:sz w:val="20"/>
                <w:szCs w:val="18"/>
              </w:rPr>
              <w:t>Distance from home: N/A</w:t>
            </w:r>
          </w:p>
        </w:tc>
        <w:tc>
          <w:tcPr>
            <w:tcW w:w="1863" w:type="pct"/>
            <w:vMerge/>
            <w:shd w:val="clear" w:color="auto" w:fill="F2F2F2" w:themeFill="background1" w:themeFillShade="F2"/>
          </w:tcPr>
          <w:p w14:paraId="3FDCE676" w14:textId="77777777" w:rsidR="00021A8D" w:rsidRPr="00A871F9" w:rsidRDefault="00021A8D"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18"/>
                <w:szCs w:val="18"/>
              </w:rPr>
            </w:pPr>
          </w:p>
        </w:tc>
      </w:tr>
    </w:tbl>
    <w:p w14:paraId="3614E0C5" w14:textId="77777777" w:rsidR="006F78E0" w:rsidRPr="006F78E0" w:rsidRDefault="006F78E0" w:rsidP="00CE5053">
      <w:pPr>
        <w:pStyle w:val="Caption"/>
        <w:spacing w:before="120" w:after="360"/>
        <w:ind w:left="720"/>
        <w:rPr>
          <w:b/>
          <w:i w:val="0"/>
          <w:color w:val="auto"/>
        </w:rPr>
      </w:pPr>
      <w:r>
        <w:rPr>
          <w:b/>
          <w:i w:val="0"/>
          <w:color w:val="auto"/>
        </w:rPr>
        <w:t>T</w:t>
      </w:r>
      <w:r w:rsidRPr="00F067AD">
        <w:rPr>
          <w:b/>
          <w:i w:val="0"/>
          <w:color w:val="auto"/>
        </w:rPr>
        <w:t xml:space="preserve">able </w:t>
      </w:r>
      <w:r w:rsidR="00EB77AC">
        <w:rPr>
          <w:b/>
          <w:i w:val="0"/>
          <w:color w:val="auto"/>
        </w:rPr>
        <w:fldChar w:fldCharType="begin"/>
      </w:r>
      <w:r w:rsidR="00EB77AC">
        <w:rPr>
          <w:b/>
          <w:i w:val="0"/>
          <w:color w:val="auto"/>
        </w:rPr>
        <w:instrText xml:space="preserve"> SEQ Table \* ARABIC </w:instrText>
      </w:r>
      <w:r w:rsidR="00EB77AC">
        <w:rPr>
          <w:b/>
          <w:i w:val="0"/>
          <w:color w:val="auto"/>
        </w:rPr>
        <w:fldChar w:fldCharType="separate"/>
      </w:r>
      <w:r w:rsidR="00C93475">
        <w:rPr>
          <w:b/>
          <w:i w:val="0"/>
          <w:noProof/>
          <w:color w:val="auto"/>
        </w:rPr>
        <w:t>10</w:t>
      </w:r>
      <w:r w:rsidR="00EB77AC">
        <w:rPr>
          <w:b/>
          <w:i w:val="0"/>
          <w:color w:val="auto"/>
        </w:rPr>
        <w:fldChar w:fldCharType="end"/>
      </w:r>
      <w:r w:rsidRPr="00C43DD5">
        <w:rPr>
          <w:i w:val="0"/>
          <w:color w:val="auto"/>
        </w:rPr>
        <w:t xml:space="preserve"> </w:t>
      </w:r>
      <w:r w:rsidR="002866BE">
        <w:rPr>
          <w:i w:val="0"/>
          <w:color w:val="auto"/>
        </w:rPr>
        <w:t>Access to public open space</w:t>
      </w:r>
      <w:r>
        <w:rPr>
          <w:i w:val="0"/>
          <w:color w:val="auto"/>
        </w:rPr>
        <w:t xml:space="preserve">. Source: </w:t>
      </w:r>
      <w:r w:rsidR="00F86911">
        <w:rPr>
          <w:i w:val="0"/>
          <w:color w:val="auto"/>
        </w:rPr>
        <w:t>GiGL</w:t>
      </w:r>
      <w:r>
        <w:rPr>
          <w:i w:val="0"/>
          <w:color w:val="auto"/>
        </w:rPr>
        <w:t xml:space="preserve"> (20</w:t>
      </w:r>
      <w:r w:rsidR="00F86911">
        <w:rPr>
          <w:i w:val="0"/>
          <w:color w:val="auto"/>
        </w:rPr>
        <w:t>19</w:t>
      </w:r>
      <w:r>
        <w:rPr>
          <w:i w:val="0"/>
          <w:color w:val="auto"/>
        </w:rPr>
        <w:t xml:space="preserve">), </w:t>
      </w:r>
      <w:r w:rsidR="00F86911">
        <w:rPr>
          <w:color w:val="auto"/>
        </w:rPr>
        <w:t>GiGL Areas of Deficiency Maps</w:t>
      </w:r>
      <w:r w:rsidR="00832B41">
        <w:rPr>
          <w:color w:val="auto"/>
        </w:rPr>
        <w:t>. See also Lewisham Local Plan: Main Issues and Preferred Approaches (Part 2, Section 10 – Green infrastructure) for maps.</w:t>
      </w:r>
    </w:p>
    <w:p w14:paraId="2DB48CEF" w14:textId="77777777" w:rsidR="00DF60C7" w:rsidRPr="00595E96" w:rsidRDefault="00DF60C7" w:rsidP="00CE5053">
      <w:pPr>
        <w:ind w:left="720" w:hanging="720"/>
        <w:rPr>
          <w:i/>
        </w:rPr>
      </w:pPr>
      <w:r w:rsidRPr="00595E96">
        <w:rPr>
          <w:i/>
        </w:rPr>
        <w:tab/>
        <w:t>Quality assessment of public open spaces</w:t>
      </w:r>
    </w:p>
    <w:p w14:paraId="20DBEACA" w14:textId="77777777" w:rsidR="008101F8" w:rsidRDefault="00DF60C7" w:rsidP="00CE5053">
      <w:pPr>
        <w:pStyle w:val="ListParagraph"/>
        <w:numPr>
          <w:ilvl w:val="2"/>
          <w:numId w:val="24"/>
        </w:numPr>
        <w:spacing w:after="240"/>
        <w:ind w:left="737" w:hanging="737"/>
        <w:contextualSpacing w:val="0"/>
      </w:pPr>
      <w:r w:rsidRPr="00595E96">
        <w:t xml:space="preserve">The OSA </w:t>
      </w:r>
      <w:r w:rsidR="0097175D">
        <w:t>indicat</w:t>
      </w:r>
      <w:r w:rsidRPr="00595E96">
        <w:t>ed that of the 514 ha of open spaces that are publicly accessible</w:t>
      </w:r>
      <w:r w:rsidR="0097175D">
        <w:t>,</w:t>
      </w:r>
      <w:r w:rsidRPr="00595E96">
        <w:t xml:space="preserve"> around 203 ha (40%) of these open spaces are considered to be of </w:t>
      </w:r>
      <w:r w:rsidR="00623119" w:rsidRPr="00595E96">
        <w:t>‘</w:t>
      </w:r>
      <w:r w:rsidR="0097175D">
        <w:t>g</w:t>
      </w:r>
      <w:r w:rsidRPr="00595E96">
        <w:t>ood</w:t>
      </w:r>
      <w:r w:rsidR="00623119" w:rsidRPr="00595E96">
        <w:t>’</w:t>
      </w:r>
      <w:r w:rsidRPr="00595E96">
        <w:t xml:space="preserve"> quality, around 287 ha (56%) are considered to be of </w:t>
      </w:r>
      <w:r w:rsidR="00623119" w:rsidRPr="00595E96">
        <w:t>‘</w:t>
      </w:r>
      <w:r w:rsidR="0097175D">
        <w:t>f</w:t>
      </w:r>
      <w:r w:rsidRPr="00595E96">
        <w:t>air</w:t>
      </w:r>
      <w:r w:rsidR="00623119" w:rsidRPr="00595E96">
        <w:t>’</w:t>
      </w:r>
      <w:r w:rsidRPr="00595E96">
        <w:t xml:space="preserve"> quality</w:t>
      </w:r>
      <w:r w:rsidR="00A401E5" w:rsidRPr="00595E96">
        <w:t>,</w:t>
      </w:r>
      <w:r w:rsidRPr="00595E96">
        <w:t xml:space="preserve"> and less than 24 ha (5%) are considered to be of </w:t>
      </w:r>
      <w:r w:rsidR="00623119" w:rsidRPr="00595E96">
        <w:t>‘</w:t>
      </w:r>
      <w:r w:rsidR="0097175D">
        <w:t>p</w:t>
      </w:r>
      <w:r w:rsidRPr="00595E96">
        <w:t>oor</w:t>
      </w:r>
      <w:r w:rsidR="00623119" w:rsidRPr="00595E96">
        <w:t>’</w:t>
      </w:r>
      <w:r w:rsidRPr="00595E96">
        <w:t xml:space="preserve"> quality.</w:t>
      </w:r>
    </w:p>
    <w:p w14:paraId="750AD3CE" w14:textId="77777777" w:rsidR="008101F8" w:rsidRPr="008101F8" w:rsidRDefault="00DF60C7" w:rsidP="00CE5053">
      <w:pPr>
        <w:pStyle w:val="ListParagraph"/>
        <w:numPr>
          <w:ilvl w:val="0"/>
          <w:numId w:val="0"/>
        </w:numPr>
        <w:spacing w:after="240"/>
        <w:ind w:left="737"/>
        <w:contextualSpacing w:val="0"/>
      </w:pPr>
      <w:r w:rsidRPr="008101F8">
        <w:rPr>
          <w:b/>
        </w:rPr>
        <w:lastRenderedPageBreak/>
        <w:t xml:space="preserve">Future </w:t>
      </w:r>
      <w:r w:rsidR="005F5AF5" w:rsidRPr="008101F8">
        <w:rPr>
          <w:b/>
        </w:rPr>
        <w:t>requirement</w:t>
      </w:r>
    </w:p>
    <w:p w14:paraId="5891D206" w14:textId="77777777" w:rsidR="008101F8" w:rsidRDefault="00B244DF" w:rsidP="00CE5053">
      <w:pPr>
        <w:pStyle w:val="ListParagraph"/>
        <w:numPr>
          <w:ilvl w:val="2"/>
          <w:numId w:val="24"/>
        </w:numPr>
        <w:spacing w:after="240"/>
        <w:ind w:left="737" w:hanging="737"/>
        <w:contextualSpacing w:val="0"/>
      </w:pPr>
      <w:r>
        <w:t xml:space="preserve">To maintain the current </w:t>
      </w:r>
      <w:r w:rsidR="008101F8">
        <w:t xml:space="preserve">standards in the </w:t>
      </w:r>
      <w:r>
        <w:t xml:space="preserve">level of green space provision, there is an implied need for approximately 50 hectares of additional green space in the next twenty years to meet the expected population growth in the borough. </w:t>
      </w:r>
      <w:r w:rsidR="00A93BC1">
        <w:t xml:space="preserve">Given that there are limited prospects to deliver a significant increase in the quantum of open space provision, </w:t>
      </w:r>
      <w:r>
        <w:t xml:space="preserve">Council’s approach </w:t>
      </w:r>
      <w:r w:rsidR="00A93BC1">
        <w:t xml:space="preserve">seeks to </w:t>
      </w:r>
      <w:r>
        <w:t>improve access and quality of the existing provision</w:t>
      </w:r>
      <w:r w:rsidR="00A93BC1">
        <w:t xml:space="preserve"> in the borough.</w:t>
      </w:r>
    </w:p>
    <w:p w14:paraId="6E06679E" w14:textId="77777777" w:rsidR="008101F8" w:rsidRDefault="00A93BC1" w:rsidP="00CE5053">
      <w:pPr>
        <w:pStyle w:val="ListParagraph"/>
        <w:numPr>
          <w:ilvl w:val="2"/>
          <w:numId w:val="24"/>
        </w:numPr>
        <w:spacing w:after="240"/>
        <w:ind w:left="737" w:hanging="737"/>
        <w:contextualSpacing w:val="0"/>
      </w:pPr>
      <w:r>
        <w:t>The OSS contains the goal to target and deliver investment for parks, pocket parks and small open spaces that are classified as fair or poor in the OSA. The OSS will identif</w:t>
      </w:r>
      <w:r w:rsidR="148FEA6D">
        <w:t>y</w:t>
      </w:r>
      <w:r>
        <w:t xml:space="preserve"> and prioritise priority projects, and seek</w:t>
      </w:r>
      <w:r w:rsidR="50120B55">
        <w:t>s</w:t>
      </w:r>
      <w:r>
        <w:t xml:space="preserve"> to achieve investment </w:t>
      </w:r>
      <w:r w:rsidR="3F288127">
        <w:t>in</w:t>
      </w:r>
      <w:r>
        <w:t xml:space="preserve"> all of them by 2027. The Council will publish an annual review monitoring report to track progress. </w:t>
      </w:r>
    </w:p>
    <w:p w14:paraId="22EE3D44" w14:textId="77777777" w:rsidR="00A93BC1" w:rsidRDefault="00A93BC1" w:rsidP="00CE5053">
      <w:pPr>
        <w:pStyle w:val="ListParagraph"/>
        <w:numPr>
          <w:ilvl w:val="2"/>
          <w:numId w:val="24"/>
        </w:numPr>
        <w:spacing w:after="240"/>
        <w:ind w:left="737" w:hanging="737"/>
        <w:contextualSpacing w:val="0"/>
      </w:pPr>
      <w:r w:rsidRPr="00A93BC1">
        <w:t xml:space="preserve">The </w:t>
      </w:r>
      <w:r>
        <w:t>OSS</w:t>
      </w:r>
      <w:r w:rsidRPr="00A93BC1">
        <w:t xml:space="preserve"> </w:t>
      </w:r>
      <w:r>
        <w:t xml:space="preserve">will also </w:t>
      </w:r>
      <w:r w:rsidRPr="00A93BC1">
        <w:t xml:space="preserve">seek to address access issues by working to support and encourage walking, cycling and other active travel modes that link open spaces. It </w:t>
      </w:r>
      <w:r w:rsidR="008E2A4F">
        <w:t xml:space="preserve">will also </w:t>
      </w:r>
      <w:r w:rsidRPr="00A93BC1">
        <w:t>identif</w:t>
      </w:r>
      <w:r w:rsidR="008E2A4F">
        <w:t>y</w:t>
      </w:r>
      <w:r w:rsidRPr="00A93BC1">
        <w:t xml:space="preserve"> the need to provide interpretation and way marking to link the River Pool Linear Park and Ladywell Fields Park with, Manor House Gardens, Manor Park, Mountsfi</w:t>
      </w:r>
      <w:r w:rsidR="008E2A4F">
        <w:t>eld Park and Lewisham Park. Identified projects of strategic priority to Council will be included in future iterations of this IDP following the finalisation and endorsem</w:t>
      </w:r>
      <w:r w:rsidR="00790962">
        <w:t>ent of the open space strategy.</w:t>
      </w:r>
    </w:p>
    <w:p w14:paraId="02257B6D" w14:textId="77777777" w:rsidR="00181E59" w:rsidRPr="00181E59" w:rsidRDefault="00C669F9" w:rsidP="00CE5053">
      <w:pPr>
        <w:pStyle w:val="Heading2"/>
      </w:pPr>
      <w:bookmarkStart w:id="44" w:name="_Toc56146032"/>
      <w:r w:rsidRPr="00BE4DF7">
        <w:t xml:space="preserve">Biodiversity </w:t>
      </w:r>
      <w:r w:rsidR="00832B41">
        <w:t xml:space="preserve">/ green </w:t>
      </w:r>
      <w:r w:rsidRPr="00BE4DF7">
        <w:t>corridors</w:t>
      </w:r>
      <w:bookmarkEnd w:id="44"/>
      <w:r>
        <w:t xml:space="preserve"> </w:t>
      </w:r>
    </w:p>
    <w:p w14:paraId="2FC0A1CB" w14:textId="77777777" w:rsidR="00181E59" w:rsidRPr="00181E59" w:rsidRDefault="00181E59" w:rsidP="00CE5053">
      <w:pPr>
        <w:pStyle w:val="ListParagraph"/>
        <w:numPr>
          <w:ilvl w:val="1"/>
          <w:numId w:val="24"/>
        </w:numPr>
        <w:spacing w:after="240"/>
        <w:contextualSpacing w:val="0"/>
        <w:rPr>
          <w:vanish/>
        </w:rPr>
      </w:pPr>
    </w:p>
    <w:p w14:paraId="5B7C5FD7" w14:textId="77777777" w:rsidR="00181E59" w:rsidRDefault="00E81D78" w:rsidP="00CE5053">
      <w:pPr>
        <w:pStyle w:val="ListParagraph"/>
        <w:numPr>
          <w:ilvl w:val="2"/>
          <w:numId w:val="24"/>
        </w:numPr>
        <w:spacing w:after="240"/>
        <w:ind w:left="737" w:hanging="737"/>
        <w:contextualSpacing w:val="0"/>
      </w:pPr>
      <w:r w:rsidRPr="00181E59">
        <w:t>The</w:t>
      </w:r>
      <w:r>
        <w:t xml:space="preserve"> National Planning Policy Framework </w:t>
      </w:r>
      <w:r w:rsidR="6D1BCB4B">
        <w:t>paragraph</w:t>
      </w:r>
      <w:r>
        <w:t xml:space="preserve"> 170</w:t>
      </w:r>
      <w:r w:rsidR="00E60219">
        <w:t xml:space="preserve"> outlines the need for planning policies and decisions to contribute to and enhance the natural and local environment, including by minimising impacts on and providing net gains for biodiversity, and establishing coherent ecological networks that are more resilient to current and future pressures.</w:t>
      </w:r>
    </w:p>
    <w:p w14:paraId="3BB84643" w14:textId="77777777" w:rsidR="00181E59" w:rsidRDefault="00C669F9" w:rsidP="00CE5053">
      <w:pPr>
        <w:pStyle w:val="ListParagraph"/>
        <w:numPr>
          <w:ilvl w:val="2"/>
          <w:numId w:val="24"/>
        </w:numPr>
        <w:spacing w:after="240"/>
        <w:ind w:left="737" w:hanging="737"/>
        <w:contextualSpacing w:val="0"/>
      </w:pPr>
      <w:r>
        <w:t xml:space="preserve">London Plan Policy G6 ‘Biodiversity and access to nature’ </w:t>
      </w:r>
      <w:r w:rsidR="00CB5005">
        <w:t>outlines the role of</w:t>
      </w:r>
      <w:r>
        <w:t xml:space="preserve"> local authorities </w:t>
      </w:r>
      <w:r w:rsidR="00CB5005">
        <w:t>to</w:t>
      </w:r>
      <w:r>
        <w:t xml:space="preserve"> protect Sites of Importance for Nature Conservation (SINCs), and after identifying areas of deficiency in access to nature, seek opportunities to address </w:t>
      </w:r>
      <w:r w:rsidR="00CB5005">
        <w:t>the barriers to access</w:t>
      </w:r>
      <w:r>
        <w:t>.</w:t>
      </w:r>
      <w:r w:rsidR="00411FD0">
        <w:t xml:space="preserve"> </w:t>
      </w:r>
      <w:r w:rsidR="00CB5005">
        <w:t xml:space="preserve">Policy G6 also outlines, among other requirements, the need to </w:t>
      </w:r>
      <w:r w:rsidR="00411FD0">
        <w:t>seek opportunities for creating habitats for priority species, including</w:t>
      </w:r>
      <w:r w:rsidR="00CB5005">
        <w:t xml:space="preserve"> through</w:t>
      </w:r>
      <w:r w:rsidR="00411FD0">
        <w:t xml:space="preserve"> the creation of artificial nest sites.</w:t>
      </w:r>
    </w:p>
    <w:p w14:paraId="167AA14F" w14:textId="77777777" w:rsidR="00181E59" w:rsidRDefault="00CB5005" w:rsidP="00CE5053">
      <w:pPr>
        <w:pStyle w:val="ListParagraph"/>
        <w:numPr>
          <w:ilvl w:val="2"/>
          <w:numId w:val="24"/>
        </w:numPr>
        <w:spacing w:after="240"/>
        <w:ind w:left="737" w:hanging="737"/>
        <w:contextualSpacing w:val="0"/>
      </w:pPr>
      <w:r>
        <w:t>London Plan Policy G7 ‘Trees and woodlands’ outlines the role of local authorities in protecting and maintaining London’s urban forest and woodlands, and the importance of planting new trees and woodlands to increase the extent of London’s urban forest. This includes protecting ‘veteran’ trees and ancient woodland on sites that are not already part of a protected site, and through the development assessment process, retaining existing trees of value.</w:t>
      </w:r>
    </w:p>
    <w:p w14:paraId="1F3F5947" w14:textId="77777777" w:rsidR="00181E59" w:rsidRDefault="00E81D78" w:rsidP="00CE5053">
      <w:pPr>
        <w:pStyle w:val="ListParagraph"/>
        <w:numPr>
          <w:ilvl w:val="2"/>
          <w:numId w:val="24"/>
        </w:numPr>
        <w:spacing w:after="240"/>
        <w:ind w:left="737" w:hanging="737"/>
        <w:contextualSpacing w:val="0"/>
      </w:pPr>
      <w:r>
        <w:t xml:space="preserve">The Council’s current Biodiversity Action Plan, “A Natural Renaissance for Lewisham 2015-2020”, sets out the Lewisham Biodiversity Partnership’s aspirations to contribute to and </w:t>
      </w:r>
      <w:r w:rsidR="00542966">
        <w:t>enhance the existing natural conservation sites and biodiversity corridors, including the Ravensbourne River catchment.</w:t>
      </w:r>
    </w:p>
    <w:p w14:paraId="70CCD9B0" w14:textId="77777777" w:rsidR="006D2AD7" w:rsidRDefault="006D2AD7" w:rsidP="00CE5053">
      <w:pPr>
        <w:pStyle w:val="ListParagraph"/>
        <w:numPr>
          <w:ilvl w:val="2"/>
          <w:numId w:val="24"/>
        </w:numPr>
        <w:spacing w:after="240"/>
        <w:ind w:left="737" w:hanging="737"/>
        <w:contextualSpacing w:val="0"/>
      </w:pPr>
      <w:r>
        <w:t xml:space="preserve">The Council undertook a survey of </w:t>
      </w:r>
      <w:r w:rsidRPr="00595E96">
        <w:t>Sites of Importance for Natur</w:t>
      </w:r>
      <w:r w:rsidR="00C5232C">
        <w:t>e</w:t>
      </w:r>
      <w:r w:rsidRPr="00595E96">
        <w:t xml:space="preserve"> Conservation (SINC) </w:t>
      </w:r>
      <w:r>
        <w:t xml:space="preserve">located in the borough </w:t>
      </w:r>
      <w:r w:rsidR="00F76937">
        <w:t>over</w:t>
      </w:r>
      <w:r>
        <w:t xml:space="preserve"> 2015</w:t>
      </w:r>
      <w:r w:rsidR="00F76937">
        <w:t>-16</w:t>
      </w:r>
      <w:r>
        <w:t xml:space="preserve"> as an accompanying evidence base to support the new Local Plan. The recommendations of this survey have been used to inform the potential future priorities for the Council within this asset class.</w:t>
      </w:r>
    </w:p>
    <w:p w14:paraId="6C802F6E" w14:textId="77777777" w:rsidR="00181E59" w:rsidRDefault="00C5232C" w:rsidP="00CE5053">
      <w:pPr>
        <w:pStyle w:val="ListParagraph"/>
        <w:numPr>
          <w:ilvl w:val="2"/>
          <w:numId w:val="24"/>
        </w:numPr>
        <w:spacing w:after="240"/>
        <w:ind w:left="737" w:hanging="737"/>
        <w:contextualSpacing w:val="0"/>
      </w:pPr>
      <w:r>
        <w:lastRenderedPageBreak/>
        <w:t xml:space="preserve">The </w:t>
      </w:r>
      <w:r w:rsidR="00227792" w:rsidRPr="00DC747B">
        <w:t xml:space="preserve">Council’s Parks and Open Space Strategy (OSS) has also been used as a guide to describe the general types of interventions that may be required in the future to improve </w:t>
      </w:r>
      <w:r w:rsidR="00227792">
        <w:t>the quality of biodiversity corridors. As identified in Section 4.1, a key principle of the OSS will be to recognise the critical importance of supporting and enhancing the biodiversity of Lewisham’s parks and open spaces for wildlife and conservation purposes as well as for the enjoymen</w:t>
      </w:r>
      <w:r w:rsidR="00181E59">
        <w:t>t of local communities.</w:t>
      </w:r>
    </w:p>
    <w:p w14:paraId="5BEFEA24" w14:textId="77777777" w:rsidR="00181E59" w:rsidRPr="00181E59" w:rsidRDefault="00064B8B" w:rsidP="00CE5053">
      <w:pPr>
        <w:pStyle w:val="ListParagraph"/>
        <w:numPr>
          <w:ilvl w:val="0"/>
          <w:numId w:val="0"/>
        </w:numPr>
        <w:spacing w:after="240"/>
        <w:ind w:left="737"/>
        <w:contextualSpacing w:val="0"/>
      </w:pPr>
      <w:r w:rsidRPr="00181E59">
        <w:rPr>
          <w:b/>
        </w:rPr>
        <w:t>Background</w:t>
      </w:r>
    </w:p>
    <w:p w14:paraId="1DE450EA" w14:textId="77777777" w:rsidR="00C669F9" w:rsidRDefault="006D2AD7" w:rsidP="00CE5053">
      <w:pPr>
        <w:pStyle w:val="ListParagraph"/>
        <w:numPr>
          <w:ilvl w:val="2"/>
          <w:numId w:val="24"/>
        </w:numPr>
        <w:spacing w:after="240"/>
        <w:ind w:left="737" w:hanging="737"/>
        <w:contextualSpacing w:val="0"/>
      </w:pPr>
      <w:r>
        <w:t xml:space="preserve">SINCs are </w:t>
      </w:r>
      <w:r w:rsidRPr="00595E96">
        <w:t xml:space="preserve">designated wildlife habitats classified as sites of metropolitan importance, sites of borough importance, </w:t>
      </w:r>
      <w:r>
        <w:t>or</w:t>
      </w:r>
      <w:r w:rsidRPr="00595E96">
        <w:t xml:space="preserve"> sites of local importance.</w:t>
      </w:r>
      <w:r w:rsidR="00C669F9" w:rsidRPr="00595E96">
        <w:t xml:space="preserve"> </w:t>
      </w:r>
      <w:r>
        <w:t xml:space="preserve">This </w:t>
      </w:r>
      <w:r w:rsidR="009F334A">
        <w:t xml:space="preserve">often </w:t>
      </w:r>
      <w:r>
        <w:t>include</w:t>
      </w:r>
      <w:r w:rsidR="009F334A">
        <w:t>s</w:t>
      </w:r>
      <w:r>
        <w:t xml:space="preserve"> g</w:t>
      </w:r>
      <w:r w:rsidR="00C669F9" w:rsidRPr="00595E96">
        <w:t>reen corridors</w:t>
      </w:r>
      <w:r>
        <w:t>, which</w:t>
      </w:r>
      <w:r w:rsidR="00C669F9" w:rsidRPr="00595E96">
        <w:t xml:space="preserve"> are relatively continuou</w:t>
      </w:r>
      <w:r>
        <w:t>s</w:t>
      </w:r>
      <w:r w:rsidR="009F334A">
        <w:t xml:space="preserve"> areas of green and open space</w:t>
      </w:r>
      <w:r w:rsidR="00891A9F">
        <w:t xml:space="preserve"> such as</w:t>
      </w:r>
      <w:r w:rsidR="009F334A">
        <w:t xml:space="preserve"> </w:t>
      </w:r>
      <w:r>
        <w:t xml:space="preserve">railway </w:t>
      </w:r>
      <w:r w:rsidR="009F334A" w:rsidRPr="00595E96">
        <w:t xml:space="preserve">embankments and cuttings, roadside verges, parks, playing fields and rivers </w:t>
      </w:r>
      <w:r w:rsidR="00891A9F">
        <w:t>that</w:t>
      </w:r>
      <w:r w:rsidR="009F334A" w:rsidRPr="00595E96">
        <w:t xml:space="preserve"> may not always be publicly accessible</w:t>
      </w:r>
      <w:r w:rsidR="009F334A">
        <w:t xml:space="preserve">. These corridors </w:t>
      </w:r>
      <w:r w:rsidR="00891A9F">
        <w:t>can</w:t>
      </w:r>
      <w:r w:rsidR="009F334A">
        <w:t xml:space="preserve"> act as a biodiversity </w:t>
      </w:r>
      <w:r w:rsidR="00C669F9" w:rsidRPr="00595E96">
        <w:t>link</w:t>
      </w:r>
      <w:r w:rsidR="009F334A">
        <w:t xml:space="preserve"> </w:t>
      </w:r>
      <w:r w:rsidR="00891A9F">
        <w:t>between</w:t>
      </w:r>
      <w:r w:rsidR="00C669F9" w:rsidRPr="00595E96">
        <w:t xml:space="preserve"> habitat sites</w:t>
      </w:r>
      <w:r w:rsidR="009F334A">
        <w:t xml:space="preserve">, </w:t>
      </w:r>
      <w:r w:rsidR="00C669F9" w:rsidRPr="00595E96">
        <w:t>a</w:t>
      </w:r>
      <w:r w:rsidR="00891A9F">
        <w:t>nd</w:t>
      </w:r>
      <w:r w:rsidR="00C669F9" w:rsidRPr="00595E96">
        <w:t xml:space="preserve"> </w:t>
      </w:r>
      <w:r w:rsidR="009F334A">
        <w:t>can be</w:t>
      </w:r>
      <w:r w:rsidR="00C669F9" w:rsidRPr="00595E96">
        <w:t xml:space="preserve"> critical </w:t>
      </w:r>
      <w:r w:rsidR="00891A9F">
        <w:t>to</w:t>
      </w:r>
      <w:r w:rsidR="00C669F9" w:rsidRPr="00595E96">
        <w:t xml:space="preserve"> help sustain</w:t>
      </w:r>
      <w:r w:rsidR="009F334A">
        <w:t xml:space="preserve"> local</w:t>
      </w:r>
      <w:r w:rsidR="00C669F9" w:rsidRPr="00595E96">
        <w:t xml:space="preserve"> wildlife populations</w:t>
      </w:r>
      <w:r w:rsidR="009F334A">
        <w:t xml:space="preserve"> and priority species.</w:t>
      </w:r>
    </w:p>
    <w:p w14:paraId="13866C7B" w14:textId="77777777" w:rsidR="00181E59" w:rsidRDefault="00E60219" w:rsidP="00CE5053">
      <w:pPr>
        <w:pStyle w:val="ListParagraph"/>
        <w:numPr>
          <w:ilvl w:val="2"/>
          <w:numId w:val="24"/>
        </w:numPr>
        <w:spacing w:after="240"/>
        <w:ind w:left="737" w:hanging="737"/>
        <w:contextualSpacing w:val="0"/>
      </w:pPr>
      <w:r w:rsidRPr="00F50739">
        <w:t>The Lewisham Biodiversity Partnership was established in 1999 to develop an action plan for the Borough’s wildlife and natural environment.</w:t>
      </w:r>
      <w:r w:rsidR="00F50739" w:rsidRPr="00F50739">
        <w:t xml:space="preserve"> </w:t>
      </w:r>
      <w:r w:rsidR="00F50739">
        <w:t>The Partnership is made up of a range of parties, including t</w:t>
      </w:r>
      <w:r w:rsidR="00F50739" w:rsidRPr="00F50739">
        <w:t xml:space="preserve">he Council, Glendale Managed Services, the Environment Agency, Creekside Education Trust, </w:t>
      </w:r>
      <w:r w:rsidR="00F50739">
        <w:t>Thames 21, Quaggy Waterways Action Group [QWAG], London Wildlife Trust, Horniman Museum and Gardens, The Environment Agency, Sydenham Garden Organisation, TCV (The Trust for Conservation Volunteers), Greenspace Information for Greater London CIC (GiGL)</w:t>
      </w:r>
      <w:r w:rsidR="00F50739" w:rsidRPr="00F50739">
        <w:t xml:space="preserve">, </w:t>
      </w:r>
      <w:r w:rsidR="00F50739">
        <w:t xml:space="preserve">and </w:t>
      </w:r>
      <w:r w:rsidR="00F50739" w:rsidRPr="00F50739">
        <w:t>a range of local groups</w:t>
      </w:r>
      <w:r w:rsidR="00F50739">
        <w:t>.</w:t>
      </w:r>
    </w:p>
    <w:p w14:paraId="12FD55EC" w14:textId="77777777" w:rsidR="00181E59" w:rsidRDefault="00F50739" w:rsidP="00CE5053">
      <w:pPr>
        <w:pStyle w:val="ListParagraph"/>
        <w:numPr>
          <w:ilvl w:val="2"/>
          <w:numId w:val="24"/>
        </w:numPr>
        <w:spacing w:after="240"/>
        <w:ind w:left="737" w:hanging="737"/>
        <w:contextualSpacing w:val="0"/>
      </w:pPr>
      <w:r>
        <w:t>The role of the Partnership is to consolidate the interests and expertise of a range of organisations and individuals with duty to, or interest in, conserving the Borough’s wildlife and natural environment.</w:t>
      </w:r>
    </w:p>
    <w:p w14:paraId="5246AA99" w14:textId="77777777" w:rsidR="00181E59" w:rsidRPr="00181E59" w:rsidRDefault="00C669F9" w:rsidP="00CE5053">
      <w:pPr>
        <w:pStyle w:val="ListParagraph"/>
        <w:numPr>
          <w:ilvl w:val="0"/>
          <w:numId w:val="0"/>
        </w:numPr>
        <w:spacing w:after="240"/>
        <w:ind w:left="737"/>
        <w:contextualSpacing w:val="0"/>
      </w:pPr>
      <w:r w:rsidRPr="00181E59">
        <w:rPr>
          <w:b/>
        </w:rPr>
        <w:t>Current situation</w:t>
      </w:r>
    </w:p>
    <w:p w14:paraId="14AA74A5" w14:textId="77777777" w:rsidR="00181E59" w:rsidRDefault="00891A9F" w:rsidP="00CE5053">
      <w:pPr>
        <w:pStyle w:val="ListParagraph"/>
        <w:numPr>
          <w:ilvl w:val="2"/>
          <w:numId w:val="24"/>
        </w:numPr>
        <w:spacing w:after="240"/>
        <w:ind w:left="737" w:hanging="737"/>
        <w:contextualSpacing w:val="0"/>
      </w:pPr>
      <w:r>
        <w:t>Th</w:t>
      </w:r>
      <w:r w:rsidR="00C669F9" w:rsidRPr="00595E96">
        <w:t xml:space="preserve">ere are 63 identified SINCs in the borough, with the majority of </w:t>
      </w:r>
      <w:r>
        <w:t xml:space="preserve">these </w:t>
      </w:r>
      <w:r w:rsidR="00C669F9" w:rsidRPr="00595E96">
        <w:t>sites publicly accessible during daylight hours.</w:t>
      </w:r>
      <w:r w:rsidR="00227792">
        <w:t xml:space="preserve"> Key corridors in Lewisham include the South East London Green Chain, a linked system of over 300 open spaces extending from Thamesmead to Crystal Palace Park and Nunhead Cemetery, and the Waterway Link, a share route for cyclists and pedestrians that runs from the River Thames at Deptford Creek southwards to Beckenham Place Park following the rivers Ravensbourne and Pool.</w:t>
      </w:r>
    </w:p>
    <w:p w14:paraId="0D1FC9C3" w14:textId="77777777" w:rsidR="008012F3" w:rsidRDefault="008012F3" w:rsidP="00CE5053">
      <w:pPr>
        <w:pStyle w:val="ListParagraph"/>
        <w:numPr>
          <w:ilvl w:val="2"/>
          <w:numId w:val="24"/>
        </w:numPr>
        <w:spacing w:after="240"/>
        <w:ind w:left="737" w:hanging="737"/>
        <w:contextualSpacing w:val="0"/>
      </w:pPr>
      <w:r>
        <w:t>There are also a number of railway embankments and adjoining soft landscaping that provide long stretches of valuable natural greenspaces with high levels of biodiversity.</w:t>
      </w:r>
    </w:p>
    <w:tbl>
      <w:tblPr>
        <w:tblStyle w:val="ListTable3-Accent32"/>
        <w:tblW w:w="4628"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2266"/>
        <w:gridCol w:w="1125"/>
        <w:gridCol w:w="1125"/>
        <w:gridCol w:w="1125"/>
        <w:gridCol w:w="1125"/>
        <w:gridCol w:w="1125"/>
        <w:gridCol w:w="1121"/>
      </w:tblGrid>
      <w:tr w:rsidR="002C2992" w:rsidRPr="00324C84" w14:paraId="04ADBE26" w14:textId="77777777" w:rsidTr="74CA9E56">
        <w:trPr>
          <w:cnfStyle w:val="100000000000" w:firstRow="1" w:lastRow="0" w:firstColumn="0" w:lastColumn="0" w:oddVBand="0" w:evenVBand="0" w:oddHBand="0" w:evenHBand="0" w:firstRowFirstColumn="0" w:firstRowLastColumn="0" w:lastRowFirstColumn="0" w:lastRowLastColumn="0"/>
          <w:trHeight w:val="246"/>
          <w:tblHeader/>
          <w:jc w:val="right"/>
        </w:trPr>
        <w:tc>
          <w:tcPr>
            <w:cnfStyle w:val="001000000100" w:firstRow="0" w:lastRow="0" w:firstColumn="1" w:lastColumn="0" w:oddVBand="0" w:evenVBand="0" w:oddHBand="0" w:evenHBand="0" w:firstRowFirstColumn="1" w:firstRowLastColumn="0" w:lastRowFirstColumn="0" w:lastRowLastColumn="0"/>
            <w:tcW w:w="1257" w:type="pct"/>
            <w:vMerge w:val="restart"/>
            <w:shd w:val="clear" w:color="auto" w:fill="002060"/>
          </w:tcPr>
          <w:p w14:paraId="2305A099" w14:textId="77777777" w:rsidR="002C2992" w:rsidRPr="002C2992" w:rsidRDefault="00832B41" w:rsidP="00CE5053">
            <w:pPr>
              <w:tabs>
                <w:tab w:val="center" w:pos="3056"/>
                <w:tab w:val="left" w:pos="4975"/>
              </w:tabs>
              <w:spacing w:before="40" w:after="40"/>
              <w:rPr>
                <w:sz w:val="20"/>
                <w:szCs w:val="20"/>
              </w:rPr>
            </w:pPr>
            <w:r>
              <w:lastRenderedPageBreak/>
              <w:t xml:space="preserve">Type of </w:t>
            </w:r>
            <w:r w:rsidR="002C2992">
              <w:t>Access</w:t>
            </w:r>
          </w:p>
        </w:tc>
        <w:tc>
          <w:tcPr>
            <w:tcW w:w="1248" w:type="pct"/>
            <w:gridSpan w:val="2"/>
            <w:shd w:val="clear" w:color="auto" w:fill="002060"/>
          </w:tcPr>
          <w:p w14:paraId="3CFB5C37" w14:textId="77777777" w:rsidR="002C2992" w:rsidRDefault="002C2992"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SINC</w:t>
            </w:r>
          </w:p>
          <w:p w14:paraId="50F4A20C" w14:textId="77777777" w:rsidR="00832B41" w:rsidRDefault="00832B41"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Metropolitan</w:t>
            </w:r>
          </w:p>
        </w:tc>
        <w:tc>
          <w:tcPr>
            <w:tcW w:w="1248" w:type="pct"/>
            <w:gridSpan w:val="2"/>
            <w:shd w:val="clear" w:color="auto" w:fill="002060"/>
          </w:tcPr>
          <w:p w14:paraId="54630092" w14:textId="77777777" w:rsidR="002C2992" w:rsidRDefault="002C2992"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SINC</w:t>
            </w:r>
            <w:r w:rsidR="00832B41">
              <w:rPr>
                <w:sz w:val="20"/>
                <w:szCs w:val="18"/>
              </w:rPr>
              <w:br/>
              <w:t>Borough</w:t>
            </w:r>
          </w:p>
        </w:tc>
        <w:tc>
          <w:tcPr>
            <w:tcW w:w="1246" w:type="pct"/>
            <w:gridSpan w:val="2"/>
            <w:shd w:val="clear" w:color="auto" w:fill="002060"/>
          </w:tcPr>
          <w:p w14:paraId="4EFBF6A4" w14:textId="77777777" w:rsidR="002C2992" w:rsidRDefault="00832B41"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S</w:t>
            </w:r>
            <w:r w:rsidR="002C2992">
              <w:rPr>
                <w:sz w:val="20"/>
                <w:szCs w:val="18"/>
              </w:rPr>
              <w:t>INC</w:t>
            </w:r>
            <w:r>
              <w:rPr>
                <w:sz w:val="20"/>
                <w:szCs w:val="18"/>
              </w:rPr>
              <w:br/>
              <w:t>Local</w:t>
            </w:r>
          </w:p>
        </w:tc>
      </w:tr>
      <w:tr w:rsidR="002C2992" w:rsidRPr="00324C84" w14:paraId="61B5CA91" w14:textId="77777777" w:rsidTr="74CA9E56">
        <w:trPr>
          <w:cnfStyle w:val="100000000000" w:firstRow="1" w:lastRow="0" w:firstColumn="0" w:lastColumn="0" w:oddVBand="0" w:evenVBand="0" w:oddHBand="0" w:evenHBand="0" w:firstRowFirstColumn="0" w:firstRowLastColumn="0" w:lastRowFirstColumn="0" w:lastRowLastColumn="0"/>
          <w:trHeight w:val="246"/>
          <w:tblHeader/>
          <w:jc w:val="right"/>
        </w:trPr>
        <w:tc>
          <w:tcPr>
            <w:cnfStyle w:val="001000000100" w:firstRow="0" w:lastRow="0" w:firstColumn="1" w:lastColumn="0" w:oddVBand="0" w:evenVBand="0" w:oddHBand="0" w:evenHBand="0" w:firstRowFirstColumn="1" w:firstRowLastColumn="0" w:lastRowFirstColumn="0" w:lastRowLastColumn="0"/>
            <w:tcW w:w="1257" w:type="pct"/>
            <w:vMerge/>
          </w:tcPr>
          <w:p w14:paraId="3A2BAADD" w14:textId="77777777" w:rsidR="002C2992" w:rsidRDefault="002C2992" w:rsidP="00CE5053">
            <w:pPr>
              <w:tabs>
                <w:tab w:val="center" w:pos="3056"/>
                <w:tab w:val="left" w:pos="4975"/>
              </w:tabs>
              <w:spacing w:before="40" w:after="40"/>
              <w:rPr>
                <w:b w:val="0"/>
              </w:rPr>
            </w:pPr>
          </w:p>
        </w:tc>
        <w:tc>
          <w:tcPr>
            <w:tcW w:w="624" w:type="pct"/>
            <w:shd w:val="clear" w:color="auto" w:fill="002060"/>
          </w:tcPr>
          <w:p w14:paraId="010B8451" w14:textId="77777777" w:rsidR="002C2992" w:rsidRPr="002C2992" w:rsidRDefault="002C2992"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bCs w:val="0"/>
                <w:sz w:val="20"/>
                <w:szCs w:val="18"/>
              </w:rPr>
            </w:pPr>
            <w:r>
              <w:rPr>
                <w:bCs w:val="0"/>
                <w:sz w:val="20"/>
                <w:szCs w:val="18"/>
              </w:rPr>
              <w:t>No. s</w:t>
            </w:r>
            <w:r w:rsidRPr="002C2992">
              <w:rPr>
                <w:bCs w:val="0"/>
                <w:sz w:val="20"/>
                <w:szCs w:val="18"/>
              </w:rPr>
              <w:t>ite</w:t>
            </w:r>
            <w:r>
              <w:rPr>
                <w:bCs w:val="0"/>
                <w:sz w:val="20"/>
                <w:szCs w:val="18"/>
              </w:rPr>
              <w:t>s</w:t>
            </w:r>
          </w:p>
        </w:tc>
        <w:tc>
          <w:tcPr>
            <w:tcW w:w="624" w:type="pct"/>
            <w:shd w:val="clear" w:color="auto" w:fill="002060"/>
          </w:tcPr>
          <w:p w14:paraId="257B7190" w14:textId="77777777" w:rsidR="002C2992" w:rsidRPr="002C2992" w:rsidRDefault="002C2992"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sidRPr="002C2992">
              <w:rPr>
                <w:sz w:val="20"/>
                <w:szCs w:val="18"/>
              </w:rPr>
              <w:t>Area (Ha)</w:t>
            </w:r>
          </w:p>
        </w:tc>
        <w:tc>
          <w:tcPr>
            <w:tcW w:w="624" w:type="pct"/>
            <w:shd w:val="clear" w:color="auto" w:fill="002060"/>
          </w:tcPr>
          <w:p w14:paraId="2BEC6620" w14:textId="77777777" w:rsidR="002C2992" w:rsidRDefault="002C2992"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b w:val="0"/>
                <w:bCs w:val="0"/>
                <w:sz w:val="20"/>
                <w:szCs w:val="18"/>
              </w:rPr>
            </w:pPr>
            <w:r>
              <w:rPr>
                <w:bCs w:val="0"/>
                <w:sz w:val="20"/>
                <w:szCs w:val="18"/>
              </w:rPr>
              <w:t>No. s</w:t>
            </w:r>
            <w:r w:rsidRPr="002C2992">
              <w:rPr>
                <w:bCs w:val="0"/>
                <w:sz w:val="20"/>
                <w:szCs w:val="18"/>
              </w:rPr>
              <w:t>ite</w:t>
            </w:r>
            <w:r>
              <w:rPr>
                <w:bCs w:val="0"/>
                <w:sz w:val="20"/>
                <w:szCs w:val="18"/>
              </w:rPr>
              <w:t>s</w:t>
            </w:r>
          </w:p>
        </w:tc>
        <w:tc>
          <w:tcPr>
            <w:tcW w:w="624" w:type="pct"/>
            <w:shd w:val="clear" w:color="auto" w:fill="002060"/>
          </w:tcPr>
          <w:p w14:paraId="638E089B" w14:textId="77777777" w:rsidR="002C2992" w:rsidRDefault="002C2992"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sidRPr="002C2992">
              <w:rPr>
                <w:sz w:val="20"/>
                <w:szCs w:val="18"/>
              </w:rPr>
              <w:t>Area (Ha)</w:t>
            </w:r>
          </w:p>
        </w:tc>
        <w:tc>
          <w:tcPr>
            <w:tcW w:w="624" w:type="pct"/>
            <w:shd w:val="clear" w:color="auto" w:fill="002060"/>
          </w:tcPr>
          <w:p w14:paraId="522A329A" w14:textId="77777777" w:rsidR="002C2992" w:rsidRDefault="002C2992"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b w:val="0"/>
                <w:bCs w:val="0"/>
                <w:sz w:val="20"/>
                <w:szCs w:val="18"/>
              </w:rPr>
            </w:pPr>
            <w:r>
              <w:rPr>
                <w:bCs w:val="0"/>
                <w:sz w:val="20"/>
                <w:szCs w:val="18"/>
              </w:rPr>
              <w:t>No. s</w:t>
            </w:r>
            <w:r w:rsidRPr="002C2992">
              <w:rPr>
                <w:bCs w:val="0"/>
                <w:sz w:val="20"/>
                <w:szCs w:val="18"/>
              </w:rPr>
              <w:t>ite</w:t>
            </w:r>
            <w:r>
              <w:rPr>
                <w:bCs w:val="0"/>
                <w:sz w:val="20"/>
                <w:szCs w:val="18"/>
              </w:rPr>
              <w:t>s</w:t>
            </w:r>
          </w:p>
        </w:tc>
        <w:tc>
          <w:tcPr>
            <w:tcW w:w="622" w:type="pct"/>
            <w:shd w:val="clear" w:color="auto" w:fill="002060"/>
          </w:tcPr>
          <w:p w14:paraId="03F80CF7" w14:textId="77777777" w:rsidR="002C2992" w:rsidRDefault="002C2992"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sidRPr="002C2992">
              <w:rPr>
                <w:sz w:val="20"/>
                <w:szCs w:val="18"/>
              </w:rPr>
              <w:t>Area (Ha)</w:t>
            </w:r>
          </w:p>
        </w:tc>
      </w:tr>
      <w:tr w:rsidR="002C2992" w:rsidRPr="00324C84" w14:paraId="7D7CA29F" w14:textId="77777777" w:rsidTr="74CA9E56">
        <w:trPr>
          <w:cnfStyle w:val="100000000000" w:firstRow="1" w:lastRow="0" w:firstColumn="0" w:lastColumn="0" w:oddVBand="0" w:evenVBand="0" w:oddHBand="0" w:evenHBand="0" w:firstRowFirstColumn="0" w:firstRowLastColumn="0" w:lastRowFirstColumn="0" w:lastRowLastColumn="0"/>
          <w:trHeight w:val="171"/>
          <w:tblHeader/>
          <w:jc w:val="right"/>
        </w:trPr>
        <w:tc>
          <w:tcPr>
            <w:cnfStyle w:val="001000000100" w:firstRow="0" w:lastRow="0" w:firstColumn="1" w:lastColumn="0" w:oddVBand="0" w:evenVBand="0" w:oddHBand="0" w:evenHBand="0" w:firstRowFirstColumn="1" w:firstRowLastColumn="0" w:lastRowFirstColumn="0" w:lastRowLastColumn="0"/>
            <w:tcW w:w="1257" w:type="pct"/>
            <w:tcBorders>
              <w:top w:val="single" w:sz="4" w:space="0" w:color="FFFFFF" w:themeColor="background1"/>
              <w:bottom w:val="single" w:sz="4" w:space="0" w:color="FFFFFF" w:themeColor="background1"/>
            </w:tcBorders>
            <w:shd w:val="clear" w:color="auto" w:fill="F2F2F2" w:themeFill="background1" w:themeFillShade="F2"/>
          </w:tcPr>
          <w:p w14:paraId="399553DF" w14:textId="77777777" w:rsidR="002C2992" w:rsidRPr="002C2992" w:rsidRDefault="002C2992" w:rsidP="00CE5053">
            <w:pPr>
              <w:spacing w:before="40" w:after="40"/>
              <w:rPr>
                <w:color w:val="auto"/>
                <w:sz w:val="20"/>
                <w:szCs w:val="18"/>
              </w:rPr>
            </w:pPr>
            <w:r w:rsidRPr="002C2992">
              <w:rPr>
                <w:color w:val="auto"/>
                <w:sz w:val="20"/>
              </w:rPr>
              <w:t>Free public access (all/most of site)</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2E32D521"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1</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621F48CE"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161.9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0EB5E791"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16</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3942213C"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146.0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0F953182"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14</w:t>
            </w:r>
          </w:p>
        </w:tc>
        <w:tc>
          <w:tcPr>
            <w:tcW w:w="622" w:type="pct"/>
            <w:tcBorders>
              <w:top w:val="single" w:sz="4" w:space="0" w:color="FFFFFF" w:themeColor="background1"/>
              <w:bottom w:val="single" w:sz="4" w:space="0" w:color="FFFFFF" w:themeColor="background1"/>
            </w:tcBorders>
            <w:shd w:val="clear" w:color="auto" w:fill="F2F2F2" w:themeFill="background1" w:themeFillShade="F2"/>
          </w:tcPr>
          <w:p w14:paraId="7E9AE42D"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66.5 ha</w:t>
            </w:r>
          </w:p>
        </w:tc>
      </w:tr>
      <w:tr w:rsidR="002C2992" w:rsidRPr="00324C84" w14:paraId="7D413114" w14:textId="77777777" w:rsidTr="74CA9E56">
        <w:trPr>
          <w:cnfStyle w:val="100000000000" w:firstRow="1" w:lastRow="0" w:firstColumn="0" w:lastColumn="0" w:oddVBand="0" w:evenVBand="0" w:oddHBand="0" w:evenHBand="0" w:firstRowFirstColumn="0" w:firstRowLastColumn="0" w:lastRowFirstColumn="0" w:lastRowLastColumn="0"/>
          <w:trHeight w:val="171"/>
          <w:tblHeader/>
          <w:jc w:val="right"/>
        </w:trPr>
        <w:tc>
          <w:tcPr>
            <w:cnfStyle w:val="001000000100" w:firstRow="0" w:lastRow="0" w:firstColumn="1" w:lastColumn="0" w:oddVBand="0" w:evenVBand="0" w:oddHBand="0" w:evenHBand="0" w:firstRowFirstColumn="1" w:firstRowLastColumn="0" w:lastRowFirstColumn="0" w:lastRowLastColumn="0"/>
            <w:tcW w:w="1257" w:type="pct"/>
            <w:tcBorders>
              <w:top w:val="single" w:sz="4" w:space="0" w:color="FFFFFF" w:themeColor="background1"/>
              <w:bottom w:val="single" w:sz="4" w:space="0" w:color="FFFFFF" w:themeColor="background1"/>
            </w:tcBorders>
            <w:shd w:val="clear" w:color="auto" w:fill="F2F2F2" w:themeFill="background1" w:themeFillShade="F2"/>
          </w:tcPr>
          <w:p w14:paraId="01F02791" w14:textId="77777777" w:rsidR="002C2992" w:rsidRPr="002C2992" w:rsidRDefault="002C2992" w:rsidP="00CE5053">
            <w:pPr>
              <w:spacing w:before="40" w:after="40"/>
              <w:rPr>
                <w:color w:val="auto"/>
                <w:sz w:val="20"/>
                <w:szCs w:val="18"/>
              </w:rPr>
            </w:pPr>
            <w:r w:rsidRPr="002C2992">
              <w:rPr>
                <w:color w:val="auto"/>
                <w:sz w:val="20"/>
              </w:rPr>
              <w:t>Free public access (part of site)</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0C50080F"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1</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79C5209E"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96.6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462C853A"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2</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50467688"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16.6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6EE8AC5C"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2</w:t>
            </w:r>
          </w:p>
        </w:tc>
        <w:tc>
          <w:tcPr>
            <w:tcW w:w="622" w:type="pct"/>
            <w:tcBorders>
              <w:top w:val="single" w:sz="4" w:space="0" w:color="FFFFFF" w:themeColor="background1"/>
              <w:bottom w:val="single" w:sz="4" w:space="0" w:color="FFFFFF" w:themeColor="background1"/>
            </w:tcBorders>
            <w:shd w:val="clear" w:color="auto" w:fill="F2F2F2" w:themeFill="background1" w:themeFillShade="F2"/>
          </w:tcPr>
          <w:p w14:paraId="266BFE5D"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2.1 ha</w:t>
            </w:r>
          </w:p>
        </w:tc>
      </w:tr>
      <w:tr w:rsidR="002C2992" w:rsidRPr="00324C84" w14:paraId="71A3BD17" w14:textId="77777777" w:rsidTr="74CA9E56">
        <w:trPr>
          <w:cnfStyle w:val="100000000000" w:firstRow="1" w:lastRow="0" w:firstColumn="0" w:lastColumn="0" w:oddVBand="0" w:evenVBand="0" w:oddHBand="0" w:evenHBand="0" w:firstRowFirstColumn="0" w:firstRowLastColumn="0" w:lastRowFirstColumn="0" w:lastRowLastColumn="0"/>
          <w:trHeight w:val="171"/>
          <w:tblHeader/>
          <w:jc w:val="right"/>
        </w:trPr>
        <w:tc>
          <w:tcPr>
            <w:cnfStyle w:val="001000000100" w:firstRow="0" w:lastRow="0" w:firstColumn="1" w:lastColumn="0" w:oddVBand="0" w:evenVBand="0" w:oddHBand="0" w:evenHBand="0" w:firstRowFirstColumn="1" w:firstRowLastColumn="0" w:lastRowFirstColumn="0" w:lastRowLastColumn="0"/>
            <w:tcW w:w="1257" w:type="pct"/>
            <w:tcBorders>
              <w:top w:val="single" w:sz="4" w:space="0" w:color="FFFFFF" w:themeColor="background1"/>
              <w:bottom w:val="single" w:sz="4" w:space="0" w:color="FFFFFF" w:themeColor="background1"/>
            </w:tcBorders>
            <w:shd w:val="clear" w:color="auto" w:fill="F2F2F2" w:themeFill="background1" w:themeFillShade="F2"/>
          </w:tcPr>
          <w:p w14:paraId="6FCBF29E" w14:textId="77777777" w:rsidR="002C2992" w:rsidRPr="002C2992" w:rsidRDefault="002C2992" w:rsidP="00CE5053">
            <w:pPr>
              <w:spacing w:before="40" w:after="40"/>
              <w:rPr>
                <w:color w:val="auto"/>
                <w:sz w:val="20"/>
                <w:szCs w:val="18"/>
              </w:rPr>
            </w:pPr>
            <w:r w:rsidRPr="002C2992">
              <w:rPr>
                <w:color w:val="auto"/>
                <w:sz w:val="20"/>
              </w:rPr>
              <w:t>Access at limited times</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4B584315"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0</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54F8AFCF"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0.0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2322F001"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0</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45FD468B"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0.0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795E67BA"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2</w:t>
            </w:r>
          </w:p>
        </w:tc>
        <w:tc>
          <w:tcPr>
            <w:tcW w:w="622" w:type="pct"/>
            <w:tcBorders>
              <w:top w:val="single" w:sz="4" w:space="0" w:color="FFFFFF" w:themeColor="background1"/>
              <w:bottom w:val="single" w:sz="4" w:space="0" w:color="FFFFFF" w:themeColor="background1"/>
            </w:tcBorders>
            <w:shd w:val="clear" w:color="auto" w:fill="F2F2F2" w:themeFill="background1" w:themeFillShade="F2"/>
          </w:tcPr>
          <w:p w14:paraId="0FF2B222"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0.4 ha</w:t>
            </w:r>
          </w:p>
        </w:tc>
      </w:tr>
      <w:tr w:rsidR="002C2992" w:rsidRPr="00324C84" w14:paraId="0304FDE2" w14:textId="77777777" w:rsidTr="74CA9E56">
        <w:trPr>
          <w:cnfStyle w:val="100000000000" w:firstRow="1" w:lastRow="0" w:firstColumn="0" w:lastColumn="0" w:oddVBand="0" w:evenVBand="0" w:oddHBand="0" w:evenHBand="0" w:firstRowFirstColumn="0" w:firstRowLastColumn="0" w:lastRowFirstColumn="0" w:lastRowLastColumn="0"/>
          <w:trHeight w:val="171"/>
          <w:tblHeader/>
          <w:jc w:val="right"/>
        </w:trPr>
        <w:tc>
          <w:tcPr>
            <w:cnfStyle w:val="001000000100" w:firstRow="0" w:lastRow="0" w:firstColumn="1" w:lastColumn="0" w:oddVBand="0" w:evenVBand="0" w:oddHBand="0" w:evenHBand="0" w:firstRowFirstColumn="1" w:firstRowLastColumn="0" w:lastRowFirstColumn="0" w:lastRowLastColumn="0"/>
            <w:tcW w:w="1257" w:type="pct"/>
            <w:tcBorders>
              <w:top w:val="single" w:sz="4" w:space="0" w:color="FFFFFF" w:themeColor="background1"/>
              <w:bottom w:val="single" w:sz="4" w:space="0" w:color="FFFFFF" w:themeColor="background1"/>
            </w:tcBorders>
            <w:shd w:val="clear" w:color="auto" w:fill="F2F2F2" w:themeFill="background1" w:themeFillShade="F2"/>
          </w:tcPr>
          <w:p w14:paraId="19D4C40D" w14:textId="77777777" w:rsidR="002C2992" w:rsidRPr="002C2992" w:rsidRDefault="002C2992" w:rsidP="00CE5053">
            <w:pPr>
              <w:spacing w:before="40" w:after="40"/>
              <w:rPr>
                <w:color w:val="auto"/>
                <w:sz w:val="20"/>
                <w:szCs w:val="18"/>
              </w:rPr>
            </w:pPr>
            <w:r w:rsidRPr="002C2992">
              <w:rPr>
                <w:color w:val="auto"/>
                <w:sz w:val="20"/>
              </w:rPr>
              <w:t>Access by prior arrangement</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7B7EFE02"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0</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34B222DF"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0.0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625F18D4"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2</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4A8F388F"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4.5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01822790"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2</w:t>
            </w:r>
          </w:p>
        </w:tc>
        <w:tc>
          <w:tcPr>
            <w:tcW w:w="622" w:type="pct"/>
            <w:tcBorders>
              <w:top w:val="single" w:sz="4" w:space="0" w:color="FFFFFF" w:themeColor="background1"/>
              <w:bottom w:val="single" w:sz="4" w:space="0" w:color="FFFFFF" w:themeColor="background1"/>
            </w:tcBorders>
            <w:shd w:val="clear" w:color="auto" w:fill="F2F2F2" w:themeFill="background1" w:themeFillShade="F2"/>
          </w:tcPr>
          <w:p w14:paraId="659AFAD6"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0.7 ha</w:t>
            </w:r>
          </w:p>
        </w:tc>
      </w:tr>
      <w:tr w:rsidR="002C2992" w:rsidRPr="00324C84" w14:paraId="44CF4703" w14:textId="77777777" w:rsidTr="74CA9E56">
        <w:trPr>
          <w:cnfStyle w:val="100000000000" w:firstRow="1" w:lastRow="0" w:firstColumn="0" w:lastColumn="0" w:oddVBand="0" w:evenVBand="0" w:oddHBand="0" w:evenHBand="0" w:firstRowFirstColumn="0" w:firstRowLastColumn="0" w:lastRowFirstColumn="0" w:lastRowLastColumn="0"/>
          <w:trHeight w:val="171"/>
          <w:tblHeader/>
          <w:jc w:val="right"/>
        </w:trPr>
        <w:tc>
          <w:tcPr>
            <w:cnfStyle w:val="001000000100" w:firstRow="0" w:lastRow="0" w:firstColumn="1" w:lastColumn="0" w:oddVBand="0" w:evenVBand="0" w:oddHBand="0" w:evenHBand="0" w:firstRowFirstColumn="1" w:firstRowLastColumn="0" w:lastRowFirstColumn="0" w:lastRowLastColumn="0"/>
            <w:tcW w:w="1257" w:type="pct"/>
            <w:tcBorders>
              <w:top w:val="single" w:sz="4" w:space="0" w:color="FFFFFF" w:themeColor="background1"/>
              <w:bottom w:val="single" w:sz="4" w:space="0" w:color="FFFFFF" w:themeColor="background1"/>
            </w:tcBorders>
            <w:shd w:val="clear" w:color="auto" w:fill="F2F2F2" w:themeFill="background1" w:themeFillShade="F2"/>
          </w:tcPr>
          <w:p w14:paraId="0BA7B979" w14:textId="77777777" w:rsidR="002C2992" w:rsidRPr="002C2992" w:rsidRDefault="002C2992" w:rsidP="00CE5053">
            <w:pPr>
              <w:spacing w:before="40" w:after="40"/>
              <w:rPr>
                <w:color w:val="auto"/>
                <w:sz w:val="20"/>
                <w:szCs w:val="18"/>
              </w:rPr>
            </w:pPr>
            <w:r w:rsidRPr="002C2992">
              <w:rPr>
                <w:color w:val="auto"/>
                <w:sz w:val="20"/>
              </w:rPr>
              <w:t>Can be viewed from adjacent paths</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050B3AD0"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1</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53315302"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37.6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5D0116D1"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13</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5975B6EB"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54.6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053B884B"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2</w:t>
            </w:r>
          </w:p>
        </w:tc>
        <w:tc>
          <w:tcPr>
            <w:tcW w:w="622" w:type="pct"/>
            <w:tcBorders>
              <w:top w:val="single" w:sz="4" w:space="0" w:color="FFFFFF" w:themeColor="background1"/>
              <w:bottom w:val="single" w:sz="4" w:space="0" w:color="FFFFFF" w:themeColor="background1"/>
            </w:tcBorders>
            <w:shd w:val="clear" w:color="auto" w:fill="F2F2F2" w:themeFill="background1" w:themeFillShade="F2"/>
          </w:tcPr>
          <w:p w14:paraId="37A0C945"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1.4 ha</w:t>
            </w:r>
          </w:p>
        </w:tc>
      </w:tr>
      <w:tr w:rsidR="002C2992" w:rsidRPr="00324C84" w14:paraId="4105D509" w14:textId="77777777" w:rsidTr="74CA9E56">
        <w:trPr>
          <w:cnfStyle w:val="100000000000" w:firstRow="1" w:lastRow="0" w:firstColumn="0" w:lastColumn="0" w:oddVBand="0" w:evenVBand="0" w:oddHBand="0" w:evenHBand="0" w:firstRowFirstColumn="0" w:firstRowLastColumn="0" w:lastRowFirstColumn="0" w:lastRowLastColumn="0"/>
          <w:trHeight w:val="171"/>
          <w:tblHeader/>
          <w:jc w:val="right"/>
        </w:trPr>
        <w:tc>
          <w:tcPr>
            <w:cnfStyle w:val="001000000100" w:firstRow="0" w:lastRow="0" w:firstColumn="1" w:lastColumn="0" w:oddVBand="0" w:evenVBand="0" w:oddHBand="0" w:evenHBand="0" w:firstRowFirstColumn="1" w:firstRowLastColumn="0" w:lastRowFirstColumn="0" w:lastRowLastColumn="0"/>
            <w:tcW w:w="1257" w:type="pct"/>
            <w:tcBorders>
              <w:top w:val="single" w:sz="4" w:space="0" w:color="FFFFFF" w:themeColor="background1"/>
              <w:bottom w:val="single" w:sz="4" w:space="0" w:color="FFFFFF" w:themeColor="background1"/>
            </w:tcBorders>
            <w:shd w:val="clear" w:color="auto" w:fill="F2F2F2" w:themeFill="background1" w:themeFillShade="F2"/>
          </w:tcPr>
          <w:p w14:paraId="62C02C66" w14:textId="77777777" w:rsidR="002C2992" w:rsidRPr="002C2992" w:rsidRDefault="002C2992" w:rsidP="00CE5053">
            <w:pPr>
              <w:spacing w:before="40" w:after="40"/>
              <w:rPr>
                <w:color w:val="auto"/>
                <w:sz w:val="20"/>
                <w:szCs w:val="18"/>
              </w:rPr>
            </w:pPr>
            <w:r w:rsidRPr="002C2992">
              <w:rPr>
                <w:color w:val="auto"/>
                <w:sz w:val="20"/>
              </w:rPr>
              <w:t>No public access</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33113584"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0</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0AA64091"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0.0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743E22B7"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2</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744ECB64"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5.2 ha</w:t>
            </w:r>
          </w:p>
        </w:tc>
        <w:tc>
          <w:tcPr>
            <w:tcW w:w="624" w:type="pct"/>
            <w:tcBorders>
              <w:top w:val="single" w:sz="4" w:space="0" w:color="FFFFFF" w:themeColor="background1"/>
              <w:bottom w:val="single" w:sz="4" w:space="0" w:color="FFFFFF" w:themeColor="background1"/>
            </w:tcBorders>
            <w:shd w:val="clear" w:color="auto" w:fill="F2F2F2" w:themeFill="background1" w:themeFillShade="F2"/>
          </w:tcPr>
          <w:p w14:paraId="1B4AAD78"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3</w:t>
            </w:r>
          </w:p>
        </w:tc>
        <w:tc>
          <w:tcPr>
            <w:tcW w:w="622" w:type="pct"/>
            <w:tcBorders>
              <w:top w:val="single" w:sz="4" w:space="0" w:color="FFFFFF" w:themeColor="background1"/>
              <w:bottom w:val="single" w:sz="4" w:space="0" w:color="FFFFFF" w:themeColor="background1"/>
            </w:tcBorders>
            <w:shd w:val="clear" w:color="auto" w:fill="F2F2F2" w:themeFill="background1" w:themeFillShade="F2"/>
          </w:tcPr>
          <w:p w14:paraId="262BCBF9"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3.0 ha</w:t>
            </w:r>
          </w:p>
        </w:tc>
      </w:tr>
      <w:tr w:rsidR="002C2992" w:rsidRPr="00324C84" w14:paraId="192364D1" w14:textId="77777777" w:rsidTr="74CA9E56">
        <w:trPr>
          <w:cnfStyle w:val="100000000000" w:firstRow="1" w:lastRow="0" w:firstColumn="0" w:lastColumn="0" w:oddVBand="0" w:evenVBand="0" w:oddHBand="0" w:evenHBand="0" w:firstRowFirstColumn="0" w:firstRowLastColumn="0" w:lastRowFirstColumn="0" w:lastRowLastColumn="0"/>
          <w:trHeight w:val="171"/>
          <w:tblHeader/>
          <w:jc w:val="right"/>
        </w:trPr>
        <w:tc>
          <w:tcPr>
            <w:cnfStyle w:val="001000000100" w:firstRow="0" w:lastRow="0" w:firstColumn="1" w:lastColumn="0" w:oddVBand="0" w:evenVBand="0" w:oddHBand="0" w:evenHBand="0" w:firstRowFirstColumn="1" w:firstRowLastColumn="0" w:lastRowFirstColumn="0" w:lastRowLastColumn="0"/>
            <w:tcW w:w="1257" w:type="pct"/>
            <w:tcBorders>
              <w:top w:val="single" w:sz="4" w:space="0" w:color="FFFFFF" w:themeColor="background1"/>
              <w:bottom w:val="single" w:sz="4" w:space="0" w:color="FFFFFF" w:themeColor="background1"/>
            </w:tcBorders>
            <w:shd w:val="clear" w:color="auto" w:fill="F2F2F2" w:themeFill="background1" w:themeFillShade="F2"/>
          </w:tcPr>
          <w:p w14:paraId="46FE0C09" w14:textId="77777777" w:rsidR="002C2992" w:rsidRPr="002C2992" w:rsidRDefault="002C2992" w:rsidP="00CE5053">
            <w:pPr>
              <w:spacing w:before="40" w:after="40"/>
              <w:rPr>
                <w:color w:val="auto"/>
                <w:sz w:val="20"/>
                <w:szCs w:val="18"/>
              </w:rPr>
            </w:pPr>
            <w:r w:rsidRPr="002C2992">
              <w:rPr>
                <w:color w:val="auto"/>
                <w:sz w:val="20"/>
              </w:rPr>
              <w:t>Total</w:t>
            </w:r>
          </w:p>
        </w:tc>
        <w:tc>
          <w:tcPr>
            <w:tcW w:w="624" w:type="pct"/>
            <w:tcBorders>
              <w:top w:val="single" w:sz="4" w:space="0" w:color="FFFFFF" w:themeColor="background1"/>
            </w:tcBorders>
            <w:shd w:val="clear" w:color="auto" w:fill="F2F2F2" w:themeFill="background1" w:themeFillShade="F2"/>
          </w:tcPr>
          <w:p w14:paraId="5139319E"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3</w:t>
            </w:r>
          </w:p>
        </w:tc>
        <w:tc>
          <w:tcPr>
            <w:tcW w:w="624" w:type="pct"/>
            <w:tcBorders>
              <w:top w:val="single" w:sz="4" w:space="0" w:color="FFFFFF" w:themeColor="background1"/>
            </w:tcBorders>
            <w:shd w:val="clear" w:color="auto" w:fill="F2F2F2" w:themeFill="background1" w:themeFillShade="F2"/>
          </w:tcPr>
          <w:p w14:paraId="229F3290"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296.1 ha</w:t>
            </w:r>
          </w:p>
        </w:tc>
        <w:tc>
          <w:tcPr>
            <w:tcW w:w="624" w:type="pct"/>
            <w:tcBorders>
              <w:top w:val="single" w:sz="4" w:space="0" w:color="FFFFFF" w:themeColor="background1"/>
            </w:tcBorders>
            <w:shd w:val="clear" w:color="auto" w:fill="F2F2F2" w:themeFill="background1" w:themeFillShade="F2"/>
          </w:tcPr>
          <w:p w14:paraId="3D5C510C"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35</w:t>
            </w:r>
          </w:p>
        </w:tc>
        <w:tc>
          <w:tcPr>
            <w:tcW w:w="624" w:type="pct"/>
            <w:tcBorders>
              <w:top w:val="single" w:sz="4" w:space="0" w:color="FFFFFF" w:themeColor="background1"/>
            </w:tcBorders>
            <w:shd w:val="clear" w:color="auto" w:fill="F2F2F2" w:themeFill="background1" w:themeFillShade="F2"/>
          </w:tcPr>
          <w:p w14:paraId="3F235F67"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226.9 ha</w:t>
            </w:r>
          </w:p>
        </w:tc>
        <w:tc>
          <w:tcPr>
            <w:tcW w:w="624" w:type="pct"/>
            <w:tcBorders>
              <w:top w:val="single" w:sz="4" w:space="0" w:color="FFFFFF" w:themeColor="background1"/>
            </w:tcBorders>
            <w:shd w:val="clear" w:color="auto" w:fill="F2F2F2" w:themeFill="background1" w:themeFillShade="F2"/>
          </w:tcPr>
          <w:p w14:paraId="1C203047"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color w:val="auto"/>
                <w:sz w:val="20"/>
                <w:szCs w:val="18"/>
              </w:rPr>
            </w:pPr>
            <w:r w:rsidRPr="002C2992">
              <w:rPr>
                <w:b w:val="0"/>
                <w:color w:val="auto"/>
              </w:rPr>
              <w:t>25</w:t>
            </w:r>
          </w:p>
        </w:tc>
        <w:tc>
          <w:tcPr>
            <w:tcW w:w="622" w:type="pct"/>
            <w:tcBorders>
              <w:top w:val="single" w:sz="4" w:space="0" w:color="FFFFFF" w:themeColor="background1"/>
            </w:tcBorders>
            <w:shd w:val="clear" w:color="auto" w:fill="F2F2F2" w:themeFill="background1" w:themeFillShade="F2"/>
          </w:tcPr>
          <w:p w14:paraId="308E7D88" w14:textId="77777777" w:rsidR="002C2992" w:rsidRPr="002C2992" w:rsidRDefault="002C2992" w:rsidP="00CE5053">
            <w:pPr>
              <w:spacing w:before="40" w:after="4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2C2992">
              <w:rPr>
                <w:b w:val="0"/>
                <w:color w:val="auto"/>
              </w:rPr>
              <w:t>74.1 ha</w:t>
            </w:r>
          </w:p>
        </w:tc>
      </w:tr>
    </w:tbl>
    <w:p w14:paraId="0D517B81" w14:textId="77777777" w:rsidR="00E81D78" w:rsidRPr="00005307" w:rsidRDefault="002C2992" w:rsidP="00CE5053">
      <w:pPr>
        <w:pStyle w:val="Caption"/>
        <w:spacing w:before="120" w:after="360"/>
        <w:ind w:left="720"/>
        <w:rPr>
          <w:b/>
          <w:i w:val="0"/>
          <w:color w:val="auto"/>
        </w:rPr>
      </w:pPr>
      <w:r>
        <w:rPr>
          <w:b/>
          <w:i w:val="0"/>
          <w:color w:val="auto"/>
        </w:rPr>
        <w:t>T</w:t>
      </w:r>
      <w:r w:rsidRPr="00F067AD">
        <w:rPr>
          <w:b/>
          <w:i w:val="0"/>
          <w:color w:val="auto"/>
        </w:rPr>
        <w:t xml:space="preserve">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11</w:t>
      </w:r>
      <w:r>
        <w:rPr>
          <w:b/>
          <w:i w:val="0"/>
          <w:color w:val="auto"/>
        </w:rPr>
        <w:fldChar w:fldCharType="end"/>
      </w:r>
      <w:r w:rsidRPr="00C43DD5">
        <w:rPr>
          <w:i w:val="0"/>
          <w:color w:val="auto"/>
        </w:rPr>
        <w:t xml:space="preserve"> </w:t>
      </w:r>
      <w:r>
        <w:rPr>
          <w:i w:val="0"/>
          <w:color w:val="auto"/>
        </w:rPr>
        <w:t xml:space="preserve">Sites of Importance for </w:t>
      </w:r>
      <w:r w:rsidR="00832B41">
        <w:rPr>
          <w:i w:val="0"/>
          <w:color w:val="auto"/>
        </w:rPr>
        <w:t>Nature C</w:t>
      </w:r>
      <w:r>
        <w:rPr>
          <w:i w:val="0"/>
          <w:color w:val="auto"/>
        </w:rPr>
        <w:t xml:space="preserve">onservation. Source: </w:t>
      </w:r>
      <w:r w:rsidR="00C22091">
        <w:rPr>
          <w:i w:val="0"/>
          <w:color w:val="auto"/>
        </w:rPr>
        <w:t>LB Lewisham (2016), SINC Survey</w:t>
      </w:r>
    </w:p>
    <w:p w14:paraId="2D148E06" w14:textId="77777777" w:rsidR="00C669F9" w:rsidRPr="00595E96" w:rsidRDefault="00C669F9" w:rsidP="00CE5053">
      <w:pPr>
        <w:ind w:left="720"/>
        <w:rPr>
          <w:i/>
          <w:iCs/>
        </w:rPr>
      </w:pPr>
      <w:r w:rsidRPr="00595E96">
        <w:rPr>
          <w:i/>
          <w:iCs/>
        </w:rPr>
        <w:t>Areas of deficiency in access to nature</w:t>
      </w:r>
    </w:p>
    <w:p w14:paraId="79555342" w14:textId="77777777" w:rsidR="00181E59" w:rsidRDefault="00C669F9" w:rsidP="00CE5053">
      <w:pPr>
        <w:pStyle w:val="ListParagraph"/>
        <w:numPr>
          <w:ilvl w:val="2"/>
          <w:numId w:val="24"/>
        </w:numPr>
        <w:spacing w:after="240"/>
        <w:ind w:left="737" w:hanging="737"/>
        <w:contextualSpacing w:val="0"/>
      </w:pPr>
      <w:r w:rsidRPr="00595E96">
        <w:t xml:space="preserve">Access to nature is increasingly seen as a key </w:t>
      </w:r>
      <w:r w:rsidR="00891A9F">
        <w:t>metric to improving the lives of Londoners living in a dense</w:t>
      </w:r>
      <w:r w:rsidRPr="00595E96">
        <w:t xml:space="preserve"> urban environment. The London Plan sets out a desirable distance in which people living in London should travel in order to have access to nature, locations beyond this distance are considered as Areas of Deficiency (AoD) in access to nature. Policy G6 of the London Plan </w:t>
      </w:r>
      <w:r w:rsidR="00E81D78">
        <w:t xml:space="preserve">defines an area of deficiency as areas that are </w:t>
      </w:r>
      <w:r w:rsidRPr="00595E96">
        <w:t>more than 1km walking distance from a publicly accessible SINC of metropolitan or borough importance.</w:t>
      </w:r>
    </w:p>
    <w:p w14:paraId="0A05E254" w14:textId="77777777" w:rsidR="00181E59" w:rsidRDefault="00A126FE" w:rsidP="00CE5053">
      <w:pPr>
        <w:pStyle w:val="ListParagraph"/>
        <w:numPr>
          <w:ilvl w:val="2"/>
          <w:numId w:val="24"/>
        </w:numPr>
        <w:spacing w:after="240"/>
        <w:ind w:left="737" w:hanging="737"/>
        <w:contextualSpacing w:val="0"/>
      </w:pPr>
      <w:r>
        <w:t>Prior to</w:t>
      </w:r>
      <w:r w:rsidR="00E81D78">
        <w:t xml:space="preserve"> 2016, there </w:t>
      </w:r>
      <w:r>
        <w:t>were</w:t>
      </w:r>
      <w:r w:rsidR="00E81D78">
        <w:t xml:space="preserve"> </w:t>
      </w:r>
      <w:r w:rsidR="00C669F9" w:rsidRPr="00595E96">
        <w:t>five main AoD</w:t>
      </w:r>
      <w:r w:rsidR="00E81D78">
        <w:t>s in the borough,</w:t>
      </w:r>
      <w:r w:rsidR="00C669F9" w:rsidRPr="00595E96">
        <w:t xml:space="preserve"> covering approximately </w:t>
      </w:r>
      <w:r w:rsidR="00181E59">
        <w:t>14% of the borough’s land area.</w:t>
      </w:r>
    </w:p>
    <w:p w14:paraId="02A76A95" w14:textId="77777777" w:rsidR="00181E59" w:rsidRDefault="00A126FE" w:rsidP="00CE5053">
      <w:pPr>
        <w:pStyle w:val="ListParagraph"/>
        <w:numPr>
          <w:ilvl w:val="2"/>
          <w:numId w:val="24"/>
        </w:numPr>
        <w:spacing w:after="240"/>
        <w:ind w:left="737" w:hanging="737"/>
        <w:contextualSpacing w:val="0"/>
      </w:pPr>
      <w:r>
        <w:t>Following the 2015-16 SINC survey, AoD in the borough has reduced from 520ha to 337.4ha, a decrease of 182.6ha or 35%. This is the result of improvements at Bridgehouse Meadows and Ladywell Fields, creating wildlife rich habitats valued at the borough level. Improved access into the River Quaggy and Manor Park Site of Borough Importance has also helped to reduce the AoD.</w:t>
      </w:r>
    </w:p>
    <w:p w14:paraId="2E52FA0E" w14:textId="77777777" w:rsidR="00181E59" w:rsidRDefault="00A126FE" w:rsidP="00CE5053">
      <w:pPr>
        <w:pStyle w:val="ListParagraph"/>
        <w:numPr>
          <w:ilvl w:val="2"/>
          <w:numId w:val="24"/>
        </w:numPr>
        <w:spacing w:after="240"/>
        <w:ind w:left="737" w:hanging="737"/>
        <w:contextualSpacing w:val="0"/>
      </w:pPr>
      <w:r>
        <w:t xml:space="preserve">A proposed boundary extension to Beckenham Place Park </w:t>
      </w:r>
      <w:r w:rsidR="00C5232C">
        <w:t>will alleviate</w:t>
      </w:r>
      <w:r>
        <w:t xml:space="preserve"> the AoD by 28.5ha in the London Borough of Bromley to the south. A further 45.5ha of AoD </w:t>
      </w:r>
      <w:r w:rsidR="00C5232C">
        <w:t>will be</w:t>
      </w:r>
      <w:r>
        <w:t xml:space="preserve"> also alleviated in Southwark as a result of </w:t>
      </w:r>
      <w:r w:rsidR="00C5232C">
        <w:t xml:space="preserve">changes to the designation of </w:t>
      </w:r>
      <w:r>
        <w:t>Bridgehouse Meadows.</w:t>
      </w:r>
    </w:p>
    <w:p w14:paraId="15444B57" w14:textId="77777777" w:rsidR="00181E59" w:rsidRPr="00181E59" w:rsidRDefault="00C669F9" w:rsidP="00CE5053">
      <w:pPr>
        <w:pStyle w:val="ListParagraph"/>
        <w:numPr>
          <w:ilvl w:val="0"/>
          <w:numId w:val="0"/>
        </w:numPr>
        <w:spacing w:after="240"/>
        <w:ind w:left="737"/>
        <w:contextualSpacing w:val="0"/>
      </w:pPr>
      <w:r w:rsidRPr="00181E59">
        <w:rPr>
          <w:b/>
        </w:rPr>
        <w:t>Future requirement</w:t>
      </w:r>
    </w:p>
    <w:p w14:paraId="199CEFD8" w14:textId="77777777" w:rsidR="00181E59" w:rsidRDefault="00084CE2" w:rsidP="00CE5053">
      <w:pPr>
        <w:pStyle w:val="ListParagraph"/>
        <w:numPr>
          <w:ilvl w:val="2"/>
          <w:numId w:val="24"/>
        </w:numPr>
        <w:spacing w:after="240"/>
        <w:ind w:left="737" w:hanging="737"/>
        <w:contextualSpacing w:val="0"/>
      </w:pPr>
      <w:r>
        <w:t>T</w:t>
      </w:r>
      <w:r w:rsidR="00A126FE" w:rsidRPr="00A126FE">
        <w:t>he new Local Plan</w:t>
      </w:r>
      <w:r w:rsidR="00EB77AC">
        <w:t xml:space="preserve"> </w:t>
      </w:r>
      <w:r>
        <w:t>proposes to</w:t>
      </w:r>
      <w:r w:rsidR="00EB77AC">
        <w:t xml:space="preserve"> provide for </w:t>
      </w:r>
      <w:r>
        <w:t xml:space="preserve">the designation of </w:t>
      </w:r>
      <w:r w:rsidR="00A126FE" w:rsidRPr="00A126FE">
        <w:t>six new SINCs. This will increase the SINC area from 595ha to 614ha. This represents a 3% increase in ten years.</w:t>
      </w:r>
    </w:p>
    <w:p w14:paraId="09319F02" w14:textId="77777777" w:rsidR="00C669F9" w:rsidRDefault="00A126FE" w:rsidP="00CE5053">
      <w:pPr>
        <w:pStyle w:val="ListParagraph"/>
        <w:numPr>
          <w:ilvl w:val="2"/>
          <w:numId w:val="24"/>
        </w:numPr>
        <w:spacing w:after="240"/>
        <w:ind w:left="737" w:hanging="737"/>
        <w:contextualSpacing w:val="0"/>
      </w:pPr>
      <w:r w:rsidRPr="00A93BC1">
        <w:t xml:space="preserve">The </w:t>
      </w:r>
      <w:r>
        <w:t>OSS</w:t>
      </w:r>
      <w:r w:rsidRPr="00A93BC1">
        <w:t xml:space="preserve"> </w:t>
      </w:r>
      <w:r>
        <w:t>will contain</w:t>
      </w:r>
      <w:r w:rsidRPr="00A93BC1">
        <w:t xml:space="preserve"> the goal</w:t>
      </w:r>
      <w:r>
        <w:t>s</w:t>
      </w:r>
      <w:r w:rsidRPr="00A93BC1">
        <w:t xml:space="preserve"> to target and deliver investment </w:t>
      </w:r>
      <w:r>
        <w:t xml:space="preserve">in a range of parks and green open spaces, as well as objectives to improve the quality of biodiversity corridors as development comes forward. </w:t>
      </w:r>
      <w:r w:rsidR="00C5232C">
        <w:t>Progress will be set out in the Authority Monitoring</w:t>
      </w:r>
      <w:r>
        <w:t xml:space="preserve"> </w:t>
      </w:r>
      <w:r w:rsidR="00C5232C">
        <w:t>Report (AMR) prepared by the Planning Service.</w:t>
      </w:r>
    </w:p>
    <w:p w14:paraId="2E4B6A3E" w14:textId="77777777" w:rsidR="00C669F9" w:rsidRDefault="00C669F9" w:rsidP="00CE5053">
      <w:r>
        <w:br w:type="page"/>
      </w:r>
    </w:p>
    <w:p w14:paraId="2E9E278B" w14:textId="77777777" w:rsidR="00E67CD7" w:rsidRDefault="00E67CD7" w:rsidP="00CE5053">
      <w:pPr>
        <w:pStyle w:val="Heading2"/>
      </w:pPr>
      <w:bookmarkStart w:id="45" w:name="_Toc56146033"/>
      <w:r>
        <w:lastRenderedPageBreak/>
        <w:t>Allotments</w:t>
      </w:r>
      <w:bookmarkEnd w:id="45"/>
    </w:p>
    <w:p w14:paraId="0F5C64A2" w14:textId="77777777" w:rsidR="00E67CD7" w:rsidRPr="000D1D2E" w:rsidRDefault="3CA26E30" w:rsidP="00CE5053">
      <w:pPr>
        <w:tabs>
          <w:tab w:val="left" w:pos="720"/>
          <w:tab w:val="left" w:pos="1440"/>
          <w:tab w:val="left" w:pos="2562"/>
        </w:tabs>
        <w:spacing w:before="240" w:after="120"/>
        <w:ind w:left="578"/>
        <w:rPr>
          <w:b/>
          <w:bCs/>
        </w:rPr>
      </w:pPr>
      <w:r w:rsidRPr="74CA9E56">
        <w:rPr>
          <w:b/>
          <w:bCs/>
        </w:rPr>
        <w:t xml:space="preserve">   </w:t>
      </w:r>
      <w:r w:rsidR="00E67CD7" w:rsidRPr="74CA9E56">
        <w:rPr>
          <w:b/>
          <w:bCs/>
        </w:rPr>
        <w:t xml:space="preserve">Policy context </w:t>
      </w:r>
    </w:p>
    <w:p w14:paraId="7EF37AA3" w14:textId="77777777" w:rsidR="004C3ADB" w:rsidRPr="004C3ADB" w:rsidRDefault="004C3ADB" w:rsidP="00CE5053">
      <w:pPr>
        <w:pStyle w:val="ListParagraph"/>
        <w:numPr>
          <w:ilvl w:val="0"/>
          <w:numId w:val="26"/>
        </w:numPr>
        <w:spacing w:after="240"/>
        <w:contextualSpacing w:val="0"/>
        <w:rPr>
          <w:vanish/>
        </w:rPr>
      </w:pPr>
    </w:p>
    <w:p w14:paraId="3C7576EC" w14:textId="77777777" w:rsidR="004C3ADB" w:rsidRPr="004C3ADB" w:rsidRDefault="004C3ADB" w:rsidP="00CE5053">
      <w:pPr>
        <w:pStyle w:val="ListParagraph"/>
        <w:numPr>
          <w:ilvl w:val="0"/>
          <w:numId w:val="26"/>
        </w:numPr>
        <w:spacing w:after="240"/>
        <w:contextualSpacing w:val="0"/>
        <w:rPr>
          <w:vanish/>
        </w:rPr>
      </w:pPr>
    </w:p>
    <w:p w14:paraId="6000547E" w14:textId="77777777" w:rsidR="004C3ADB" w:rsidRPr="004C3ADB" w:rsidRDefault="004C3ADB" w:rsidP="00CE5053">
      <w:pPr>
        <w:pStyle w:val="ListParagraph"/>
        <w:numPr>
          <w:ilvl w:val="0"/>
          <w:numId w:val="26"/>
        </w:numPr>
        <w:spacing w:after="240"/>
        <w:contextualSpacing w:val="0"/>
        <w:rPr>
          <w:vanish/>
        </w:rPr>
      </w:pPr>
    </w:p>
    <w:p w14:paraId="71F798A8" w14:textId="77777777" w:rsidR="004C3ADB" w:rsidRPr="004C3ADB" w:rsidRDefault="004C3ADB" w:rsidP="00CE5053">
      <w:pPr>
        <w:pStyle w:val="ListParagraph"/>
        <w:numPr>
          <w:ilvl w:val="0"/>
          <w:numId w:val="26"/>
        </w:numPr>
        <w:spacing w:after="240"/>
        <w:contextualSpacing w:val="0"/>
        <w:rPr>
          <w:vanish/>
        </w:rPr>
      </w:pPr>
    </w:p>
    <w:p w14:paraId="5BC294DE" w14:textId="77777777" w:rsidR="004C3ADB" w:rsidRPr="004C3ADB" w:rsidRDefault="004C3ADB" w:rsidP="00CE5053">
      <w:pPr>
        <w:pStyle w:val="ListParagraph"/>
        <w:numPr>
          <w:ilvl w:val="1"/>
          <w:numId w:val="26"/>
        </w:numPr>
        <w:spacing w:after="240"/>
        <w:contextualSpacing w:val="0"/>
        <w:rPr>
          <w:vanish/>
        </w:rPr>
      </w:pPr>
    </w:p>
    <w:p w14:paraId="7D36B6E2" w14:textId="77777777" w:rsidR="004C3ADB" w:rsidRPr="004C3ADB" w:rsidRDefault="004C3ADB" w:rsidP="00CE5053">
      <w:pPr>
        <w:pStyle w:val="ListParagraph"/>
        <w:numPr>
          <w:ilvl w:val="1"/>
          <w:numId w:val="26"/>
        </w:numPr>
        <w:spacing w:after="240"/>
        <w:contextualSpacing w:val="0"/>
        <w:rPr>
          <w:vanish/>
        </w:rPr>
      </w:pPr>
    </w:p>
    <w:p w14:paraId="43A65479" w14:textId="77777777" w:rsidR="004C3ADB" w:rsidRPr="004C3ADB" w:rsidRDefault="004C3ADB" w:rsidP="00CE5053">
      <w:pPr>
        <w:pStyle w:val="ListParagraph"/>
        <w:numPr>
          <w:ilvl w:val="1"/>
          <w:numId w:val="26"/>
        </w:numPr>
        <w:spacing w:after="240"/>
        <w:contextualSpacing w:val="0"/>
        <w:rPr>
          <w:vanish/>
        </w:rPr>
      </w:pPr>
    </w:p>
    <w:p w14:paraId="1A00D889" w14:textId="77777777" w:rsidR="004C3ADB" w:rsidRDefault="00436289" w:rsidP="00CE5053">
      <w:pPr>
        <w:pStyle w:val="ListParagraph"/>
        <w:numPr>
          <w:ilvl w:val="2"/>
          <w:numId w:val="26"/>
        </w:numPr>
        <w:spacing w:after="240"/>
        <w:ind w:left="737" w:hanging="737"/>
        <w:contextualSpacing w:val="0"/>
      </w:pPr>
      <w:r w:rsidRPr="000D1D2E">
        <w:t>The Allotments and Small Holdings Act 1908 states that councils have a duty to provide land if six people or more request an allotment. However, as an inner London authority, the London Borough of Lewisham has a discretionary rather than mandatory power to provide allotments under section 55(4) of the London Government Act 1963. The allotments legislation does not lay down minimum standards or a required nature or extent of allotment garden provision (Memorandum by the Department of the Environment Transport and the Regions [AL 23] 1998).</w:t>
      </w:r>
    </w:p>
    <w:p w14:paraId="44510B7B" w14:textId="77777777" w:rsidR="004C3ADB" w:rsidRPr="004C3ADB" w:rsidRDefault="00436289" w:rsidP="00CE5053">
      <w:pPr>
        <w:pStyle w:val="ListParagraph"/>
        <w:numPr>
          <w:ilvl w:val="0"/>
          <w:numId w:val="0"/>
        </w:numPr>
        <w:spacing w:after="240"/>
        <w:ind w:left="737"/>
        <w:contextualSpacing w:val="0"/>
      </w:pPr>
      <w:r w:rsidRPr="004C3ADB">
        <w:rPr>
          <w:b/>
        </w:rPr>
        <w:t>Background</w:t>
      </w:r>
    </w:p>
    <w:p w14:paraId="0B1DD612" w14:textId="77777777" w:rsidR="004C3ADB" w:rsidRDefault="00E67CD7" w:rsidP="00CE5053">
      <w:pPr>
        <w:pStyle w:val="ListParagraph"/>
        <w:numPr>
          <w:ilvl w:val="2"/>
          <w:numId w:val="26"/>
        </w:numPr>
        <w:spacing w:after="240"/>
        <w:ind w:left="737" w:hanging="737"/>
        <w:contextualSpacing w:val="0"/>
      </w:pPr>
      <w:r w:rsidRPr="000D1D2E">
        <w:t>Allotments are in high demand across London and Lewisham is no exception, with applications increasing year on year. As of October 2019 there were 1619 people on the central waiting list</w:t>
      </w:r>
      <w:r w:rsidR="00436289">
        <w:t xml:space="preserve"> for an allotment in Lewisham</w:t>
      </w:r>
      <w:r w:rsidRPr="000D1D2E">
        <w:t xml:space="preserve">. Although the </w:t>
      </w:r>
      <w:r w:rsidR="00436289">
        <w:t>Council</w:t>
      </w:r>
      <w:r w:rsidRPr="000D1D2E">
        <w:t xml:space="preserve"> has no legal requirement to provide allotments</w:t>
      </w:r>
      <w:r w:rsidR="00436289">
        <w:t>,</w:t>
      </w:r>
      <w:r w:rsidRPr="000D1D2E">
        <w:t xml:space="preserve"> there are 37 long-established council-owned sites in the borough</w:t>
      </w:r>
      <w:r w:rsidR="00436289">
        <w:t>. All of these allotments have</w:t>
      </w:r>
      <w:r w:rsidRPr="000D1D2E">
        <w:t xml:space="preserve"> waiting lists.</w:t>
      </w:r>
    </w:p>
    <w:p w14:paraId="4CAD34D4" w14:textId="77777777" w:rsidR="004C3ADB" w:rsidRDefault="00E67CD7" w:rsidP="00CE5053">
      <w:pPr>
        <w:pStyle w:val="ListParagraph"/>
        <w:numPr>
          <w:ilvl w:val="2"/>
          <w:numId w:val="26"/>
        </w:numPr>
        <w:spacing w:after="240"/>
        <w:ind w:left="737" w:hanging="737"/>
        <w:contextualSpacing w:val="0"/>
      </w:pPr>
      <w:r w:rsidRPr="000D1D2E">
        <w:t xml:space="preserve">Of those allotment sites already provided on council-owned land, 13 are statutory. This means the land was originally acquired by the council for the purpose of allotments. Such sites are protected by the </w:t>
      </w:r>
      <w:r w:rsidR="00436289" w:rsidRPr="000D1D2E">
        <w:t>Allotments and Small Holdings Act 1908</w:t>
      </w:r>
      <w:r w:rsidRPr="000D1D2E">
        <w:t>. The other 24 sites are legally-termed as temporary and not subject to the same levels of legal protection</w:t>
      </w:r>
      <w:r w:rsidR="00436289">
        <w:t>,</w:t>
      </w:r>
      <w:r w:rsidRPr="000D1D2E">
        <w:t xml:space="preserve"> despite having been in use as allotments for </w:t>
      </w:r>
      <w:r w:rsidR="00436289">
        <w:t xml:space="preserve">many </w:t>
      </w:r>
      <w:r w:rsidRPr="000D1D2E">
        <w:t>decades.</w:t>
      </w:r>
    </w:p>
    <w:p w14:paraId="2FEDFE34" w14:textId="77777777" w:rsidR="004C3ADB" w:rsidRPr="004C3ADB" w:rsidRDefault="00E67CD7" w:rsidP="00CE5053">
      <w:pPr>
        <w:pStyle w:val="ListParagraph"/>
        <w:numPr>
          <w:ilvl w:val="0"/>
          <w:numId w:val="0"/>
        </w:numPr>
        <w:spacing w:after="240"/>
        <w:ind w:left="737"/>
        <w:contextualSpacing w:val="0"/>
      </w:pPr>
      <w:r w:rsidRPr="004C3ADB">
        <w:rPr>
          <w:b/>
          <w:bCs/>
        </w:rPr>
        <w:t>Current provision</w:t>
      </w:r>
    </w:p>
    <w:p w14:paraId="52C488C3" w14:textId="77777777" w:rsidR="00436289" w:rsidRDefault="00E67CD7" w:rsidP="00CE5053">
      <w:pPr>
        <w:pStyle w:val="ListParagraph"/>
        <w:numPr>
          <w:ilvl w:val="2"/>
          <w:numId w:val="26"/>
        </w:numPr>
        <w:spacing w:after="240"/>
        <w:ind w:left="737" w:hanging="737"/>
        <w:contextualSpacing w:val="0"/>
      </w:pPr>
      <w:r>
        <w:t>The</w:t>
      </w:r>
      <w:r w:rsidR="004C3ADB">
        <w:t xml:space="preserve"> </w:t>
      </w:r>
      <w:r>
        <w:t xml:space="preserve">37 council-owned allotment sites </w:t>
      </w:r>
      <w:r w:rsidR="21BCA164">
        <w:t xml:space="preserve">cover </w:t>
      </w:r>
      <w:r>
        <w:t xml:space="preserve">16.21 hectares. Historically, </w:t>
      </w:r>
      <w:r w:rsidR="00436289">
        <w:t>most were</w:t>
      </w:r>
      <w:r>
        <w:t xml:space="preserve"> directly managed by the Council</w:t>
      </w:r>
      <w:r w:rsidR="00436289">
        <w:t>,</w:t>
      </w:r>
      <w:r>
        <w:t xml:space="preserve"> </w:t>
      </w:r>
      <w:r w:rsidR="00436289">
        <w:t>however</w:t>
      </w:r>
      <w:r>
        <w:t xml:space="preserve"> in the early 1980s plot-holders were offered the opportunity to set up committees and </w:t>
      </w:r>
      <w:r w:rsidR="00436289">
        <w:t>self-manage the site</w:t>
      </w:r>
      <w:r w:rsidR="707AEA8C">
        <w:t>s</w:t>
      </w:r>
      <w:r w:rsidR="00436289">
        <w:t xml:space="preserve"> </w:t>
      </w:r>
      <w:r>
        <w:t xml:space="preserve">under a Management Agreement with the Council. Approximately three-quarters of the sites </w:t>
      </w:r>
      <w:r w:rsidR="00436289">
        <w:t xml:space="preserve">have since </w:t>
      </w:r>
      <w:r>
        <w:t>bec</w:t>
      </w:r>
      <w:r w:rsidR="00436289">
        <w:t>o</w:t>
      </w:r>
      <w:r>
        <w:t>me self-managed. Over the intervening years these Management Agreements have remained in place, with the exception of a small number wh</w:t>
      </w:r>
      <w:r w:rsidR="00436289">
        <w:t>ich have</w:t>
      </w:r>
      <w:r>
        <w:t xml:space="preserve"> reverted </w:t>
      </w:r>
      <w:r w:rsidR="00436289">
        <w:t xml:space="preserve">back </w:t>
      </w:r>
      <w:r>
        <w:t xml:space="preserve">to direct </w:t>
      </w:r>
      <w:r w:rsidR="00436289">
        <w:t xml:space="preserve">Council </w:t>
      </w:r>
      <w:r>
        <w:t xml:space="preserve">management. </w:t>
      </w:r>
    </w:p>
    <w:p w14:paraId="21DAB6D6" w14:textId="77777777" w:rsidR="000D1D2E" w:rsidRDefault="00436289" w:rsidP="00CE5053">
      <w:pPr>
        <w:pStyle w:val="ListParagraph"/>
        <w:numPr>
          <w:ilvl w:val="0"/>
          <w:numId w:val="26"/>
        </w:numPr>
        <w:spacing w:after="360"/>
        <w:ind w:left="737" w:hanging="737"/>
        <w:contextualSpacing w:val="0"/>
      </w:pPr>
      <w:r>
        <w:t xml:space="preserve">There are currently </w:t>
      </w:r>
      <w:r w:rsidR="00E67CD7" w:rsidRPr="000D1D2E">
        <w:t xml:space="preserve">27 </w:t>
      </w:r>
      <w:r>
        <w:t xml:space="preserve">self-managed </w:t>
      </w:r>
      <w:r w:rsidR="00E67CD7" w:rsidRPr="000D1D2E">
        <w:t xml:space="preserve">sites, 10 </w:t>
      </w:r>
      <w:r>
        <w:t xml:space="preserve">which </w:t>
      </w:r>
      <w:r w:rsidR="00E67CD7" w:rsidRPr="000D1D2E">
        <w:t>are directly council-manage</w:t>
      </w:r>
      <w:r>
        <w:t>d, providing a</w:t>
      </w:r>
      <w:r w:rsidR="00E67CD7" w:rsidRPr="000D1D2E">
        <w:t xml:space="preserve"> total</w:t>
      </w:r>
      <w:r>
        <w:t xml:space="preserve"> of</w:t>
      </w:r>
      <w:r w:rsidR="00E67CD7" w:rsidRPr="000D1D2E">
        <w:t xml:space="preserve"> 1094 allotment plots on council-owned land.</w:t>
      </w:r>
      <w:r>
        <w:t xml:space="preserve"> </w:t>
      </w:r>
      <w:r w:rsidR="00F476C4" w:rsidRPr="008806FA">
        <w:rPr>
          <w:b/>
        </w:rPr>
        <w:t>T</w:t>
      </w:r>
      <w:r w:rsidR="00E67CD7" w:rsidRPr="008806FA">
        <w:rPr>
          <w:b/>
        </w:rPr>
        <w:t xml:space="preserve">able </w:t>
      </w:r>
      <w:r w:rsidR="008806FA" w:rsidRPr="008806FA">
        <w:rPr>
          <w:b/>
        </w:rPr>
        <w:t>12</w:t>
      </w:r>
      <w:r w:rsidR="00F476C4" w:rsidRPr="00436289">
        <w:rPr>
          <w:b/>
        </w:rPr>
        <w:t xml:space="preserve"> </w:t>
      </w:r>
      <w:r w:rsidR="00E67CD7" w:rsidRPr="000D1D2E">
        <w:t xml:space="preserve">below </w:t>
      </w:r>
      <w:r>
        <w:t>identifies these sites and current status</w:t>
      </w:r>
      <w:r w:rsidR="00E67CD7" w:rsidRPr="000D1D2E">
        <w:t>.</w:t>
      </w:r>
    </w:p>
    <w:tbl>
      <w:tblPr>
        <w:tblStyle w:val="ListTable3-Accent32"/>
        <w:tblW w:w="4644"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2689"/>
        <w:gridCol w:w="2127"/>
        <w:gridCol w:w="2550"/>
        <w:gridCol w:w="1677"/>
      </w:tblGrid>
      <w:tr w:rsidR="000D1D2E" w:rsidRPr="00324C84" w14:paraId="4D346E2E" w14:textId="77777777" w:rsidTr="00935708">
        <w:trPr>
          <w:cnfStyle w:val="100000000000" w:firstRow="1" w:lastRow="0" w:firstColumn="0" w:lastColumn="0" w:oddVBand="0" w:evenVBand="0" w:oddHBand="0" w:evenHBand="0" w:firstRowFirstColumn="0" w:firstRowLastColumn="0" w:lastRowFirstColumn="0" w:lastRowLastColumn="0"/>
          <w:trHeight w:val="246"/>
          <w:tblHeader/>
          <w:jc w:val="right"/>
        </w:trPr>
        <w:tc>
          <w:tcPr>
            <w:cnfStyle w:val="001000000100" w:firstRow="0" w:lastRow="0" w:firstColumn="1" w:lastColumn="0" w:oddVBand="0" w:evenVBand="0" w:oddHBand="0" w:evenHBand="0" w:firstRowFirstColumn="1" w:firstRowLastColumn="0" w:lastRowFirstColumn="0" w:lastRowLastColumn="0"/>
            <w:tcW w:w="1487" w:type="pct"/>
            <w:tcBorders>
              <w:bottom w:val="single" w:sz="4" w:space="0" w:color="FFFFFF" w:themeColor="background1"/>
            </w:tcBorders>
            <w:shd w:val="clear" w:color="auto" w:fill="002060"/>
          </w:tcPr>
          <w:p w14:paraId="264A5790" w14:textId="77777777" w:rsidR="000D1D2E" w:rsidRPr="00796CC1" w:rsidRDefault="000D1D2E" w:rsidP="00CE5053">
            <w:pPr>
              <w:tabs>
                <w:tab w:val="center" w:pos="3056"/>
                <w:tab w:val="left" w:pos="4975"/>
              </w:tabs>
              <w:spacing w:before="40" w:after="40"/>
              <w:rPr>
                <w:sz w:val="20"/>
                <w:szCs w:val="18"/>
              </w:rPr>
            </w:pPr>
            <w:r>
              <w:rPr>
                <w:sz w:val="20"/>
                <w:szCs w:val="18"/>
              </w:rPr>
              <w:t>Site</w:t>
            </w:r>
          </w:p>
        </w:tc>
        <w:tc>
          <w:tcPr>
            <w:tcW w:w="1176" w:type="pct"/>
            <w:tcBorders>
              <w:bottom w:val="single" w:sz="4" w:space="0" w:color="FFFFFF" w:themeColor="background1"/>
            </w:tcBorders>
            <w:shd w:val="clear" w:color="auto" w:fill="002060"/>
          </w:tcPr>
          <w:p w14:paraId="1B9FBFDD" w14:textId="77777777" w:rsidR="000D1D2E" w:rsidRDefault="000D1D2E"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Status</w:t>
            </w:r>
          </w:p>
        </w:tc>
        <w:tc>
          <w:tcPr>
            <w:tcW w:w="1410" w:type="pct"/>
            <w:tcBorders>
              <w:bottom w:val="single" w:sz="4" w:space="0" w:color="FFFFFF" w:themeColor="background1"/>
            </w:tcBorders>
            <w:shd w:val="clear" w:color="auto" w:fill="002060"/>
          </w:tcPr>
          <w:p w14:paraId="6B40D859" w14:textId="77777777" w:rsidR="000D1D2E" w:rsidRPr="00796CC1" w:rsidRDefault="000D1D2E"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Direct or self-managed</w:t>
            </w:r>
          </w:p>
        </w:tc>
        <w:tc>
          <w:tcPr>
            <w:tcW w:w="927" w:type="pct"/>
            <w:tcBorders>
              <w:bottom w:val="single" w:sz="4" w:space="0" w:color="FFFFFF" w:themeColor="background1"/>
            </w:tcBorders>
            <w:shd w:val="clear" w:color="auto" w:fill="002060"/>
          </w:tcPr>
          <w:p w14:paraId="3B2931E4" w14:textId="77777777" w:rsidR="000D1D2E" w:rsidRPr="00796CC1" w:rsidRDefault="000D1D2E"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No. of plots</w:t>
            </w:r>
          </w:p>
        </w:tc>
      </w:tr>
      <w:tr w:rsidR="00A50D9A" w:rsidRPr="00324C84" w14:paraId="314CFF99" w14:textId="77777777" w:rsidTr="00727A2D">
        <w:trPr>
          <w:cnfStyle w:val="000000100000" w:firstRow="0" w:lastRow="0" w:firstColumn="0" w:lastColumn="0" w:oddVBand="0" w:evenVBand="0" w:oddHBand="1" w:evenHBand="0" w:firstRowFirstColumn="0" w:firstRowLastColumn="0" w:lastRowFirstColumn="0" w:lastRowLastColumn="0"/>
          <w:trHeight w:val="171"/>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2A057DD1" w14:textId="77777777" w:rsidR="00A50D9A" w:rsidRPr="00F476C4" w:rsidRDefault="00A50D9A" w:rsidP="00CE5053">
            <w:pPr>
              <w:spacing w:before="40" w:after="40"/>
              <w:rPr>
                <w:sz w:val="20"/>
                <w:szCs w:val="20"/>
              </w:rPr>
            </w:pPr>
            <w:r w:rsidRPr="00F476C4">
              <w:rPr>
                <w:sz w:val="20"/>
                <w:szCs w:val="20"/>
              </w:rPr>
              <w:t>Ballamore Road</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30EB79BF"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2D02A638"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b/>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78941E47"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b/>
                <w:sz w:val="20"/>
                <w:szCs w:val="20"/>
              </w:rPr>
            </w:pPr>
            <w:r w:rsidRPr="00F476C4">
              <w:rPr>
                <w:sz w:val="20"/>
                <w:szCs w:val="20"/>
              </w:rPr>
              <w:t>5</w:t>
            </w:r>
          </w:p>
        </w:tc>
      </w:tr>
      <w:tr w:rsidR="00A50D9A" w:rsidRPr="00324C84" w14:paraId="63A0EE5F"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0D13CB99" w14:textId="77777777" w:rsidR="00A50D9A" w:rsidRPr="00F476C4" w:rsidRDefault="00A50D9A" w:rsidP="00CE5053">
            <w:pPr>
              <w:spacing w:before="40" w:after="40"/>
              <w:rPr>
                <w:sz w:val="20"/>
                <w:szCs w:val="20"/>
              </w:rPr>
            </w:pPr>
            <w:r w:rsidRPr="00F476C4">
              <w:rPr>
                <w:sz w:val="20"/>
                <w:szCs w:val="20"/>
              </w:rPr>
              <w:t>Barmeston Road</w:t>
            </w:r>
          </w:p>
        </w:tc>
        <w:tc>
          <w:tcPr>
            <w:tcW w:w="1176" w:type="pct"/>
            <w:shd w:val="clear" w:color="auto" w:fill="F2F2F2" w:themeFill="background1" w:themeFillShade="F2"/>
          </w:tcPr>
          <w:p w14:paraId="7E35E226"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Statutory</w:t>
            </w:r>
          </w:p>
        </w:tc>
        <w:tc>
          <w:tcPr>
            <w:tcW w:w="1410" w:type="pct"/>
            <w:shd w:val="clear" w:color="auto" w:fill="F2F2F2" w:themeFill="background1" w:themeFillShade="F2"/>
          </w:tcPr>
          <w:p w14:paraId="6A8488BF"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F476C4">
              <w:rPr>
                <w:sz w:val="20"/>
                <w:szCs w:val="20"/>
              </w:rPr>
              <w:t>Self-managed</w:t>
            </w:r>
          </w:p>
        </w:tc>
        <w:tc>
          <w:tcPr>
            <w:tcW w:w="927" w:type="pct"/>
            <w:shd w:val="clear" w:color="auto" w:fill="F2F2F2" w:themeFill="background1" w:themeFillShade="F2"/>
          </w:tcPr>
          <w:p w14:paraId="2AFCDB24"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F476C4">
              <w:rPr>
                <w:sz w:val="20"/>
                <w:szCs w:val="20"/>
              </w:rPr>
              <w:t>25</w:t>
            </w:r>
          </w:p>
        </w:tc>
      </w:tr>
      <w:tr w:rsidR="00A50D9A" w:rsidRPr="00324C84" w14:paraId="370EE5FB"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0D65A2E3" w14:textId="77777777" w:rsidR="00A50D9A" w:rsidRPr="00F476C4" w:rsidRDefault="00A50D9A" w:rsidP="00CE5053">
            <w:pPr>
              <w:spacing w:before="40" w:after="40"/>
              <w:rPr>
                <w:sz w:val="20"/>
                <w:szCs w:val="20"/>
              </w:rPr>
            </w:pPr>
            <w:r w:rsidRPr="00F476C4">
              <w:rPr>
                <w:sz w:val="20"/>
                <w:szCs w:val="20"/>
              </w:rPr>
              <w:t>Blackhorse Road</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783272EB"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4E3167FA"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b/>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029B61C8"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b/>
                <w:sz w:val="20"/>
                <w:szCs w:val="20"/>
              </w:rPr>
            </w:pPr>
            <w:r w:rsidRPr="00F476C4">
              <w:rPr>
                <w:sz w:val="20"/>
                <w:szCs w:val="20"/>
              </w:rPr>
              <w:t>26</w:t>
            </w:r>
          </w:p>
        </w:tc>
      </w:tr>
      <w:tr w:rsidR="00A50D9A" w:rsidRPr="00324C84" w14:paraId="4977067F"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45AD4799" w14:textId="77777777" w:rsidR="00A50D9A" w:rsidRPr="00F476C4" w:rsidRDefault="00A50D9A" w:rsidP="00CE5053">
            <w:pPr>
              <w:spacing w:before="40" w:after="40"/>
              <w:rPr>
                <w:sz w:val="20"/>
                <w:szCs w:val="20"/>
              </w:rPr>
            </w:pPr>
            <w:r w:rsidRPr="00F476C4">
              <w:rPr>
                <w:sz w:val="20"/>
                <w:szCs w:val="20"/>
              </w:rPr>
              <w:t>Blythe Hill</w:t>
            </w:r>
          </w:p>
        </w:tc>
        <w:tc>
          <w:tcPr>
            <w:tcW w:w="1176" w:type="pct"/>
            <w:shd w:val="clear" w:color="auto" w:fill="F2F2F2" w:themeFill="background1" w:themeFillShade="F2"/>
          </w:tcPr>
          <w:p w14:paraId="3CE0D19C"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shd w:val="clear" w:color="auto" w:fill="F2F2F2" w:themeFill="background1" w:themeFillShade="F2"/>
          </w:tcPr>
          <w:p w14:paraId="07C621DE"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F476C4">
              <w:rPr>
                <w:sz w:val="20"/>
                <w:szCs w:val="20"/>
              </w:rPr>
              <w:t>Direct-managed</w:t>
            </w:r>
          </w:p>
        </w:tc>
        <w:tc>
          <w:tcPr>
            <w:tcW w:w="927" w:type="pct"/>
            <w:shd w:val="clear" w:color="auto" w:fill="F2F2F2" w:themeFill="background1" w:themeFillShade="F2"/>
          </w:tcPr>
          <w:p w14:paraId="526D80A2"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F476C4">
              <w:rPr>
                <w:sz w:val="20"/>
                <w:szCs w:val="20"/>
              </w:rPr>
              <w:t>18</w:t>
            </w:r>
          </w:p>
        </w:tc>
      </w:tr>
      <w:tr w:rsidR="00A50D9A" w:rsidRPr="00324C84" w14:paraId="2C236484"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3A60919A" w14:textId="77777777" w:rsidR="00A50D9A" w:rsidRPr="00F476C4" w:rsidRDefault="00A50D9A" w:rsidP="00CE5053">
            <w:pPr>
              <w:spacing w:before="40" w:after="40"/>
              <w:rPr>
                <w:sz w:val="20"/>
                <w:szCs w:val="20"/>
              </w:rPr>
            </w:pPr>
            <w:r w:rsidRPr="00F476C4">
              <w:rPr>
                <w:sz w:val="20"/>
                <w:szCs w:val="20"/>
              </w:rPr>
              <w:t>Broadmead</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4E93E7BE"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34472EF9"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b/>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7BF7B80B"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b/>
                <w:sz w:val="20"/>
                <w:szCs w:val="20"/>
              </w:rPr>
            </w:pPr>
            <w:r w:rsidRPr="00F476C4">
              <w:rPr>
                <w:sz w:val="20"/>
                <w:szCs w:val="20"/>
              </w:rPr>
              <w:t>25</w:t>
            </w:r>
          </w:p>
        </w:tc>
      </w:tr>
      <w:tr w:rsidR="00A50D9A" w:rsidRPr="00324C84" w14:paraId="1402567A"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31383517" w14:textId="77777777" w:rsidR="00A50D9A" w:rsidRPr="00F476C4" w:rsidRDefault="00A50D9A" w:rsidP="00CE5053">
            <w:pPr>
              <w:spacing w:before="40" w:after="40"/>
              <w:rPr>
                <w:sz w:val="20"/>
                <w:szCs w:val="20"/>
              </w:rPr>
            </w:pPr>
            <w:r w:rsidRPr="00F476C4">
              <w:rPr>
                <w:sz w:val="20"/>
                <w:szCs w:val="20"/>
              </w:rPr>
              <w:t>Castillon Road</w:t>
            </w:r>
          </w:p>
        </w:tc>
        <w:tc>
          <w:tcPr>
            <w:tcW w:w="1176" w:type="pct"/>
            <w:shd w:val="clear" w:color="auto" w:fill="F2F2F2" w:themeFill="background1" w:themeFillShade="F2"/>
          </w:tcPr>
          <w:p w14:paraId="76151963"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shd w:val="clear" w:color="auto" w:fill="F2F2F2" w:themeFill="background1" w:themeFillShade="F2"/>
          </w:tcPr>
          <w:p w14:paraId="260DF2FB"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F476C4">
              <w:rPr>
                <w:sz w:val="20"/>
                <w:szCs w:val="20"/>
              </w:rPr>
              <w:t>Self-managed</w:t>
            </w:r>
          </w:p>
        </w:tc>
        <w:tc>
          <w:tcPr>
            <w:tcW w:w="927" w:type="pct"/>
            <w:shd w:val="clear" w:color="auto" w:fill="F2F2F2" w:themeFill="background1" w:themeFillShade="F2"/>
          </w:tcPr>
          <w:p w14:paraId="54E323BA"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F476C4">
              <w:rPr>
                <w:sz w:val="20"/>
                <w:szCs w:val="20"/>
              </w:rPr>
              <w:t>92</w:t>
            </w:r>
          </w:p>
        </w:tc>
      </w:tr>
      <w:tr w:rsidR="00A50D9A" w:rsidRPr="00324C84" w14:paraId="19F572E3"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5E7C02FD" w14:textId="77777777" w:rsidR="00A50D9A" w:rsidRPr="00F476C4" w:rsidRDefault="00A50D9A" w:rsidP="00CE5053">
            <w:pPr>
              <w:spacing w:before="40" w:after="40"/>
              <w:rPr>
                <w:sz w:val="20"/>
                <w:szCs w:val="20"/>
              </w:rPr>
            </w:pPr>
            <w:r w:rsidRPr="00F476C4">
              <w:rPr>
                <w:sz w:val="20"/>
                <w:szCs w:val="20"/>
              </w:rPr>
              <w:t>Chinbrook Meadows</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3709366D"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0A1E90E0"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b/>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2A4CBA15"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b/>
                <w:sz w:val="20"/>
                <w:szCs w:val="20"/>
              </w:rPr>
            </w:pPr>
            <w:r w:rsidRPr="00F476C4">
              <w:rPr>
                <w:sz w:val="20"/>
                <w:szCs w:val="20"/>
              </w:rPr>
              <w:t>71</w:t>
            </w:r>
          </w:p>
        </w:tc>
      </w:tr>
      <w:tr w:rsidR="00A50D9A" w:rsidRPr="00324C84" w14:paraId="6E3323AE"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1E4D56E9" w14:textId="77777777" w:rsidR="00A50D9A" w:rsidRPr="00F476C4" w:rsidRDefault="00A50D9A" w:rsidP="00CE5053">
            <w:pPr>
              <w:spacing w:before="40" w:after="40"/>
              <w:rPr>
                <w:sz w:val="20"/>
                <w:szCs w:val="20"/>
              </w:rPr>
            </w:pPr>
            <w:r w:rsidRPr="00F476C4">
              <w:rPr>
                <w:sz w:val="20"/>
                <w:szCs w:val="20"/>
              </w:rPr>
              <w:t>Clarendon Rise</w:t>
            </w:r>
          </w:p>
        </w:tc>
        <w:tc>
          <w:tcPr>
            <w:tcW w:w="1176" w:type="pct"/>
            <w:shd w:val="clear" w:color="auto" w:fill="F2F2F2" w:themeFill="background1" w:themeFillShade="F2"/>
          </w:tcPr>
          <w:p w14:paraId="5FD2904D"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Statutory</w:t>
            </w:r>
          </w:p>
        </w:tc>
        <w:tc>
          <w:tcPr>
            <w:tcW w:w="1410" w:type="pct"/>
            <w:shd w:val="clear" w:color="auto" w:fill="F2F2F2" w:themeFill="background1" w:themeFillShade="F2"/>
          </w:tcPr>
          <w:p w14:paraId="3E8599F1"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F476C4">
              <w:rPr>
                <w:sz w:val="20"/>
                <w:szCs w:val="20"/>
              </w:rPr>
              <w:t>Self-managed</w:t>
            </w:r>
          </w:p>
        </w:tc>
        <w:tc>
          <w:tcPr>
            <w:tcW w:w="927" w:type="pct"/>
            <w:shd w:val="clear" w:color="auto" w:fill="F2F2F2" w:themeFill="background1" w:themeFillShade="F2"/>
          </w:tcPr>
          <w:p w14:paraId="75697EEC" w14:textId="77777777" w:rsidR="00A50D9A" w:rsidRPr="00F476C4" w:rsidRDefault="00A50D9A"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F476C4">
              <w:rPr>
                <w:sz w:val="20"/>
                <w:szCs w:val="20"/>
              </w:rPr>
              <w:t>7</w:t>
            </w:r>
          </w:p>
        </w:tc>
      </w:tr>
      <w:tr w:rsidR="00A50D9A" w:rsidRPr="00324C84" w14:paraId="2C0F0A8F"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2B80C5BD" w14:textId="77777777" w:rsidR="00A50D9A" w:rsidRPr="00F476C4" w:rsidRDefault="00A50D9A" w:rsidP="00CE5053">
            <w:pPr>
              <w:spacing w:before="40" w:after="40"/>
              <w:rPr>
                <w:sz w:val="20"/>
                <w:szCs w:val="20"/>
              </w:rPr>
            </w:pPr>
            <w:r w:rsidRPr="00F476C4">
              <w:rPr>
                <w:sz w:val="20"/>
                <w:szCs w:val="20"/>
              </w:rPr>
              <w:t>Dacre Park</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4CFC0203"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01790B94"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b/>
                <w:sz w:val="20"/>
                <w:szCs w:val="20"/>
              </w:rPr>
            </w:pPr>
            <w:r w:rsidRPr="00F476C4">
              <w:rPr>
                <w:sz w:val="20"/>
                <w:szCs w:val="20"/>
              </w:rPr>
              <w:t>Direct-managed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270091A6" w14:textId="77777777" w:rsidR="00A50D9A" w:rsidRPr="00F476C4" w:rsidRDefault="00A50D9A" w:rsidP="00CE5053">
            <w:pPr>
              <w:spacing w:before="40" w:after="40"/>
              <w:cnfStyle w:val="000000100000" w:firstRow="0" w:lastRow="0" w:firstColumn="0" w:lastColumn="0" w:oddVBand="0" w:evenVBand="0" w:oddHBand="1" w:evenHBand="0" w:firstRowFirstColumn="0" w:firstRowLastColumn="0" w:lastRowFirstColumn="0" w:lastRowLastColumn="0"/>
              <w:rPr>
                <w:b/>
                <w:sz w:val="20"/>
                <w:szCs w:val="20"/>
              </w:rPr>
            </w:pPr>
            <w:r w:rsidRPr="00F476C4">
              <w:rPr>
                <w:sz w:val="20"/>
                <w:szCs w:val="20"/>
              </w:rPr>
              <w:t>44</w:t>
            </w:r>
          </w:p>
        </w:tc>
      </w:tr>
      <w:tr w:rsidR="00727A2D" w:rsidRPr="00324C84" w14:paraId="0EEEA3B1"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002060"/>
          </w:tcPr>
          <w:p w14:paraId="2785E8E2" w14:textId="77777777" w:rsidR="00727A2D" w:rsidRPr="00F476C4" w:rsidRDefault="00727A2D" w:rsidP="00CE5053">
            <w:pPr>
              <w:spacing w:before="40" w:after="40"/>
              <w:rPr>
                <w:sz w:val="20"/>
                <w:szCs w:val="20"/>
              </w:rPr>
            </w:pPr>
            <w:r w:rsidRPr="00A50D9A">
              <w:rPr>
                <w:sz w:val="20"/>
                <w:szCs w:val="18"/>
              </w:rPr>
              <w:lastRenderedPageBreak/>
              <w:t>Site</w:t>
            </w:r>
          </w:p>
        </w:tc>
        <w:tc>
          <w:tcPr>
            <w:tcW w:w="1176" w:type="pct"/>
            <w:shd w:val="clear" w:color="auto" w:fill="002060"/>
          </w:tcPr>
          <w:p w14:paraId="72F77DC3" w14:textId="77777777" w:rsidR="00727A2D" w:rsidRPr="00F476C4" w:rsidRDefault="00727A2D"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A50D9A">
              <w:rPr>
                <w:b/>
                <w:sz w:val="20"/>
                <w:szCs w:val="18"/>
              </w:rPr>
              <w:t>Status</w:t>
            </w:r>
          </w:p>
        </w:tc>
        <w:tc>
          <w:tcPr>
            <w:tcW w:w="1410" w:type="pct"/>
            <w:shd w:val="clear" w:color="auto" w:fill="002060"/>
          </w:tcPr>
          <w:p w14:paraId="6926DB89" w14:textId="77777777" w:rsidR="00727A2D" w:rsidRPr="00F476C4" w:rsidRDefault="00727A2D"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A50D9A">
              <w:rPr>
                <w:b/>
                <w:sz w:val="20"/>
                <w:szCs w:val="18"/>
              </w:rPr>
              <w:t>Direct or self-managed</w:t>
            </w:r>
          </w:p>
        </w:tc>
        <w:tc>
          <w:tcPr>
            <w:tcW w:w="927" w:type="pct"/>
            <w:shd w:val="clear" w:color="auto" w:fill="002060"/>
          </w:tcPr>
          <w:p w14:paraId="6FC1FCCF" w14:textId="77777777" w:rsidR="00727A2D" w:rsidRPr="00F476C4" w:rsidRDefault="00727A2D"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A50D9A">
              <w:rPr>
                <w:b/>
                <w:sz w:val="20"/>
                <w:szCs w:val="18"/>
              </w:rPr>
              <w:t>No. of plots</w:t>
            </w:r>
          </w:p>
        </w:tc>
      </w:tr>
      <w:tr w:rsidR="00727A2D" w:rsidRPr="00324C84" w14:paraId="155820E8"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413E663E" w14:textId="77777777" w:rsidR="00727A2D" w:rsidRPr="00F476C4" w:rsidRDefault="00727A2D" w:rsidP="00CE5053">
            <w:pPr>
              <w:spacing w:before="40" w:after="40"/>
              <w:rPr>
                <w:sz w:val="20"/>
                <w:szCs w:val="20"/>
              </w:rPr>
            </w:pPr>
            <w:r w:rsidRPr="00F476C4">
              <w:rPr>
                <w:sz w:val="20"/>
                <w:szCs w:val="20"/>
              </w:rPr>
              <w:t>Deloraine Street</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43708EDA" w14:textId="77777777" w:rsidR="00727A2D" w:rsidRPr="00F476C4" w:rsidRDefault="00727A2D"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62131990" w14:textId="77777777" w:rsidR="00727A2D" w:rsidRPr="00F476C4" w:rsidRDefault="00727A2D"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Direct-managed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1D8EB8EE" w14:textId="77777777" w:rsidR="00727A2D" w:rsidRPr="00F476C4" w:rsidRDefault="00727A2D"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24</w:t>
            </w:r>
          </w:p>
        </w:tc>
      </w:tr>
      <w:tr w:rsidR="00727A2D" w:rsidRPr="00324C84" w14:paraId="7A7759EA"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7F256083" w14:textId="77777777" w:rsidR="00727A2D" w:rsidRDefault="00727A2D" w:rsidP="00CE5053">
            <w:pPr>
              <w:spacing w:before="40" w:after="40"/>
              <w:rPr>
                <w:sz w:val="20"/>
                <w:szCs w:val="20"/>
              </w:rPr>
            </w:pPr>
            <w:r w:rsidRPr="00F476C4">
              <w:rPr>
                <w:sz w:val="20"/>
                <w:szCs w:val="20"/>
              </w:rPr>
              <w:t>Edward Street</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55D3D055" w14:textId="77777777" w:rsidR="00727A2D" w:rsidRPr="00F476C4" w:rsidRDefault="00727A2D"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4590B7F6" w14:textId="77777777" w:rsidR="00727A2D" w:rsidRPr="00F476C4" w:rsidRDefault="00727A2D"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Direct-managed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4FB28CDF" w14:textId="77777777" w:rsidR="00727A2D" w:rsidRPr="00F476C4" w:rsidRDefault="00727A2D"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4</w:t>
            </w:r>
          </w:p>
        </w:tc>
      </w:tr>
      <w:tr w:rsidR="00727A2D" w:rsidRPr="00324C84" w14:paraId="3226D535"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0D2E1755" w14:textId="77777777" w:rsidR="00727A2D" w:rsidRDefault="00727A2D" w:rsidP="00CE5053">
            <w:pPr>
              <w:spacing w:before="40" w:after="40"/>
              <w:rPr>
                <w:sz w:val="20"/>
                <w:szCs w:val="20"/>
              </w:rPr>
            </w:pPr>
            <w:r w:rsidRPr="00F476C4">
              <w:rPr>
                <w:sz w:val="20"/>
                <w:szCs w:val="20"/>
              </w:rPr>
              <w:t>Exford Road</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3EC4590A" w14:textId="77777777" w:rsidR="00727A2D" w:rsidRPr="00F476C4" w:rsidRDefault="00727A2D"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269DE43E" w14:textId="77777777" w:rsidR="00727A2D" w:rsidRPr="00F476C4" w:rsidRDefault="00727A2D"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6089FD39" w14:textId="77777777" w:rsidR="00727A2D" w:rsidRDefault="00727A2D"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48</w:t>
            </w:r>
          </w:p>
        </w:tc>
      </w:tr>
      <w:tr w:rsidR="00F476C4" w:rsidRPr="00324C84" w14:paraId="1F92D3DC"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36A428D1" w14:textId="77777777" w:rsidR="00F476C4" w:rsidRPr="00F476C4" w:rsidRDefault="00F476C4" w:rsidP="00CE5053">
            <w:pPr>
              <w:spacing w:before="40" w:after="40"/>
              <w:rPr>
                <w:sz w:val="20"/>
                <w:szCs w:val="20"/>
              </w:rPr>
            </w:pPr>
            <w:r w:rsidRPr="00F476C4">
              <w:rPr>
                <w:sz w:val="20"/>
                <w:szCs w:val="20"/>
              </w:rPr>
              <w:t>Firhill Road North</w:t>
            </w:r>
          </w:p>
        </w:tc>
        <w:tc>
          <w:tcPr>
            <w:tcW w:w="1176" w:type="pct"/>
            <w:shd w:val="clear" w:color="auto" w:fill="F2F2F2" w:themeFill="background1" w:themeFillShade="F2"/>
          </w:tcPr>
          <w:p w14:paraId="2E05A8D2"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shd w:val="clear" w:color="auto" w:fill="F2F2F2" w:themeFill="background1" w:themeFillShade="F2"/>
          </w:tcPr>
          <w:p w14:paraId="0DD059EF"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Direct-managed</w:t>
            </w:r>
          </w:p>
        </w:tc>
        <w:tc>
          <w:tcPr>
            <w:tcW w:w="927" w:type="pct"/>
            <w:shd w:val="clear" w:color="auto" w:fill="F2F2F2" w:themeFill="background1" w:themeFillShade="F2"/>
          </w:tcPr>
          <w:p w14:paraId="2C8B330C"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31</w:t>
            </w:r>
          </w:p>
        </w:tc>
      </w:tr>
      <w:tr w:rsidR="00F476C4" w:rsidRPr="00324C84" w14:paraId="6AA5F9DA"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0FF1074A" w14:textId="77777777" w:rsidR="00F476C4" w:rsidRPr="00F476C4" w:rsidRDefault="00F476C4" w:rsidP="00CE5053">
            <w:pPr>
              <w:spacing w:before="40" w:after="40"/>
              <w:rPr>
                <w:sz w:val="20"/>
                <w:szCs w:val="20"/>
              </w:rPr>
            </w:pPr>
            <w:r w:rsidRPr="00F476C4">
              <w:rPr>
                <w:sz w:val="20"/>
                <w:szCs w:val="20"/>
              </w:rPr>
              <w:t>Firhill Road South</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3337E9EC"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72B2A086"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7B568215"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21</w:t>
            </w:r>
          </w:p>
        </w:tc>
      </w:tr>
      <w:tr w:rsidR="00F476C4" w:rsidRPr="00324C84" w14:paraId="7780D079"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5916FCD7" w14:textId="77777777" w:rsidR="00F476C4" w:rsidRPr="00F476C4" w:rsidRDefault="00F476C4" w:rsidP="00CE5053">
            <w:pPr>
              <w:spacing w:before="40" w:after="40"/>
              <w:rPr>
                <w:sz w:val="20"/>
                <w:szCs w:val="20"/>
              </w:rPr>
            </w:pPr>
            <w:r w:rsidRPr="00F476C4">
              <w:rPr>
                <w:sz w:val="20"/>
                <w:szCs w:val="20"/>
              </w:rPr>
              <w:t>Hazelbank Road</w:t>
            </w:r>
          </w:p>
        </w:tc>
        <w:tc>
          <w:tcPr>
            <w:tcW w:w="1176" w:type="pct"/>
            <w:shd w:val="clear" w:color="auto" w:fill="F2F2F2" w:themeFill="background1" w:themeFillShade="F2"/>
          </w:tcPr>
          <w:p w14:paraId="4FBBB15F"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shd w:val="clear" w:color="auto" w:fill="F2F2F2" w:themeFill="background1" w:themeFillShade="F2"/>
          </w:tcPr>
          <w:p w14:paraId="489AB5BB"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Self-managed</w:t>
            </w:r>
          </w:p>
        </w:tc>
        <w:tc>
          <w:tcPr>
            <w:tcW w:w="927" w:type="pct"/>
            <w:shd w:val="clear" w:color="auto" w:fill="F2F2F2" w:themeFill="background1" w:themeFillShade="F2"/>
          </w:tcPr>
          <w:p w14:paraId="46DE38F6"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65</w:t>
            </w:r>
          </w:p>
        </w:tc>
      </w:tr>
      <w:tr w:rsidR="00F476C4" w:rsidRPr="00324C84" w14:paraId="301D3A81"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7844CEBC" w14:textId="77777777" w:rsidR="00F476C4" w:rsidRPr="00F476C4" w:rsidRDefault="00F476C4" w:rsidP="00CE5053">
            <w:pPr>
              <w:spacing w:before="40" w:after="40"/>
              <w:rPr>
                <w:sz w:val="20"/>
                <w:szCs w:val="20"/>
              </w:rPr>
            </w:pPr>
            <w:r w:rsidRPr="00F476C4">
              <w:rPr>
                <w:sz w:val="20"/>
                <w:szCs w:val="20"/>
              </w:rPr>
              <w:t>Hurstbourne Road</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560F9076"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27FFDCA6"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6C375A72"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21</w:t>
            </w:r>
          </w:p>
        </w:tc>
      </w:tr>
      <w:tr w:rsidR="00F476C4" w:rsidRPr="00324C84" w14:paraId="1D2851CB"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4790699F" w14:textId="77777777" w:rsidR="00F476C4" w:rsidRPr="00F476C4" w:rsidRDefault="00F476C4" w:rsidP="00CE5053">
            <w:pPr>
              <w:spacing w:before="40" w:after="40"/>
              <w:rPr>
                <w:sz w:val="20"/>
                <w:szCs w:val="20"/>
              </w:rPr>
            </w:pPr>
            <w:r w:rsidRPr="00F476C4">
              <w:rPr>
                <w:sz w:val="20"/>
                <w:szCs w:val="20"/>
              </w:rPr>
              <w:t>Jim Hurren</w:t>
            </w:r>
          </w:p>
        </w:tc>
        <w:tc>
          <w:tcPr>
            <w:tcW w:w="1176" w:type="pct"/>
            <w:shd w:val="clear" w:color="auto" w:fill="F2F2F2" w:themeFill="background1" w:themeFillShade="F2"/>
          </w:tcPr>
          <w:p w14:paraId="06B5BBBA"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shd w:val="clear" w:color="auto" w:fill="F2F2F2" w:themeFill="background1" w:themeFillShade="F2"/>
          </w:tcPr>
          <w:p w14:paraId="701A7F37"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Self-managed</w:t>
            </w:r>
          </w:p>
        </w:tc>
        <w:tc>
          <w:tcPr>
            <w:tcW w:w="927" w:type="pct"/>
            <w:shd w:val="clear" w:color="auto" w:fill="F2F2F2" w:themeFill="background1" w:themeFillShade="F2"/>
          </w:tcPr>
          <w:p w14:paraId="5D369756"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10</w:t>
            </w:r>
          </w:p>
        </w:tc>
      </w:tr>
      <w:tr w:rsidR="00F476C4" w:rsidRPr="00324C84" w14:paraId="1B11DF56"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40038E52" w14:textId="77777777" w:rsidR="00F476C4" w:rsidRPr="00F476C4" w:rsidRDefault="00F476C4" w:rsidP="00CE5053">
            <w:pPr>
              <w:spacing w:before="40" w:after="40"/>
              <w:rPr>
                <w:sz w:val="20"/>
                <w:szCs w:val="20"/>
              </w:rPr>
            </w:pPr>
            <w:r w:rsidRPr="00F476C4">
              <w:rPr>
                <w:sz w:val="20"/>
                <w:szCs w:val="20"/>
              </w:rPr>
              <w:t>Kendale Road</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2BD6061F"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68670672"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550DF569"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47</w:t>
            </w:r>
          </w:p>
        </w:tc>
      </w:tr>
      <w:tr w:rsidR="00F476C4" w:rsidRPr="00324C84" w14:paraId="6F4B1CA1"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015211DF" w14:textId="77777777" w:rsidR="00F476C4" w:rsidRPr="00F476C4" w:rsidRDefault="00F476C4" w:rsidP="00CE5053">
            <w:pPr>
              <w:spacing w:before="40" w:after="40"/>
              <w:rPr>
                <w:sz w:val="20"/>
                <w:szCs w:val="20"/>
              </w:rPr>
            </w:pPr>
            <w:r w:rsidRPr="00F476C4">
              <w:rPr>
                <w:sz w:val="20"/>
                <w:szCs w:val="20"/>
              </w:rPr>
              <w:t>Knapmill Way</w:t>
            </w:r>
          </w:p>
        </w:tc>
        <w:tc>
          <w:tcPr>
            <w:tcW w:w="1176" w:type="pct"/>
            <w:shd w:val="clear" w:color="auto" w:fill="F2F2F2" w:themeFill="background1" w:themeFillShade="F2"/>
          </w:tcPr>
          <w:p w14:paraId="7BC3C0A2"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shd w:val="clear" w:color="auto" w:fill="F2F2F2" w:themeFill="background1" w:themeFillShade="F2"/>
          </w:tcPr>
          <w:p w14:paraId="0C872ACF"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Self-managed</w:t>
            </w:r>
          </w:p>
        </w:tc>
        <w:tc>
          <w:tcPr>
            <w:tcW w:w="927" w:type="pct"/>
            <w:shd w:val="clear" w:color="auto" w:fill="F2F2F2" w:themeFill="background1" w:themeFillShade="F2"/>
          </w:tcPr>
          <w:p w14:paraId="41C0AA51"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27</w:t>
            </w:r>
          </w:p>
        </w:tc>
      </w:tr>
      <w:tr w:rsidR="00F476C4" w:rsidRPr="00324C84" w14:paraId="14C4AB00"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466F0928" w14:textId="77777777" w:rsidR="00F476C4" w:rsidRPr="00F476C4" w:rsidRDefault="00F476C4" w:rsidP="00CE5053">
            <w:pPr>
              <w:spacing w:before="40" w:after="40"/>
              <w:rPr>
                <w:sz w:val="20"/>
                <w:szCs w:val="20"/>
              </w:rPr>
            </w:pPr>
            <w:r w:rsidRPr="00F476C4">
              <w:rPr>
                <w:sz w:val="20"/>
                <w:szCs w:val="20"/>
              </w:rPr>
              <w:t>Lee &amp; District Land Club</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649CF0E6"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1BF77DDE"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339FB0BB"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56</w:t>
            </w:r>
          </w:p>
        </w:tc>
      </w:tr>
      <w:tr w:rsidR="00F476C4" w:rsidRPr="00324C84" w14:paraId="654C9185"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17C0A993" w14:textId="77777777" w:rsidR="00F476C4" w:rsidRPr="00F476C4" w:rsidRDefault="00F476C4" w:rsidP="00CE5053">
            <w:pPr>
              <w:spacing w:before="40" w:after="40"/>
              <w:rPr>
                <w:sz w:val="20"/>
                <w:szCs w:val="20"/>
              </w:rPr>
            </w:pPr>
            <w:r w:rsidRPr="00F476C4">
              <w:rPr>
                <w:sz w:val="20"/>
                <w:szCs w:val="20"/>
              </w:rPr>
              <w:t>Leslie Silk</w:t>
            </w:r>
          </w:p>
        </w:tc>
        <w:tc>
          <w:tcPr>
            <w:tcW w:w="1176" w:type="pct"/>
            <w:shd w:val="clear" w:color="auto" w:fill="F2F2F2" w:themeFill="background1" w:themeFillShade="F2"/>
          </w:tcPr>
          <w:p w14:paraId="3B4ADE1E"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shd w:val="clear" w:color="auto" w:fill="F2F2F2" w:themeFill="background1" w:themeFillShade="F2"/>
          </w:tcPr>
          <w:p w14:paraId="1B801A30"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Direct-managed</w:t>
            </w:r>
          </w:p>
        </w:tc>
        <w:tc>
          <w:tcPr>
            <w:tcW w:w="927" w:type="pct"/>
            <w:shd w:val="clear" w:color="auto" w:fill="F2F2F2" w:themeFill="background1" w:themeFillShade="F2"/>
          </w:tcPr>
          <w:p w14:paraId="2B2B7304"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9</w:t>
            </w:r>
          </w:p>
        </w:tc>
      </w:tr>
      <w:tr w:rsidR="00F476C4" w:rsidRPr="00324C84" w14:paraId="60E2DF80"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01B59FDE" w14:textId="77777777" w:rsidR="00F476C4" w:rsidRPr="00F476C4" w:rsidRDefault="00F476C4" w:rsidP="00CE5053">
            <w:pPr>
              <w:spacing w:before="40" w:after="40"/>
              <w:rPr>
                <w:sz w:val="20"/>
                <w:szCs w:val="20"/>
              </w:rPr>
            </w:pPr>
            <w:r w:rsidRPr="00F476C4">
              <w:rPr>
                <w:sz w:val="20"/>
                <w:szCs w:val="20"/>
              </w:rPr>
              <w:t>Longton Nursery</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184371A7"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7D0EAD8F"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0903FD93"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37</w:t>
            </w:r>
          </w:p>
        </w:tc>
      </w:tr>
      <w:tr w:rsidR="00F476C4" w:rsidRPr="00324C84" w14:paraId="5D6CDB47"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15C50856" w14:textId="77777777" w:rsidR="00F476C4" w:rsidRPr="00F476C4" w:rsidRDefault="00F476C4" w:rsidP="00CE5053">
            <w:pPr>
              <w:spacing w:before="40" w:after="40"/>
              <w:rPr>
                <w:sz w:val="20"/>
                <w:szCs w:val="20"/>
              </w:rPr>
            </w:pPr>
            <w:r w:rsidRPr="00F476C4">
              <w:rPr>
                <w:sz w:val="20"/>
                <w:szCs w:val="20"/>
              </w:rPr>
              <w:t>Meadow Close</w:t>
            </w:r>
          </w:p>
        </w:tc>
        <w:tc>
          <w:tcPr>
            <w:tcW w:w="1176" w:type="pct"/>
            <w:shd w:val="clear" w:color="auto" w:fill="F2F2F2" w:themeFill="background1" w:themeFillShade="F2"/>
          </w:tcPr>
          <w:p w14:paraId="7F5BF6FF"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Statutory</w:t>
            </w:r>
          </w:p>
        </w:tc>
        <w:tc>
          <w:tcPr>
            <w:tcW w:w="1410" w:type="pct"/>
            <w:shd w:val="clear" w:color="auto" w:fill="F2F2F2" w:themeFill="background1" w:themeFillShade="F2"/>
          </w:tcPr>
          <w:p w14:paraId="0DCA2F8F"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Self-managed</w:t>
            </w:r>
          </w:p>
        </w:tc>
        <w:tc>
          <w:tcPr>
            <w:tcW w:w="927" w:type="pct"/>
            <w:shd w:val="clear" w:color="auto" w:fill="F2F2F2" w:themeFill="background1" w:themeFillShade="F2"/>
          </w:tcPr>
          <w:p w14:paraId="4B34824B"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29</w:t>
            </w:r>
          </w:p>
        </w:tc>
      </w:tr>
      <w:tr w:rsidR="00F476C4" w:rsidRPr="00324C84" w14:paraId="06534EDC"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6642955A" w14:textId="77777777" w:rsidR="00F476C4" w:rsidRPr="00F476C4" w:rsidRDefault="00F476C4" w:rsidP="00CE5053">
            <w:pPr>
              <w:spacing w:before="40" w:after="40"/>
              <w:rPr>
                <w:sz w:val="20"/>
                <w:szCs w:val="20"/>
              </w:rPr>
            </w:pPr>
            <w:r w:rsidRPr="00F476C4">
              <w:rPr>
                <w:sz w:val="20"/>
                <w:szCs w:val="20"/>
              </w:rPr>
              <w:t>Oldstead Road</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24238AC6"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5CA7274C"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Direct-managed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052CBC2D"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14</w:t>
            </w:r>
          </w:p>
        </w:tc>
      </w:tr>
      <w:tr w:rsidR="00F476C4" w:rsidRPr="00324C84" w14:paraId="31FDB126"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043A4736" w14:textId="77777777" w:rsidR="00F476C4" w:rsidRPr="00F476C4" w:rsidRDefault="00F476C4" w:rsidP="00CE5053">
            <w:pPr>
              <w:spacing w:before="40" w:after="40"/>
              <w:rPr>
                <w:sz w:val="20"/>
                <w:szCs w:val="20"/>
              </w:rPr>
            </w:pPr>
            <w:r w:rsidRPr="00F476C4">
              <w:rPr>
                <w:sz w:val="20"/>
                <w:szCs w:val="20"/>
              </w:rPr>
              <w:t>Priestfield Road</w:t>
            </w:r>
          </w:p>
        </w:tc>
        <w:tc>
          <w:tcPr>
            <w:tcW w:w="1176" w:type="pct"/>
            <w:shd w:val="clear" w:color="auto" w:fill="F2F2F2" w:themeFill="background1" w:themeFillShade="F2"/>
          </w:tcPr>
          <w:p w14:paraId="5A39E056"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Statutory</w:t>
            </w:r>
          </w:p>
        </w:tc>
        <w:tc>
          <w:tcPr>
            <w:tcW w:w="1410" w:type="pct"/>
            <w:shd w:val="clear" w:color="auto" w:fill="F2F2F2" w:themeFill="background1" w:themeFillShade="F2"/>
          </w:tcPr>
          <w:p w14:paraId="173E0B86"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Self-managed</w:t>
            </w:r>
          </w:p>
        </w:tc>
        <w:tc>
          <w:tcPr>
            <w:tcW w:w="927" w:type="pct"/>
            <w:shd w:val="clear" w:color="auto" w:fill="F2F2F2" w:themeFill="background1" w:themeFillShade="F2"/>
          </w:tcPr>
          <w:p w14:paraId="61A51A77"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39</w:t>
            </w:r>
          </w:p>
        </w:tc>
      </w:tr>
      <w:tr w:rsidR="00F476C4" w:rsidRPr="00324C84" w14:paraId="1CFF95DF"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3CAD4FBC" w14:textId="77777777" w:rsidR="00F476C4" w:rsidRPr="00F476C4" w:rsidRDefault="00F476C4" w:rsidP="00CE5053">
            <w:pPr>
              <w:spacing w:before="40" w:after="40"/>
              <w:rPr>
                <w:sz w:val="20"/>
                <w:szCs w:val="20"/>
              </w:rPr>
            </w:pPr>
            <w:r w:rsidRPr="00F476C4">
              <w:rPr>
                <w:sz w:val="20"/>
                <w:szCs w:val="20"/>
              </w:rPr>
              <w:t>Romborough Gardens</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12311473"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4DEF8D05"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5007C906"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20</w:t>
            </w:r>
          </w:p>
        </w:tc>
      </w:tr>
      <w:tr w:rsidR="00F476C4" w:rsidRPr="00324C84" w14:paraId="58035C7C"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1E8FB9BB" w14:textId="77777777" w:rsidR="00F476C4" w:rsidRPr="00F476C4" w:rsidRDefault="00F476C4" w:rsidP="00CE5053">
            <w:pPr>
              <w:spacing w:before="40" w:after="40"/>
              <w:rPr>
                <w:sz w:val="20"/>
                <w:szCs w:val="20"/>
              </w:rPr>
            </w:pPr>
            <w:r w:rsidRPr="00F476C4">
              <w:rPr>
                <w:sz w:val="20"/>
                <w:szCs w:val="20"/>
              </w:rPr>
              <w:t>Royal Naval Pl. Stage I</w:t>
            </w:r>
          </w:p>
        </w:tc>
        <w:tc>
          <w:tcPr>
            <w:tcW w:w="1176" w:type="pct"/>
            <w:shd w:val="clear" w:color="auto" w:fill="F2F2F2" w:themeFill="background1" w:themeFillShade="F2"/>
          </w:tcPr>
          <w:p w14:paraId="405FBAD5"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shd w:val="clear" w:color="auto" w:fill="F2F2F2" w:themeFill="background1" w:themeFillShade="F2"/>
          </w:tcPr>
          <w:p w14:paraId="34044AFC"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Self-managed</w:t>
            </w:r>
          </w:p>
        </w:tc>
        <w:tc>
          <w:tcPr>
            <w:tcW w:w="927" w:type="pct"/>
            <w:shd w:val="clear" w:color="auto" w:fill="F2F2F2" w:themeFill="background1" w:themeFillShade="F2"/>
          </w:tcPr>
          <w:p w14:paraId="72A4FFC0"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20</w:t>
            </w:r>
          </w:p>
        </w:tc>
      </w:tr>
      <w:tr w:rsidR="00F476C4" w:rsidRPr="00324C84" w14:paraId="20E10C5B"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485E853C" w14:textId="77777777" w:rsidR="00F476C4" w:rsidRPr="00F476C4" w:rsidRDefault="00F476C4" w:rsidP="00CE5053">
            <w:pPr>
              <w:spacing w:before="40" w:after="40"/>
              <w:rPr>
                <w:sz w:val="20"/>
                <w:szCs w:val="20"/>
              </w:rPr>
            </w:pPr>
            <w:r w:rsidRPr="00F476C4">
              <w:rPr>
                <w:sz w:val="20"/>
                <w:szCs w:val="20"/>
              </w:rPr>
              <w:t>Royal Naval Pl. Stage II</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3C37E2F2"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4A0D5B1A"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7A622172"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11</w:t>
            </w:r>
          </w:p>
        </w:tc>
      </w:tr>
      <w:tr w:rsidR="00F476C4" w:rsidRPr="00324C84" w14:paraId="51EA0BCD"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2E1C0560" w14:textId="77777777" w:rsidR="00F476C4" w:rsidRPr="00F476C4" w:rsidRDefault="00F476C4" w:rsidP="00CE5053">
            <w:pPr>
              <w:spacing w:before="40" w:after="40"/>
              <w:rPr>
                <w:sz w:val="20"/>
                <w:szCs w:val="20"/>
              </w:rPr>
            </w:pPr>
            <w:r w:rsidRPr="00F476C4">
              <w:rPr>
                <w:sz w:val="20"/>
                <w:szCs w:val="20"/>
              </w:rPr>
              <w:t>St Mildreds Road</w:t>
            </w:r>
          </w:p>
        </w:tc>
        <w:tc>
          <w:tcPr>
            <w:tcW w:w="1176" w:type="pct"/>
            <w:shd w:val="clear" w:color="auto" w:fill="F2F2F2" w:themeFill="background1" w:themeFillShade="F2"/>
          </w:tcPr>
          <w:p w14:paraId="2D004DAE"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shd w:val="clear" w:color="auto" w:fill="F2F2F2" w:themeFill="background1" w:themeFillShade="F2"/>
          </w:tcPr>
          <w:p w14:paraId="2B82F4D1"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Self-managed</w:t>
            </w:r>
          </w:p>
        </w:tc>
        <w:tc>
          <w:tcPr>
            <w:tcW w:w="927" w:type="pct"/>
            <w:shd w:val="clear" w:color="auto" w:fill="F2F2F2" w:themeFill="background1" w:themeFillShade="F2"/>
          </w:tcPr>
          <w:p w14:paraId="5D9857E1"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18</w:t>
            </w:r>
          </w:p>
        </w:tc>
      </w:tr>
      <w:tr w:rsidR="00F476C4" w:rsidRPr="00324C84" w14:paraId="0F0B4266"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7293DA93" w14:textId="77777777" w:rsidR="00F476C4" w:rsidRPr="00F476C4" w:rsidRDefault="00F476C4" w:rsidP="00CE5053">
            <w:pPr>
              <w:spacing w:before="40" w:after="40"/>
              <w:rPr>
                <w:sz w:val="20"/>
                <w:szCs w:val="20"/>
              </w:rPr>
            </w:pPr>
            <w:r w:rsidRPr="00F476C4">
              <w:rPr>
                <w:sz w:val="20"/>
                <w:szCs w:val="20"/>
              </w:rPr>
              <w:t>Sedgehill Road</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02240BE2"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2AC69F37"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2847A633"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19</w:t>
            </w:r>
          </w:p>
        </w:tc>
      </w:tr>
      <w:tr w:rsidR="00F476C4" w:rsidRPr="00324C84" w14:paraId="320730FC"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7CD9127F" w14:textId="77777777" w:rsidR="00F476C4" w:rsidRPr="00F476C4" w:rsidRDefault="00F476C4" w:rsidP="00CE5053">
            <w:pPr>
              <w:spacing w:before="40" w:after="40"/>
              <w:rPr>
                <w:sz w:val="20"/>
                <w:szCs w:val="20"/>
              </w:rPr>
            </w:pPr>
            <w:r w:rsidRPr="00F476C4">
              <w:rPr>
                <w:sz w:val="20"/>
                <w:szCs w:val="20"/>
              </w:rPr>
              <w:t>Slaithwaite Road</w:t>
            </w:r>
          </w:p>
        </w:tc>
        <w:tc>
          <w:tcPr>
            <w:tcW w:w="1176" w:type="pct"/>
            <w:shd w:val="clear" w:color="auto" w:fill="F2F2F2" w:themeFill="background1" w:themeFillShade="F2"/>
          </w:tcPr>
          <w:p w14:paraId="0B52054E"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shd w:val="clear" w:color="auto" w:fill="F2F2F2" w:themeFill="background1" w:themeFillShade="F2"/>
          </w:tcPr>
          <w:p w14:paraId="136C4FA6"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Self-managed</w:t>
            </w:r>
          </w:p>
        </w:tc>
        <w:tc>
          <w:tcPr>
            <w:tcW w:w="927" w:type="pct"/>
            <w:shd w:val="clear" w:color="auto" w:fill="F2F2F2" w:themeFill="background1" w:themeFillShade="F2"/>
          </w:tcPr>
          <w:p w14:paraId="48DF98D7"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12</w:t>
            </w:r>
          </w:p>
        </w:tc>
      </w:tr>
      <w:tr w:rsidR="00F476C4" w:rsidRPr="00324C84" w14:paraId="30890B0A"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2E349AC1" w14:textId="77777777" w:rsidR="00F476C4" w:rsidRPr="00F476C4" w:rsidRDefault="00F476C4" w:rsidP="00CE5053">
            <w:pPr>
              <w:spacing w:before="40" w:after="40"/>
              <w:rPr>
                <w:sz w:val="20"/>
                <w:szCs w:val="20"/>
              </w:rPr>
            </w:pPr>
            <w:r w:rsidRPr="00F476C4">
              <w:rPr>
                <w:sz w:val="20"/>
                <w:szCs w:val="20"/>
              </w:rPr>
              <w:t>Stanley Street</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6E0B7E3F"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61491E02"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109B8484"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7</w:t>
            </w:r>
          </w:p>
        </w:tc>
      </w:tr>
      <w:tr w:rsidR="00F476C4" w:rsidRPr="00324C84" w14:paraId="71B6733E"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7A41800B" w14:textId="77777777" w:rsidR="00F476C4" w:rsidRPr="00F476C4" w:rsidRDefault="00F476C4" w:rsidP="00CE5053">
            <w:pPr>
              <w:spacing w:before="40" w:after="40"/>
              <w:rPr>
                <w:sz w:val="20"/>
                <w:szCs w:val="20"/>
              </w:rPr>
            </w:pPr>
            <w:r w:rsidRPr="00F476C4">
              <w:rPr>
                <w:sz w:val="20"/>
                <w:szCs w:val="20"/>
              </w:rPr>
              <w:t>Sydenham Park</w:t>
            </w:r>
          </w:p>
        </w:tc>
        <w:tc>
          <w:tcPr>
            <w:tcW w:w="1176" w:type="pct"/>
            <w:shd w:val="clear" w:color="auto" w:fill="F2F2F2" w:themeFill="background1" w:themeFillShade="F2"/>
          </w:tcPr>
          <w:p w14:paraId="27CE3381"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Statutory</w:t>
            </w:r>
          </w:p>
        </w:tc>
        <w:tc>
          <w:tcPr>
            <w:tcW w:w="1410" w:type="pct"/>
            <w:shd w:val="clear" w:color="auto" w:fill="F2F2F2" w:themeFill="background1" w:themeFillShade="F2"/>
          </w:tcPr>
          <w:p w14:paraId="3E011A41"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Direct-managed</w:t>
            </w:r>
          </w:p>
        </w:tc>
        <w:tc>
          <w:tcPr>
            <w:tcW w:w="927" w:type="pct"/>
            <w:shd w:val="clear" w:color="auto" w:fill="F2F2F2" w:themeFill="background1" w:themeFillShade="F2"/>
          </w:tcPr>
          <w:p w14:paraId="60DA3216"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30</w:t>
            </w:r>
          </w:p>
        </w:tc>
      </w:tr>
      <w:tr w:rsidR="00F476C4" w:rsidRPr="00324C84" w14:paraId="2F306128"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0BB0D3CA" w14:textId="77777777" w:rsidR="00F476C4" w:rsidRPr="00F476C4" w:rsidRDefault="00F476C4" w:rsidP="00CE5053">
            <w:pPr>
              <w:spacing w:before="40" w:after="40"/>
              <w:rPr>
                <w:sz w:val="20"/>
                <w:szCs w:val="20"/>
              </w:rPr>
            </w:pPr>
            <w:r w:rsidRPr="00F476C4">
              <w:rPr>
                <w:sz w:val="20"/>
                <w:szCs w:val="20"/>
              </w:rPr>
              <w:t>Taylors Lane</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109AF095"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4CAC183A"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Self-managed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1F392030" w14:textId="77777777" w:rsidR="00F476C4" w:rsidRPr="00F476C4"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6C4">
              <w:rPr>
                <w:sz w:val="20"/>
                <w:szCs w:val="20"/>
              </w:rPr>
              <w:t>37</w:t>
            </w:r>
          </w:p>
        </w:tc>
      </w:tr>
      <w:tr w:rsidR="00F476C4" w:rsidRPr="00324C84" w14:paraId="51732FE5"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151C3F8B" w14:textId="77777777" w:rsidR="00F476C4" w:rsidRPr="00F476C4" w:rsidRDefault="00F476C4" w:rsidP="00CE5053">
            <w:pPr>
              <w:spacing w:before="40" w:after="40"/>
              <w:rPr>
                <w:sz w:val="20"/>
                <w:szCs w:val="20"/>
              </w:rPr>
            </w:pPr>
            <w:r w:rsidRPr="00F476C4">
              <w:rPr>
                <w:sz w:val="20"/>
                <w:szCs w:val="20"/>
              </w:rPr>
              <w:t>Trewsbury Road</w:t>
            </w:r>
          </w:p>
        </w:tc>
        <w:tc>
          <w:tcPr>
            <w:tcW w:w="1176" w:type="pct"/>
            <w:shd w:val="clear" w:color="auto" w:fill="F2F2F2" w:themeFill="background1" w:themeFillShade="F2"/>
          </w:tcPr>
          <w:p w14:paraId="1800C0F8"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Non-statutory</w:t>
            </w:r>
          </w:p>
        </w:tc>
        <w:tc>
          <w:tcPr>
            <w:tcW w:w="1410" w:type="pct"/>
            <w:shd w:val="clear" w:color="auto" w:fill="F2F2F2" w:themeFill="background1" w:themeFillShade="F2"/>
          </w:tcPr>
          <w:p w14:paraId="0D89481F"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Self-managed</w:t>
            </w:r>
          </w:p>
        </w:tc>
        <w:tc>
          <w:tcPr>
            <w:tcW w:w="927" w:type="pct"/>
            <w:shd w:val="clear" w:color="auto" w:fill="F2F2F2" w:themeFill="background1" w:themeFillShade="F2"/>
          </w:tcPr>
          <w:p w14:paraId="224139B5" w14:textId="77777777" w:rsidR="00F476C4" w:rsidRPr="00F476C4"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6C4">
              <w:rPr>
                <w:sz w:val="20"/>
                <w:szCs w:val="20"/>
              </w:rPr>
              <w:t>68</w:t>
            </w:r>
          </w:p>
        </w:tc>
      </w:tr>
      <w:tr w:rsidR="00F476C4" w:rsidRPr="00324C84" w14:paraId="64EB8017" w14:textId="77777777" w:rsidTr="00727A2D">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4E1F9307" w14:textId="77777777" w:rsidR="00F476C4" w:rsidRPr="00D4202B" w:rsidRDefault="00F476C4" w:rsidP="00CE5053">
            <w:pPr>
              <w:spacing w:before="40" w:after="40"/>
              <w:rPr>
                <w:sz w:val="18"/>
                <w:szCs w:val="18"/>
              </w:rPr>
            </w:pPr>
            <w:r w:rsidRPr="00F476C4">
              <w:rPr>
                <w:sz w:val="20"/>
                <w:szCs w:val="20"/>
              </w:rPr>
              <w:t>Weavers Estate</w:t>
            </w:r>
          </w:p>
        </w:tc>
        <w:tc>
          <w:tcPr>
            <w:tcW w:w="1176" w:type="pct"/>
            <w:tcBorders>
              <w:top w:val="single" w:sz="4" w:space="0" w:color="FFFFFF" w:themeColor="background1"/>
              <w:bottom w:val="single" w:sz="4" w:space="0" w:color="FFFFFF" w:themeColor="background1"/>
            </w:tcBorders>
            <w:shd w:val="clear" w:color="auto" w:fill="F2F2F2" w:themeFill="background1" w:themeFillShade="F2"/>
          </w:tcPr>
          <w:p w14:paraId="689FD687" w14:textId="77777777" w:rsidR="00F476C4" w:rsidRPr="00A871F9"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F476C4">
              <w:rPr>
                <w:sz w:val="20"/>
                <w:szCs w:val="20"/>
              </w:rPr>
              <w:t>Non-statutory</w:t>
            </w:r>
          </w:p>
        </w:tc>
        <w:tc>
          <w:tcPr>
            <w:tcW w:w="1410" w:type="pct"/>
            <w:tcBorders>
              <w:top w:val="single" w:sz="4" w:space="0" w:color="FFFFFF" w:themeColor="background1"/>
              <w:bottom w:val="single" w:sz="4" w:space="0" w:color="FFFFFF" w:themeColor="background1"/>
            </w:tcBorders>
            <w:shd w:val="clear" w:color="auto" w:fill="F2F2F2" w:themeFill="background1" w:themeFillShade="F2"/>
          </w:tcPr>
          <w:p w14:paraId="0C89C5EE" w14:textId="77777777" w:rsidR="00F476C4" w:rsidRPr="00A871F9"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b/>
                <w:sz w:val="18"/>
                <w:szCs w:val="18"/>
              </w:rPr>
            </w:pPr>
            <w:r w:rsidRPr="00F476C4">
              <w:rPr>
                <w:sz w:val="20"/>
                <w:szCs w:val="20"/>
              </w:rPr>
              <w:t>Direct-managed</w:t>
            </w:r>
          </w:p>
        </w:tc>
        <w:tc>
          <w:tcPr>
            <w:tcW w:w="927" w:type="pct"/>
            <w:tcBorders>
              <w:top w:val="single" w:sz="4" w:space="0" w:color="FFFFFF" w:themeColor="background1"/>
              <w:bottom w:val="single" w:sz="4" w:space="0" w:color="FFFFFF" w:themeColor="background1"/>
            </w:tcBorders>
            <w:shd w:val="clear" w:color="auto" w:fill="F2F2F2" w:themeFill="background1" w:themeFillShade="F2"/>
          </w:tcPr>
          <w:p w14:paraId="491C6846" w14:textId="77777777" w:rsidR="00F476C4" w:rsidRPr="00A871F9" w:rsidRDefault="00F476C4" w:rsidP="00CE5053">
            <w:pPr>
              <w:spacing w:before="40" w:after="40"/>
              <w:cnfStyle w:val="000000100000" w:firstRow="0" w:lastRow="0" w:firstColumn="0" w:lastColumn="0" w:oddVBand="0" w:evenVBand="0" w:oddHBand="1" w:evenHBand="0" w:firstRowFirstColumn="0" w:firstRowLastColumn="0" w:lastRowFirstColumn="0" w:lastRowLastColumn="0"/>
              <w:rPr>
                <w:b/>
                <w:sz w:val="18"/>
                <w:szCs w:val="18"/>
              </w:rPr>
            </w:pPr>
            <w:r w:rsidRPr="00F476C4">
              <w:rPr>
                <w:sz w:val="20"/>
                <w:szCs w:val="20"/>
              </w:rPr>
              <w:t>35</w:t>
            </w:r>
          </w:p>
        </w:tc>
      </w:tr>
      <w:tr w:rsidR="00F476C4" w:rsidRPr="00324C84" w14:paraId="568CE0E5" w14:textId="77777777" w:rsidTr="00727A2D">
        <w:trPr>
          <w:trHeight w:val="85"/>
          <w:jc w:val="right"/>
        </w:trPr>
        <w:tc>
          <w:tcPr>
            <w:cnfStyle w:val="001000000000" w:firstRow="0" w:lastRow="0" w:firstColumn="1" w:lastColumn="0" w:oddVBand="0" w:evenVBand="0" w:oddHBand="0" w:evenHBand="0" w:firstRowFirstColumn="0" w:firstRowLastColumn="0" w:lastRowFirstColumn="0" w:lastRowLastColumn="0"/>
            <w:tcW w:w="1487" w:type="pct"/>
            <w:tcBorders>
              <w:top w:val="single" w:sz="4" w:space="0" w:color="FFFFFF" w:themeColor="background1"/>
              <w:bottom w:val="single" w:sz="4" w:space="0" w:color="FFFFFF" w:themeColor="background1"/>
            </w:tcBorders>
            <w:shd w:val="clear" w:color="auto" w:fill="F2F2F2" w:themeFill="background1" w:themeFillShade="F2"/>
          </w:tcPr>
          <w:p w14:paraId="35A9A0C3" w14:textId="77777777" w:rsidR="00F476C4" w:rsidRPr="00D4202B" w:rsidRDefault="00F476C4" w:rsidP="00CE5053">
            <w:pPr>
              <w:spacing w:before="40" w:after="40"/>
              <w:rPr>
                <w:sz w:val="18"/>
                <w:szCs w:val="18"/>
              </w:rPr>
            </w:pPr>
            <w:r w:rsidRPr="00F476C4">
              <w:rPr>
                <w:sz w:val="20"/>
                <w:szCs w:val="20"/>
              </w:rPr>
              <w:t>Windlass Place</w:t>
            </w:r>
          </w:p>
        </w:tc>
        <w:tc>
          <w:tcPr>
            <w:tcW w:w="1176" w:type="pct"/>
            <w:shd w:val="clear" w:color="auto" w:fill="F2F2F2" w:themeFill="background1" w:themeFillShade="F2"/>
          </w:tcPr>
          <w:p w14:paraId="06D9C7DF" w14:textId="77777777" w:rsidR="00F476C4" w:rsidRPr="00A871F9"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F476C4">
              <w:rPr>
                <w:sz w:val="20"/>
                <w:szCs w:val="20"/>
              </w:rPr>
              <w:t>Non-statutory</w:t>
            </w:r>
          </w:p>
        </w:tc>
        <w:tc>
          <w:tcPr>
            <w:tcW w:w="1410" w:type="pct"/>
            <w:shd w:val="clear" w:color="auto" w:fill="F2F2F2" w:themeFill="background1" w:themeFillShade="F2"/>
          </w:tcPr>
          <w:p w14:paraId="50C209F6" w14:textId="77777777" w:rsidR="00F476C4" w:rsidRPr="00A871F9"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b/>
                <w:sz w:val="18"/>
                <w:szCs w:val="18"/>
              </w:rPr>
            </w:pPr>
            <w:r w:rsidRPr="00F476C4">
              <w:rPr>
                <w:sz w:val="20"/>
                <w:szCs w:val="20"/>
              </w:rPr>
              <w:t>Direct-managed</w:t>
            </w:r>
          </w:p>
        </w:tc>
        <w:tc>
          <w:tcPr>
            <w:tcW w:w="927" w:type="pct"/>
            <w:shd w:val="clear" w:color="auto" w:fill="F2F2F2" w:themeFill="background1" w:themeFillShade="F2"/>
          </w:tcPr>
          <w:p w14:paraId="07581EC8" w14:textId="77777777" w:rsidR="00F476C4" w:rsidRPr="00A871F9" w:rsidRDefault="00F476C4" w:rsidP="00CE5053">
            <w:pPr>
              <w:spacing w:before="40" w:after="40"/>
              <w:cnfStyle w:val="000000000000" w:firstRow="0" w:lastRow="0" w:firstColumn="0" w:lastColumn="0" w:oddVBand="0" w:evenVBand="0" w:oddHBand="0" w:evenHBand="0" w:firstRowFirstColumn="0" w:firstRowLastColumn="0" w:lastRowFirstColumn="0" w:lastRowLastColumn="0"/>
              <w:rPr>
                <w:b/>
                <w:sz w:val="18"/>
                <w:szCs w:val="18"/>
              </w:rPr>
            </w:pPr>
            <w:r w:rsidRPr="00F476C4">
              <w:rPr>
                <w:sz w:val="20"/>
                <w:szCs w:val="20"/>
              </w:rPr>
              <w:t>22</w:t>
            </w:r>
          </w:p>
        </w:tc>
      </w:tr>
    </w:tbl>
    <w:p w14:paraId="5A8B670D" w14:textId="77777777" w:rsidR="000D1D2E" w:rsidRPr="000D1D2E" w:rsidRDefault="00F476C4" w:rsidP="00CE5053">
      <w:pPr>
        <w:pStyle w:val="Caption"/>
        <w:spacing w:before="120" w:after="480"/>
        <w:ind w:left="720"/>
      </w:pPr>
      <w:r>
        <w:rPr>
          <w:b/>
          <w:i w:val="0"/>
          <w:color w:val="auto"/>
        </w:rPr>
        <w:t>T</w:t>
      </w:r>
      <w:r w:rsidRPr="00F067AD">
        <w:rPr>
          <w:b/>
          <w:i w:val="0"/>
          <w:color w:val="auto"/>
        </w:rPr>
        <w:t xml:space="preserve">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12</w:t>
      </w:r>
      <w:r>
        <w:rPr>
          <w:b/>
          <w:i w:val="0"/>
          <w:color w:val="auto"/>
        </w:rPr>
        <w:fldChar w:fldCharType="end"/>
      </w:r>
      <w:r w:rsidRPr="00C43DD5">
        <w:rPr>
          <w:i w:val="0"/>
          <w:color w:val="auto"/>
        </w:rPr>
        <w:t xml:space="preserve"> </w:t>
      </w:r>
      <w:r>
        <w:rPr>
          <w:i w:val="0"/>
          <w:color w:val="auto"/>
        </w:rPr>
        <w:t>Allotments in LB Lewisham. Source: LB Lewisham</w:t>
      </w:r>
    </w:p>
    <w:p w14:paraId="2B445FCE" w14:textId="77777777" w:rsidR="00D452F5" w:rsidRDefault="00E67CD7" w:rsidP="00CE5053">
      <w:pPr>
        <w:pStyle w:val="ListParagraph"/>
        <w:numPr>
          <w:ilvl w:val="0"/>
          <w:numId w:val="26"/>
        </w:numPr>
        <w:spacing w:after="240"/>
        <w:ind w:left="737" w:hanging="737"/>
        <w:contextualSpacing w:val="0"/>
      </w:pPr>
      <w:r w:rsidRPr="00F476C4">
        <w:t xml:space="preserve">The National Allotment Society recommendation is that authorities should supply 20 plots (or 0.5 hectare) per 1,000 households. </w:t>
      </w:r>
      <w:r w:rsidR="00727A2D">
        <w:t>As of</w:t>
      </w:r>
      <w:r w:rsidRPr="00F476C4">
        <w:t xml:space="preserve"> the 2011 census there are</w:t>
      </w:r>
      <w:r w:rsidR="00727A2D">
        <w:t xml:space="preserve"> 116,000 households in Lewisham, t</w:t>
      </w:r>
      <w:r w:rsidRPr="00F476C4">
        <w:t xml:space="preserve">herefore </w:t>
      </w:r>
      <w:r w:rsidR="00727A2D">
        <w:t xml:space="preserve">the current </w:t>
      </w:r>
      <w:r w:rsidRPr="00F476C4">
        <w:t xml:space="preserve">provision in Lewisham (considering only the council-owned sites) is 9.4 plots per 1000 households. This is comparable with other inner London boroughs which tend to have less provision than outer London boroughs, in terms of number of sites and per head of population. </w:t>
      </w:r>
    </w:p>
    <w:p w14:paraId="196DF1ED" w14:textId="77777777" w:rsidR="004C3ADB" w:rsidRDefault="00E67CD7" w:rsidP="00CE5053">
      <w:pPr>
        <w:pStyle w:val="ListParagraph"/>
        <w:numPr>
          <w:ilvl w:val="0"/>
          <w:numId w:val="26"/>
        </w:numPr>
        <w:spacing w:after="240"/>
        <w:ind w:left="737" w:hanging="737"/>
        <w:contextualSpacing w:val="0"/>
      </w:pPr>
      <w:r w:rsidRPr="00F476C4">
        <w:t>However, according to a London Assembly Report - A Lot to Lose: London's disappearing allotments 2006 - “allotment provision measured by square kilometre presents a slightly different picture, with Haringey and Lewisham, both inner London boroughs, among those with the highest concentrations of sites”. It is important to note that whilst there was a net loss of 4.2% allotments across London between 1996 and 2006, the provision of council-owned sites in Lewisham has been maintained without loss.</w:t>
      </w:r>
    </w:p>
    <w:p w14:paraId="6592BE52" w14:textId="77777777" w:rsidR="00B11465" w:rsidRDefault="00B11465" w:rsidP="00CE5053">
      <w:pPr>
        <w:pStyle w:val="ListParagraph"/>
        <w:numPr>
          <w:ilvl w:val="0"/>
          <w:numId w:val="0"/>
        </w:numPr>
        <w:spacing w:after="240"/>
        <w:ind w:left="737"/>
        <w:contextualSpacing w:val="0"/>
      </w:pPr>
      <w:r w:rsidRPr="004C3ADB">
        <w:rPr>
          <w:b/>
          <w:bCs/>
        </w:rPr>
        <w:lastRenderedPageBreak/>
        <w:t>Future requirement</w:t>
      </w:r>
    </w:p>
    <w:p w14:paraId="085D3A5E" w14:textId="77777777" w:rsidR="00E67CD7" w:rsidRPr="00F476C4" w:rsidRDefault="00B11465" w:rsidP="00CE5053">
      <w:pPr>
        <w:pStyle w:val="ListParagraph"/>
        <w:numPr>
          <w:ilvl w:val="0"/>
          <w:numId w:val="26"/>
        </w:numPr>
        <w:spacing w:after="240"/>
        <w:ind w:left="737" w:hanging="737"/>
        <w:contextualSpacing w:val="0"/>
      </w:pPr>
      <w:r>
        <w:t>M</w:t>
      </w:r>
      <w:r w:rsidR="00E67CD7" w:rsidRPr="00F476C4">
        <w:t xml:space="preserve">aintaining existing allotment provision in the context of increasing population density and demand will </w:t>
      </w:r>
      <w:r w:rsidR="009D4F9F">
        <w:t xml:space="preserve">likely </w:t>
      </w:r>
      <w:r w:rsidR="00E67CD7" w:rsidRPr="00F476C4">
        <w:t>result in a net loss of provision</w:t>
      </w:r>
      <w:r w:rsidR="009D4F9F">
        <w:t xml:space="preserve"> per 1,000 households over the life of the new Local Plan</w:t>
      </w:r>
      <w:r w:rsidR="00E67CD7" w:rsidRPr="00F476C4">
        <w:t>.</w:t>
      </w:r>
      <w:r w:rsidR="009D4F9F">
        <w:t xml:space="preserve"> </w:t>
      </w:r>
      <w:r w:rsidR="00E67CD7" w:rsidRPr="00F476C4">
        <w:t>This may be partially addressed through the provision of community growing space as a result of new developments but, given the scarcity of land for new allotments, the efforts to meet increasing demand for allotments in Lewisham will need to focus on how the existing provision is managed. Investment in infrastructure is essential to this aim.</w:t>
      </w:r>
    </w:p>
    <w:p w14:paraId="4032C982" w14:textId="77777777" w:rsidR="00E67CD7" w:rsidRPr="00F476C4" w:rsidRDefault="00E67CD7" w:rsidP="00CE5053">
      <w:pPr>
        <w:pStyle w:val="ListParagraph"/>
        <w:numPr>
          <w:ilvl w:val="0"/>
          <w:numId w:val="26"/>
        </w:numPr>
        <w:spacing w:after="240"/>
        <w:ind w:left="737" w:hanging="737"/>
        <w:contextualSpacing w:val="0"/>
      </w:pPr>
      <w:r w:rsidRPr="00F476C4">
        <w:t>Key areas of projected infrastructure need are:</w:t>
      </w:r>
    </w:p>
    <w:p w14:paraId="31D22AA7" w14:textId="77777777" w:rsidR="00E67CD7" w:rsidRPr="00F476C4" w:rsidRDefault="00E67CD7" w:rsidP="00CE5053">
      <w:pPr>
        <w:pStyle w:val="ListParagraph"/>
        <w:numPr>
          <w:ilvl w:val="0"/>
          <w:numId w:val="2"/>
        </w:numPr>
      </w:pPr>
      <w:r w:rsidRPr="00F476C4">
        <w:t>Plot-restoration / creation – increasing provision of allotments in the borough</w:t>
      </w:r>
      <w:r w:rsidR="009D4F9F">
        <w:t>;</w:t>
      </w:r>
    </w:p>
    <w:p w14:paraId="10E853CD" w14:textId="77777777" w:rsidR="00E67CD7" w:rsidRPr="00F476C4" w:rsidRDefault="009D4F9F" w:rsidP="00CE5053">
      <w:pPr>
        <w:pStyle w:val="ListParagraph"/>
        <w:numPr>
          <w:ilvl w:val="0"/>
          <w:numId w:val="2"/>
        </w:numPr>
      </w:pPr>
      <w:r>
        <w:t>Improving the s</w:t>
      </w:r>
      <w:r w:rsidR="00E67CD7" w:rsidRPr="00F476C4">
        <w:t>afe</w:t>
      </w:r>
      <w:r>
        <w:t>ty</w:t>
      </w:r>
      <w:r w:rsidR="00E67CD7" w:rsidRPr="00F476C4">
        <w:t xml:space="preserve"> and secur</w:t>
      </w:r>
      <w:r>
        <w:t>ity of allotment</w:t>
      </w:r>
      <w:r w:rsidR="00E67CD7" w:rsidRPr="00F476C4">
        <w:t xml:space="preserve"> boundaries</w:t>
      </w:r>
      <w:r>
        <w:t xml:space="preserve">, including </w:t>
      </w:r>
      <w:r w:rsidR="00E67CD7" w:rsidRPr="00F476C4">
        <w:t>fencing and security</w:t>
      </w:r>
      <w:r>
        <w:t>;</w:t>
      </w:r>
    </w:p>
    <w:p w14:paraId="26D5ED87" w14:textId="77777777" w:rsidR="00E67CD7" w:rsidRPr="00F476C4" w:rsidRDefault="009D4F9F" w:rsidP="00CE5053">
      <w:pPr>
        <w:pStyle w:val="ListParagraph"/>
        <w:numPr>
          <w:ilvl w:val="0"/>
          <w:numId w:val="2"/>
        </w:numPr>
      </w:pPr>
      <w:r>
        <w:t>Provision of c</w:t>
      </w:r>
      <w:r w:rsidR="00E67CD7" w:rsidRPr="00F476C4">
        <w:t xml:space="preserve">omposting toilets </w:t>
      </w:r>
      <w:r>
        <w:t xml:space="preserve">to improve the amenity of the site for </w:t>
      </w:r>
      <w:r w:rsidR="00E67CD7" w:rsidRPr="00F476C4">
        <w:t>existing plot-holders and organised group visits</w:t>
      </w:r>
      <w:r>
        <w:t>;</w:t>
      </w:r>
    </w:p>
    <w:p w14:paraId="09A10AA2" w14:textId="77777777" w:rsidR="00E67CD7" w:rsidRPr="00F476C4" w:rsidRDefault="009D4F9F" w:rsidP="00CE5053">
      <w:pPr>
        <w:pStyle w:val="ListParagraph"/>
        <w:numPr>
          <w:ilvl w:val="0"/>
          <w:numId w:val="2"/>
        </w:numPr>
      </w:pPr>
      <w:r>
        <w:t xml:space="preserve">Upgrading of surfacing, including the </w:t>
      </w:r>
      <w:r w:rsidR="00E67CD7" w:rsidRPr="00F476C4">
        <w:t xml:space="preserve">repair </w:t>
      </w:r>
      <w:r>
        <w:t>of</w:t>
      </w:r>
      <w:r w:rsidR="00E67CD7" w:rsidRPr="00F476C4">
        <w:t xml:space="preserve"> hard surfaces </w:t>
      </w:r>
      <w:r>
        <w:t xml:space="preserve">that have not been maintained since the </w:t>
      </w:r>
      <w:r w:rsidR="00E67CD7" w:rsidRPr="00F476C4">
        <w:t xml:space="preserve">creation of the sites, </w:t>
      </w:r>
      <w:r>
        <w:t xml:space="preserve">and the </w:t>
      </w:r>
      <w:r w:rsidR="00E67CD7" w:rsidRPr="00F476C4">
        <w:t>expansion of existing site paths networks to create more, smaller plots</w:t>
      </w:r>
      <w:r>
        <w:t>;</w:t>
      </w:r>
    </w:p>
    <w:p w14:paraId="4690A16A" w14:textId="77777777" w:rsidR="00E67CD7" w:rsidRPr="00F476C4" w:rsidRDefault="009D4F9F" w:rsidP="00CE5053">
      <w:pPr>
        <w:pStyle w:val="ListParagraph"/>
        <w:numPr>
          <w:ilvl w:val="0"/>
          <w:numId w:val="2"/>
        </w:numPr>
      </w:pPr>
      <w:r>
        <w:t>Provision of c</w:t>
      </w:r>
      <w:r w:rsidR="00E67CD7" w:rsidRPr="00F476C4">
        <w:t xml:space="preserve">ommunal buildings </w:t>
      </w:r>
      <w:r>
        <w:t>to</w:t>
      </w:r>
      <w:r w:rsidR="00E67CD7" w:rsidRPr="00F476C4">
        <w:t xml:space="preserve"> provide </w:t>
      </w:r>
      <w:r>
        <w:t xml:space="preserve">a </w:t>
      </w:r>
      <w:r w:rsidR="00E67CD7" w:rsidRPr="00F476C4">
        <w:t>venue for site meetings and events</w:t>
      </w:r>
      <w:r>
        <w:t>;</w:t>
      </w:r>
    </w:p>
    <w:p w14:paraId="02BF1CEA" w14:textId="77777777" w:rsidR="00E67CD7" w:rsidRPr="00F476C4" w:rsidRDefault="009D4F9F" w:rsidP="00CE5053">
      <w:pPr>
        <w:pStyle w:val="ListParagraph"/>
        <w:numPr>
          <w:ilvl w:val="0"/>
          <w:numId w:val="2"/>
        </w:numPr>
      </w:pPr>
      <w:r>
        <w:t>Upgrading or installation of w</w:t>
      </w:r>
      <w:r w:rsidR="00E67CD7" w:rsidRPr="00F476C4">
        <w:t>ater systems (capture, storage, plumbing)</w:t>
      </w:r>
      <w:r>
        <w:t>; and</w:t>
      </w:r>
    </w:p>
    <w:p w14:paraId="6EC46469" w14:textId="77777777" w:rsidR="00E67CD7" w:rsidRDefault="009D4F9F" w:rsidP="00CE5053">
      <w:pPr>
        <w:pStyle w:val="ListParagraph"/>
        <w:numPr>
          <w:ilvl w:val="0"/>
          <w:numId w:val="2"/>
        </w:numPr>
        <w:spacing w:after="360"/>
        <w:ind w:left="1451" w:hanging="357"/>
        <w:contextualSpacing w:val="0"/>
      </w:pPr>
      <w:r>
        <w:t>Improvements to n</w:t>
      </w:r>
      <w:r w:rsidR="00E67CD7" w:rsidRPr="00F476C4">
        <w:t>oticeboards and signage</w:t>
      </w:r>
      <w:r>
        <w:t>.</w:t>
      </w:r>
    </w:p>
    <w:p w14:paraId="3FAD677F" w14:textId="77777777" w:rsidR="00E70A20" w:rsidRDefault="009D4F9F" w:rsidP="00CE5053">
      <w:pPr>
        <w:pStyle w:val="ListParagraph"/>
        <w:numPr>
          <w:ilvl w:val="0"/>
          <w:numId w:val="26"/>
        </w:numPr>
        <w:spacing w:after="240"/>
        <w:ind w:left="720" w:hanging="720"/>
        <w:contextualSpacing w:val="0"/>
      </w:pPr>
      <w:r>
        <w:t>The Council</w:t>
      </w:r>
      <w:r w:rsidR="004C3ADB">
        <w:t>’s</w:t>
      </w:r>
      <w:r>
        <w:t xml:space="preserve"> Parks and Open Space Strategy</w:t>
      </w:r>
      <w:r w:rsidR="004C3ADB">
        <w:t xml:space="preserve"> (OSS)</w:t>
      </w:r>
      <w:r>
        <w:t xml:space="preserve"> seek</w:t>
      </w:r>
      <w:r w:rsidR="004C3ADB">
        <w:t>s</w:t>
      </w:r>
      <w:r>
        <w:t xml:space="preserve"> to provide direction on the future management and provision of </w:t>
      </w:r>
      <w:r w:rsidR="007814D0">
        <w:t>Council-managed allotments</w:t>
      </w:r>
      <w:r w:rsidR="008806FA">
        <w:t>.</w:t>
      </w:r>
    </w:p>
    <w:p w14:paraId="7E1C4D8C" w14:textId="77777777" w:rsidR="00CF3EC6" w:rsidRPr="006655BF" w:rsidRDefault="00CF3EC6" w:rsidP="00CE5053">
      <w:pPr>
        <w:pStyle w:val="Heading2"/>
      </w:pPr>
      <w:bookmarkStart w:id="46" w:name="_Toc56146034"/>
      <w:r>
        <w:t>Cemeteries and burial space</w:t>
      </w:r>
      <w:bookmarkEnd w:id="46"/>
    </w:p>
    <w:p w14:paraId="2AEA7511" w14:textId="77777777" w:rsidR="00CF3EC6" w:rsidRPr="005F5AF5" w:rsidRDefault="00CF3EC6" w:rsidP="00CE5053">
      <w:pPr>
        <w:tabs>
          <w:tab w:val="left" w:pos="720"/>
          <w:tab w:val="left" w:pos="1440"/>
          <w:tab w:val="left" w:pos="2160"/>
        </w:tabs>
        <w:spacing w:after="120"/>
        <w:ind w:left="578" w:firstLine="142"/>
        <w:rPr>
          <w:b/>
        </w:rPr>
      </w:pPr>
      <w:r w:rsidRPr="005F5AF5">
        <w:rPr>
          <w:b/>
        </w:rPr>
        <w:t>Policy context</w:t>
      </w:r>
      <w:r w:rsidRPr="005F5AF5">
        <w:rPr>
          <w:b/>
        </w:rPr>
        <w:tab/>
      </w:r>
    </w:p>
    <w:p w14:paraId="2D3E5D1D" w14:textId="77777777" w:rsidR="00CF3EC6" w:rsidRDefault="00CF3EC6" w:rsidP="00CE5053">
      <w:pPr>
        <w:pStyle w:val="ListParagraph"/>
        <w:numPr>
          <w:ilvl w:val="0"/>
          <w:numId w:val="25"/>
        </w:numPr>
        <w:spacing w:after="240"/>
        <w:ind w:left="737" w:hanging="737"/>
        <w:contextualSpacing w:val="0"/>
      </w:pPr>
      <w:r w:rsidRPr="00595E96">
        <w:t xml:space="preserve">London Plan Policy S7 ‘Burial space’ states that boroughs should ensure provision is made for the different burial needs and </w:t>
      </w:r>
      <w:r>
        <w:t>requirement</w:t>
      </w:r>
      <w:r w:rsidRPr="00595E96">
        <w:t xml:space="preserve"> of London’s communities. </w:t>
      </w:r>
    </w:p>
    <w:p w14:paraId="3C7FFC97" w14:textId="77777777" w:rsidR="00CF3EC6" w:rsidRPr="005F5AF5" w:rsidRDefault="00CF3EC6" w:rsidP="00CE5053">
      <w:pPr>
        <w:tabs>
          <w:tab w:val="left" w:pos="720"/>
          <w:tab w:val="left" w:pos="1440"/>
          <w:tab w:val="left" w:pos="2160"/>
        </w:tabs>
        <w:spacing w:after="120"/>
        <w:ind w:left="578" w:firstLine="142"/>
        <w:rPr>
          <w:b/>
        </w:rPr>
      </w:pPr>
      <w:r>
        <w:rPr>
          <w:b/>
        </w:rPr>
        <w:t>Background</w:t>
      </w:r>
      <w:r w:rsidRPr="005F5AF5">
        <w:rPr>
          <w:b/>
        </w:rPr>
        <w:t xml:space="preserve">  </w:t>
      </w:r>
      <w:r>
        <w:rPr>
          <w:b/>
        </w:rPr>
        <w:tab/>
      </w:r>
      <w:r>
        <w:rPr>
          <w:b/>
        </w:rPr>
        <w:tab/>
      </w:r>
    </w:p>
    <w:p w14:paraId="6A32A004" w14:textId="77777777" w:rsidR="00CF3EC6" w:rsidRDefault="00CF3EC6" w:rsidP="00CE5053">
      <w:pPr>
        <w:pStyle w:val="ListParagraph"/>
        <w:numPr>
          <w:ilvl w:val="0"/>
          <w:numId w:val="25"/>
        </w:numPr>
        <w:spacing w:after="240"/>
        <w:ind w:left="737" w:hanging="737"/>
        <w:contextualSpacing w:val="0"/>
      </w:pPr>
      <w:r w:rsidRPr="00595E96">
        <w:t>An Audit of London Burial Provision was completed in 2011 for the GLA by the Cemetery Research Group (University of York) that looked at the demand for burial space using mortality projections and modelled demand for burial space for the period 2010/11-2030/31. This took into account the overall incidence of cremation and the preference for cremation or burial amongst particular religious groups.</w:t>
      </w:r>
    </w:p>
    <w:p w14:paraId="1A479793" w14:textId="77777777" w:rsidR="00CF3EC6" w:rsidRPr="005F5AF5" w:rsidRDefault="00CF3EC6" w:rsidP="00CE5053">
      <w:pPr>
        <w:tabs>
          <w:tab w:val="left" w:pos="720"/>
          <w:tab w:val="left" w:pos="1440"/>
          <w:tab w:val="left" w:pos="2160"/>
        </w:tabs>
        <w:spacing w:after="120"/>
        <w:ind w:left="578" w:firstLine="142"/>
        <w:rPr>
          <w:b/>
        </w:rPr>
      </w:pPr>
      <w:r>
        <w:rPr>
          <w:b/>
        </w:rPr>
        <w:t>Current situation</w:t>
      </w:r>
      <w:r>
        <w:rPr>
          <w:b/>
        </w:rPr>
        <w:tab/>
      </w:r>
    </w:p>
    <w:p w14:paraId="544402E6" w14:textId="77777777" w:rsidR="00CF3EC6" w:rsidRPr="00595E96" w:rsidRDefault="00CF3EC6" w:rsidP="00CE5053">
      <w:pPr>
        <w:pStyle w:val="ListParagraph"/>
        <w:numPr>
          <w:ilvl w:val="0"/>
          <w:numId w:val="25"/>
        </w:numPr>
        <w:spacing w:after="240"/>
        <w:ind w:left="737" w:hanging="737"/>
        <w:contextualSpacing w:val="0"/>
      </w:pPr>
      <w:r w:rsidRPr="00595E96">
        <w:t>There are a number of cemeteries and crematoriums in Lewisham:</w:t>
      </w:r>
    </w:p>
    <w:p w14:paraId="6E91C6B4" w14:textId="77777777" w:rsidR="00CF3EC6" w:rsidRPr="00595E96" w:rsidRDefault="00CF3EC6" w:rsidP="00CE5053">
      <w:pPr>
        <w:pStyle w:val="ListParagraph"/>
        <w:numPr>
          <w:ilvl w:val="0"/>
          <w:numId w:val="6"/>
        </w:numPr>
      </w:pPr>
      <w:r w:rsidRPr="00595E96">
        <w:t>Brockley</w:t>
      </w:r>
      <w:r>
        <w:t xml:space="preserve"> and Ladywell</w:t>
      </w:r>
      <w:r w:rsidRPr="00595E96">
        <w:t xml:space="preserve"> Cemetery</w:t>
      </w:r>
    </w:p>
    <w:p w14:paraId="3488DCC2" w14:textId="77777777" w:rsidR="00CF3EC6" w:rsidRPr="00595E96" w:rsidRDefault="00CF3EC6" w:rsidP="00CE5053">
      <w:pPr>
        <w:pStyle w:val="ListParagraph"/>
        <w:numPr>
          <w:ilvl w:val="0"/>
          <w:numId w:val="6"/>
        </w:numPr>
      </w:pPr>
      <w:r w:rsidRPr="00595E96">
        <w:t>Grove Park Cemetery</w:t>
      </w:r>
    </w:p>
    <w:p w14:paraId="7CC79A2B" w14:textId="77777777" w:rsidR="00CF3EC6" w:rsidRPr="00595E96" w:rsidRDefault="00CF3EC6" w:rsidP="00CE5053">
      <w:pPr>
        <w:pStyle w:val="ListParagraph"/>
        <w:numPr>
          <w:ilvl w:val="0"/>
          <w:numId w:val="6"/>
        </w:numPr>
        <w:spacing w:after="240"/>
        <w:ind w:left="1434" w:hanging="357"/>
        <w:contextualSpacing w:val="0"/>
      </w:pPr>
      <w:r w:rsidRPr="00595E96">
        <w:t>Hither Green Cemetery</w:t>
      </w:r>
      <w:r>
        <w:t xml:space="preserve"> and Crematorium</w:t>
      </w:r>
    </w:p>
    <w:p w14:paraId="33F76344" w14:textId="77777777" w:rsidR="00CF3EC6" w:rsidRDefault="00CF3EC6" w:rsidP="00CE5053">
      <w:pPr>
        <w:pStyle w:val="ListParagraph"/>
        <w:numPr>
          <w:ilvl w:val="0"/>
          <w:numId w:val="25"/>
        </w:numPr>
        <w:spacing w:after="240"/>
        <w:ind w:left="737" w:hanging="737"/>
        <w:contextualSpacing w:val="0"/>
      </w:pPr>
      <w:r w:rsidRPr="00595E96">
        <w:t>Each year an average of 1,</w:t>
      </w:r>
      <w:r>
        <w:t>25</w:t>
      </w:r>
      <w:r w:rsidRPr="00595E96">
        <w:t xml:space="preserve">0 cremations and </w:t>
      </w:r>
      <w:r>
        <w:t xml:space="preserve">approximately </w:t>
      </w:r>
      <w:r w:rsidRPr="00595E96">
        <w:t xml:space="preserve">600 burials take place, </w:t>
      </w:r>
      <w:r>
        <w:t>though not all burials involve the creation of n</w:t>
      </w:r>
      <w:r w:rsidRPr="00595E96">
        <w:t>ew spaces</w:t>
      </w:r>
      <w:r>
        <w:t>. As of</w:t>
      </w:r>
      <w:r w:rsidRPr="00595E96">
        <w:t xml:space="preserve"> 2014 approximately </w:t>
      </w:r>
      <w:r>
        <w:t xml:space="preserve">half of the total number of annual </w:t>
      </w:r>
      <w:r w:rsidRPr="00595E96">
        <w:t xml:space="preserve">burials </w:t>
      </w:r>
      <w:r>
        <w:t xml:space="preserve">in the borough </w:t>
      </w:r>
      <w:r w:rsidRPr="00595E96">
        <w:t xml:space="preserve">involved </w:t>
      </w:r>
      <w:r>
        <w:t>the re-use of e</w:t>
      </w:r>
      <w:r w:rsidRPr="00595E96">
        <w:t>xisting graves</w:t>
      </w:r>
      <w:r>
        <w:t>.</w:t>
      </w:r>
    </w:p>
    <w:p w14:paraId="55DFC87B" w14:textId="77777777" w:rsidR="00CF3EC6" w:rsidRPr="00595E96" w:rsidRDefault="00CF3EC6" w:rsidP="00CE5053">
      <w:pPr>
        <w:pStyle w:val="ListParagraph"/>
        <w:numPr>
          <w:ilvl w:val="0"/>
          <w:numId w:val="25"/>
        </w:numPr>
        <w:spacing w:after="240"/>
        <w:ind w:left="737" w:hanging="737"/>
        <w:contextualSpacing w:val="0"/>
      </w:pPr>
      <w:r>
        <w:lastRenderedPageBreak/>
        <w:t>In 2011 the Cemet</w:t>
      </w:r>
      <w:r w:rsidR="4D7E8391">
        <w:t>e</w:t>
      </w:r>
      <w:r>
        <w:t xml:space="preserve">ry Research Group was commissioned by the Greater London Authority to undertake an audit of burial space in Greater London. The audit found that Lewisham had 39.7ha of available cemetery space, and an estimated need for 9,116 virgin grave spaces between 2010/11 and 2030/31. The report concluded that it was probable that Lewisham had sufficient capacity to meet demand for burial space over the next twenty years. </w:t>
      </w:r>
    </w:p>
    <w:p w14:paraId="3CD1527E" w14:textId="77777777" w:rsidR="00CF3EC6" w:rsidRPr="00595E96" w:rsidRDefault="00CF3EC6" w:rsidP="00CE5053">
      <w:pPr>
        <w:pStyle w:val="ListParagraph"/>
        <w:numPr>
          <w:ilvl w:val="0"/>
          <w:numId w:val="25"/>
        </w:numPr>
        <w:spacing w:after="240"/>
        <w:ind w:left="737" w:hanging="737"/>
        <w:contextualSpacing w:val="0"/>
      </w:pPr>
      <w:r w:rsidRPr="00595E96">
        <w:t xml:space="preserve">As of June 2015 </w:t>
      </w:r>
      <w:r>
        <w:t xml:space="preserve">specific site capacity </w:t>
      </w:r>
      <w:r w:rsidRPr="00595E96">
        <w:t>was identified as follows:</w:t>
      </w:r>
    </w:p>
    <w:p w14:paraId="49985B09" w14:textId="77777777" w:rsidR="00CF3EC6" w:rsidRPr="00595E96" w:rsidRDefault="00CF3EC6" w:rsidP="00CE5053">
      <w:pPr>
        <w:pStyle w:val="ListParagraph"/>
        <w:numPr>
          <w:ilvl w:val="0"/>
          <w:numId w:val="6"/>
        </w:numPr>
      </w:pPr>
      <w:r w:rsidRPr="00595E96">
        <w:t>Brockley and Ladywell Cemeteries have an estimated 15 years capacity (based on approximately 600 spaces left, and used at a rate of 40 per year)</w:t>
      </w:r>
    </w:p>
    <w:p w14:paraId="2EA7F953" w14:textId="77777777" w:rsidR="00CF3EC6" w:rsidRPr="00595E96" w:rsidRDefault="00CF3EC6" w:rsidP="00CE5053">
      <w:pPr>
        <w:pStyle w:val="ListParagraph"/>
        <w:numPr>
          <w:ilvl w:val="0"/>
          <w:numId w:val="6"/>
        </w:numPr>
      </w:pPr>
      <w:r w:rsidRPr="00595E96">
        <w:t>Grove Park Cemetery has an estimated 11 year capacity (based on approximately 2,000 spaces being left and used at a rate of 175 per year)</w:t>
      </w:r>
    </w:p>
    <w:p w14:paraId="4D623DE3" w14:textId="77777777" w:rsidR="00D452F5" w:rsidRDefault="00CF3EC6" w:rsidP="00CE5053">
      <w:pPr>
        <w:pStyle w:val="ListParagraph"/>
        <w:numPr>
          <w:ilvl w:val="0"/>
          <w:numId w:val="6"/>
        </w:numPr>
        <w:spacing w:after="360"/>
        <w:ind w:left="1434" w:hanging="357"/>
        <w:contextualSpacing w:val="0"/>
      </w:pPr>
      <w:r w:rsidRPr="00595E96">
        <w:t>Hither Green Cemetery has an estimated 5-6 year capacity (based on approximately 1,000 spaces being left and used at a rate of 175 per year)</w:t>
      </w:r>
    </w:p>
    <w:p w14:paraId="442FEA19" w14:textId="77777777" w:rsidR="00CF3EC6" w:rsidRPr="005F5AF5" w:rsidRDefault="00CF3EC6" w:rsidP="00CE5053">
      <w:pPr>
        <w:tabs>
          <w:tab w:val="left" w:pos="720"/>
          <w:tab w:val="left" w:pos="1440"/>
          <w:tab w:val="left" w:pos="2160"/>
        </w:tabs>
        <w:spacing w:after="120"/>
        <w:ind w:left="578" w:firstLine="142"/>
        <w:rPr>
          <w:b/>
        </w:rPr>
      </w:pPr>
      <w:r w:rsidRPr="005F5AF5">
        <w:rPr>
          <w:b/>
        </w:rPr>
        <w:t>Future requirement</w:t>
      </w:r>
    </w:p>
    <w:p w14:paraId="642D7B43" w14:textId="77777777" w:rsidR="00CF3EC6" w:rsidRDefault="00CF3EC6" w:rsidP="00CE5053">
      <w:pPr>
        <w:pStyle w:val="ListParagraph"/>
        <w:numPr>
          <w:ilvl w:val="0"/>
          <w:numId w:val="25"/>
        </w:numPr>
        <w:spacing w:after="240"/>
        <w:ind w:left="737" w:hanging="737"/>
        <w:contextualSpacing w:val="0"/>
      </w:pPr>
      <w:r w:rsidRPr="00010856">
        <w:t xml:space="preserve">A number of planned projects are expected to commence in the short term (2020-2025) that will increase the capacity of a number of sites in Lewisham, as identified in Table </w:t>
      </w:r>
      <w:r>
        <w:t>1</w:t>
      </w:r>
      <w:r w:rsidR="008806FA">
        <w:t>3</w:t>
      </w:r>
      <w:r w:rsidRPr="00010856">
        <w:t xml:space="preserve"> below. </w:t>
      </w:r>
    </w:p>
    <w:tbl>
      <w:tblPr>
        <w:tblStyle w:val="ListTable3-Accent32"/>
        <w:tblW w:w="4590"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2494"/>
        <w:gridCol w:w="6444"/>
      </w:tblGrid>
      <w:tr w:rsidR="00CF3EC6" w:rsidRPr="00324C84" w14:paraId="180BD677"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395" w:type="pct"/>
            <w:tcBorders>
              <w:bottom w:val="single" w:sz="4" w:space="0" w:color="FFFFFF" w:themeColor="background1"/>
            </w:tcBorders>
            <w:shd w:val="clear" w:color="auto" w:fill="002060"/>
          </w:tcPr>
          <w:p w14:paraId="57379E2F" w14:textId="77777777" w:rsidR="00CF3EC6" w:rsidRPr="00EA608E" w:rsidRDefault="00CF3EC6" w:rsidP="00CE5053">
            <w:pPr>
              <w:tabs>
                <w:tab w:val="center" w:pos="3056"/>
                <w:tab w:val="left" w:pos="4975"/>
              </w:tabs>
              <w:spacing w:before="40" w:after="40"/>
              <w:rPr>
                <w:sz w:val="20"/>
                <w:szCs w:val="16"/>
              </w:rPr>
            </w:pPr>
            <w:r w:rsidRPr="00EA608E">
              <w:rPr>
                <w:sz w:val="20"/>
                <w:szCs w:val="16"/>
              </w:rPr>
              <w:t>Site / Location</w:t>
            </w:r>
          </w:p>
        </w:tc>
        <w:tc>
          <w:tcPr>
            <w:tcW w:w="3605" w:type="pct"/>
            <w:tcBorders>
              <w:bottom w:val="single" w:sz="4" w:space="0" w:color="FFFFFF" w:themeColor="background1"/>
            </w:tcBorders>
            <w:shd w:val="clear" w:color="auto" w:fill="002060"/>
          </w:tcPr>
          <w:p w14:paraId="3B41B386" w14:textId="77777777" w:rsidR="00CF3EC6" w:rsidRPr="00EA608E" w:rsidRDefault="00CF3EC6"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6"/>
              </w:rPr>
            </w:pPr>
            <w:r w:rsidRPr="00EA608E">
              <w:rPr>
                <w:sz w:val="20"/>
                <w:szCs w:val="16"/>
              </w:rPr>
              <w:t>Planned works</w:t>
            </w:r>
          </w:p>
        </w:tc>
      </w:tr>
      <w:tr w:rsidR="00CF3EC6" w:rsidRPr="00324C84" w14:paraId="67C3D80F" w14:textId="77777777" w:rsidTr="74CA9E56">
        <w:trPr>
          <w:cnfStyle w:val="000000100000" w:firstRow="0" w:lastRow="0" w:firstColumn="0" w:lastColumn="0" w:oddVBand="0" w:evenVBand="0" w:oddHBand="1" w:evenHBand="0" w:firstRowFirstColumn="0" w:firstRowLastColumn="0" w:lastRowFirstColumn="0" w:lastRowLastColumn="0"/>
          <w:trHeight w:val="171"/>
          <w:jc w:val="right"/>
        </w:trPr>
        <w:tc>
          <w:tcPr>
            <w:cnfStyle w:val="001000000000" w:firstRow="0" w:lastRow="0" w:firstColumn="1" w:lastColumn="0" w:oddVBand="0" w:evenVBand="0" w:oddHBand="0" w:evenHBand="0" w:firstRowFirstColumn="0" w:firstRowLastColumn="0" w:lastRowFirstColumn="0" w:lastRowLastColumn="0"/>
            <w:tcW w:w="1395" w:type="pct"/>
            <w:tcBorders>
              <w:top w:val="single" w:sz="4" w:space="0" w:color="FFFFFF" w:themeColor="background1"/>
              <w:bottom w:val="single" w:sz="4" w:space="0" w:color="FFFFFF" w:themeColor="background1"/>
            </w:tcBorders>
            <w:shd w:val="clear" w:color="auto" w:fill="F2F2F2" w:themeFill="background1" w:themeFillShade="F2"/>
          </w:tcPr>
          <w:p w14:paraId="4B7DDA08" w14:textId="77777777" w:rsidR="00CF3EC6" w:rsidRPr="00EA608E" w:rsidRDefault="00CF3EC6" w:rsidP="00CE5053">
            <w:pPr>
              <w:spacing w:before="40" w:after="40"/>
              <w:rPr>
                <w:sz w:val="20"/>
                <w:szCs w:val="20"/>
              </w:rPr>
            </w:pPr>
            <w:r w:rsidRPr="00EA608E">
              <w:rPr>
                <w:sz w:val="20"/>
                <w:szCs w:val="20"/>
              </w:rPr>
              <w:t>Brockley Cemetery</w:t>
            </w:r>
          </w:p>
        </w:tc>
        <w:tc>
          <w:tcPr>
            <w:tcW w:w="3605" w:type="pct"/>
            <w:tcBorders>
              <w:top w:val="single" w:sz="4" w:space="0" w:color="FFFFFF" w:themeColor="background1"/>
              <w:bottom w:val="single" w:sz="4" w:space="0" w:color="FFFFFF" w:themeColor="background1"/>
            </w:tcBorders>
            <w:shd w:val="clear" w:color="auto" w:fill="F2F2F2" w:themeFill="background1" w:themeFillShade="F2"/>
          </w:tcPr>
          <w:p w14:paraId="38125C6A" w14:textId="77777777" w:rsidR="00CF3EC6" w:rsidRPr="00EA608E" w:rsidRDefault="00CF3EC6" w:rsidP="00CE5053">
            <w:pPr>
              <w:tabs>
                <w:tab w:val="left" w:pos="1350"/>
              </w:tabs>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74CA9E56">
              <w:rPr>
                <w:sz w:val="20"/>
                <w:szCs w:val="20"/>
              </w:rPr>
              <w:t>Following the excavation and removal of the base and foundations of a former Victorian Chapel in 2019, the area is currently being prepared for an expanded burial space. It is expected that up to 100 new spaces will be created from 2020.</w:t>
            </w:r>
          </w:p>
        </w:tc>
      </w:tr>
      <w:tr w:rsidR="00CF3EC6" w:rsidRPr="00324C84" w14:paraId="6EF81883" w14:textId="77777777" w:rsidTr="74CA9E56">
        <w:trPr>
          <w:trHeight w:val="171"/>
          <w:jc w:val="right"/>
        </w:trPr>
        <w:tc>
          <w:tcPr>
            <w:cnfStyle w:val="001000000000" w:firstRow="0" w:lastRow="0" w:firstColumn="1" w:lastColumn="0" w:oddVBand="0" w:evenVBand="0" w:oddHBand="0" w:evenHBand="0" w:firstRowFirstColumn="0" w:firstRowLastColumn="0" w:lastRowFirstColumn="0" w:lastRowLastColumn="0"/>
            <w:tcW w:w="1395" w:type="pct"/>
            <w:vMerge w:val="restart"/>
            <w:tcBorders>
              <w:top w:val="single" w:sz="4" w:space="0" w:color="FFFFFF" w:themeColor="background1"/>
            </w:tcBorders>
            <w:shd w:val="clear" w:color="auto" w:fill="F2F2F2" w:themeFill="background1" w:themeFillShade="F2"/>
          </w:tcPr>
          <w:p w14:paraId="48880AEE" w14:textId="77777777" w:rsidR="00CF3EC6" w:rsidRPr="00EA608E" w:rsidRDefault="00CF3EC6" w:rsidP="00CE5053">
            <w:pPr>
              <w:spacing w:before="40" w:after="40"/>
              <w:rPr>
                <w:sz w:val="20"/>
                <w:szCs w:val="20"/>
              </w:rPr>
            </w:pPr>
            <w:r w:rsidRPr="00EA608E">
              <w:rPr>
                <w:sz w:val="20"/>
                <w:szCs w:val="20"/>
              </w:rPr>
              <w:t>Grove Park Cemetery</w:t>
            </w:r>
          </w:p>
        </w:tc>
        <w:tc>
          <w:tcPr>
            <w:tcW w:w="3605" w:type="pct"/>
            <w:tcBorders>
              <w:top w:val="single" w:sz="4" w:space="0" w:color="FFFFFF" w:themeColor="background1"/>
              <w:bottom w:val="single" w:sz="4" w:space="0" w:color="FFFFFF" w:themeColor="background1"/>
            </w:tcBorders>
            <w:shd w:val="clear" w:color="auto" w:fill="F2F2F2" w:themeFill="background1" w:themeFillShade="F2"/>
          </w:tcPr>
          <w:p w14:paraId="3DC28A9E" w14:textId="77777777" w:rsidR="00CF3EC6" w:rsidRPr="00EA608E" w:rsidRDefault="00CF3EC6" w:rsidP="00CE5053">
            <w:pPr>
              <w:tabs>
                <w:tab w:val="left" w:pos="1350"/>
              </w:tabs>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EA608E">
              <w:rPr>
                <w:sz w:val="20"/>
                <w:szCs w:val="20"/>
              </w:rPr>
              <w:t xml:space="preserve">An area within the cemetery (previously used by a Youth Training Scheme for Amenity Horticulture until its closure in 2007) has been cleared of existing buildings and structures for an expansion of burial space. The Council has undertaken a topographical survey, soil and wall structural surveys and soil physical surveys to determine the potential scope of the expansion. It is anticipated that the repurposed site could accommodate up to 900 new burial spaces. Works are not expected to commence until 2020 at the earliest. </w:t>
            </w:r>
          </w:p>
        </w:tc>
      </w:tr>
      <w:tr w:rsidR="00CF3EC6" w:rsidRPr="00324C84" w14:paraId="7F87163A" w14:textId="77777777" w:rsidTr="74CA9E56">
        <w:trPr>
          <w:cnfStyle w:val="000000100000" w:firstRow="0" w:lastRow="0" w:firstColumn="0" w:lastColumn="0" w:oddVBand="0" w:evenVBand="0" w:oddHBand="1" w:evenHBand="0" w:firstRowFirstColumn="0" w:firstRowLastColumn="0" w:lastRowFirstColumn="0" w:lastRowLastColumn="0"/>
          <w:trHeight w:val="171"/>
          <w:jc w:val="right"/>
        </w:trPr>
        <w:tc>
          <w:tcPr>
            <w:cnfStyle w:val="001000000000" w:firstRow="0" w:lastRow="0" w:firstColumn="1" w:lastColumn="0" w:oddVBand="0" w:evenVBand="0" w:oddHBand="0" w:evenHBand="0" w:firstRowFirstColumn="0" w:firstRowLastColumn="0" w:lastRowFirstColumn="0" w:lastRowLastColumn="0"/>
            <w:tcW w:w="1395" w:type="pct"/>
            <w:vMerge/>
          </w:tcPr>
          <w:p w14:paraId="70648378" w14:textId="77777777" w:rsidR="00CF3EC6" w:rsidRPr="00EA608E" w:rsidRDefault="00CF3EC6" w:rsidP="00CE5053">
            <w:pPr>
              <w:spacing w:before="40" w:after="40"/>
              <w:rPr>
                <w:sz w:val="20"/>
                <w:szCs w:val="20"/>
              </w:rPr>
            </w:pPr>
          </w:p>
        </w:tc>
        <w:tc>
          <w:tcPr>
            <w:tcW w:w="3605" w:type="pct"/>
            <w:tcBorders>
              <w:top w:val="single" w:sz="4" w:space="0" w:color="FFFFFF" w:themeColor="background1"/>
              <w:bottom w:val="single" w:sz="4" w:space="0" w:color="FFFFFF" w:themeColor="background1"/>
            </w:tcBorders>
            <w:shd w:val="clear" w:color="auto" w:fill="F2F2F2" w:themeFill="background1" w:themeFillShade="F2"/>
          </w:tcPr>
          <w:p w14:paraId="0A8D4F99" w14:textId="77777777" w:rsidR="00CF3EC6" w:rsidRPr="00EA608E" w:rsidRDefault="00CF3EC6" w:rsidP="00CE5053">
            <w:pPr>
              <w:tabs>
                <w:tab w:val="left" w:pos="1350"/>
              </w:tabs>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EA608E">
              <w:rPr>
                <w:sz w:val="20"/>
                <w:szCs w:val="20"/>
              </w:rPr>
              <w:t>A former wooded area was cleared in 2008, with site preparation commencing at this time. Additional works were commenced in 2019, including fencing and landscaping in preparation for use. This area will provide up to 800 burial spaces, and is expected to come into use in 2020.</w:t>
            </w:r>
          </w:p>
        </w:tc>
      </w:tr>
      <w:tr w:rsidR="00CF3EC6" w:rsidRPr="00324C84" w14:paraId="6292BD6F" w14:textId="77777777" w:rsidTr="74CA9E56">
        <w:trPr>
          <w:trHeight w:val="171"/>
          <w:jc w:val="right"/>
        </w:trPr>
        <w:tc>
          <w:tcPr>
            <w:cnfStyle w:val="001000000000" w:firstRow="0" w:lastRow="0" w:firstColumn="1" w:lastColumn="0" w:oddVBand="0" w:evenVBand="0" w:oddHBand="0" w:evenHBand="0" w:firstRowFirstColumn="0" w:firstRowLastColumn="0" w:lastRowFirstColumn="0" w:lastRowLastColumn="0"/>
            <w:tcW w:w="1395" w:type="pct"/>
            <w:vMerge w:val="restart"/>
            <w:shd w:val="clear" w:color="auto" w:fill="F2F2F2" w:themeFill="background1" w:themeFillShade="F2"/>
          </w:tcPr>
          <w:p w14:paraId="2B4739ED" w14:textId="77777777" w:rsidR="00CF3EC6" w:rsidRPr="00EA608E" w:rsidRDefault="00CF3EC6" w:rsidP="00CE5053">
            <w:pPr>
              <w:spacing w:before="40" w:after="40"/>
              <w:rPr>
                <w:sz w:val="20"/>
                <w:szCs w:val="20"/>
              </w:rPr>
            </w:pPr>
            <w:r w:rsidRPr="00EA608E">
              <w:rPr>
                <w:sz w:val="20"/>
                <w:szCs w:val="20"/>
              </w:rPr>
              <w:t>Hither Green Cemetery</w:t>
            </w:r>
          </w:p>
        </w:tc>
        <w:tc>
          <w:tcPr>
            <w:tcW w:w="3605" w:type="pct"/>
            <w:tcBorders>
              <w:top w:val="single" w:sz="4" w:space="0" w:color="FFFFFF" w:themeColor="background1"/>
              <w:bottom w:val="single" w:sz="4" w:space="0" w:color="FFFFFF" w:themeColor="background1"/>
            </w:tcBorders>
            <w:shd w:val="clear" w:color="auto" w:fill="F2F2F2" w:themeFill="background1" w:themeFillShade="F2"/>
          </w:tcPr>
          <w:p w14:paraId="1839B4E6" w14:textId="77777777" w:rsidR="00CF3EC6" w:rsidRPr="00EA608E" w:rsidRDefault="00CF3EC6" w:rsidP="00CE5053">
            <w:pPr>
              <w:tabs>
                <w:tab w:val="left" w:pos="1350"/>
              </w:tabs>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EA608E">
              <w:rPr>
                <w:sz w:val="20"/>
                <w:szCs w:val="20"/>
              </w:rPr>
              <w:t>Following a risk impact assessment in 2011, ten pathways were identified as not providing safe access, particularly for people with additional mobility requirements. Access works across the cemetery is currently underway, which will result in a rationalisation of the path network and redundant / damaged paths removed to provide additional land for burial spaces. Upon completion, up to 420 burial spaces could become available for use.</w:t>
            </w:r>
          </w:p>
        </w:tc>
      </w:tr>
      <w:tr w:rsidR="00CF3EC6" w:rsidRPr="00324C84" w14:paraId="04A19A7B" w14:textId="77777777" w:rsidTr="74CA9E56">
        <w:trPr>
          <w:cnfStyle w:val="000000100000" w:firstRow="0" w:lastRow="0" w:firstColumn="0" w:lastColumn="0" w:oddVBand="0" w:evenVBand="0" w:oddHBand="1" w:evenHBand="0" w:firstRowFirstColumn="0" w:firstRowLastColumn="0" w:lastRowFirstColumn="0" w:lastRowLastColumn="0"/>
          <w:trHeight w:val="171"/>
          <w:jc w:val="right"/>
        </w:trPr>
        <w:tc>
          <w:tcPr>
            <w:cnfStyle w:val="001000000000" w:firstRow="0" w:lastRow="0" w:firstColumn="1" w:lastColumn="0" w:oddVBand="0" w:evenVBand="0" w:oddHBand="0" w:evenHBand="0" w:firstRowFirstColumn="0" w:firstRowLastColumn="0" w:lastRowFirstColumn="0" w:lastRowLastColumn="0"/>
            <w:tcW w:w="1395" w:type="pct"/>
            <w:vMerge/>
          </w:tcPr>
          <w:p w14:paraId="50040504" w14:textId="77777777" w:rsidR="00CF3EC6" w:rsidRPr="00EA608E" w:rsidRDefault="00CF3EC6" w:rsidP="00CE5053">
            <w:pPr>
              <w:spacing w:before="40" w:after="40"/>
              <w:rPr>
                <w:sz w:val="20"/>
                <w:szCs w:val="20"/>
              </w:rPr>
            </w:pPr>
          </w:p>
        </w:tc>
        <w:tc>
          <w:tcPr>
            <w:tcW w:w="3605" w:type="pct"/>
            <w:tcBorders>
              <w:top w:val="single" w:sz="4" w:space="0" w:color="FFFFFF" w:themeColor="background1"/>
              <w:bottom w:val="single" w:sz="4" w:space="0" w:color="FFFFFF" w:themeColor="background1"/>
            </w:tcBorders>
            <w:shd w:val="clear" w:color="auto" w:fill="F2F2F2" w:themeFill="background1" w:themeFillShade="F2"/>
          </w:tcPr>
          <w:p w14:paraId="3C2056FD" w14:textId="77777777" w:rsidR="00CF3EC6" w:rsidRPr="00EA608E" w:rsidRDefault="00CF3EC6" w:rsidP="00CE5053">
            <w:pPr>
              <w:tabs>
                <w:tab w:val="left" w:pos="1350"/>
              </w:tabs>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74CA9E56">
              <w:rPr>
                <w:sz w:val="20"/>
                <w:szCs w:val="20"/>
              </w:rPr>
              <w:t>There is currently only one section of land within the cemetery that is undeveloped for burial. In 2011 this area was identified as potential burial land and was cleared of dumped rubbish and large established vegetation. In 2019 the area was cleared again of vegetation, pathways were installed and the land should be brought into use in 2020, providing around 500 burial spaces.</w:t>
            </w:r>
          </w:p>
        </w:tc>
      </w:tr>
    </w:tbl>
    <w:p w14:paraId="6375D0C5" w14:textId="77777777" w:rsidR="00CF3EC6" w:rsidRDefault="00CF3EC6" w:rsidP="00CE5053">
      <w:pPr>
        <w:pStyle w:val="Caption"/>
        <w:spacing w:before="120" w:after="480"/>
        <w:ind w:firstLine="720"/>
        <w:rPr>
          <w:i w:val="0"/>
          <w:color w:val="auto"/>
        </w:rPr>
      </w:pPr>
      <w:r>
        <w:rPr>
          <w:b/>
          <w:i w:val="0"/>
          <w:color w:val="auto"/>
        </w:rPr>
        <w:t>T</w:t>
      </w:r>
      <w:r w:rsidRPr="00F067AD">
        <w:rPr>
          <w:b/>
          <w:i w:val="0"/>
          <w:color w:val="auto"/>
        </w:rPr>
        <w:t xml:space="preserve">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13</w:t>
      </w:r>
      <w:r>
        <w:rPr>
          <w:b/>
          <w:i w:val="0"/>
          <w:color w:val="auto"/>
        </w:rPr>
        <w:fldChar w:fldCharType="end"/>
      </w:r>
      <w:r w:rsidRPr="00C43DD5">
        <w:rPr>
          <w:i w:val="0"/>
          <w:color w:val="auto"/>
        </w:rPr>
        <w:t xml:space="preserve"> </w:t>
      </w:r>
      <w:r>
        <w:rPr>
          <w:i w:val="0"/>
          <w:color w:val="auto"/>
        </w:rPr>
        <w:t>Proposed works to burial sites in Lewisham. Source: LB Lewisham</w:t>
      </w:r>
    </w:p>
    <w:p w14:paraId="1FE87C3A" w14:textId="77777777" w:rsidR="00CF3EC6" w:rsidRDefault="00CF3EC6" w:rsidP="00CE5053">
      <w:pPr>
        <w:pStyle w:val="ListParagraph"/>
        <w:numPr>
          <w:ilvl w:val="0"/>
          <w:numId w:val="25"/>
        </w:numPr>
        <w:spacing w:after="360"/>
        <w:ind w:left="737" w:hanging="737"/>
        <w:contextualSpacing w:val="0"/>
      </w:pPr>
      <w:r>
        <w:lastRenderedPageBreak/>
        <w:t xml:space="preserve">Following the completion of the works described above, burial space capacity will increase in accordance with </w:t>
      </w:r>
      <w:r w:rsidRPr="008806FA">
        <w:rPr>
          <w:b/>
        </w:rPr>
        <w:t xml:space="preserve">Table </w:t>
      </w:r>
      <w:r w:rsidR="008806FA" w:rsidRPr="008806FA">
        <w:rPr>
          <w:b/>
        </w:rPr>
        <w:t>15</w:t>
      </w:r>
      <w:r w:rsidR="00945B7D" w:rsidRPr="00945B7D">
        <w:t xml:space="preserve"> </w:t>
      </w:r>
      <w:r>
        <w:t xml:space="preserve">below. </w:t>
      </w:r>
    </w:p>
    <w:tbl>
      <w:tblPr>
        <w:tblStyle w:val="ListTable3-Accent32"/>
        <w:tblW w:w="4590"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2353"/>
        <w:gridCol w:w="2195"/>
        <w:gridCol w:w="2195"/>
        <w:gridCol w:w="2195"/>
      </w:tblGrid>
      <w:tr w:rsidR="00CF3EC6" w:rsidRPr="00324C84" w14:paraId="597D876D"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316" w:type="pct"/>
            <w:tcBorders>
              <w:bottom w:val="single" w:sz="4" w:space="0" w:color="FFFFFF" w:themeColor="background1"/>
            </w:tcBorders>
            <w:shd w:val="clear" w:color="auto" w:fill="002060"/>
          </w:tcPr>
          <w:p w14:paraId="47C8FD1E" w14:textId="77777777" w:rsidR="00CF3EC6" w:rsidRPr="0097175D" w:rsidRDefault="00CF3EC6" w:rsidP="00CE5053">
            <w:pPr>
              <w:tabs>
                <w:tab w:val="center" w:pos="3056"/>
                <w:tab w:val="left" w:pos="4975"/>
              </w:tabs>
              <w:spacing w:before="40" w:after="40"/>
              <w:rPr>
                <w:sz w:val="20"/>
                <w:szCs w:val="16"/>
              </w:rPr>
            </w:pPr>
            <w:r w:rsidRPr="0097175D">
              <w:rPr>
                <w:sz w:val="20"/>
                <w:szCs w:val="16"/>
              </w:rPr>
              <w:t>Site / Location</w:t>
            </w:r>
          </w:p>
        </w:tc>
        <w:tc>
          <w:tcPr>
            <w:tcW w:w="1228" w:type="pct"/>
            <w:tcBorders>
              <w:bottom w:val="single" w:sz="4" w:space="0" w:color="FFFFFF" w:themeColor="background1"/>
            </w:tcBorders>
            <w:shd w:val="clear" w:color="auto" w:fill="002060"/>
          </w:tcPr>
          <w:p w14:paraId="2C007741" w14:textId="77777777" w:rsidR="00CF3EC6" w:rsidRPr="0097175D" w:rsidRDefault="00CF3EC6"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16"/>
              </w:rPr>
            </w:pPr>
            <w:r w:rsidRPr="0097175D">
              <w:rPr>
                <w:sz w:val="20"/>
                <w:szCs w:val="16"/>
              </w:rPr>
              <w:t>Current supply (in years)</w:t>
            </w:r>
          </w:p>
        </w:tc>
        <w:tc>
          <w:tcPr>
            <w:tcW w:w="1228" w:type="pct"/>
            <w:tcBorders>
              <w:bottom w:val="single" w:sz="4" w:space="0" w:color="FFFFFF" w:themeColor="background1"/>
            </w:tcBorders>
            <w:shd w:val="clear" w:color="auto" w:fill="002060"/>
          </w:tcPr>
          <w:p w14:paraId="0065F431" w14:textId="77777777" w:rsidR="00CF3EC6" w:rsidRPr="0097175D" w:rsidRDefault="00CF3EC6"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6"/>
              </w:rPr>
            </w:pPr>
            <w:r w:rsidRPr="0097175D">
              <w:rPr>
                <w:sz w:val="20"/>
                <w:szCs w:val="16"/>
              </w:rPr>
              <w:t>Additional capacity created (no. spaces)</w:t>
            </w:r>
          </w:p>
        </w:tc>
        <w:tc>
          <w:tcPr>
            <w:tcW w:w="1228" w:type="pct"/>
            <w:tcBorders>
              <w:bottom w:val="single" w:sz="4" w:space="0" w:color="FFFFFF" w:themeColor="background1"/>
            </w:tcBorders>
            <w:shd w:val="clear" w:color="auto" w:fill="002060"/>
          </w:tcPr>
          <w:p w14:paraId="6BAF0709" w14:textId="77777777" w:rsidR="00CF3EC6" w:rsidRPr="0097175D" w:rsidRDefault="00CF3EC6" w:rsidP="00CE5053">
            <w:pPr>
              <w:tabs>
                <w:tab w:val="left" w:pos="2115"/>
              </w:tabs>
              <w:spacing w:before="40" w:after="40"/>
              <w:cnfStyle w:val="100000000000" w:firstRow="1" w:lastRow="0" w:firstColumn="0" w:lastColumn="0" w:oddVBand="0" w:evenVBand="0" w:oddHBand="0" w:evenHBand="0" w:firstRowFirstColumn="0" w:firstRowLastColumn="0" w:lastRowFirstColumn="0" w:lastRowLastColumn="0"/>
              <w:rPr>
                <w:sz w:val="20"/>
                <w:szCs w:val="16"/>
              </w:rPr>
            </w:pPr>
            <w:r w:rsidRPr="0097175D">
              <w:rPr>
                <w:sz w:val="20"/>
                <w:szCs w:val="16"/>
              </w:rPr>
              <w:t>Total supply following works</w:t>
            </w:r>
          </w:p>
        </w:tc>
      </w:tr>
      <w:tr w:rsidR="00CF3EC6" w:rsidRPr="00324C84" w14:paraId="38D0C7F1" w14:textId="77777777" w:rsidTr="74CA9E56">
        <w:trPr>
          <w:cnfStyle w:val="000000100000" w:firstRow="0" w:lastRow="0" w:firstColumn="0" w:lastColumn="0" w:oddVBand="0" w:evenVBand="0" w:oddHBand="1" w:evenHBand="0" w:firstRowFirstColumn="0" w:firstRowLastColumn="0" w:lastRowFirstColumn="0" w:lastRowLastColumn="0"/>
          <w:trHeight w:val="171"/>
          <w:jc w:val="right"/>
        </w:trPr>
        <w:tc>
          <w:tcPr>
            <w:cnfStyle w:val="001000000000" w:firstRow="0" w:lastRow="0" w:firstColumn="1" w:lastColumn="0" w:oddVBand="0" w:evenVBand="0" w:oddHBand="0" w:evenHBand="0" w:firstRowFirstColumn="0" w:firstRowLastColumn="0" w:lastRowFirstColumn="0" w:lastRowLastColumn="0"/>
            <w:tcW w:w="1316" w:type="pct"/>
            <w:tcBorders>
              <w:top w:val="single" w:sz="4" w:space="0" w:color="FFFFFF" w:themeColor="background1"/>
              <w:bottom w:val="single" w:sz="4" w:space="0" w:color="FFFFFF" w:themeColor="background1"/>
            </w:tcBorders>
            <w:shd w:val="clear" w:color="auto" w:fill="F2F2F2" w:themeFill="background1" w:themeFillShade="F2"/>
          </w:tcPr>
          <w:p w14:paraId="2C5E65EF" w14:textId="77777777" w:rsidR="00CF3EC6" w:rsidRPr="0097175D" w:rsidRDefault="00CF3EC6" w:rsidP="00CE5053">
            <w:pPr>
              <w:spacing w:before="40" w:after="40"/>
              <w:rPr>
                <w:sz w:val="20"/>
                <w:szCs w:val="20"/>
              </w:rPr>
            </w:pPr>
            <w:r w:rsidRPr="0097175D">
              <w:rPr>
                <w:sz w:val="20"/>
                <w:szCs w:val="20"/>
              </w:rPr>
              <w:t>Brockley &amp; Ladywell</w:t>
            </w:r>
          </w:p>
        </w:tc>
        <w:tc>
          <w:tcPr>
            <w:tcW w:w="1228" w:type="pct"/>
            <w:tcBorders>
              <w:top w:val="single" w:sz="4" w:space="0" w:color="FFFFFF" w:themeColor="background1"/>
              <w:bottom w:val="single" w:sz="4" w:space="0" w:color="FFFFFF" w:themeColor="background1"/>
            </w:tcBorders>
            <w:shd w:val="clear" w:color="auto" w:fill="F2F2F2" w:themeFill="background1" w:themeFillShade="F2"/>
          </w:tcPr>
          <w:p w14:paraId="461C8A18" w14:textId="77777777" w:rsidR="00CF3EC6" w:rsidRPr="0097175D" w:rsidRDefault="00CF3EC6"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74CA9E56">
              <w:rPr>
                <w:sz w:val="20"/>
                <w:szCs w:val="20"/>
              </w:rPr>
              <w:t>15 years</w:t>
            </w:r>
          </w:p>
        </w:tc>
        <w:tc>
          <w:tcPr>
            <w:tcW w:w="1228" w:type="pct"/>
            <w:tcBorders>
              <w:top w:val="single" w:sz="4" w:space="0" w:color="FFFFFF" w:themeColor="background1"/>
              <w:bottom w:val="single" w:sz="4" w:space="0" w:color="FFFFFF" w:themeColor="background1"/>
            </w:tcBorders>
            <w:shd w:val="clear" w:color="auto" w:fill="F2F2F2" w:themeFill="background1" w:themeFillShade="F2"/>
          </w:tcPr>
          <w:p w14:paraId="6605B3D8" w14:textId="77777777" w:rsidR="00CF3EC6" w:rsidRPr="0097175D" w:rsidRDefault="00CF3EC6"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97175D">
              <w:rPr>
                <w:sz w:val="20"/>
                <w:szCs w:val="20"/>
              </w:rPr>
              <w:t>100</w:t>
            </w:r>
          </w:p>
        </w:tc>
        <w:tc>
          <w:tcPr>
            <w:tcW w:w="1228" w:type="pct"/>
            <w:tcBorders>
              <w:top w:val="single" w:sz="4" w:space="0" w:color="FFFFFF" w:themeColor="background1"/>
              <w:bottom w:val="single" w:sz="4" w:space="0" w:color="FFFFFF" w:themeColor="background1"/>
            </w:tcBorders>
            <w:shd w:val="clear" w:color="auto" w:fill="F2F2F2" w:themeFill="background1" w:themeFillShade="F2"/>
          </w:tcPr>
          <w:p w14:paraId="701E8C54" w14:textId="77777777" w:rsidR="00CF3EC6" w:rsidRPr="0097175D" w:rsidRDefault="00CF3EC6"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97175D">
              <w:rPr>
                <w:sz w:val="20"/>
                <w:szCs w:val="20"/>
              </w:rPr>
              <w:t>7 years</w:t>
            </w:r>
          </w:p>
        </w:tc>
      </w:tr>
      <w:tr w:rsidR="00CF3EC6" w:rsidRPr="00324C84" w14:paraId="0D8E06B4" w14:textId="77777777" w:rsidTr="74CA9E56">
        <w:trPr>
          <w:trHeight w:val="85"/>
          <w:jc w:val="right"/>
        </w:trPr>
        <w:tc>
          <w:tcPr>
            <w:cnfStyle w:val="001000000000" w:firstRow="0" w:lastRow="0" w:firstColumn="1" w:lastColumn="0" w:oddVBand="0" w:evenVBand="0" w:oddHBand="0" w:evenHBand="0" w:firstRowFirstColumn="0" w:firstRowLastColumn="0" w:lastRowFirstColumn="0" w:lastRowLastColumn="0"/>
            <w:tcW w:w="1316" w:type="pct"/>
            <w:tcBorders>
              <w:top w:val="single" w:sz="4" w:space="0" w:color="FFFFFF" w:themeColor="background1"/>
              <w:bottom w:val="single" w:sz="4" w:space="0" w:color="FFFFFF" w:themeColor="background1"/>
            </w:tcBorders>
            <w:shd w:val="clear" w:color="auto" w:fill="F2F2F2" w:themeFill="background1" w:themeFillShade="F2"/>
          </w:tcPr>
          <w:p w14:paraId="09C4BF12" w14:textId="77777777" w:rsidR="00CF3EC6" w:rsidRPr="0097175D" w:rsidRDefault="00CF3EC6" w:rsidP="00CE5053">
            <w:pPr>
              <w:spacing w:before="40" w:after="40"/>
              <w:rPr>
                <w:sz w:val="20"/>
                <w:szCs w:val="20"/>
              </w:rPr>
            </w:pPr>
            <w:r w:rsidRPr="0097175D">
              <w:rPr>
                <w:sz w:val="20"/>
                <w:szCs w:val="20"/>
              </w:rPr>
              <w:t>Grove Park</w:t>
            </w:r>
          </w:p>
        </w:tc>
        <w:tc>
          <w:tcPr>
            <w:tcW w:w="1228" w:type="pct"/>
            <w:tcBorders>
              <w:top w:val="single" w:sz="4" w:space="0" w:color="FFFFFF" w:themeColor="background1"/>
              <w:bottom w:val="single" w:sz="4" w:space="0" w:color="FFFFFF" w:themeColor="background1"/>
            </w:tcBorders>
            <w:shd w:val="clear" w:color="auto" w:fill="F2F2F2" w:themeFill="background1" w:themeFillShade="F2"/>
          </w:tcPr>
          <w:p w14:paraId="6A4B8B8F" w14:textId="77777777" w:rsidR="00CF3EC6" w:rsidRPr="0097175D" w:rsidRDefault="00CF3EC6"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97175D">
              <w:rPr>
                <w:sz w:val="20"/>
                <w:szCs w:val="20"/>
              </w:rPr>
              <w:t>11 years</w:t>
            </w:r>
          </w:p>
        </w:tc>
        <w:tc>
          <w:tcPr>
            <w:tcW w:w="1228" w:type="pct"/>
            <w:tcBorders>
              <w:top w:val="single" w:sz="4" w:space="0" w:color="FFFFFF" w:themeColor="background1"/>
              <w:bottom w:val="single" w:sz="4" w:space="0" w:color="FFFFFF" w:themeColor="background1"/>
            </w:tcBorders>
            <w:shd w:val="clear" w:color="auto" w:fill="F2F2F2" w:themeFill="background1" w:themeFillShade="F2"/>
          </w:tcPr>
          <w:p w14:paraId="65555626" w14:textId="77777777" w:rsidR="00CF3EC6" w:rsidRPr="0097175D" w:rsidRDefault="00CF3EC6"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97175D">
              <w:rPr>
                <w:sz w:val="20"/>
                <w:szCs w:val="20"/>
              </w:rPr>
              <w:t>1,700</w:t>
            </w:r>
          </w:p>
        </w:tc>
        <w:tc>
          <w:tcPr>
            <w:tcW w:w="1228" w:type="pct"/>
            <w:tcBorders>
              <w:top w:val="single" w:sz="4" w:space="0" w:color="FFFFFF" w:themeColor="background1"/>
              <w:bottom w:val="single" w:sz="4" w:space="0" w:color="FFFFFF" w:themeColor="background1"/>
            </w:tcBorders>
            <w:shd w:val="clear" w:color="auto" w:fill="F2F2F2" w:themeFill="background1" w:themeFillShade="F2"/>
          </w:tcPr>
          <w:p w14:paraId="1D6C8FB4" w14:textId="77777777" w:rsidR="00CF3EC6" w:rsidRPr="0097175D" w:rsidRDefault="00CF3EC6"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97175D">
              <w:rPr>
                <w:sz w:val="20"/>
                <w:szCs w:val="20"/>
              </w:rPr>
              <w:t>14 years</w:t>
            </w:r>
          </w:p>
        </w:tc>
      </w:tr>
      <w:tr w:rsidR="00CF3EC6" w:rsidRPr="00324C84" w14:paraId="58F09A4B" w14:textId="77777777" w:rsidTr="74CA9E56">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316" w:type="pct"/>
            <w:tcBorders>
              <w:top w:val="single" w:sz="4" w:space="0" w:color="FFFFFF" w:themeColor="background1"/>
              <w:bottom w:val="single" w:sz="4" w:space="0" w:color="FFFFFF" w:themeColor="background1"/>
            </w:tcBorders>
            <w:shd w:val="clear" w:color="auto" w:fill="F2F2F2" w:themeFill="background1" w:themeFillShade="F2"/>
          </w:tcPr>
          <w:p w14:paraId="1B59C31C" w14:textId="77777777" w:rsidR="00CF3EC6" w:rsidRPr="0097175D" w:rsidRDefault="00CF3EC6" w:rsidP="00CE5053">
            <w:pPr>
              <w:spacing w:before="40" w:after="40"/>
              <w:rPr>
                <w:sz w:val="20"/>
                <w:szCs w:val="20"/>
              </w:rPr>
            </w:pPr>
            <w:r w:rsidRPr="0097175D">
              <w:rPr>
                <w:sz w:val="20"/>
                <w:szCs w:val="20"/>
              </w:rPr>
              <w:t>Hither Green</w:t>
            </w:r>
          </w:p>
        </w:tc>
        <w:tc>
          <w:tcPr>
            <w:tcW w:w="1228" w:type="pct"/>
            <w:tcBorders>
              <w:top w:val="single" w:sz="4" w:space="0" w:color="FFFFFF" w:themeColor="background1"/>
              <w:bottom w:val="single" w:sz="4" w:space="0" w:color="FFFFFF" w:themeColor="background1"/>
            </w:tcBorders>
            <w:shd w:val="clear" w:color="auto" w:fill="F2F2F2" w:themeFill="background1" w:themeFillShade="F2"/>
          </w:tcPr>
          <w:p w14:paraId="3E062D68" w14:textId="77777777" w:rsidR="00CF3EC6" w:rsidRPr="0097175D" w:rsidRDefault="00CF3EC6"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97175D">
              <w:rPr>
                <w:sz w:val="20"/>
                <w:szCs w:val="20"/>
              </w:rPr>
              <w:t>5-6 years</w:t>
            </w:r>
          </w:p>
        </w:tc>
        <w:tc>
          <w:tcPr>
            <w:tcW w:w="1228" w:type="pct"/>
            <w:tcBorders>
              <w:top w:val="single" w:sz="4" w:space="0" w:color="FFFFFF" w:themeColor="background1"/>
              <w:bottom w:val="single" w:sz="4" w:space="0" w:color="FFFFFF" w:themeColor="background1"/>
            </w:tcBorders>
            <w:shd w:val="clear" w:color="auto" w:fill="F2F2F2" w:themeFill="background1" w:themeFillShade="F2"/>
          </w:tcPr>
          <w:p w14:paraId="11CB6297" w14:textId="77777777" w:rsidR="00CF3EC6" w:rsidRPr="0097175D" w:rsidRDefault="00CF3EC6"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97175D">
              <w:rPr>
                <w:sz w:val="20"/>
                <w:szCs w:val="20"/>
              </w:rPr>
              <w:t>900</w:t>
            </w:r>
          </w:p>
        </w:tc>
        <w:tc>
          <w:tcPr>
            <w:tcW w:w="1228" w:type="pct"/>
            <w:tcBorders>
              <w:top w:val="single" w:sz="4" w:space="0" w:color="FFFFFF" w:themeColor="background1"/>
              <w:bottom w:val="single" w:sz="4" w:space="0" w:color="FFFFFF" w:themeColor="background1"/>
            </w:tcBorders>
            <w:shd w:val="clear" w:color="auto" w:fill="F2F2F2" w:themeFill="background1" w:themeFillShade="F2"/>
          </w:tcPr>
          <w:p w14:paraId="531E66F4" w14:textId="77777777" w:rsidR="00CF3EC6" w:rsidRPr="0097175D" w:rsidRDefault="00CF3EC6"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97175D">
              <w:rPr>
                <w:sz w:val="20"/>
                <w:szCs w:val="20"/>
              </w:rPr>
              <w:t>7-8 years</w:t>
            </w:r>
          </w:p>
        </w:tc>
      </w:tr>
    </w:tbl>
    <w:p w14:paraId="6B356B99" w14:textId="77777777" w:rsidR="00CF3EC6" w:rsidRPr="00C43DD5" w:rsidRDefault="00CF3EC6" w:rsidP="00CE5053">
      <w:pPr>
        <w:pStyle w:val="Caption"/>
        <w:spacing w:before="120" w:after="360"/>
        <w:ind w:left="720"/>
        <w:rPr>
          <w:b/>
          <w:i w:val="0"/>
          <w:color w:val="auto"/>
        </w:rPr>
      </w:pPr>
      <w:r>
        <w:rPr>
          <w:b/>
          <w:i w:val="0"/>
          <w:color w:val="auto"/>
        </w:rPr>
        <w:t>T</w:t>
      </w:r>
      <w:r w:rsidRPr="00F067AD">
        <w:rPr>
          <w:b/>
          <w:i w:val="0"/>
          <w:color w:val="auto"/>
        </w:rPr>
        <w:t xml:space="preserve">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14</w:t>
      </w:r>
      <w:r>
        <w:rPr>
          <w:b/>
          <w:i w:val="0"/>
          <w:color w:val="auto"/>
        </w:rPr>
        <w:fldChar w:fldCharType="end"/>
      </w:r>
      <w:r w:rsidRPr="00C43DD5">
        <w:rPr>
          <w:i w:val="0"/>
          <w:color w:val="auto"/>
        </w:rPr>
        <w:t xml:space="preserve"> </w:t>
      </w:r>
      <w:r>
        <w:rPr>
          <w:i w:val="0"/>
          <w:color w:val="auto"/>
        </w:rPr>
        <w:t>Anticipated capacity of burial space in Lewisham (by years) following short-term upgrades. Source: LB Lewisham</w:t>
      </w:r>
    </w:p>
    <w:p w14:paraId="5D256765" w14:textId="77777777" w:rsidR="00CF3EC6" w:rsidRDefault="00CF3EC6" w:rsidP="00CE5053">
      <w:pPr>
        <w:pStyle w:val="ListParagraph"/>
        <w:numPr>
          <w:ilvl w:val="0"/>
          <w:numId w:val="25"/>
        </w:numPr>
        <w:spacing w:after="240"/>
        <w:ind w:left="737" w:hanging="737"/>
        <w:contextualSpacing w:val="0"/>
      </w:pPr>
      <w:r>
        <w:t xml:space="preserve">It is anticipated that continuing the process of improving the design of Lewisham’s cemeteries, along with an increased take up of re-using burial sites will ensure there is sufficient burial site capacity in the </w:t>
      </w:r>
      <w:r w:rsidR="002E4B7F">
        <w:t xml:space="preserve">medium to </w:t>
      </w:r>
      <w:r>
        <w:t xml:space="preserve">longer term. </w:t>
      </w:r>
    </w:p>
    <w:p w14:paraId="1F28F27C" w14:textId="77777777" w:rsidR="00CF3EC6" w:rsidRPr="00595E96" w:rsidRDefault="00CF3EC6" w:rsidP="00CE5053">
      <w:pPr>
        <w:ind w:left="720" w:hanging="720"/>
        <w:sectPr w:rsidR="00CF3EC6" w:rsidRPr="00595E96" w:rsidSect="007B10F6">
          <w:pgSz w:w="11906" w:h="16838"/>
          <w:pgMar w:top="1440" w:right="1080" w:bottom="1440" w:left="1080" w:header="708" w:footer="708" w:gutter="0"/>
          <w:pgBorders w:offsetFrom="page">
            <w:top w:val="single" w:sz="4" w:space="24" w:color="FFFFFF" w:themeColor="background1"/>
            <w:bottom w:val="single" w:sz="4" w:space="24" w:color="FFFFFF" w:themeColor="background1"/>
          </w:pgBorders>
          <w:cols w:space="708"/>
          <w:docGrid w:linePitch="360"/>
        </w:sectPr>
      </w:pPr>
    </w:p>
    <w:p w14:paraId="0B5E9B69" w14:textId="77777777" w:rsidR="00E67CD7" w:rsidRDefault="00E67CD7" w:rsidP="00CE5053">
      <w:pPr>
        <w:pStyle w:val="Heading3"/>
      </w:pPr>
      <w:bookmarkStart w:id="47" w:name="_Toc56146035"/>
      <w:r w:rsidRPr="00FC4CC2">
        <w:lastRenderedPageBreak/>
        <w:t>Strategic infrastructure list for Green</w:t>
      </w:r>
      <w:r>
        <w:t xml:space="preserve"> infrastructure</w:t>
      </w:r>
      <w:bookmarkEnd w:id="47"/>
    </w:p>
    <w:tbl>
      <w:tblPr>
        <w:tblStyle w:val="ListTable3-Accent32"/>
        <w:tblW w:w="4774" w:type="pct"/>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Table"/>
      </w:tblPr>
      <w:tblGrid>
        <w:gridCol w:w="2344"/>
        <w:gridCol w:w="1757"/>
        <w:gridCol w:w="5941"/>
        <w:gridCol w:w="2414"/>
        <w:gridCol w:w="872"/>
        <w:gridCol w:w="8"/>
        <w:gridCol w:w="847"/>
        <w:gridCol w:w="872"/>
        <w:gridCol w:w="893"/>
        <w:gridCol w:w="1282"/>
        <w:gridCol w:w="1017"/>
        <w:gridCol w:w="955"/>
        <w:gridCol w:w="1468"/>
      </w:tblGrid>
      <w:tr w:rsidR="00E67CD7" w:rsidRPr="004400BC" w14:paraId="1256D94D"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45F80A9A" w14:textId="77777777" w:rsidR="00E67CD7" w:rsidRPr="00356AF3" w:rsidRDefault="00E67CD7" w:rsidP="00CE5053">
            <w:pPr>
              <w:spacing w:before="40" w:after="40"/>
              <w:rPr>
                <w:b w:val="0"/>
                <w:bCs w:val="0"/>
                <w:sz w:val="18"/>
                <w:szCs w:val="18"/>
              </w:rPr>
            </w:pPr>
            <w:r w:rsidRPr="00356AF3">
              <w:rPr>
                <w:sz w:val="18"/>
                <w:szCs w:val="18"/>
              </w:rPr>
              <w:t>Planned provision</w:t>
            </w:r>
          </w:p>
        </w:tc>
        <w:tc>
          <w:tcPr>
            <w:tcW w:w="425"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54B6E376"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Proposed location</w:t>
            </w:r>
          </w:p>
        </w:tc>
        <w:tc>
          <w:tcPr>
            <w:tcW w:w="143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701C95E5"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356AF3">
              <w:rPr>
                <w:bCs w:val="0"/>
                <w:sz w:val="18"/>
                <w:szCs w:val="18"/>
              </w:rPr>
              <w:t xml:space="preserve">Description of </w:t>
            </w:r>
            <w:r w:rsidRPr="00356AF3">
              <w:rPr>
                <w:bCs w:val="0"/>
                <w:noProof/>
                <w:sz w:val="18"/>
                <w:szCs w:val="18"/>
              </w:rPr>
              <w:t>project/proposal</w:t>
            </w:r>
          </w:p>
        </w:tc>
        <w:tc>
          <w:tcPr>
            <w:tcW w:w="58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0F6A0CA6"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r w:rsidRPr="00356AF3">
              <w:rPr>
                <w:bCs w:val="0"/>
                <w:sz w:val="18"/>
                <w:szCs w:val="18"/>
              </w:rPr>
              <w:t>Project lead (and delivery partners)</w:t>
            </w:r>
          </w:p>
        </w:tc>
        <w:tc>
          <w:tcPr>
            <w:tcW w:w="845"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7866E12"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Indicative timescale</w:t>
            </w:r>
          </w:p>
        </w:tc>
        <w:tc>
          <w:tcPr>
            <w:tcW w:w="310"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A3CB4FA"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Total cost (indicative)</w:t>
            </w:r>
          </w:p>
        </w:tc>
        <w:tc>
          <w:tcPr>
            <w:tcW w:w="246"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1F53D9BC"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Total funding available</w:t>
            </w:r>
          </w:p>
        </w:tc>
        <w:tc>
          <w:tcPr>
            <w:tcW w:w="231"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6D977CC2"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8"/>
              </w:rPr>
            </w:pPr>
            <w:r w:rsidRPr="00356AF3">
              <w:rPr>
                <w:sz w:val="18"/>
                <w:szCs w:val="18"/>
              </w:rPr>
              <w:t>Funding gap</w:t>
            </w:r>
          </w:p>
        </w:tc>
        <w:tc>
          <w:tcPr>
            <w:tcW w:w="355" w:type="pct"/>
            <w:vMerge w:val="restart"/>
            <w:tcBorders>
              <w:top w:val="single" w:sz="4" w:space="0" w:color="FFFFFF" w:themeColor="background1"/>
              <w:left w:val="single" w:sz="4" w:space="0" w:color="FFFFFF" w:themeColor="background1"/>
              <w:right w:val="nil"/>
            </w:tcBorders>
            <w:shd w:val="clear" w:color="auto" w:fill="002060"/>
          </w:tcPr>
          <w:p w14:paraId="2410106E"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Prioritisation</w:t>
            </w:r>
          </w:p>
          <w:p w14:paraId="00E33BD4"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(3) Critical</w:t>
            </w:r>
          </w:p>
          <w:p w14:paraId="405F7791"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(2) Essential</w:t>
            </w:r>
          </w:p>
          <w:p w14:paraId="7012DD79"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356AF3">
              <w:rPr>
                <w:sz w:val="18"/>
                <w:szCs w:val="18"/>
              </w:rPr>
              <w:t>(1) Important</w:t>
            </w:r>
          </w:p>
        </w:tc>
      </w:tr>
      <w:tr w:rsidR="00CD1374" w:rsidRPr="004400BC" w14:paraId="48037357"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A87C363" w14:textId="77777777" w:rsidR="00E67CD7" w:rsidRPr="00356AF3" w:rsidRDefault="00E67CD7" w:rsidP="00CE5053">
            <w:pPr>
              <w:spacing w:before="40" w:after="40"/>
              <w:rPr>
                <w:sz w:val="18"/>
                <w:szCs w:val="18"/>
              </w:rPr>
            </w:pPr>
          </w:p>
        </w:tc>
        <w:tc>
          <w:tcPr>
            <w:tcW w:w="425"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DF9E10C"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143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2A243E61"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p>
        </w:tc>
        <w:tc>
          <w:tcPr>
            <w:tcW w:w="584"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3D98CF8"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8"/>
              </w:rPr>
            </w:pPr>
          </w:p>
        </w:tc>
        <w:tc>
          <w:tcPr>
            <w:tcW w:w="2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4E04521"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2020/25</w:t>
            </w:r>
          </w:p>
        </w:tc>
        <w:tc>
          <w:tcPr>
            <w:tcW w:w="2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16A9862"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2025/30</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115F061"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2030/35</w:t>
            </w: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AC9684C"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8"/>
              </w:rPr>
            </w:pPr>
            <w:r w:rsidRPr="00356AF3">
              <w:rPr>
                <w:b w:val="0"/>
                <w:sz w:val="16"/>
                <w:szCs w:val="18"/>
              </w:rPr>
              <w:t>2035/40</w:t>
            </w:r>
          </w:p>
        </w:tc>
        <w:tc>
          <w:tcPr>
            <w:tcW w:w="310"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75C32BFB"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246"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0662AD45"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231"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757622BD"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c>
          <w:tcPr>
            <w:tcW w:w="355" w:type="pct"/>
            <w:vMerge/>
            <w:tcBorders>
              <w:left w:val="single" w:sz="4" w:space="0" w:color="FFFFFF" w:themeColor="background1"/>
              <w:bottom w:val="single" w:sz="4" w:space="0" w:color="FFFFFF" w:themeColor="background1"/>
              <w:right w:val="nil"/>
            </w:tcBorders>
            <w:shd w:val="clear" w:color="auto" w:fill="333399"/>
          </w:tcPr>
          <w:p w14:paraId="6D72DC9D" w14:textId="77777777" w:rsidR="00E67CD7" w:rsidRPr="00356AF3" w:rsidRDefault="00E67CD7"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8"/>
              </w:rPr>
            </w:pPr>
          </w:p>
        </w:tc>
      </w:tr>
      <w:tr w:rsidR="00720AE1" w:rsidRPr="004400BC" w14:paraId="07FB2E01"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A13EFF" w14:textId="77777777" w:rsidR="00720AE1" w:rsidRPr="00356AF3" w:rsidRDefault="00720AE1" w:rsidP="00CE5053">
            <w:pPr>
              <w:spacing w:before="40" w:after="40"/>
              <w:rPr>
                <w:sz w:val="18"/>
                <w:szCs w:val="18"/>
              </w:rPr>
            </w:pPr>
            <w:r>
              <w:rPr>
                <w:sz w:val="18"/>
                <w:szCs w:val="18"/>
              </w:rPr>
              <w:t>Investment in parks, pocket parks, and small open spaces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A3FA27"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Various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D3F3C9"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Target and deliver investment to parks, pocket parks, and small open spaces that have been classified in the Open Space Assessment (2019) as being in ‘poor’ or ‘fair’ condition.</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1D57EC"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LB Lewisham</w:t>
            </w:r>
          </w:p>
        </w:tc>
        <w:tc>
          <w:tcPr>
            <w:tcW w:w="2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30508C"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X</w:t>
            </w:r>
          </w:p>
        </w:tc>
        <w:tc>
          <w:tcPr>
            <w:tcW w:w="2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7AB001"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9B25BB"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ACA320"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D364CA"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98C71C"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£54k</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AF64E1"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965A47"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r>
      <w:tr w:rsidR="00720AE1" w:rsidRPr="004400BC" w14:paraId="7A96B5B4" w14:textId="77777777" w:rsidTr="009B51BF">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6BC747" w14:textId="77777777" w:rsidR="00720AE1" w:rsidRDefault="00720AE1" w:rsidP="00CE5053">
            <w:pPr>
              <w:spacing w:before="40" w:after="40"/>
              <w:rPr>
                <w:sz w:val="18"/>
                <w:szCs w:val="18"/>
              </w:rPr>
            </w:pPr>
            <w:r>
              <w:rPr>
                <w:sz w:val="18"/>
                <w:szCs w:val="18"/>
              </w:rPr>
              <w:t>Deliver ‘Greening Fund’ projects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E0C0A7" w14:textId="77777777" w:rsidR="00720AE1"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Various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8609FB" w14:textId="77777777" w:rsidR="00720AE1"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w:t>
            </w:r>
            <w:r w:rsidRPr="00720AE1">
              <w:rPr>
                <w:sz w:val="18"/>
                <w:szCs w:val="18"/>
              </w:rPr>
              <w:t>ork in partnership with park user ‘friends’ groups, Local Assemblies, Neighbourhood Forums, the Lewisham Biodiversity Partnership and Allotment Committees to deliver the ‘Greening Fund’ and other grants and initiatives to provide additional facilities and make improvements to parks and open spaces</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60274B" w14:textId="77777777" w:rsidR="00720AE1"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LB Lewisham, Lewisham Biodiversity Partnership</w:t>
            </w:r>
          </w:p>
        </w:tc>
        <w:tc>
          <w:tcPr>
            <w:tcW w:w="2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3D9F2D" w14:textId="77777777" w:rsidR="00720AE1"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c>
          <w:tcPr>
            <w:tcW w:w="2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DBAC7D" w14:textId="77777777" w:rsidR="00720AE1"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1B5C7B" w14:textId="77777777" w:rsidR="00720AE1" w:rsidRPr="00356AF3"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35CF86" w14:textId="77777777" w:rsidR="00720AE1" w:rsidRPr="00356AF3"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4954EC" w14:textId="77777777" w:rsidR="00720AE1" w:rsidRPr="00356AF3"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A8210F" w14:textId="77777777" w:rsidR="00720AE1"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57C1CD" w14:textId="77777777" w:rsidR="00720AE1" w:rsidRPr="00356AF3"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1F3AB7" w14:textId="77777777" w:rsidR="00720AE1" w:rsidRPr="00356AF3"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720AE1" w:rsidRPr="004400BC" w14:paraId="46876060"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560096" w14:textId="77777777" w:rsidR="00720AE1" w:rsidRDefault="00720AE1" w:rsidP="00CE5053">
            <w:pPr>
              <w:spacing w:before="40" w:after="40"/>
              <w:rPr>
                <w:sz w:val="18"/>
                <w:szCs w:val="18"/>
              </w:rPr>
            </w:pPr>
            <w:r>
              <w:rPr>
                <w:sz w:val="18"/>
                <w:szCs w:val="18"/>
              </w:rPr>
              <w:t>Healthy Neighbourhoods initiatives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669F85" w14:textId="77777777" w:rsidR="00720AE1"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Various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DF5B75" w14:textId="77777777" w:rsidR="00720AE1"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Seek to improve green corridors and access to open spaces in partnership with Healthy Neighbourhoods programmes.</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4AEBB7" w14:textId="77777777" w:rsidR="00720AE1"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LB Lewisham</w:t>
            </w:r>
          </w:p>
        </w:tc>
        <w:tc>
          <w:tcPr>
            <w:tcW w:w="2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6781AC" w14:textId="77777777" w:rsidR="00720AE1"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c>
          <w:tcPr>
            <w:tcW w:w="2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09DA9F" w14:textId="77777777" w:rsidR="00720AE1"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CEC12B"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DD416C"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FCB936"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2A0B45" w14:textId="77777777" w:rsidR="00720AE1"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40F9"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507054"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r>
      <w:tr w:rsidR="00720AE1" w:rsidRPr="004400BC" w14:paraId="309E72BF" w14:textId="77777777" w:rsidTr="009B51BF">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F85D97" w14:textId="77777777" w:rsidR="00720AE1" w:rsidRDefault="00720AE1" w:rsidP="00CE5053">
            <w:pPr>
              <w:spacing w:before="40" w:after="40"/>
              <w:rPr>
                <w:sz w:val="18"/>
                <w:szCs w:val="18"/>
              </w:rPr>
            </w:pPr>
            <w:r>
              <w:rPr>
                <w:sz w:val="18"/>
                <w:szCs w:val="18"/>
              </w:rPr>
              <w:t>Green linkages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BB7D56" w14:textId="77777777" w:rsidR="00720AE1"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Deptford</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4CC285" w14:textId="77777777" w:rsidR="00720AE1"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20AE1">
              <w:rPr>
                <w:sz w:val="18"/>
                <w:szCs w:val="18"/>
              </w:rPr>
              <w:t>Deptford Parks Liveable Neighbourhood (DPLN) – new greening areas on Rolt Street, Scawen Road and Woodpecker Road following community engagement</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A5C07B" w14:textId="77777777" w:rsidR="00720AE1"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LB Lewisham</w:t>
            </w:r>
          </w:p>
        </w:tc>
        <w:tc>
          <w:tcPr>
            <w:tcW w:w="2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AF12C4" w14:textId="77777777" w:rsidR="00720AE1"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c>
          <w:tcPr>
            <w:tcW w:w="2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C0D4CB" w14:textId="77777777" w:rsidR="00720AE1"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482F3C" w14:textId="77777777" w:rsidR="00720AE1" w:rsidRPr="00356AF3"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5937F9" w14:textId="77777777" w:rsidR="00720AE1" w:rsidRPr="00356AF3"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0431D9" w14:textId="77777777" w:rsidR="00720AE1" w:rsidRPr="00356AF3" w:rsidRDefault="00712B8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£2.9m</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FBBDA0" w14:textId="77777777" w:rsidR="00720AE1" w:rsidRDefault="00712B8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£1.5m</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AE3D2C" w14:textId="77777777" w:rsidR="00720AE1" w:rsidRPr="00356AF3" w:rsidRDefault="00712B8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£1.4m</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95336A" w14:textId="77777777" w:rsidR="00720AE1" w:rsidRPr="00356AF3" w:rsidRDefault="00720AE1"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720AE1" w:rsidRPr="004400BC" w14:paraId="1E2EC1B9"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CCFD3C" w14:textId="77777777" w:rsidR="00720AE1" w:rsidRPr="00356AF3" w:rsidRDefault="009B51BF" w:rsidP="00CE5053">
            <w:pPr>
              <w:spacing w:before="40" w:after="40"/>
              <w:rPr>
                <w:sz w:val="18"/>
                <w:szCs w:val="18"/>
              </w:rPr>
            </w:pPr>
            <w:r>
              <w:rPr>
                <w:sz w:val="18"/>
                <w:szCs w:val="18"/>
              </w:rPr>
              <w:t>River</w:t>
            </w:r>
            <w:r w:rsidR="00927552">
              <w:rPr>
                <w:sz w:val="18"/>
                <w:szCs w:val="18"/>
              </w:rPr>
              <w:t xml:space="preserve"> water quality improvements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336FA9" w14:textId="77777777" w:rsidR="00720AE1" w:rsidRPr="00356AF3" w:rsidRDefault="0092755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7552">
              <w:rPr>
                <w:sz w:val="18"/>
                <w:szCs w:val="18"/>
              </w:rPr>
              <w:t xml:space="preserve">Ravensbourne, Pool and Quaggy </w:t>
            </w:r>
            <w:r>
              <w:rPr>
                <w:sz w:val="18"/>
                <w:szCs w:val="18"/>
              </w:rPr>
              <w:t>R</w:t>
            </w:r>
            <w:r w:rsidRPr="00927552">
              <w:rPr>
                <w:sz w:val="18"/>
                <w:szCs w:val="18"/>
              </w:rPr>
              <w:t>ivers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3C459C" w14:textId="77777777" w:rsidR="00720AE1" w:rsidRPr="00356AF3" w:rsidRDefault="0092755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7552">
              <w:rPr>
                <w:sz w:val="18"/>
                <w:szCs w:val="18"/>
              </w:rPr>
              <w:t>Work in partnership with the Ravensbourne Catchment Improvement Group to identify projects that will enhance the biological quality of the rivers and river corridors</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F26EDAF" w14:textId="77777777" w:rsidR="00720AE1" w:rsidRPr="00356AF3" w:rsidRDefault="0092755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LB Lewisham, Lewisham Biodiversity Partnership</w:t>
            </w:r>
          </w:p>
        </w:tc>
        <w:tc>
          <w:tcPr>
            <w:tcW w:w="2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46DF5C" w14:textId="77777777" w:rsidR="00720AE1" w:rsidRPr="00356AF3" w:rsidRDefault="0092755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c>
          <w:tcPr>
            <w:tcW w:w="2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FAE3EA"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282F13"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AF947F" w14:textId="77777777" w:rsidR="00720AE1" w:rsidRPr="00356AF3" w:rsidRDefault="00720AE1"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DCD374" w14:textId="77777777" w:rsidR="00720AE1" w:rsidRPr="00356AF3" w:rsidRDefault="0092755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7CE726" w14:textId="77777777" w:rsidR="00720AE1" w:rsidRPr="00356AF3" w:rsidRDefault="0092755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C4DB6F" w14:textId="77777777" w:rsidR="00720AE1" w:rsidRPr="00356AF3" w:rsidRDefault="0092755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CBABF6" w14:textId="77777777" w:rsidR="00720AE1" w:rsidRPr="00356AF3" w:rsidRDefault="0092755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r>
      <w:tr w:rsidR="009B51BF" w:rsidRPr="004400BC" w14:paraId="4D83EE55" w14:textId="77777777" w:rsidTr="009B51BF">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80A4A3" w14:textId="77777777" w:rsidR="009B51BF" w:rsidRPr="00356AF3" w:rsidRDefault="009B51BF" w:rsidP="00CE5053">
            <w:pPr>
              <w:spacing w:before="40" w:after="40"/>
              <w:rPr>
                <w:sz w:val="18"/>
                <w:szCs w:val="18"/>
              </w:rPr>
            </w:pPr>
            <w:r w:rsidRPr="00356AF3">
              <w:rPr>
                <w:sz w:val="18"/>
                <w:szCs w:val="18"/>
              </w:rPr>
              <w:t>Beckenham Place Park improvements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0700F8"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Beckenham Place Park</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92531F" w14:textId="77777777" w:rsidR="009B51BF" w:rsidRPr="00356AF3"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bCs/>
                <w:sz w:val="18"/>
                <w:szCs w:val="18"/>
              </w:rPr>
            </w:pPr>
            <w:r w:rsidRPr="00356AF3">
              <w:rPr>
                <w:bCs/>
                <w:sz w:val="18"/>
                <w:szCs w:val="18"/>
              </w:rPr>
              <w:t>Planned works at Beckenham Place Park, including restoration of the lake and wet woodland habitat, relocation of car park and restoration of external landscape, restoration of homestead, new orchard and community planting beds, creation of adventure playground, and play area, upgrades to footpath and entrances</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F723A3" w14:textId="77777777" w:rsidR="009B51BF" w:rsidRPr="00927552"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bCs/>
                <w:sz w:val="18"/>
                <w:szCs w:val="18"/>
              </w:rPr>
            </w:pPr>
            <w:r w:rsidRPr="00927552">
              <w:rPr>
                <w:bCs/>
                <w:sz w:val="18"/>
                <w:szCs w:val="18"/>
              </w:rPr>
              <w:t>LB Lewisham</w:t>
            </w:r>
          </w:p>
        </w:tc>
        <w:tc>
          <w:tcPr>
            <w:tcW w:w="2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EA8488" w14:textId="77777777" w:rsidR="009B51BF" w:rsidRPr="00927552"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27552">
              <w:rPr>
                <w:sz w:val="18"/>
                <w:szCs w:val="18"/>
              </w:rPr>
              <w:t>X</w:t>
            </w:r>
          </w:p>
        </w:tc>
        <w:tc>
          <w:tcPr>
            <w:tcW w:w="2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417E4C" w14:textId="77777777" w:rsidR="009B51BF" w:rsidRPr="00927552"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27552">
              <w:rPr>
                <w:sz w:val="18"/>
                <w:szCs w:val="18"/>
              </w:rPr>
              <w:t>X</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ECD459" w14:textId="77777777" w:rsidR="009B51BF" w:rsidRPr="00927552"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C59BF1" w14:textId="77777777" w:rsidR="009B51BF" w:rsidRPr="00927552"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78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502EE2" w14:textId="77777777" w:rsidR="009B51BF" w:rsidRPr="00927552"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27552">
              <w:rPr>
                <w:sz w:val="18"/>
                <w:szCs w:val="18"/>
              </w:rPr>
              <w:t>Funding identified</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A80843" w14:textId="77777777" w:rsidR="009B51BF" w:rsidRPr="00927552" w:rsidRDefault="009B51B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E67CD7" w:rsidRPr="004400BC" w14:paraId="4D336745"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21AAAC" w14:textId="77777777" w:rsidR="00E67CD7" w:rsidRPr="00356AF3" w:rsidRDefault="003A1CFB" w:rsidP="00CE5053">
            <w:pPr>
              <w:spacing w:before="40" w:after="40"/>
              <w:rPr>
                <w:sz w:val="18"/>
                <w:szCs w:val="18"/>
              </w:rPr>
            </w:pPr>
            <w:r>
              <w:rPr>
                <w:sz w:val="18"/>
                <w:szCs w:val="18"/>
              </w:rPr>
              <w:t>Naturalisation of waterways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FAB4AC" w14:textId="77777777" w:rsidR="00E67CD7" w:rsidRPr="00356AF3" w:rsidRDefault="003A1CF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Various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C4E335F" w14:textId="77777777" w:rsidR="00E67CD7" w:rsidRPr="00927552" w:rsidRDefault="00E67CD7"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27552">
              <w:rPr>
                <w:sz w:val="18"/>
                <w:szCs w:val="18"/>
              </w:rPr>
              <w:t>Naturalisation of culverted waterways for habitat restoration in line with redevelopment of sites along existing water bodies. Examples include Wickes and Halfords, Grove Park, Bell Green Retail Park.</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D6F980" w14:textId="77777777" w:rsidR="00E67CD7" w:rsidRPr="00927552" w:rsidRDefault="003A1CF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Various</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3EB603" w14:textId="77777777" w:rsidR="00E67CD7" w:rsidRPr="00927552" w:rsidRDefault="003A1CF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c>
          <w:tcPr>
            <w:tcW w:w="20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74860F" w14:textId="77777777" w:rsidR="00E67CD7" w:rsidRPr="00927552" w:rsidRDefault="003A1CF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143C64" w14:textId="77777777" w:rsidR="00E67CD7" w:rsidRPr="00927552" w:rsidRDefault="003A1CF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431851" w14:textId="77777777" w:rsidR="00E67CD7" w:rsidRPr="00927552" w:rsidRDefault="003A1CF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B2857E" w14:textId="77777777" w:rsidR="00E67CD7" w:rsidRPr="00927552" w:rsidRDefault="003A1CF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BEEE5F" w14:textId="77777777" w:rsidR="00E67CD7" w:rsidRPr="00927552" w:rsidRDefault="003A1CF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04702A" w14:textId="77777777" w:rsidR="00E67CD7" w:rsidRPr="00927552" w:rsidRDefault="003A1CF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A66D29" w14:textId="77777777" w:rsidR="00E67CD7" w:rsidRPr="00927552" w:rsidRDefault="003A1CF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r>
      <w:tr w:rsidR="00E67CD7" w:rsidRPr="004400BC" w14:paraId="2E5CCAEC" w14:textId="77777777" w:rsidTr="009B51BF">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2416BE" w14:textId="77777777" w:rsidR="00E67CD7" w:rsidRPr="00356AF3" w:rsidRDefault="00E67CD7" w:rsidP="00CE5053">
            <w:pPr>
              <w:spacing w:before="40" w:after="40"/>
              <w:rPr>
                <w:sz w:val="18"/>
                <w:szCs w:val="18"/>
              </w:rPr>
            </w:pPr>
            <w:r w:rsidRPr="00356AF3">
              <w:rPr>
                <w:sz w:val="18"/>
                <w:szCs w:val="18"/>
              </w:rPr>
              <w:t>River Corridors Improvement Plan</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3CA6DF" w14:textId="77777777" w:rsidR="00E67CD7" w:rsidRPr="00356AF3" w:rsidRDefault="00E67CD7"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Various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AA1E807" w14:textId="77777777" w:rsidR="00E67CD7" w:rsidRPr="00356AF3" w:rsidRDefault="00E67CD7"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bCs/>
                <w:sz w:val="18"/>
                <w:szCs w:val="18"/>
              </w:rPr>
              <w:t>Implementation of the council’s River Corridors Improvement Plan, including works to support the protection and enhancement of river corridors and surrounding settings, to provide conditions for wildlife habitats to flourish, manage flood risk, and deliver enhancements to the Public Rights of Way Network.</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F5D73B" w14:textId="77777777" w:rsidR="00E67CD7" w:rsidRPr="00356AF3" w:rsidRDefault="00163AD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LB Lewisham, Lewisham Biodiversity Partnership</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A2831B" w14:textId="77777777" w:rsidR="00E67CD7" w:rsidRPr="00356AF3" w:rsidRDefault="00163AD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c>
          <w:tcPr>
            <w:tcW w:w="20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34B943" w14:textId="77777777" w:rsidR="00E67CD7" w:rsidRPr="00356AF3" w:rsidRDefault="00163AD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962885" w14:textId="77777777" w:rsidR="00E67CD7" w:rsidRPr="00356AF3" w:rsidRDefault="00E67CD7"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9D64D9" w14:textId="77777777" w:rsidR="00E67CD7" w:rsidRPr="00356AF3" w:rsidRDefault="00E67CD7"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906EF8" w14:textId="77777777" w:rsidR="00E67CD7" w:rsidRPr="00356AF3" w:rsidRDefault="00163AD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C022F5" w14:textId="77777777" w:rsidR="00E67CD7" w:rsidRPr="00356AF3" w:rsidRDefault="00163AD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F8187F" w14:textId="77777777" w:rsidR="00E67CD7" w:rsidRPr="00356AF3" w:rsidRDefault="00E67CD7"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74E532" w14:textId="77777777" w:rsidR="00E67CD7" w:rsidRPr="00356AF3" w:rsidRDefault="00163AD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E67CD7" w:rsidRPr="004400BC" w14:paraId="112CB3C4"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0FE92D" w14:textId="77777777" w:rsidR="00E67CD7" w:rsidRPr="00356AF3" w:rsidRDefault="00163AD9" w:rsidP="00CE5053">
            <w:pPr>
              <w:spacing w:before="40" w:after="40"/>
              <w:rPr>
                <w:sz w:val="18"/>
                <w:szCs w:val="18"/>
              </w:rPr>
            </w:pPr>
            <w:r>
              <w:rPr>
                <w:sz w:val="18"/>
                <w:szCs w:val="18"/>
              </w:rPr>
              <w:t>Allotment amenity improvements</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96AC98" w14:textId="77777777" w:rsidR="00E67CD7" w:rsidRPr="00356AF3" w:rsidRDefault="00163AD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Various</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D60F95F" w14:textId="77777777" w:rsidR="00E67CD7" w:rsidRPr="00356AF3" w:rsidRDefault="00163AD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bCs/>
                <w:sz w:val="18"/>
                <w:szCs w:val="18"/>
              </w:rPr>
              <w:t xml:space="preserve">Investment in existing allotment sites to improve access and amenity to users, including: </w:t>
            </w:r>
            <w:r w:rsidRPr="00163AD9">
              <w:rPr>
                <w:bCs/>
                <w:sz w:val="18"/>
                <w:szCs w:val="18"/>
              </w:rPr>
              <w:t>safety and security of allotment boundaries</w:t>
            </w:r>
            <w:r>
              <w:rPr>
                <w:bCs/>
                <w:sz w:val="18"/>
                <w:szCs w:val="18"/>
              </w:rPr>
              <w:t>; c</w:t>
            </w:r>
            <w:r w:rsidRPr="00163AD9">
              <w:rPr>
                <w:bCs/>
                <w:sz w:val="18"/>
                <w:szCs w:val="18"/>
              </w:rPr>
              <w:t>omposting toilets</w:t>
            </w:r>
            <w:r>
              <w:rPr>
                <w:bCs/>
                <w:sz w:val="18"/>
                <w:szCs w:val="18"/>
              </w:rPr>
              <w:t>; pathway resurfacing; u</w:t>
            </w:r>
            <w:r w:rsidRPr="00163AD9">
              <w:rPr>
                <w:bCs/>
                <w:sz w:val="18"/>
                <w:szCs w:val="18"/>
              </w:rPr>
              <w:t>pgrading or installation of water systems</w:t>
            </w:r>
            <w:r>
              <w:rPr>
                <w:bCs/>
                <w:sz w:val="18"/>
                <w:szCs w:val="18"/>
              </w:rPr>
              <w:t>.</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396E68" w14:textId="77777777" w:rsidR="00E67CD7" w:rsidRPr="00356AF3" w:rsidRDefault="00163AD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LB Lewisham</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F4E499" w14:textId="77777777" w:rsidR="00E67CD7" w:rsidRPr="00356AF3" w:rsidRDefault="00163AD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c>
          <w:tcPr>
            <w:tcW w:w="20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3EFFB0" w14:textId="77777777" w:rsidR="00E67CD7" w:rsidRPr="00356AF3" w:rsidRDefault="00163AD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E0584D" w14:textId="77777777" w:rsidR="00E67CD7" w:rsidRPr="00356AF3" w:rsidRDefault="00E67CD7"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B1A27E" w14:textId="77777777" w:rsidR="00E67CD7" w:rsidRPr="00356AF3" w:rsidRDefault="00E67CD7"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C91C4F" w14:textId="77777777" w:rsidR="00E67CD7" w:rsidRPr="00356AF3" w:rsidRDefault="00163AD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EE47E6" w14:textId="77777777" w:rsidR="00E67CD7" w:rsidRPr="00356AF3" w:rsidRDefault="00163AD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106994" w14:textId="77777777" w:rsidR="00E67CD7" w:rsidRPr="00356AF3" w:rsidRDefault="00163AD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E14F55" w14:textId="77777777" w:rsidR="00E67CD7" w:rsidRPr="00356AF3" w:rsidRDefault="00163AD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r>
      <w:tr w:rsidR="007244C2" w:rsidRPr="004400BC" w14:paraId="40FA140F" w14:textId="77777777" w:rsidTr="009B51BF">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72AF8D" w14:textId="77777777" w:rsidR="007244C2" w:rsidRDefault="007244C2" w:rsidP="00CE5053">
            <w:pPr>
              <w:spacing w:before="40" w:after="40"/>
              <w:rPr>
                <w:sz w:val="18"/>
                <w:szCs w:val="18"/>
              </w:rPr>
            </w:pPr>
            <w:r w:rsidRPr="00356AF3">
              <w:rPr>
                <w:sz w:val="18"/>
                <w:szCs w:val="18"/>
              </w:rPr>
              <w:t>Brockley Cemetery expansion</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7B66B1"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Brockley</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FF6E39"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bCs/>
                <w:sz w:val="18"/>
                <w:szCs w:val="18"/>
              </w:rPr>
            </w:pPr>
            <w:r w:rsidRPr="00356AF3">
              <w:rPr>
                <w:sz w:val="18"/>
                <w:szCs w:val="18"/>
              </w:rPr>
              <w:t>Excavation and site works to prepare site to accommodate approximately 100</w:t>
            </w:r>
            <w:r>
              <w:rPr>
                <w:sz w:val="18"/>
                <w:szCs w:val="18"/>
              </w:rPr>
              <w:t xml:space="preserve"> new</w:t>
            </w:r>
            <w:r w:rsidRPr="00356AF3">
              <w:rPr>
                <w:sz w:val="18"/>
                <w:szCs w:val="18"/>
              </w:rPr>
              <w:t xml:space="preserve"> burial spaces.</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6BD133"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LB Lewisham</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4A4CC3"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X</w:t>
            </w:r>
          </w:p>
        </w:tc>
        <w:tc>
          <w:tcPr>
            <w:tcW w:w="20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8B125C"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C60458" w14:textId="77777777" w:rsidR="007244C2" w:rsidRPr="00356AF3"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67F419" w14:textId="77777777" w:rsidR="007244C2" w:rsidRPr="00356AF3"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87808C"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9AC283"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£6.6k</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45445E"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470A0D"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7244C2" w:rsidRPr="004400BC" w14:paraId="0483EF5E"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1A0608" w14:textId="77777777" w:rsidR="007244C2" w:rsidRDefault="007244C2" w:rsidP="00CE5053">
            <w:pPr>
              <w:spacing w:before="40" w:after="40"/>
              <w:rPr>
                <w:sz w:val="18"/>
                <w:szCs w:val="18"/>
              </w:rPr>
            </w:pPr>
            <w:r w:rsidRPr="00356AF3">
              <w:rPr>
                <w:sz w:val="18"/>
                <w:szCs w:val="18"/>
              </w:rPr>
              <w:t>Grove Park Cemetery</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43D46E" w14:textId="77777777" w:rsidR="007244C2"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Grove Park</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86E587" w14:textId="77777777" w:rsidR="007244C2"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bCs/>
                <w:sz w:val="18"/>
                <w:szCs w:val="18"/>
              </w:rPr>
            </w:pPr>
            <w:r w:rsidRPr="00356AF3">
              <w:rPr>
                <w:sz w:val="18"/>
                <w:szCs w:val="18"/>
              </w:rPr>
              <w:t>Site works to prepare site to accommodate approximately 900 new burial spaces.</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4CFDE8" w14:textId="77777777" w:rsidR="007244C2"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LB Lewisham</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3C720A" w14:textId="77777777" w:rsidR="007244C2"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X</w:t>
            </w:r>
          </w:p>
        </w:tc>
        <w:tc>
          <w:tcPr>
            <w:tcW w:w="20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07325F" w14:textId="77777777" w:rsidR="007244C2"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3AE7F5" w14:textId="77777777" w:rsidR="007244C2" w:rsidRPr="00356AF3"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8F65D8" w14:textId="77777777" w:rsidR="007244C2" w:rsidRPr="00356AF3"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F8C0C9" w14:textId="77777777" w:rsidR="007244C2"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sz w:val="18"/>
                <w:szCs w:val="18"/>
              </w:rPr>
              <w:t>£60k</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222329" w14:textId="77777777" w:rsidR="007244C2"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£10k</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32DC89" w14:textId="77777777" w:rsidR="007244C2"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£50k</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8E35E1" w14:textId="77777777" w:rsidR="007244C2"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r>
      <w:tr w:rsidR="007244C2" w:rsidRPr="004400BC" w14:paraId="0E5170C7" w14:textId="77777777" w:rsidTr="009B51BF">
        <w:tc>
          <w:tcPr>
            <w:cnfStyle w:val="001000000000" w:firstRow="0" w:lastRow="0" w:firstColumn="1" w:lastColumn="0" w:oddVBand="0" w:evenVBand="0" w:oddHBand="0" w:evenHBand="0" w:firstRowFirstColumn="0" w:firstRowLastColumn="0" w:lastRowFirstColumn="0" w:lastRowLastColumn="0"/>
            <w:tcW w:w="5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A745E6" w14:textId="77777777" w:rsidR="007244C2" w:rsidRDefault="007244C2" w:rsidP="00CE5053">
            <w:pPr>
              <w:spacing w:before="40" w:after="40"/>
              <w:rPr>
                <w:sz w:val="18"/>
                <w:szCs w:val="18"/>
              </w:rPr>
            </w:pPr>
            <w:r w:rsidRPr="00356AF3">
              <w:rPr>
                <w:sz w:val="18"/>
                <w:szCs w:val="18"/>
              </w:rPr>
              <w:t>Hither Green Cemetery</w:t>
            </w:r>
          </w:p>
        </w:tc>
        <w:tc>
          <w:tcPr>
            <w:tcW w:w="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CE8D51"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Hither Green</w:t>
            </w: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4A8CB1"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bCs/>
                <w:sz w:val="18"/>
                <w:szCs w:val="18"/>
              </w:rPr>
            </w:pPr>
            <w:r>
              <w:rPr>
                <w:sz w:val="18"/>
                <w:szCs w:val="18"/>
              </w:rPr>
              <w:t>Upgrade to pathways to provide safe access for all users, including people with additional mobility requirements, and removal of redundant paths to accommodate approximately 420 new burial spaces.</w:t>
            </w:r>
          </w:p>
        </w:tc>
        <w:tc>
          <w:tcPr>
            <w:tcW w:w="5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8ECC3F"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56AF3">
              <w:rPr>
                <w:sz w:val="18"/>
                <w:szCs w:val="18"/>
              </w:rPr>
              <w:t>LB Lewisham</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135B71"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c>
          <w:tcPr>
            <w:tcW w:w="20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0FA7C8"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A5953D" w14:textId="77777777" w:rsidR="007244C2" w:rsidRPr="00356AF3"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07BD89" w14:textId="77777777" w:rsidR="007244C2" w:rsidRPr="00356AF3"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DE93A2"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EFB6AF"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£15k</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15E28B"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F4B1BB" w14:textId="77777777" w:rsidR="007244C2" w:rsidRDefault="007244C2"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E67CD7" w:rsidRPr="004400BC" w14:paraId="0673ADA3" w14:textId="77777777" w:rsidTr="0016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FE3489" w14:textId="77777777" w:rsidR="00E67CD7" w:rsidRPr="00356AF3" w:rsidRDefault="00E67CD7" w:rsidP="00CE5053">
            <w:pPr>
              <w:spacing w:before="40" w:after="40"/>
              <w:rPr>
                <w:sz w:val="18"/>
                <w:szCs w:val="18"/>
              </w:rPr>
            </w:pPr>
          </w:p>
        </w:tc>
        <w:tc>
          <w:tcPr>
            <w:tcW w:w="4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01A4C7" w14:textId="77777777" w:rsidR="00E67CD7" w:rsidRPr="00356AF3" w:rsidRDefault="00E67CD7"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56AF3">
              <w:rPr>
                <w:b/>
                <w:sz w:val="18"/>
                <w:szCs w:val="18"/>
              </w:rPr>
              <w:t>Sub-total</w:t>
            </w:r>
          </w:p>
        </w:tc>
        <w:tc>
          <w:tcPr>
            <w:tcW w:w="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20EDEBB" w14:textId="77777777" w:rsidR="00E67CD7" w:rsidRPr="00356AF3"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£60k</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9422198" w14:textId="77777777" w:rsidR="00E67CD7" w:rsidRPr="00356AF3" w:rsidRDefault="00163AD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7244C2">
              <w:rPr>
                <w:sz w:val="18"/>
                <w:szCs w:val="18"/>
              </w:rPr>
              <w:t>85.6k</w:t>
            </w:r>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2B5A64E" w14:textId="77777777" w:rsidR="00E67CD7" w:rsidRPr="00356AF3" w:rsidRDefault="007244C2"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£50k</w:t>
            </w:r>
          </w:p>
        </w:tc>
        <w:tc>
          <w:tcPr>
            <w:tcW w:w="3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2B8818E" w14:textId="77777777" w:rsidR="00E67CD7" w:rsidRPr="00356AF3" w:rsidRDefault="00E67CD7" w:rsidP="00CE5053">
            <w:pPr>
              <w:spacing w:before="40" w:after="40"/>
              <w:cnfStyle w:val="000000100000" w:firstRow="0" w:lastRow="0" w:firstColumn="0" w:lastColumn="0" w:oddVBand="0" w:evenVBand="0" w:oddHBand="1" w:evenHBand="0" w:firstRowFirstColumn="0" w:firstRowLastColumn="0" w:lastRowFirstColumn="0" w:lastRowLastColumn="0"/>
              <w:rPr>
                <w:b/>
                <w:sz w:val="18"/>
                <w:szCs w:val="18"/>
              </w:rPr>
            </w:pPr>
          </w:p>
        </w:tc>
      </w:tr>
    </w:tbl>
    <w:p w14:paraId="2A3FBCD1" w14:textId="77777777" w:rsidR="00E67CD7" w:rsidRDefault="00E67CD7" w:rsidP="00CE5053"/>
    <w:p w14:paraId="7EB1873D" w14:textId="77777777" w:rsidR="00E67CD7" w:rsidRPr="00FC4CC2" w:rsidRDefault="00E67CD7" w:rsidP="00CE5053"/>
    <w:p w14:paraId="4A4A9837" w14:textId="77777777" w:rsidR="00E67CD7" w:rsidRDefault="00E67CD7" w:rsidP="00CE5053">
      <w:pPr>
        <w:ind w:left="720" w:hanging="720"/>
        <w:rPr>
          <w:sz w:val="19"/>
          <w:szCs w:val="19"/>
        </w:rPr>
      </w:pPr>
    </w:p>
    <w:p w14:paraId="5624F43B" w14:textId="77777777" w:rsidR="00E67CD7" w:rsidRDefault="00E67CD7" w:rsidP="00CE5053">
      <w:pPr>
        <w:ind w:left="720" w:hanging="720"/>
        <w:rPr>
          <w:sz w:val="19"/>
          <w:szCs w:val="19"/>
        </w:rPr>
      </w:pPr>
    </w:p>
    <w:p w14:paraId="2A9F3CD3" w14:textId="77777777" w:rsidR="00E67CD7" w:rsidRDefault="00E67CD7" w:rsidP="00CE5053">
      <w:pPr>
        <w:ind w:left="720" w:hanging="720"/>
        <w:rPr>
          <w:sz w:val="19"/>
          <w:szCs w:val="19"/>
        </w:rPr>
        <w:sectPr w:rsidR="00E67CD7" w:rsidSect="007B10F6">
          <w:pgSz w:w="23814" w:h="16839" w:orient="landscape" w:code="8"/>
          <w:pgMar w:top="1440" w:right="1080" w:bottom="1440" w:left="1080" w:header="709" w:footer="709" w:gutter="0"/>
          <w:pgBorders w:offsetFrom="page">
            <w:top w:val="single" w:sz="4" w:space="24" w:color="FFFFFF" w:themeColor="background1"/>
            <w:bottom w:val="single" w:sz="4" w:space="24" w:color="FFFFFF" w:themeColor="background1"/>
          </w:pgBorders>
          <w:cols w:space="708"/>
          <w:docGrid w:linePitch="360"/>
        </w:sectPr>
      </w:pPr>
    </w:p>
    <w:p w14:paraId="66DA3A42" w14:textId="77777777" w:rsidR="00DF60C7" w:rsidRPr="00DF60C7" w:rsidRDefault="00DF60C7" w:rsidP="00CE5053">
      <w:pPr>
        <w:pStyle w:val="Heading1"/>
      </w:pPr>
      <w:bookmarkStart w:id="48" w:name="_Toc56146036"/>
      <w:r w:rsidRPr="00DF60C7">
        <w:lastRenderedPageBreak/>
        <w:t>Transport infrastructure</w:t>
      </w:r>
      <w:bookmarkEnd w:id="48"/>
    </w:p>
    <w:p w14:paraId="1385E32B" w14:textId="77777777" w:rsidR="00DF60C7" w:rsidRPr="00595E96" w:rsidRDefault="00042CA8" w:rsidP="00CE5053">
      <w:pPr>
        <w:tabs>
          <w:tab w:val="left" w:pos="720"/>
          <w:tab w:val="left" w:pos="1440"/>
          <w:tab w:val="left" w:pos="2160"/>
        </w:tabs>
        <w:spacing w:after="120"/>
        <w:ind w:left="578" w:firstLine="142"/>
        <w:rPr>
          <w:u w:val="single"/>
        </w:rPr>
      </w:pPr>
      <w:r>
        <w:rPr>
          <w:b/>
        </w:rPr>
        <w:t>Policy context</w:t>
      </w:r>
    </w:p>
    <w:p w14:paraId="6C71870F" w14:textId="77777777" w:rsidR="00893442" w:rsidRPr="00893442" w:rsidRDefault="00893442" w:rsidP="00CE5053">
      <w:pPr>
        <w:pStyle w:val="ListParagraph"/>
        <w:numPr>
          <w:ilvl w:val="0"/>
          <w:numId w:val="20"/>
        </w:numPr>
        <w:spacing w:after="240"/>
        <w:contextualSpacing w:val="0"/>
        <w:rPr>
          <w:vanish/>
        </w:rPr>
      </w:pPr>
    </w:p>
    <w:p w14:paraId="7C11E962" w14:textId="77777777" w:rsidR="00893442" w:rsidRPr="00893442" w:rsidRDefault="00893442" w:rsidP="00CE5053">
      <w:pPr>
        <w:pStyle w:val="ListParagraph"/>
        <w:numPr>
          <w:ilvl w:val="0"/>
          <w:numId w:val="20"/>
        </w:numPr>
        <w:spacing w:after="240"/>
        <w:contextualSpacing w:val="0"/>
        <w:rPr>
          <w:vanish/>
        </w:rPr>
      </w:pPr>
    </w:p>
    <w:p w14:paraId="575AB783" w14:textId="77777777" w:rsidR="00893442" w:rsidRPr="00893442" w:rsidRDefault="00893442" w:rsidP="00CE5053">
      <w:pPr>
        <w:pStyle w:val="ListParagraph"/>
        <w:numPr>
          <w:ilvl w:val="0"/>
          <w:numId w:val="20"/>
        </w:numPr>
        <w:spacing w:after="240"/>
        <w:contextualSpacing w:val="0"/>
        <w:rPr>
          <w:vanish/>
        </w:rPr>
      </w:pPr>
    </w:p>
    <w:p w14:paraId="246C2908" w14:textId="77777777" w:rsidR="00893442" w:rsidRPr="00893442" w:rsidRDefault="00893442" w:rsidP="00CE5053">
      <w:pPr>
        <w:pStyle w:val="ListParagraph"/>
        <w:numPr>
          <w:ilvl w:val="0"/>
          <w:numId w:val="20"/>
        </w:numPr>
        <w:spacing w:after="240"/>
        <w:contextualSpacing w:val="0"/>
        <w:rPr>
          <w:vanish/>
        </w:rPr>
      </w:pPr>
    </w:p>
    <w:p w14:paraId="1AA19132" w14:textId="77777777" w:rsidR="00893442" w:rsidRPr="00893442" w:rsidRDefault="00893442" w:rsidP="00CE5053">
      <w:pPr>
        <w:pStyle w:val="ListParagraph"/>
        <w:numPr>
          <w:ilvl w:val="0"/>
          <w:numId w:val="20"/>
        </w:numPr>
        <w:spacing w:after="240"/>
        <w:contextualSpacing w:val="0"/>
        <w:rPr>
          <w:vanish/>
        </w:rPr>
      </w:pPr>
    </w:p>
    <w:p w14:paraId="34C6274B" w14:textId="77777777" w:rsidR="00893442" w:rsidRDefault="00DE77CE" w:rsidP="00CE5053">
      <w:pPr>
        <w:pStyle w:val="ListParagraph"/>
        <w:numPr>
          <w:ilvl w:val="1"/>
          <w:numId w:val="20"/>
        </w:numPr>
        <w:spacing w:after="240"/>
        <w:ind w:left="737" w:hanging="737"/>
        <w:contextualSpacing w:val="0"/>
      </w:pPr>
      <w:r w:rsidRPr="00595E96">
        <w:t xml:space="preserve">The </w:t>
      </w:r>
      <w:r w:rsidR="00DF60C7" w:rsidRPr="00042CA8">
        <w:rPr>
          <w:bCs/>
        </w:rPr>
        <w:t>London Plan Policy T3</w:t>
      </w:r>
      <w:r w:rsidRPr="00042CA8">
        <w:rPr>
          <w:bCs/>
        </w:rPr>
        <w:t xml:space="preserve"> ‘</w:t>
      </w:r>
      <w:r w:rsidR="00DF60C7" w:rsidRPr="00042CA8">
        <w:rPr>
          <w:bCs/>
        </w:rPr>
        <w:t>Transport Capacity, Connectivity and Safeguarding</w:t>
      </w:r>
      <w:r w:rsidRPr="00042CA8">
        <w:rPr>
          <w:bCs/>
        </w:rPr>
        <w:t xml:space="preserve">’ </w:t>
      </w:r>
      <w:r w:rsidR="00EF4229">
        <w:t>sets out the requirement for</w:t>
      </w:r>
      <w:r w:rsidR="00042CA8">
        <w:t xml:space="preserve"> local authorities</w:t>
      </w:r>
      <w:r w:rsidR="00DF60C7" w:rsidRPr="00595E96">
        <w:t xml:space="preserve"> to safeguard land and buildings used for public transport, active travel or related support functions</w:t>
      </w:r>
      <w:r w:rsidR="00042CA8">
        <w:t>. Policy T3 also expects</w:t>
      </w:r>
      <w:r w:rsidR="00EF4229">
        <w:t xml:space="preserve"> that</w:t>
      </w:r>
      <w:r w:rsidR="00042CA8">
        <w:t xml:space="preserve"> development plans </w:t>
      </w:r>
      <w:r w:rsidR="00EF4229">
        <w:t>will</w:t>
      </w:r>
      <w:r w:rsidR="00DF60C7" w:rsidRPr="00595E96">
        <w:t xml:space="preserve"> identify and safeguard new sites</w:t>
      </w:r>
      <w:r w:rsidR="00042CA8">
        <w:t>,</w:t>
      </w:r>
      <w:r w:rsidR="00DF60C7" w:rsidRPr="00595E96">
        <w:t xml:space="preserve"> route alignments, </w:t>
      </w:r>
      <w:r w:rsidR="00042CA8">
        <w:t xml:space="preserve">and </w:t>
      </w:r>
      <w:r w:rsidR="00DF60C7" w:rsidRPr="00595E96">
        <w:t>supporting infrastructure</w:t>
      </w:r>
      <w:r w:rsidR="00042CA8">
        <w:t xml:space="preserve"> accommodate future growth in the transport network. This includes rail, road, and London’s walking and cycling networks.</w:t>
      </w:r>
    </w:p>
    <w:p w14:paraId="57B26480" w14:textId="77777777" w:rsidR="00893442" w:rsidRDefault="00DF60C7" w:rsidP="00CE5053">
      <w:pPr>
        <w:pStyle w:val="ListParagraph"/>
        <w:numPr>
          <w:ilvl w:val="1"/>
          <w:numId w:val="20"/>
        </w:numPr>
        <w:spacing w:after="240"/>
        <w:ind w:left="737" w:hanging="737"/>
        <w:contextualSpacing w:val="0"/>
      </w:pPr>
      <w:r w:rsidRPr="00595E96">
        <w:t>The London Mayor’s Transport Strategy</w:t>
      </w:r>
      <w:r w:rsidR="001B2649">
        <w:t xml:space="preserve"> </w:t>
      </w:r>
      <w:r w:rsidRPr="00595E96">
        <w:t xml:space="preserve">(MTS) </w:t>
      </w:r>
      <w:r w:rsidR="000C2693">
        <w:t xml:space="preserve">was adopted in 2018, and sets out the Mayor’s policies and proposals to reshape transport in London over the next two decades. The Strategy </w:t>
      </w:r>
      <w:r w:rsidRPr="00595E96">
        <w:t xml:space="preserve">has </w:t>
      </w:r>
      <w:r w:rsidR="00C742BC">
        <w:t>the</w:t>
      </w:r>
      <w:r w:rsidRPr="00595E96">
        <w:t xml:space="preserve"> overarching ai</w:t>
      </w:r>
      <w:r w:rsidR="001B2649">
        <w:t>m of reducing dependency on car travel,</w:t>
      </w:r>
      <w:r w:rsidRPr="00595E96">
        <w:t xml:space="preserve"> and sets a strategic target for 80% of journeys in London to be made by walking, cycling and public transport by 2041</w:t>
      </w:r>
      <w:r w:rsidR="000C2693">
        <w:t xml:space="preserve">. Initiatives to achieving this objective are </w:t>
      </w:r>
      <w:r w:rsidR="001B2649">
        <w:t>set out</w:t>
      </w:r>
      <w:r w:rsidR="00DE77CE" w:rsidRPr="00595E96">
        <w:t xml:space="preserve"> </w:t>
      </w:r>
      <w:r w:rsidR="000C2693">
        <w:t>under the</w:t>
      </w:r>
      <w:r w:rsidR="00DE77CE" w:rsidRPr="00595E96">
        <w:t xml:space="preserve"> themes of</w:t>
      </w:r>
      <w:r w:rsidRPr="00595E96">
        <w:t xml:space="preserve"> </w:t>
      </w:r>
      <w:r w:rsidR="00DE77CE" w:rsidRPr="00595E96">
        <w:t>‘</w:t>
      </w:r>
      <w:r w:rsidR="001B2649">
        <w:t>H</w:t>
      </w:r>
      <w:r w:rsidR="00DE77CE" w:rsidRPr="00042CA8">
        <w:t xml:space="preserve">ealthy </w:t>
      </w:r>
      <w:r w:rsidR="001B2649">
        <w:t>s</w:t>
      </w:r>
      <w:r w:rsidR="00DE77CE" w:rsidRPr="00042CA8">
        <w:t xml:space="preserve">treets and </w:t>
      </w:r>
      <w:r w:rsidR="001B2649">
        <w:t>h</w:t>
      </w:r>
      <w:r w:rsidR="00DE77CE" w:rsidRPr="00042CA8">
        <w:t xml:space="preserve">ealthy </w:t>
      </w:r>
      <w:r w:rsidR="001B2649">
        <w:t>p</w:t>
      </w:r>
      <w:r w:rsidR="00DE77CE" w:rsidRPr="00042CA8">
        <w:t>eople’</w:t>
      </w:r>
      <w:r w:rsidR="001B2649">
        <w:t>,</w:t>
      </w:r>
      <w:r w:rsidR="00DE77CE" w:rsidRPr="00042CA8">
        <w:t xml:space="preserve"> ‘</w:t>
      </w:r>
      <w:r w:rsidR="001B2649">
        <w:t>A</w:t>
      </w:r>
      <w:r w:rsidR="00DE77CE" w:rsidRPr="00042CA8">
        <w:t xml:space="preserve"> good public transport experience’, and ‘</w:t>
      </w:r>
      <w:r w:rsidR="001B2649">
        <w:t>N</w:t>
      </w:r>
      <w:r w:rsidR="00893442">
        <w:t>ew homes and jobs’.</w:t>
      </w:r>
    </w:p>
    <w:p w14:paraId="4BA3BAA1" w14:textId="77777777" w:rsidR="00893442" w:rsidRDefault="000C2693" w:rsidP="00CE5053">
      <w:pPr>
        <w:pStyle w:val="ListParagraph"/>
        <w:numPr>
          <w:ilvl w:val="1"/>
          <w:numId w:val="20"/>
        </w:numPr>
        <w:spacing w:after="240"/>
        <w:ind w:left="737" w:hanging="737"/>
        <w:contextualSpacing w:val="0"/>
      </w:pPr>
      <w:r>
        <w:t xml:space="preserve">The Lewisham Transport Strategy 2019 – 2041 outlines the Council’s vision for implementing the London Mayor’s Strategy at the borough level, and is a key evidence base for this IDP. </w:t>
      </w:r>
      <w:r w:rsidR="00EF4229">
        <w:t xml:space="preserve">The Strategy also identifies the short and longer term transport infrastructure interventions required to ensure that the transport network can accommodate the expected growth forecast over the life of the new Local Plan. </w:t>
      </w:r>
    </w:p>
    <w:p w14:paraId="7A9C4632" w14:textId="77777777" w:rsidR="00C742BC" w:rsidRDefault="000C2693" w:rsidP="00CE5053">
      <w:pPr>
        <w:pStyle w:val="ListParagraph"/>
        <w:numPr>
          <w:ilvl w:val="1"/>
          <w:numId w:val="20"/>
        </w:numPr>
        <w:spacing w:after="240"/>
        <w:ind w:left="737" w:hanging="737"/>
        <w:contextualSpacing w:val="0"/>
      </w:pPr>
      <w:r>
        <w:t>Council’s Local Implementation Plan</w:t>
      </w:r>
      <w:r w:rsidR="00C742BC">
        <w:t xml:space="preserve"> (LIP)</w:t>
      </w:r>
      <w:r>
        <w:t xml:space="preserve">, </w:t>
      </w:r>
      <w:r w:rsidR="00DF60C7" w:rsidRPr="00595E96">
        <w:t>a programme of investment over the L</w:t>
      </w:r>
      <w:r>
        <w:t>IP’s three year period (</w:t>
      </w:r>
      <w:r w:rsidR="00DF60C7" w:rsidRPr="00595E96">
        <w:t xml:space="preserve">2019/20 </w:t>
      </w:r>
      <w:r>
        <w:t>to</w:t>
      </w:r>
      <w:r w:rsidR="00DF60C7" w:rsidRPr="00595E96">
        <w:t xml:space="preserve"> 2021/22)</w:t>
      </w:r>
      <w:r w:rsidR="00EF4229">
        <w:t>,</w:t>
      </w:r>
      <w:r w:rsidR="00DE77CE" w:rsidRPr="00595E96">
        <w:t xml:space="preserve"> </w:t>
      </w:r>
      <w:r>
        <w:t xml:space="preserve">has informed the short term infrastructure priorities (0-5 years) identified in the Strategic Infrastructure Schedule </w:t>
      </w:r>
      <w:r w:rsidR="00DE77CE" w:rsidRPr="00595E96">
        <w:t>a</w:t>
      </w:r>
      <w:r>
        <w:t xml:space="preserve">t </w:t>
      </w:r>
      <w:r w:rsidR="006D1FCD" w:rsidRPr="00893442">
        <w:rPr>
          <w:b/>
        </w:rPr>
        <w:t>Table H</w:t>
      </w:r>
      <w:r>
        <w:t>.</w:t>
      </w:r>
    </w:p>
    <w:p w14:paraId="52308091" w14:textId="77777777" w:rsidR="00917584" w:rsidRDefault="00917584" w:rsidP="00CE5053">
      <w:pPr>
        <w:pStyle w:val="Heading2"/>
      </w:pPr>
      <w:bookmarkStart w:id="49" w:name="_Toc56146037"/>
      <w:r>
        <w:t>Regional and sub-regional transport infrastructure</w:t>
      </w:r>
      <w:bookmarkEnd w:id="49"/>
    </w:p>
    <w:p w14:paraId="437524C0" w14:textId="77777777" w:rsidR="00917584" w:rsidRDefault="00917584" w:rsidP="00CE5053">
      <w:pPr>
        <w:pStyle w:val="Heading3"/>
      </w:pPr>
      <w:bookmarkStart w:id="50" w:name="_Toc56146038"/>
      <w:r>
        <w:t>Rail</w:t>
      </w:r>
      <w:r w:rsidR="00653D91">
        <w:t xml:space="preserve">-based </w:t>
      </w:r>
      <w:r w:rsidR="007A01BB">
        <w:t>infrastructure</w:t>
      </w:r>
      <w:bookmarkEnd w:id="50"/>
    </w:p>
    <w:p w14:paraId="13A63DAF" w14:textId="77777777" w:rsidR="00917584" w:rsidRPr="00595E96" w:rsidRDefault="00917584" w:rsidP="00CE5053">
      <w:pPr>
        <w:tabs>
          <w:tab w:val="left" w:pos="720"/>
          <w:tab w:val="left" w:pos="1440"/>
          <w:tab w:val="left" w:pos="2160"/>
        </w:tabs>
        <w:spacing w:after="120"/>
        <w:ind w:left="578" w:firstLine="142"/>
      </w:pPr>
      <w:r w:rsidRPr="006D64E6">
        <w:rPr>
          <w:b/>
        </w:rPr>
        <w:t>Current situation</w:t>
      </w:r>
    </w:p>
    <w:p w14:paraId="01EFF11C" w14:textId="77777777" w:rsidR="007A01BB" w:rsidRDefault="007A01BB" w:rsidP="00CE5053">
      <w:pPr>
        <w:pStyle w:val="ListParagraph"/>
        <w:numPr>
          <w:ilvl w:val="0"/>
          <w:numId w:val="21"/>
        </w:numPr>
        <w:spacing w:after="240"/>
        <w:ind w:left="737" w:hanging="737"/>
        <w:contextualSpacing w:val="0"/>
      </w:pPr>
      <w:r>
        <w:t xml:space="preserve">Rail transport in south east London is dominated by National Rail services operated on the Southeastern franchise area. Services accessible from train stations in Lewisham provide direct connections to main London termini, including London Bridge, Cannon Street, Charing Cross and Victoria. Thameslink services also operate across </w:t>
      </w:r>
      <w:r w:rsidR="008026BF">
        <w:t>Lewisham, travelling through Blackfriars, Farringdon, and St Pancras stations.</w:t>
      </w:r>
    </w:p>
    <w:p w14:paraId="795CD6FF" w14:textId="77777777" w:rsidR="008026BF" w:rsidRDefault="008026BF" w:rsidP="00CE5053">
      <w:pPr>
        <w:pStyle w:val="ListParagraph"/>
        <w:numPr>
          <w:ilvl w:val="0"/>
          <w:numId w:val="21"/>
        </w:numPr>
        <w:spacing w:after="240"/>
        <w:ind w:left="737" w:hanging="737"/>
        <w:contextualSpacing w:val="0"/>
      </w:pPr>
      <w:r>
        <w:t>The Docklands Light Rail (DLR) provides a connection from Lewisham to Greenwich, and across the River Thames to Canary Wharf, Stratford, London City Airport, and Central London (Bank).</w:t>
      </w:r>
    </w:p>
    <w:p w14:paraId="7ED5EFD6" w14:textId="77777777" w:rsidR="00617438" w:rsidRDefault="00617438" w:rsidP="00CE5053">
      <w:pPr>
        <w:pStyle w:val="ListParagraph"/>
        <w:numPr>
          <w:ilvl w:val="0"/>
          <w:numId w:val="21"/>
        </w:numPr>
        <w:spacing w:after="240"/>
        <w:ind w:left="737" w:hanging="737"/>
        <w:contextualSpacing w:val="0"/>
      </w:pPr>
      <w:r>
        <w:t>London Overground trains serve the Sydenham corridor and New Cross, travelling through to the City and East End.</w:t>
      </w:r>
    </w:p>
    <w:p w14:paraId="6A32B053" w14:textId="77777777" w:rsidR="007A01BB" w:rsidRDefault="008026BF" w:rsidP="00CE5053">
      <w:pPr>
        <w:pStyle w:val="ListParagraph"/>
        <w:numPr>
          <w:ilvl w:val="0"/>
          <w:numId w:val="21"/>
        </w:numPr>
        <w:spacing w:after="240"/>
        <w:ind w:left="737" w:hanging="737"/>
        <w:contextualSpacing w:val="0"/>
      </w:pPr>
      <w:r>
        <w:lastRenderedPageBreak/>
        <w:t>While the Council area is reasonably well served by rail services, coverage and capacity varies greatly, particularly in the south-east and north of the borough which have limited or no access to rail.</w:t>
      </w:r>
      <w:r w:rsidR="00917584" w:rsidRPr="00595E96">
        <w:t xml:space="preserve"> </w:t>
      </w:r>
      <w:r>
        <w:t xml:space="preserve">The current design of the rail network in south-east London also limits the ability to travel </w:t>
      </w:r>
      <w:r w:rsidR="00917584" w:rsidRPr="00595E96">
        <w:t>east-west</w:t>
      </w:r>
      <w:r>
        <w:t>, and where services do exist they are often along orbital routes that make travel slower and less attractive.</w:t>
      </w:r>
    </w:p>
    <w:p w14:paraId="51E5873E" w14:textId="5A3BA9E0" w:rsidR="003A53EC" w:rsidRDefault="008902AB" w:rsidP="00CE5053">
      <w:pPr>
        <w:pStyle w:val="ListParagraph"/>
        <w:numPr>
          <w:ilvl w:val="0"/>
          <w:numId w:val="21"/>
        </w:numPr>
        <w:spacing w:after="240"/>
        <w:ind w:left="737" w:hanging="737"/>
        <w:contextualSpacing w:val="0"/>
      </w:pPr>
      <w:r>
        <w:t xml:space="preserve">Network capacity is an increasing area of concern in Lewisham, with DLR services to Canary Wharf frequently running at or over capacity, </w:t>
      </w:r>
      <w:r w:rsidR="009310D8">
        <w:t xml:space="preserve">and </w:t>
      </w:r>
      <w:r>
        <w:t xml:space="preserve">the Lewisham Station Interchange (DLR, Southeastern and London bus services) </w:t>
      </w:r>
      <w:r w:rsidR="003A53EC">
        <w:t>overcrowded</w:t>
      </w:r>
      <w:r>
        <w:t xml:space="preserve"> during peak travel times.</w:t>
      </w:r>
      <w:r w:rsidR="009310D8">
        <w:t xml:space="preserve"> </w:t>
      </w:r>
      <w:r w:rsidR="003A53EC">
        <w:t>Lewisham train station itself has experienced a tripling of footfall over the past 15 years, from 4 to 11 million, and is expected to grow by a further 32% in the next 20 years. As a result, Lewisham Station has been prioritised nationally by Network Rail System Operator for investment to resolve current and future capacity constraints.</w:t>
      </w:r>
    </w:p>
    <w:p w14:paraId="2895A678" w14:textId="1A797921" w:rsidR="003A53EC" w:rsidRDefault="2E9A5034" w:rsidP="00CE5053">
      <w:pPr>
        <w:pStyle w:val="ListParagraph"/>
        <w:numPr>
          <w:ilvl w:val="0"/>
          <w:numId w:val="21"/>
        </w:numPr>
        <w:spacing w:after="240"/>
        <w:ind w:left="737" w:hanging="737"/>
        <w:contextualSpacing w:val="0"/>
        <w:rPr>
          <w:rFonts w:asciiTheme="minorHAnsi" w:eastAsiaTheme="minorEastAsia" w:hAnsiTheme="minorHAnsi"/>
        </w:rPr>
      </w:pPr>
      <w:r>
        <w:t xml:space="preserve">In 2017 TfL began the process </w:t>
      </w:r>
      <w:r w:rsidR="1E330D15">
        <w:t>of</w:t>
      </w:r>
      <w:r>
        <w:t xml:space="preserve"> replac</w:t>
      </w:r>
      <w:r w:rsidR="130F8395">
        <w:t>ing</w:t>
      </w:r>
      <w:r>
        <w:t xml:space="preserve"> the existing DLR trains with 57 new ones. The new trains would be walk through and have greater capacity for passengers, with enhanced frequencies of up to 30 trains per hour to Lewisham during peak hours. These enhancements are expected begin rolling out from 2023/</w:t>
      </w:r>
      <w:r w:rsidR="168C8D0A">
        <w:t>24</w:t>
      </w:r>
      <w:r>
        <w:t>.</w:t>
      </w:r>
    </w:p>
    <w:p w14:paraId="5DD6451E" w14:textId="59C0335E" w:rsidR="003A53EC" w:rsidRDefault="003A53EC" w:rsidP="00CE5053">
      <w:pPr>
        <w:pStyle w:val="ListParagraph"/>
        <w:numPr>
          <w:ilvl w:val="0"/>
          <w:numId w:val="21"/>
        </w:numPr>
        <w:spacing w:after="240"/>
        <w:ind w:left="737" w:hanging="737"/>
        <w:contextualSpacing w:val="0"/>
        <w:rPr>
          <w:rFonts w:asciiTheme="minorHAnsi" w:eastAsiaTheme="minorEastAsia" w:hAnsiTheme="minorHAnsi"/>
        </w:rPr>
      </w:pPr>
      <w:r>
        <w:t xml:space="preserve">A number of </w:t>
      </w:r>
      <w:r w:rsidR="0EAFAAB0">
        <w:t xml:space="preserve">London </w:t>
      </w:r>
      <w:r w:rsidR="004B6754">
        <w:t>Overground train stations, including Brockley</w:t>
      </w:r>
      <w:r>
        <w:t>, Forest Hill, and New Cross Gate also experienc</w:t>
      </w:r>
      <w:r w:rsidR="47234D80">
        <w:t>e</w:t>
      </w:r>
      <w:r>
        <w:t xml:space="preserve"> overcrowding on platforms during peak travel periods. To address some of these capacity issues, in Summer 2019 there was a successful bid for Housing Infrastructure funding for the East London Line</w:t>
      </w:r>
      <w:r w:rsidR="0A27D986">
        <w:t xml:space="preserve"> (part of the London Overground)</w:t>
      </w:r>
      <w:r>
        <w:t>, which is expected to increase train frequency from 16 trains per hour to 20 trains per hour. Part of this new funding will provide for upgrades to stations to improve access and capacity</w:t>
      </w:r>
      <w:r w:rsidR="427B91CB">
        <w:t xml:space="preserve"> as well as a new station at New Bermondsey</w:t>
      </w:r>
      <w:r>
        <w:t>. Within Lewisham, funding will secure new signalling works, power supply upgrades and additional stabling facilities at New Cross.</w:t>
      </w:r>
      <w:r w:rsidR="51BCC8AB" w:rsidRPr="317981F7">
        <w:t xml:space="preserve"> </w:t>
      </w:r>
    </w:p>
    <w:p w14:paraId="17CF3D45" w14:textId="77777777" w:rsidR="00917584" w:rsidRDefault="009310D8" w:rsidP="00CE5053">
      <w:pPr>
        <w:pStyle w:val="ListParagraph"/>
        <w:numPr>
          <w:ilvl w:val="0"/>
          <w:numId w:val="21"/>
        </w:numPr>
        <w:spacing w:after="240"/>
        <w:ind w:left="737" w:hanging="737"/>
        <w:contextualSpacing w:val="0"/>
      </w:pPr>
      <w:r>
        <w:t xml:space="preserve">As there are no Underground lines that reach </w:t>
      </w:r>
      <w:r w:rsidR="00155EE6">
        <w:t>Lewisham,</w:t>
      </w:r>
      <w:r>
        <w:t xml:space="preserve"> </w:t>
      </w:r>
      <w:r w:rsidR="00155EE6">
        <w:t xml:space="preserve">borough </w:t>
      </w:r>
      <w:r>
        <w:t>residents</w:t>
      </w:r>
      <w:r w:rsidR="004B6754">
        <w:t xml:space="preserve"> </w:t>
      </w:r>
      <w:r>
        <w:t xml:space="preserve">need to </w:t>
      </w:r>
      <w:r w:rsidR="00155EE6">
        <w:t xml:space="preserve">access </w:t>
      </w:r>
      <w:r w:rsidR="005217B1">
        <w:t xml:space="preserve">the tube via </w:t>
      </w:r>
      <w:r w:rsidR="00155EE6">
        <w:t xml:space="preserve">congested </w:t>
      </w:r>
      <w:r>
        <w:t>interchange</w:t>
      </w:r>
      <w:r w:rsidR="00155EE6">
        <w:t>s near the borough boundary,</w:t>
      </w:r>
      <w:r>
        <w:t xml:space="preserve"> including Canada Water and Canary Wharf (Jubilee Line), London Bridge (Jubilee and Northern Lines), or </w:t>
      </w:r>
      <w:r w:rsidR="004B6754">
        <w:t>Central</w:t>
      </w:r>
      <w:r>
        <w:t xml:space="preserve"> London termini.</w:t>
      </w:r>
      <w:r w:rsidR="003A53EC">
        <w:t xml:space="preserve"> </w:t>
      </w:r>
      <w:r w:rsidR="00917584">
        <w:t>Without a</w:t>
      </w:r>
      <w:r w:rsidR="004B6754">
        <w:t xml:space="preserve">ccess to the London Underground </w:t>
      </w:r>
      <w:r w:rsidR="00917584">
        <w:t>network</w:t>
      </w:r>
      <w:r w:rsidR="00AB2C8E">
        <w:t>,</w:t>
      </w:r>
      <w:r w:rsidR="00917584">
        <w:t xml:space="preserve"> rail </w:t>
      </w:r>
      <w:r w:rsidR="00AB2C8E">
        <w:t xml:space="preserve">therefore </w:t>
      </w:r>
      <w:r w:rsidR="00917584">
        <w:t xml:space="preserve">provides a vital </w:t>
      </w:r>
      <w:r w:rsidR="004B6754">
        <w:t>rol</w:t>
      </w:r>
      <w:r w:rsidR="00917584">
        <w:t>e in connecting the borough to central London and surrounding areas</w:t>
      </w:r>
      <w:r w:rsidR="004B6754">
        <w:t xml:space="preserve">. This </w:t>
      </w:r>
      <w:r w:rsidR="00AB2C8E">
        <w:t xml:space="preserve">is reflected in </w:t>
      </w:r>
      <w:r w:rsidR="004B6754">
        <w:t xml:space="preserve">TfL </w:t>
      </w:r>
      <w:r w:rsidR="00AB2C8E">
        <w:t xml:space="preserve">usage </w:t>
      </w:r>
      <w:r w:rsidR="004B6754">
        <w:t>data, which</w:t>
      </w:r>
      <w:r w:rsidR="00AB2C8E">
        <w:t xml:space="preserve"> shows Lewisham </w:t>
      </w:r>
      <w:r w:rsidR="004B6754">
        <w:t xml:space="preserve">as having </w:t>
      </w:r>
      <w:r w:rsidR="00AB2C8E">
        <w:t xml:space="preserve">the highest proportion of residents commuting on trains </w:t>
      </w:r>
      <w:r w:rsidR="00917584">
        <w:t>than any other inner London borough</w:t>
      </w:r>
      <w:r w:rsidR="00AB2C8E">
        <w:t xml:space="preserve">. </w:t>
      </w:r>
      <w:r w:rsidR="004B6754">
        <w:t xml:space="preserve">Despite this, </w:t>
      </w:r>
      <w:r w:rsidR="00AB2C8E">
        <w:t xml:space="preserve">high </w:t>
      </w:r>
      <w:r w:rsidR="004B6754">
        <w:t xml:space="preserve">levels of </w:t>
      </w:r>
      <w:r w:rsidR="00917584">
        <w:t>car us</w:t>
      </w:r>
      <w:r w:rsidR="00AB2C8E">
        <w:t xml:space="preserve">age </w:t>
      </w:r>
      <w:r w:rsidR="004B6754">
        <w:t xml:space="preserve">persist due to poor or limited service coverage in some parts of the borough. </w:t>
      </w:r>
    </w:p>
    <w:p w14:paraId="07343B0F" w14:textId="77777777" w:rsidR="003043EC" w:rsidRDefault="005A15C9" w:rsidP="00CE5053">
      <w:pPr>
        <w:pStyle w:val="ListParagraph"/>
        <w:numPr>
          <w:ilvl w:val="0"/>
          <w:numId w:val="21"/>
        </w:numPr>
        <w:spacing w:after="240"/>
        <w:ind w:left="737" w:hanging="737"/>
        <w:contextualSpacing w:val="0"/>
      </w:pPr>
      <w:r>
        <w:t>The proposed Bakerloo Line Extension (BLE) to Lewisham and Hayes provides a significant opportunity to improve rail access between Gre</w:t>
      </w:r>
      <w:r w:rsidR="005217B1">
        <w:t>ater London and the south-east.</w:t>
      </w:r>
    </w:p>
    <w:p w14:paraId="15D12302" w14:textId="77777777" w:rsidR="00AB2C8E" w:rsidRPr="003043EC" w:rsidRDefault="00AB2C8E" w:rsidP="00CE5053">
      <w:pPr>
        <w:tabs>
          <w:tab w:val="left" w:pos="720"/>
          <w:tab w:val="left" w:pos="1440"/>
          <w:tab w:val="left" w:pos="2160"/>
        </w:tabs>
        <w:spacing w:after="120"/>
        <w:ind w:left="578" w:firstLine="142"/>
        <w:rPr>
          <w:b/>
        </w:rPr>
      </w:pPr>
      <w:r w:rsidRPr="003043EC">
        <w:rPr>
          <w:b/>
        </w:rPr>
        <w:t>Future requirement</w:t>
      </w:r>
    </w:p>
    <w:p w14:paraId="3C95BD03" w14:textId="77777777" w:rsidR="00BD5FBB" w:rsidRDefault="00BD5FBB" w:rsidP="00CE5053">
      <w:pPr>
        <w:pStyle w:val="ListParagraph"/>
        <w:numPr>
          <w:ilvl w:val="0"/>
          <w:numId w:val="21"/>
        </w:numPr>
        <w:spacing w:after="240"/>
        <w:ind w:left="737" w:hanging="737"/>
        <w:contextualSpacing w:val="0"/>
      </w:pPr>
      <w:r>
        <w:t>The Council’s Transport Strategy outlines a number of regional and sub-regional transport infrastructure investments that will be needed to meet current and future demand, as well as unlock future development opportunity in areas less well served by public transport.</w:t>
      </w:r>
    </w:p>
    <w:p w14:paraId="1B8841D5" w14:textId="77777777" w:rsidR="00BE4F99" w:rsidRDefault="005217B1" w:rsidP="00CE5053">
      <w:pPr>
        <w:pStyle w:val="ListParagraph"/>
        <w:numPr>
          <w:ilvl w:val="0"/>
          <w:numId w:val="0"/>
        </w:numPr>
        <w:spacing w:after="240"/>
        <w:ind w:left="737"/>
        <w:contextualSpacing w:val="0"/>
        <w:rPr>
          <w:i/>
        </w:rPr>
      </w:pPr>
      <w:r>
        <w:rPr>
          <w:i/>
        </w:rPr>
        <w:t>Lewisham Station</w:t>
      </w:r>
    </w:p>
    <w:p w14:paraId="470AB991" w14:textId="77777777" w:rsidR="005217B1" w:rsidRDefault="005217B1" w:rsidP="00CE5053">
      <w:pPr>
        <w:pStyle w:val="ListParagraph"/>
        <w:numPr>
          <w:ilvl w:val="0"/>
          <w:numId w:val="21"/>
        </w:numPr>
        <w:spacing w:after="240"/>
        <w:ind w:left="737" w:hanging="737"/>
      </w:pPr>
      <w:bookmarkStart w:id="51" w:name="_Hlk15880396"/>
      <w:bookmarkStart w:id="52" w:name="_Hlk15538093"/>
      <w:r>
        <w:lastRenderedPageBreak/>
        <w:t>Network Rail, working with Transport for London and Lewisham Council, is developing plans for an upgraded Lewisham station which was designated by the London Mayor in the MTS as one of the four London wide Strategic Interchanges. The upgrade to the station will seek to meet future passenger demand to 2041, reduce congestion, increase station capacity and improve safety and security conditions.</w:t>
      </w:r>
    </w:p>
    <w:p w14:paraId="5BC88503" w14:textId="77777777" w:rsidR="005217B1" w:rsidRDefault="005217B1" w:rsidP="00CE5053">
      <w:pPr>
        <w:pStyle w:val="ListParagraph"/>
        <w:numPr>
          <w:ilvl w:val="0"/>
          <w:numId w:val="0"/>
        </w:numPr>
        <w:spacing w:after="240"/>
        <w:ind w:left="737"/>
      </w:pPr>
    </w:p>
    <w:p w14:paraId="364A40B6" w14:textId="77777777" w:rsidR="005217B1" w:rsidRDefault="005217B1" w:rsidP="00CE5053">
      <w:pPr>
        <w:pStyle w:val="ListParagraph"/>
        <w:numPr>
          <w:ilvl w:val="0"/>
          <w:numId w:val="21"/>
        </w:numPr>
        <w:spacing w:after="240"/>
        <w:ind w:left="737" w:hanging="737"/>
      </w:pPr>
      <w:r>
        <w:t>It will consider also integration with the wider public realm, the DLR station and the proposed Bakerloo Line Upgrade and Extension (BLUE). Conceptual designs will be developed over the next two years.</w:t>
      </w:r>
    </w:p>
    <w:p w14:paraId="5775F54F" w14:textId="77777777" w:rsidR="005217B1" w:rsidRDefault="005217B1" w:rsidP="00CE5053">
      <w:pPr>
        <w:pStyle w:val="ListParagraph"/>
        <w:numPr>
          <w:ilvl w:val="0"/>
          <w:numId w:val="0"/>
        </w:numPr>
        <w:ind w:left="709"/>
      </w:pPr>
    </w:p>
    <w:p w14:paraId="76ED5E9A" w14:textId="77777777" w:rsidR="005217B1" w:rsidRPr="005217B1" w:rsidRDefault="00B50D56" w:rsidP="00CE5053">
      <w:pPr>
        <w:pStyle w:val="ListParagraph"/>
        <w:numPr>
          <w:ilvl w:val="0"/>
          <w:numId w:val="0"/>
        </w:numPr>
        <w:spacing w:after="240"/>
        <w:ind w:left="737"/>
      </w:pPr>
      <w:r w:rsidRPr="005217B1">
        <w:rPr>
          <w:i/>
        </w:rPr>
        <w:t>New Cross to Lewisham Overground Extension</w:t>
      </w:r>
    </w:p>
    <w:p w14:paraId="6F6C9D5F" w14:textId="77777777" w:rsidR="005217B1" w:rsidRDefault="005217B1" w:rsidP="00CE5053">
      <w:pPr>
        <w:pStyle w:val="ListParagraph"/>
        <w:numPr>
          <w:ilvl w:val="0"/>
          <w:numId w:val="0"/>
        </w:numPr>
        <w:spacing w:after="240"/>
        <w:ind w:left="737"/>
      </w:pPr>
    </w:p>
    <w:p w14:paraId="7B520ECF" w14:textId="77777777" w:rsidR="00B50D56" w:rsidRPr="00595E96" w:rsidRDefault="00B50D56" w:rsidP="00CE5053">
      <w:pPr>
        <w:pStyle w:val="ListParagraph"/>
        <w:numPr>
          <w:ilvl w:val="0"/>
          <w:numId w:val="21"/>
        </w:numPr>
        <w:spacing w:after="240"/>
        <w:ind w:left="737" w:hanging="737"/>
        <w:contextualSpacing w:val="0"/>
      </w:pPr>
      <w:r>
        <w:t xml:space="preserve">The proposed extension of the London Overground line beyond the current terminus at New Cross to Lewisham Station. While Lewisham Station is well served by a number of rail lines, the complexity of the rail network in the area means only a proportion of the trains that currently pass through Lewisham Station stop there. The extension of the Overground network to Lewisham will increase the resilience of the rail network in the area, and compliment the station’s role as a Strategic Interchange. </w:t>
      </w:r>
    </w:p>
    <w:p w14:paraId="0D56C21A" w14:textId="77777777" w:rsidR="00BE4F99" w:rsidRDefault="00BE4F99" w:rsidP="00CE5053">
      <w:pPr>
        <w:pStyle w:val="ListParagraph"/>
        <w:numPr>
          <w:ilvl w:val="0"/>
          <w:numId w:val="0"/>
        </w:numPr>
        <w:spacing w:after="240"/>
        <w:ind w:left="360" w:firstLine="360"/>
        <w:contextualSpacing w:val="0"/>
        <w:rPr>
          <w:i/>
        </w:rPr>
      </w:pPr>
      <w:r>
        <w:rPr>
          <w:i/>
        </w:rPr>
        <w:t>Bakerloo Line extension and upgrade (BLE)</w:t>
      </w:r>
    </w:p>
    <w:bookmarkEnd w:id="51"/>
    <w:p w14:paraId="45936FF6" w14:textId="77777777" w:rsidR="00BE4F99" w:rsidRDefault="00013DBD" w:rsidP="00CE5053">
      <w:pPr>
        <w:pStyle w:val="ListParagraph"/>
        <w:numPr>
          <w:ilvl w:val="0"/>
          <w:numId w:val="21"/>
        </w:numPr>
        <w:spacing w:after="240"/>
        <w:ind w:left="737" w:hanging="737"/>
        <w:contextualSpacing w:val="0"/>
      </w:pPr>
      <w:r>
        <w:t xml:space="preserve">The proposed extension of the Bakerloo Line to Lewisham and Hayes and the upgrade of the entire line up to Harrow and Wealdstone will improve capacity, train frequency and enhance the borough’s rail connectivity with the rest of London. There are also journey time savings; a much wider choice of </w:t>
      </w:r>
      <w:r w:rsidR="007A78F3">
        <w:t>destinations and more frequent trains; and it will create 2 new interchanges in the borough at Lewisham (DLR and National Rail) and New Cross Gate (LO and national rail).</w:t>
      </w:r>
    </w:p>
    <w:p w14:paraId="3A3644DA" w14:textId="77777777" w:rsidR="00013DBD" w:rsidRDefault="00013DBD" w:rsidP="00CE5053">
      <w:pPr>
        <w:pStyle w:val="ListParagraph"/>
        <w:numPr>
          <w:ilvl w:val="0"/>
          <w:numId w:val="0"/>
        </w:numPr>
        <w:spacing w:after="240"/>
        <w:ind w:left="737"/>
        <w:contextualSpacing w:val="0"/>
      </w:pPr>
      <w:r w:rsidRPr="004A5EEA">
        <w:rPr>
          <w:noProof/>
          <w:lang w:eastAsia="en-GB"/>
        </w:rPr>
        <w:drawing>
          <wp:inline distT="0" distB="0" distL="0" distR="0" wp14:anchorId="4A20D446" wp14:editId="1D060150">
            <wp:extent cx="3209925" cy="1501454"/>
            <wp:effectExtent l="0" t="0" r="0" b="3810"/>
            <wp:docPr id="3" name="Picture 3"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3418" cy="1531153"/>
                    </a:xfrm>
                    <a:prstGeom prst="rect">
                      <a:avLst/>
                    </a:prstGeom>
                    <a:noFill/>
                    <a:ln>
                      <a:noFill/>
                    </a:ln>
                  </pic:spPr>
                </pic:pic>
              </a:graphicData>
            </a:graphic>
          </wp:inline>
        </w:drawing>
      </w:r>
    </w:p>
    <w:p w14:paraId="75C03E81" w14:textId="77777777" w:rsidR="002C6D7E" w:rsidRDefault="00AB2C8E" w:rsidP="00CE5053">
      <w:pPr>
        <w:pStyle w:val="ListParagraph"/>
        <w:numPr>
          <w:ilvl w:val="0"/>
          <w:numId w:val="21"/>
        </w:numPr>
        <w:spacing w:after="240"/>
        <w:ind w:left="737" w:hanging="737"/>
        <w:contextualSpacing w:val="0"/>
      </w:pPr>
      <w:r>
        <w:t xml:space="preserve">The Council continues to advocate for the extension of the Bakerloo Line to Hayes as a single phase, to serve Catford and </w:t>
      </w:r>
      <w:r w:rsidR="00BE4F99">
        <w:t xml:space="preserve">Lower Sydenham </w:t>
      </w:r>
      <w:r w:rsidR="007A78F3">
        <w:t>which would in turn</w:t>
      </w:r>
      <w:r>
        <w:t xml:space="preserve"> support a wider step-change in the levels of walking, cycling and public transport use in the south of the borough.</w:t>
      </w:r>
    </w:p>
    <w:p w14:paraId="3F80EEDA" w14:textId="77777777" w:rsidR="00AB2C8E" w:rsidRPr="00595E96" w:rsidRDefault="00BE4F99" w:rsidP="00CE5053">
      <w:pPr>
        <w:pStyle w:val="ListParagraph"/>
        <w:numPr>
          <w:ilvl w:val="0"/>
          <w:numId w:val="21"/>
        </w:numPr>
        <w:spacing w:after="240"/>
        <w:ind w:left="737" w:hanging="737"/>
        <w:contextualSpacing w:val="0"/>
      </w:pPr>
      <w:r>
        <w:t xml:space="preserve">The new draft Lewisham Local Plan seeks to acknowledge the potential benefits of improved public transport access and connectivity, particularly in the south of the borough, with the potential for Lower Sydenham / Bell Green to be designated as an Opportunity Area contingent on the delivery of </w:t>
      </w:r>
      <w:r w:rsidR="002C6D7E">
        <w:t xml:space="preserve">the </w:t>
      </w:r>
      <w:r>
        <w:t>BLE and other strategic infrastructure.</w:t>
      </w:r>
    </w:p>
    <w:p w14:paraId="51EA788A" w14:textId="77777777" w:rsidR="00764CBD" w:rsidRPr="00764CBD" w:rsidRDefault="00764CBD" w:rsidP="00CE5053">
      <w:pPr>
        <w:pStyle w:val="ListParagraph"/>
        <w:numPr>
          <w:ilvl w:val="0"/>
          <w:numId w:val="0"/>
        </w:numPr>
        <w:spacing w:after="240"/>
        <w:ind w:left="360" w:firstLine="360"/>
        <w:contextualSpacing w:val="0"/>
        <w:rPr>
          <w:i/>
        </w:rPr>
      </w:pPr>
      <w:bookmarkStart w:id="53" w:name="_Hlk15880420"/>
      <w:bookmarkEnd w:id="52"/>
      <w:r>
        <w:rPr>
          <w:i/>
        </w:rPr>
        <w:t xml:space="preserve">Brockley </w:t>
      </w:r>
      <w:r w:rsidR="00B50D56">
        <w:rPr>
          <w:i/>
        </w:rPr>
        <w:t xml:space="preserve">Station </w:t>
      </w:r>
      <w:r>
        <w:rPr>
          <w:i/>
        </w:rPr>
        <w:t>Interchange</w:t>
      </w:r>
    </w:p>
    <w:p w14:paraId="6897806F" w14:textId="77777777" w:rsidR="00B50D56" w:rsidRDefault="00764CBD" w:rsidP="00CE5053">
      <w:pPr>
        <w:pStyle w:val="ListParagraph"/>
        <w:numPr>
          <w:ilvl w:val="0"/>
          <w:numId w:val="21"/>
        </w:numPr>
        <w:spacing w:after="240"/>
        <w:ind w:left="737" w:hanging="737"/>
        <w:contextualSpacing w:val="0"/>
      </w:pPr>
      <w:r>
        <w:lastRenderedPageBreak/>
        <w:t xml:space="preserve">The </w:t>
      </w:r>
      <w:r w:rsidR="00AB2C8E">
        <w:t>provi</w:t>
      </w:r>
      <w:r>
        <w:t>sion of</w:t>
      </w:r>
      <w:r w:rsidR="00AB2C8E">
        <w:t xml:space="preserve"> new upper platforms at Brockley Station </w:t>
      </w:r>
      <w:r>
        <w:t>would</w:t>
      </w:r>
      <w:r w:rsidR="00AB2C8E">
        <w:t xml:space="preserve"> create an interchange between the East London Line and the Lewisham-Victoria Line. The existing station currently has two station platforms supporting north-south rail services only, and while </w:t>
      </w:r>
      <w:r>
        <w:t>trains on the O</w:t>
      </w:r>
      <w:r w:rsidR="00AB2C8E">
        <w:t xml:space="preserve">verground </w:t>
      </w:r>
      <w:r>
        <w:t xml:space="preserve">network </w:t>
      </w:r>
      <w:r w:rsidR="00AB2C8E">
        <w:t xml:space="preserve">travelling from Lewisham go past the station, there is no accessible platform at the station </w:t>
      </w:r>
      <w:r w:rsidR="00B50D56">
        <w:t xml:space="preserve">to </w:t>
      </w:r>
      <w:r w:rsidR="00AB2C8E">
        <w:t xml:space="preserve">connect to the orbital rail network. </w:t>
      </w:r>
    </w:p>
    <w:p w14:paraId="2119BDAF" w14:textId="77777777" w:rsidR="00AB2C8E" w:rsidRDefault="00B50D56" w:rsidP="00CE5053">
      <w:pPr>
        <w:pStyle w:val="ListParagraph"/>
        <w:numPr>
          <w:ilvl w:val="0"/>
          <w:numId w:val="21"/>
        </w:numPr>
        <w:spacing w:after="240"/>
        <w:ind w:left="737" w:hanging="737"/>
        <w:contextualSpacing w:val="0"/>
      </w:pPr>
      <w:r>
        <w:t>N</w:t>
      </w:r>
      <w:r w:rsidR="00AB2C8E">
        <w:t>ew upper station platforms will allow passengers at the interchange to access services along the Lewisham-Victoria Line, and train services toward</w:t>
      </w:r>
      <w:r>
        <w:t>s southwest London and Victoria, and provide an opportunity to address existing station access and capacity issues.</w:t>
      </w:r>
    </w:p>
    <w:bookmarkEnd w:id="53"/>
    <w:p w14:paraId="24FAEE8A" w14:textId="77777777" w:rsidR="00B50D56" w:rsidRPr="00B50D56" w:rsidRDefault="00AB2C8E" w:rsidP="00CE5053">
      <w:pPr>
        <w:pStyle w:val="ListParagraph"/>
        <w:numPr>
          <w:ilvl w:val="0"/>
          <w:numId w:val="0"/>
        </w:numPr>
        <w:spacing w:after="240"/>
        <w:ind w:left="737"/>
        <w:contextualSpacing w:val="0"/>
        <w:rPr>
          <w:i/>
        </w:rPr>
      </w:pPr>
      <w:r w:rsidRPr="00B50D56">
        <w:rPr>
          <w:i/>
        </w:rPr>
        <w:t xml:space="preserve">New Bermondsey </w:t>
      </w:r>
      <w:r w:rsidR="00B50D56">
        <w:rPr>
          <w:i/>
        </w:rPr>
        <w:t xml:space="preserve">/ Surrey Canal Triangle </w:t>
      </w:r>
      <w:r w:rsidRPr="00B50D56">
        <w:rPr>
          <w:i/>
        </w:rPr>
        <w:t>Station</w:t>
      </w:r>
    </w:p>
    <w:p w14:paraId="18E218CC" w14:textId="77777777" w:rsidR="00AB2C8E" w:rsidRPr="00595E96" w:rsidRDefault="00B50D56" w:rsidP="00CE5053">
      <w:pPr>
        <w:pStyle w:val="ListParagraph"/>
        <w:numPr>
          <w:ilvl w:val="0"/>
          <w:numId w:val="21"/>
        </w:numPr>
        <w:spacing w:after="240"/>
        <w:ind w:left="737" w:hanging="737"/>
        <w:contextualSpacing w:val="0"/>
      </w:pPr>
      <w:r>
        <w:t>The del</w:t>
      </w:r>
      <w:r w:rsidR="00AB2C8E">
        <w:t>iver</w:t>
      </w:r>
      <w:r>
        <w:t>y</w:t>
      </w:r>
      <w:r w:rsidR="00AB2C8E">
        <w:t xml:space="preserve"> </w:t>
      </w:r>
      <w:r>
        <w:t xml:space="preserve">of </w:t>
      </w:r>
      <w:r w:rsidR="00AB2C8E">
        <w:t xml:space="preserve">a new </w:t>
      </w:r>
      <w:r>
        <w:t>O</w:t>
      </w:r>
      <w:r w:rsidR="00AB2C8E">
        <w:t xml:space="preserve">verground station at New Bermondsey </w:t>
      </w:r>
      <w:r>
        <w:t xml:space="preserve">/ Surrey Canal Triangle </w:t>
      </w:r>
      <w:r w:rsidR="00AB2C8E">
        <w:t>as part of the regeneration scheme for the area. The new station will provide better access to rail services and compliment other rail improvements, and will support the regeneration and significant development growth plann</w:t>
      </w:r>
      <w:r>
        <w:t>ed in the north of the borough.</w:t>
      </w:r>
    </w:p>
    <w:p w14:paraId="2B7D08A6" w14:textId="77777777" w:rsidR="00B50D56" w:rsidRDefault="00945B7D" w:rsidP="00CE5053">
      <w:pPr>
        <w:pStyle w:val="ListParagraph"/>
        <w:numPr>
          <w:ilvl w:val="0"/>
          <w:numId w:val="0"/>
        </w:numPr>
        <w:spacing w:after="240"/>
        <w:ind w:left="737"/>
        <w:contextualSpacing w:val="0"/>
        <w:rPr>
          <w:i/>
        </w:rPr>
      </w:pPr>
      <w:bookmarkStart w:id="54" w:name="_Hlk15880446"/>
      <w:r>
        <w:rPr>
          <w:i/>
        </w:rPr>
        <w:t>‘</w:t>
      </w:r>
      <w:r w:rsidR="00AB2C8E" w:rsidRPr="00B50D56">
        <w:rPr>
          <w:i/>
        </w:rPr>
        <w:t>Metroisation</w:t>
      </w:r>
      <w:r>
        <w:rPr>
          <w:i/>
        </w:rPr>
        <w:t>’</w:t>
      </w:r>
    </w:p>
    <w:p w14:paraId="7D60FA98" w14:textId="77777777" w:rsidR="00AB2C8E" w:rsidRPr="00595E96" w:rsidRDefault="00B50D56" w:rsidP="00CE5053">
      <w:pPr>
        <w:pStyle w:val="ListParagraph"/>
        <w:numPr>
          <w:ilvl w:val="0"/>
          <w:numId w:val="21"/>
        </w:numPr>
        <w:spacing w:after="240"/>
        <w:ind w:left="737" w:hanging="737"/>
        <w:contextualSpacing w:val="0"/>
      </w:pPr>
      <w:r>
        <w:t xml:space="preserve">Transport for London’s (TfL) </w:t>
      </w:r>
      <w:r w:rsidR="00AB2C8E">
        <w:t xml:space="preserve">proposal for rail services in the south and southeast areas of London </w:t>
      </w:r>
      <w:r>
        <w:t xml:space="preserve">would result in the </w:t>
      </w:r>
      <w:r w:rsidR="00AB2C8E">
        <w:t>reorganis</w:t>
      </w:r>
      <w:r>
        <w:t>ation of existing services</w:t>
      </w:r>
      <w:r w:rsidR="00AB2C8E">
        <w:t xml:space="preserve"> to provide metro-style services, with regular trains running on standardised routes. A more simplified service and standardised route network is expected to release network capacity as well as delivering more frequent and reliable train services for passengers. </w:t>
      </w:r>
    </w:p>
    <w:p w14:paraId="58D143CD" w14:textId="77777777" w:rsidR="00B50D56" w:rsidRDefault="00B50D56" w:rsidP="00CE5053">
      <w:pPr>
        <w:pStyle w:val="Heading3"/>
      </w:pPr>
      <w:bookmarkStart w:id="55" w:name="_Toc56146039"/>
      <w:bookmarkStart w:id="56" w:name="_Hlk15880463"/>
      <w:bookmarkEnd w:id="54"/>
      <w:r>
        <w:t>Road-based infrastructure</w:t>
      </w:r>
      <w:bookmarkEnd w:id="55"/>
    </w:p>
    <w:p w14:paraId="66065118" w14:textId="77777777" w:rsidR="005A21AB" w:rsidRDefault="005A21AB" w:rsidP="00CE5053">
      <w:pPr>
        <w:pStyle w:val="ListParagraph"/>
        <w:numPr>
          <w:ilvl w:val="0"/>
          <w:numId w:val="0"/>
        </w:numPr>
        <w:spacing w:after="240"/>
        <w:ind w:left="737"/>
        <w:contextualSpacing w:val="0"/>
      </w:pPr>
      <w:r>
        <w:rPr>
          <w:b/>
        </w:rPr>
        <w:t>Current situation</w:t>
      </w:r>
    </w:p>
    <w:p w14:paraId="67B976B4" w14:textId="77777777" w:rsidR="00476CD8" w:rsidRDefault="000A5938" w:rsidP="00CE5053">
      <w:pPr>
        <w:pStyle w:val="ListParagraph"/>
        <w:numPr>
          <w:ilvl w:val="0"/>
          <w:numId w:val="21"/>
        </w:numPr>
        <w:spacing w:after="240"/>
        <w:ind w:left="737" w:hanging="737"/>
        <w:contextualSpacing w:val="0"/>
      </w:pPr>
      <w:r>
        <w:t>There are a number of regionally significant</w:t>
      </w:r>
      <w:r w:rsidR="00FE1065">
        <w:t xml:space="preserve"> major roads</w:t>
      </w:r>
      <w:r>
        <w:t xml:space="preserve"> </w:t>
      </w:r>
      <w:r w:rsidR="00FE1065">
        <w:t>(</w:t>
      </w:r>
      <w:r>
        <w:t xml:space="preserve">‘red routes’ operated and maintained by TfL) that run </w:t>
      </w:r>
      <w:r w:rsidR="00FE1065">
        <w:t>through Lewisham</w:t>
      </w:r>
      <w:r>
        <w:t xml:space="preserve">, including the A205 South Circular, A20, and the A21/A2. </w:t>
      </w:r>
      <w:r w:rsidR="00476CD8">
        <w:t>While London’s network of red routes only make up five per cent of roads, they carry up to 30 per cent of the city’s traffic.</w:t>
      </w:r>
      <w:r w:rsidR="00FE1065">
        <w:t xml:space="preserve"> Given the location of these routes in the borough, these major roads create a complex mix of challenges for the borough in encouraging modal shift to active and sustainable modes of travel. </w:t>
      </w:r>
    </w:p>
    <w:p w14:paraId="1E832398" w14:textId="77777777" w:rsidR="00D877E5" w:rsidRDefault="00D877E5" w:rsidP="00CE5053">
      <w:pPr>
        <w:pStyle w:val="ListParagraph"/>
        <w:numPr>
          <w:ilvl w:val="0"/>
          <w:numId w:val="21"/>
        </w:numPr>
        <w:spacing w:after="240"/>
        <w:ind w:left="737" w:hanging="737"/>
        <w:contextualSpacing w:val="0"/>
      </w:pPr>
      <w:r>
        <w:t>There are also operate 41 bus routes operated by TfL that service the borough, with these routes providing critical connections to other south-eastern boroughs, as well as Central London. These routes operate with varying frequencies of service, with higher frequency routes generally operating on radial routes. Less frequent services are generally found operating orbital routes, and are more common in the west of the borough.</w:t>
      </w:r>
    </w:p>
    <w:p w14:paraId="10B13B9E" w14:textId="77777777" w:rsidR="00E37637" w:rsidRDefault="00D877E5" w:rsidP="00CE5053">
      <w:pPr>
        <w:pStyle w:val="ListParagraph"/>
        <w:numPr>
          <w:ilvl w:val="0"/>
          <w:numId w:val="21"/>
        </w:numPr>
        <w:spacing w:after="240"/>
        <w:ind w:left="737" w:hanging="737"/>
        <w:contextualSpacing w:val="0"/>
      </w:pPr>
      <w:r>
        <w:t xml:space="preserve">Road based transit is </w:t>
      </w:r>
      <w:r w:rsidR="00E37637">
        <w:t>a significant</w:t>
      </w:r>
      <w:r>
        <w:t xml:space="preserve"> contributor to air pollution in the borough, with the Council’s emerging Climate Emergency </w:t>
      </w:r>
      <w:r w:rsidR="00E37637">
        <w:t xml:space="preserve">Action Plan finding that transport accounted for 25.6% </w:t>
      </w:r>
      <w:r>
        <w:t>of the borough’s estimated CO2e emissions</w:t>
      </w:r>
      <w:r w:rsidR="00E37637">
        <w:t xml:space="preserve"> in</w:t>
      </w:r>
      <w:r>
        <w:t xml:space="preserve"> 2017/18</w:t>
      </w:r>
      <w:r w:rsidR="00E37637">
        <w:t>, with road based transport the single largest factor. To manage this, t</w:t>
      </w:r>
      <w:r w:rsidR="00945B7D">
        <w:t xml:space="preserve">he borough has </w:t>
      </w:r>
      <w:r w:rsidR="00E37637">
        <w:t xml:space="preserve">in place </w:t>
      </w:r>
      <w:r w:rsidR="00945B7D">
        <w:t xml:space="preserve">six Air </w:t>
      </w:r>
      <w:r w:rsidR="00945B7D">
        <w:lastRenderedPageBreak/>
        <w:t>Quality Management Areas (AQMAs)</w:t>
      </w:r>
      <w:r w:rsidR="00E675E0">
        <w:t>,</w:t>
      </w:r>
      <w:r w:rsidR="00945B7D">
        <w:t xml:space="preserve"> </w:t>
      </w:r>
      <w:r w:rsidR="00E37637">
        <w:t>which are located along and to the north of the South</w:t>
      </w:r>
      <w:r w:rsidR="00945B7D">
        <w:t xml:space="preserve"> Circular, </w:t>
      </w:r>
      <w:r w:rsidR="00E675E0">
        <w:t xml:space="preserve">the </w:t>
      </w:r>
      <w:r w:rsidR="00945B7D">
        <w:t xml:space="preserve">A212, and A2218. </w:t>
      </w:r>
    </w:p>
    <w:p w14:paraId="0B087702" w14:textId="77777777" w:rsidR="00945B7D" w:rsidRDefault="00E675E0" w:rsidP="00CE5053">
      <w:pPr>
        <w:pStyle w:val="ListParagraph"/>
        <w:numPr>
          <w:ilvl w:val="0"/>
          <w:numId w:val="21"/>
        </w:numPr>
        <w:spacing w:after="360"/>
        <w:ind w:left="737" w:hanging="737"/>
        <w:contextualSpacing w:val="0"/>
      </w:pPr>
      <w:r>
        <w:t xml:space="preserve">Council’s </w:t>
      </w:r>
      <w:r w:rsidR="00327843">
        <w:t>Air Quality Action Plan</w:t>
      </w:r>
      <w:r>
        <w:t xml:space="preserve"> </w:t>
      </w:r>
      <w:r w:rsidR="00695CA1">
        <w:t>also</w:t>
      </w:r>
      <w:r>
        <w:t xml:space="preserve"> i</w:t>
      </w:r>
      <w:r w:rsidR="00945B7D">
        <w:t>dentifie</w:t>
      </w:r>
      <w:r>
        <w:t>s</w:t>
      </w:r>
      <w:r w:rsidR="00945B7D">
        <w:t xml:space="preserve"> nine Air Quality Focus Areas</w:t>
      </w:r>
      <w:r w:rsidR="00695CA1">
        <w:t xml:space="preserve"> (AQFAs)</w:t>
      </w:r>
      <w:r w:rsidR="00945B7D">
        <w:t xml:space="preserve">, </w:t>
      </w:r>
      <w:r>
        <w:t xml:space="preserve">which are </w:t>
      </w:r>
      <w:r w:rsidR="00327843">
        <w:t xml:space="preserve">due to the presence of </w:t>
      </w:r>
      <w:r w:rsidR="00695CA1">
        <w:t xml:space="preserve">high </w:t>
      </w:r>
      <w:r w:rsidR="00945B7D">
        <w:t xml:space="preserve">levels of </w:t>
      </w:r>
      <w:r>
        <w:t xml:space="preserve">air </w:t>
      </w:r>
      <w:r w:rsidR="00945B7D">
        <w:t>pollution</w:t>
      </w:r>
      <w:r>
        <w:t xml:space="preserve"> (nitrogen dioxide </w:t>
      </w:r>
      <w:r w:rsidR="00695CA1">
        <w:t xml:space="preserve">levels exceeding EU limits of 40 μg/m3 annual average, </w:t>
      </w:r>
      <w:r>
        <w:t xml:space="preserve">and PM10 particulate matter </w:t>
      </w:r>
      <w:r w:rsidR="00695CA1">
        <w:t xml:space="preserve">(PM10) </w:t>
      </w:r>
      <w:r>
        <w:t xml:space="preserve">exceeding </w:t>
      </w:r>
      <w:r w:rsidR="00695CA1">
        <w:t>World Health Organisation guidelines of 20μg/m3)</w:t>
      </w:r>
      <w:r>
        <w:t xml:space="preserve"> generated from vehicles, and high levels of pedestrian</w:t>
      </w:r>
      <w:r w:rsidR="00695CA1">
        <w:t xml:space="preserve"> activity</w:t>
      </w:r>
      <w:r w:rsidR="00945B7D">
        <w:t xml:space="preserve">. </w:t>
      </w:r>
      <w:r w:rsidR="00327843">
        <w:t xml:space="preserve">The </w:t>
      </w:r>
      <w:r w:rsidR="00945B7D">
        <w:t>Action Plan</w:t>
      </w:r>
      <w:r>
        <w:t xml:space="preserve"> </w:t>
      </w:r>
      <w:r w:rsidR="00327843">
        <w:t>also outlines</w:t>
      </w:r>
      <w:r w:rsidR="00695CA1">
        <w:t xml:space="preserve"> a number of priorities and actions to improve air quality within the AQFAs, including </w:t>
      </w:r>
      <w:r w:rsidR="00327843">
        <w:t xml:space="preserve">by </w:t>
      </w:r>
      <w:r w:rsidR="00695CA1">
        <w:t>control</w:t>
      </w:r>
      <w:r w:rsidR="00327843">
        <w:t>ling</w:t>
      </w:r>
      <w:r w:rsidR="00695CA1">
        <w:t xml:space="preserve"> emissions from new developments</w:t>
      </w:r>
      <w:r w:rsidR="00327843">
        <w:t xml:space="preserve"> </w:t>
      </w:r>
      <w:r w:rsidR="00695CA1">
        <w:t xml:space="preserve">through </w:t>
      </w:r>
      <w:r w:rsidR="00327843">
        <w:t>the p</w:t>
      </w:r>
      <w:r w:rsidR="00695CA1">
        <w:t>lanning and enforcement</w:t>
      </w:r>
      <w:r w:rsidR="00327843">
        <w:t xml:space="preserve"> process</w:t>
      </w:r>
      <w:r w:rsidR="00695CA1">
        <w:t xml:space="preserve">. </w:t>
      </w:r>
      <w:r w:rsidR="00327843">
        <w:t>Currently however, w</w:t>
      </w:r>
      <w:r w:rsidR="00E37637">
        <w:t xml:space="preserve">hile carbon emissions in Lewisham have reduced by approximately a third </w:t>
      </w:r>
      <w:r w:rsidR="00327843">
        <w:t>in the period</w:t>
      </w:r>
      <w:r w:rsidR="00E37637">
        <w:t xml:space="preserve"> 2005</w:t>
      </w:r>
      <w:r w:rsidR="00327843">
        <w:t>-</w:t>
      </w:r>
      <w:r w:rsidR="00E37637">
        <w:t>2017, transport emissions have remained relatively constant.</w:t>
      </w:r>
      <w:r w:rsidR="00A307F8">
        <w:t xml:space="preserve"> One way in which the Council is attempting to address this is through its Low Emission Vehicle Charging Strategy 2019-2022, which seeks to ensure that every resident in the borough is within 500m from a EV charging point by 2021.</w:t>
      </w:r>
    </w:p>
    <w:tbl>
      <w:tblPr>
        <w:tblStyle w:val="ListTable3-Accent32"/>
        <w:tblW w:w="4166"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7498"/>
        <w:gridCol w:w="18"/>
      </w:tblGrid>
      <w:tr w:rsidR="00E37637" w:rsidRPr="00324C84" w14:paraId="30A761AF"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FFFFFF" w:themeColor="background1"/>
            </w:tcBorders>
            <w:shd w:val="clear" w:color="auto" w:fill="002060"/>
          </w:tcPr>
          <w:p w14:paraId="1B9125DA" w14:textId="77777777" w:rsidR="00E37637" w:rsidRDefault="00E37637" w:rsidP="00CE5053">
            <w:pPr>
              <w:tabs>
                <w:tab w:val="left" w:pos="2115"/>
              </w:tabs>
              <w:spacing w:before="40" w:after="40"/>
              <w:rPr>
                <w:b w:val="0"/>
                <w:bCs w:val="0"/>
                <w:sz w:val="20"/>
                <w:szCs w:val="16"/>
              </w:rPr>
            </w:pPr>
            <w:r>
              <w:rPr>
                <w:sz w:val="20"/>
                <w:szCs w:val="16"/>
              </w:rPr>
              <w:t>Lewisham’s Air Quality Focus Areas</w:t>
            </w:r>
          </w:p>
        </w:tc>
      </w:tr>
      <w:tr w:rsidR="00E37637" w:rsidRPr="00324C84" w14:paraId="3649CBE0" w14:textId="77777777" w:rsidTr="00E37637">
        <w:trPr>
          <w:gridAfter w:val="1"/>
          <w:cnfStyle w:val="000000100000" w:firstRow="0" w:lastRow="0" w:firstColumn="0" w:lastColumn="0" w:oddVBand="0" w:evenVBand="0" w:oddHBand="1" w:evenHBand="0" w:firstRowFirstColumn="0" w:firstRowLastColumn="0" w:lastRowFirstColumn="0" w:lastRowLastColumn="0"/>
          <w:wAfter w:w="12" w:type="pct"/>
          <w:trHeight w:val="85"/>
          <w:jc w:val="center"/>
        </w:trPr>
        <w:tc>
          <w:tcPr>
            <w:cnfStyle w:val="001000000000" w:firstRow="0" w:lastRow="0" w:firstColumn="1" w:lastColumn="0" w:oddVBand="0" w:evenVBand="0" w:oddHBand="0" w:evenHBand="0" w:firstRowFirstColumn="0" w:firstRowLastColumn="0" w:lastRowFirstColumn="0" w:lastRowLastColumn="0"/>
            <w:tcW w:w="4988" w:type="pct"/>
            <w:tcBorders>
              <w:top w:val="single" w:sz="4" w:space="0" w:color="FFFFFF" w:themeColor="background1"/>
              <w:bottom w:val="single" w:sz="4" w:space="0" w:color="FFFFFF" w:themeColor="background1"/>
            </w:tcBorders>
            <w:shd w:val="clear" w:color="auto" w:fill="F2F2F2" w:themeFill="background1" w:themeFillShade="F2"/>
          </w:tcPr>
          <w:p w14:paraId="73A0DD29" w14:textId="77777777" w:rsidR="00E37637" w:rsidRPr="0097175D" w:rsidRDefault="00E37637" w:rsidP="00CE5053">
            <w:pPr>
              <w:spacing w:before="40" w:after="40"/>
              <w:rPr>
                <w:sz w:val="20"/>
                <w:szCs w:val="20"/>
              </w:rPr>
            </w:pPr>
            <w:r w:rsidRPr="00695CA1">
              <w:rPr>
                <w:sz w:val="20"/>
                <w:szCs w:val="20"/>
              </w:rPr>
              <w:t>Deptford Town Centre</w:t>
            </w:r>
          </w:p>
        </w:tc>
      </w:tr>
      <w:tr w:rsidR="00E37637" w:rsidRPr="00324C84" w14:paraId="177B8E97" w14:textId="77777777" w:rsidTr="00E37637">
        <w:trPr>
          <w:gridAfter w:val="1"/>
          <w:wAfter w:w="12" w:type="pct"/>
          <w:trHeight w:val="85"/>
          <w:jc w:val="center"/>
        </w:trPr>
        <w:tc>
          <w:tcPr>
            <w:cnfStyle w:val="001000000000" w:firstRow="0" w:lastRow="0" w:firstColumn="1" w:lastColumn="0" w:oddVBand="0" w:evenVBand="0" w:oddHBand="0" w:evenHBand="0" w:firstRowFirstColumn="0" w:firstRowLastColumn="0" w:lastRowFirstColumn="0" w:lastRowLastColumn="0"/>
            <w:tcW w:w="4988" w:type="pct"/>
            <w:tcBorders>
              <w:top w:val="single" w:sz="4" w:space="0" w:color="FFFFFF" w:themeColor="background1"/>
              <w:bottom w:val="single" w:sz="4" w:space="0" w:color="FFFFFF" w:themeColor="background1"/>
            </w:tcBorders>
            <w:shd w:val="clear" w:color="auto" w:fill="F2F2F2" w:themeFill="background1" w:themeFillShade="F2"/>
          </w:tcPr>
          <w:p w14:paraId="5BDE00FB" w14:textId="77777777" w:rsidR="00E37637" w:rsidRPr="0097175D" w:rsidRDefault="00E37637" w:rsidP="00CE5053">
            <w:pPr>
              <w:spacing w:before="40" w:after="40"/>
              <w:rPr>
                <w:sz w:val="20"/>
                <w:szCs w:val="20"/>
              </w:rPr>
            </w:pPr>
            <w:r w:rsidRPr="00695CA1">
              <w:rPr>
                <w:sz w:val="20"/>
                <w:szCs w:val="20"/>
              </w:rPr>
              <w:t>New Cross Gate &amp; New Cross</w:t>
            </w:r>
          </w:p>
        </w:tc>
      </w:tr>
      <w:tr w:rsidR="00E37637" w:rsidRPr="00324C84" w14:paraId="594B5F22" w14:textId="77777777" w:rsidTr="00E37637">
        <w:trPr>
          <w:gridAfter w:val="1"/>
          <w:cnfStyle w:val="000000100000" w:firstRow="0" w:lastRow="0" w:firstColumn="0" w:lastColumn="0" w:oddVBand="0" w:evenVBand="0" w:oddHBand="1" w:evenHBand="0" w:firstRowFirstColumn="0" w:firstRowLastColumn="0" w:lastRowFirstColumn="0" w:lastRowLastColumn="0"/>
          <w:wAfter w:w="12" w:type="pct"/>
          <w:trHeight w:val="85"/>
          <w:jc w:val="center"/>
        </w:trPr>
        <w:tc>
          <w:tcPr>
            <w:cnfStyle w:val="001000000000" w:firstRow="0" w:lastRow="0" w:firstColumn="1" w:lastColumn="0" w:oddVBand="0" w:evenVBand="0" w:oddHBand="0" w:evenHBand="0" w:firstRowFirstColumn="0" w:firstRowLastColumn="0" w:lastRowFirstColumn="0" w:lastRowLastColumn="0"/>
            <w:tcW w:w="4988" w:type="pct"/>
            <w:tcBorders>
              <w:top w:val="single" w:sz="4" w:space="0" w:color="FFFFFF" w:themeColor="background1"/>
              <w:bottom w:val="single" w:sz="4" w:space="0" w:color="FFFFFF" w:themeColor="background1"/>
            </w:tcBorders>
            <w:shd w:val="clear" w:color="auto" w:fill="F2F2F2" w:themeFill="background1" w:themeFillShade="F2"/>
          </w:tcPr>
          <w:p w14:paraId="4C37C1A2" w14:textId="77777777" w:rsidR="00E37637" w:rsidRPr="0097175D" w:rsidRDefault="00E37637" w:rsidP="00CE5053">
            <w:pPr>
              <w:spacing w:before="40" w:after="40"/>
              <w:rPr>
                <w:sz w:val="20"/>
                <w:szCs w:val="20"/>
              </w:rPr>
            </w:pPr>
            <w:r w:rsidRPr="00695CA1">
              <w:rPr>
                <w:sz w:val="20"/>
                <w:szCs w:val="20"/>
              </w:rPr>
              <w:t>Brockley Cross</w:t>
            </w:r>
          </w:p>
        </w:tc>
      </w:tr>
      <w:tr w:rsidR="00E37637" w:rsidRPr="00324C84" w14:paraId="0E8E3F71" w14:textId="77777777" w:rsidTr="00E37637">
        <w:trPr>
          <w:gridAfter w:val="1"/>
          <w:wAfter w:w="12" w:type="pct"/>
          <w:trHeight w:val="85"/>
          <w:jc w:val="center"/>
        </w:trPr>
        <w:tc>
          <w:tcPr>
            <w:cnfStyle w:val="001000000000" w:firstRow="0" w:lastRow="0" w:firstColumn="1" w:lastColumn="0" w:oddVBand="0" w:evenVBand="0" w:oddHBand="0" w:evenHBand="0" w:firstRowFirstColumn="0" w:firstRowLastColumn="0" w:lastRowFirstColumn="0" w:lastRowLastColumn="0"/>
            <w:tcW w:w="4988" w:type="pct"/>
            <w:tcBorders>
              <w:top w:val="single" w:sz="4" w:space="0" w:color="FFFFFF" w:themeColor="background1"/>
              <w:bottom w:val="single" w:sz="4" w:space="0" w:color="FFFFFF" w:themeColor="background1"/>
            </w:tcBorders>
            <w:shd w:val="clear" w:color="auto" w:fill="F2F2F2" w:themeFill="background1" w:themeFillShade="F2"/>
          </w:tcPr>
          <w:p w14:paraId="77F6D973" w14:textId="77777777" w:rsidR="00E37637" w:rsidRPr="0097175D" w:rsidRDefault="00E37637" w:rsidP="00CE5053">
            <w:pPr>
              <w:spacing w:before="40" w:after="40"/>
              <w:rPr>
                <w:sz w:val="20"/>
                <w:szCs w:val="20"/>
              </w:rPr>
            </w:pPr>
            <w:r w:rsidRPr="00695CA1">
              <w:rPr>
                <w:sz w:val="20"/>
                <w:szCs w:val="20"/>
              </w:rPr>
              <w:t>Brockley Road (B218) between Adelaide Avenue &amp; Wickham Road</w:t>
            </w:r>
          </w:p>
        </w:tc>
      </w:tr>
      <w:tr w:rsidR="00E37637" w:rsidRPr="00324C84" w14:paraId="5465DE99" w14:textId="77777777" w:rsidTr="00E37637">
        <w:trPr>
          <w:gridAfter w:val="1"/>
          <w:cnfStyle w:val="000000100000" w:firstRow="0" w:lastRow="0" w:firstColumn="0" w:lastColumn="0" w:oddVBand="0" w:evenVBand="0" w:oddHBand="1" w:evenHBand="0" w:firstRowFirstColumn="0" w:firstRowLastColumn="0" w:lastRowFirstColumn="0" w:lastRowLastColumn="0"/>
          <w:wAfter w:w="12" w:type="pct"/>
          <w:trHeight w:val="85"/>
          <w:jc w:val="center"/>
        </w:trPr>
        <w:tc>
          <w:tcPr>
            <w:cnfStyle w:val="001000000000" w:firstRow="0" w:lastRow="0" w:firstColumn="1" w:lastColumn="0" w:oddVBand="0" w:evenVBand="0" w:oddHBand="0" w:evenHBand="0" w:firstRowFirstColumn="0" w:firstRowLastColumn="0" w:lastRowFirstColumn="0" w:lastRowLastColumn="0"/>
            <w:tcW w:w="4988" w:type="pct"/>
            <w:tcBorders>
              <w:top w:val="single" w:sz="4" w:space="0" w:color="FFFFFF" w:themeColor="background1"/>
              <w:bottom w:val="single" w:sz="4" w:space="0" w:color="FFFFFF" w:themeColor="background1"/>
            </w:tcBorders>
            <w:shd w:val="clear" w:color="auto" w:fill="F2F2F2" w:themeFill="background1" w:themeFillShade="F2"/>
          </w:tcPr>
          <w:p w14:paraId="682E2C94" w14:textId="77777777" w:rsidR="00E37637" w:rsidRPr="0097175D" w:rsidRDefault="00E37637" w:rsidP="00CE5053">
            <w:pPr>
              <w:spacing w:before="40" w:after="40"/>
              <w:rPr>
                <w:sz w:val="20"/>
                <w:szCs w:val="20"/>
              </w:rPr>
            </w:pPr>
            <w:r w:rsidRPr="00695CA1">
              <w:rPr>
                <w:sz w:val="20"/>
                <w:szCs w:val="20"/>
              </w:rPr>
              <w:t>Honor Oak Park Junction Brockley Road</w:t>
            </w:r>
          </w:p>
        </w:tc>
      </w:tr>
      <w:tr w:rsidR="00E37637" w:rsidRPr="00324C84" w14:paraId="58F717B7" w14:textId="77777777" w:rsidTr="00E37637">
        <w:trPr>
          <w:gridAfter w:val="1"/>
          <w:wAfter w:w="12" w:type="pct"/>
          <w:trHeight w:val="85"/>
          <w:jc w:val="center"/>
        </w:trPr>
        <w:tc>
          <w:tcPr>
            <w:cnfStyle w:val="001000000000" w:firstRow="0" w:lastRow="0" w:firstColumn="1" w:lastColumn="0" w:oddVBand="0" w:evenVBand="0" w:oddHBand="0" w:evenHBand="0" w:firstRowFirstColumn="0" w:firstRowLastColumn="0" w:lastRowFirstColumn="0" w:lastRowLastColumn="0"/>
            <w:tcW w:w="4988" w:type="pct"/>
            <w:tcBorders>
              <w:top w:val="single" w:sz="4" w:space="0" w:color="FFFFFF" w:themeColor="background1"/>
              <w:bottom w:val="single" w:sz="4" w:space="0" w:color="FFFFFF" w:themeColor="background1"/>
            </w:tcBorders>
            <w:shd w:val="clear" w:color="auto" w:fill="F2F2F2" w:themeFill="background1" w:themeFillShade="F2"/>
          </w:tcPr>
          <w:p w14:paraId="2B94D57D" w14:textId="77777777" w:rsidR="00E37637" w:rsidRPr="0097175D" w:rsidRDefault="00E37637" w:rsidP="00CE5053">
            <w:pPr>
              <w:spacing w:before="40" w:after="40"/>
              <w:rPr>
                <w:sz w:val="20"/>
                <w:szCs w:val="20"/>
              </w:rPr>
            </w:pPr>
            <w:r w:rsidRPr="00695CA1">
              <w:rPr>
                <w:sz w:val="20"/>
                <w:szCs w:val="20"/>
              </w:rPr>
              <w:t>Forest Hill and Perry Vale Junction;</w:t>
            </w:r>
          </w:p>
        </w:tc>
      </w:tr>
      <w:tr w:rsidR="00E37637" w:rsidRPr="00324C84" w14:paraId="41734670" w14:textId="77777777" w:rsidTr="00E37637">
        <w:trPr>
          <w:gridAfter w:val="1"/>
          <w:cnfStyle w:val="000000100000" w:firstRow="0" w:lastRow="0" w:firstColumn="0" w:lastColumn="0" w:oddVBand="0" w:evenVBand="0" w:oddHBand="1" w:evenHBand="0" w:firstRowFirstColumn="0" w:firstRowLastColumn="0" w:lastRowFirstColumn="0" w:lastRowLastColumn="0"/>
          <w:wAfter w:w="12" w:type="pct"/>
          <w:trHeight w:val="85"/>
          <w:jc w:val="center"/>
        </w:trPr>
        <w:tc>
          <w:tcPr>
            <w:cnfStyle w:val="001000000000" w:firstRow="0" w:lastRow="0" w:firstColumn="1" w:lastColumn="0" w:oddVBand="0" w:evenVBand="0" w:oddHBand="0" w:evenHBand="0" w:firstRowFirstColumn="0" w:firstRowLastColumn="0" w:lastRowFirstColumn="0" w:lastRowLastColumn="0"/>
            <w:tcW w:w="4988" w:type="pct"/>
            <w:tcBorders>
              <w:top w:val="single" w:sz="4" w:space="0" w:color="FFFFFF" w:themeColor="background1"/>
              <w:bottom w:val="single" w:sz="4" w:space="0" w:color="FFFFFF" w:themeColor="background1"/>
            </w:tcBorders>
            <w:shd w:val="clear" w:color="auto" w:fill="F2F2F2" w:themeFill="background1" w:themeFillShade="F2"/>
          </w:tcPr>
          <w:p w14:paraId="0C3CE2D6" w14:textId="77777777" w:rsidR="00E37637" w:rsidRPr="0097175D" w:rsidRDefault="00E37637" w:rsidP="00CE5053">
            <w:pPr>
              <w:spacing w:before="40" w:after="40"/>
              <w:rPr>
                <w:sz w:val="20"/>
                <w:szCs w:val="20"/>
              </w:rPr>
            </w:pPr>
            <w:r w:rsidRPr="00695CA1">
              <w:rPr>
                <w:sz w:val="20"/>
                <w:szCs w:val="20"/>
              </w:rPr>
              <w:t>Loampit Vale &amp; Lewisham High Street</w:t>
            </w:r>
          </w:p>
        </w:tc>
      </w:tr>
      <w:tr w:rsidR="00E37637" w:rsidRPr="00324C84" w14:paraId="51AE8D0B" w14:textId="77777777" w:rsidTr="00E37637">
        <w:trPr>
          <w:gridAfter w:val="1"/>
          <w:wAfter w:w="12" w:type="pct"/>
          <w:trHeight w:val="85"/>
          <w:jc w:val="center"/>
        </w:trPr>
        <w:tc>
          <w:tcPr>
            <w:cnfStyle w:val="001000000000" w:firstRow="0" w:lastRow="0" w:firstColumn="1" w:lastColumn="0" w:oddVBand="0" w:evenVBand="0" w:oddHBand="0" w:evenHBand="0" w:firstRowFirstColumn="0" w:firstRowLastColumn="0" w:lastRowFirstColumn="0" w:lastRowLastColumn="0"/>
            <w:tcW w:w="4988" w:type="pct"/>
            <w:tcBorders>
              <w:top w:val="single" w:sz="4" w:space="0" w:color="FFFFFF" w:themeColor="background1"/>
              <w:bottom w:val="single" w:sz="4" w:space="0" w:color="FFFFFF" w:themeColor="background1"/>
            </w:tcBorders>
            <w:shd w:val="clear" w:color="auto" w:fill="F2F2F2" w:themeFill="background1" w:themeFillShade="F2"/>
          </w:tcPr>
          <w:p w14:paraId="537BD3A1" w14:textId="77777777" w:rsidR="00E37637" w:rsidRPr="0097175D" w:rsidRDefault="00E37637" w:rsidP="00CE5053">
            <w:pPr>
              <w:spacing w:before="40" w:after="40"/>
              <w:rPr>
                <w:sz w:val="20"/>
                <w:szCs w:val="20"/>
              </w:rPr>
            </w:pPr>
            <w:r w:rsidRPr="00695CA1">
              <w:rPr>
                <w:sz w:val="20"/>
                <w:szCs w:val="20"/>
              </w:rPr>
              <w:t>Catford Road &amp; Catford Gyratory</w:t>
            </w:r>
          </w:p>
        </w:tc>
      </w:tr>
      <w:tr w:rsidR="00E37637" w:rsidRPr="00324C84" w14:paraId="598DE8E5" w14:textId="77777777" w:rsidTr="00E37637">
        <w:trPr>
          <w:gridAfter w:val="1"/>
          <w:cnfStyle w:val="000000100000" w:firstRow="0" w:lastRow="0" w:firstColumn="0" w:lastColumn="0" w:oddVBand="0" w:evenVBand="0" w:oddHBand="1" w:evenHBand="0" w:firstRowFirstColumn="0" w:firstRowLastColumn="0" w:lastRowFirstColumn="0" w:lastRowLastColumn="0"/>
          <w:wAfter w:w="12" w:type="pct"/>
          <w:trHeight w:val="85"/>
          <w:jc w:val="center"/>
        </w:trPr>
        <w:tc>
          <w:tcPr>
            <w:cnfStyle w:val="001000000000" w:firstRow="0" w:lastRow="0" w:firstColumn="1" w:lastColumn="0" w:oddVBand="0" w:evenVBand="0" w:oddHBand="0" w:evenHBand="0" w:firstRowFirstColumn="0" w:firstRowLastColumn="0" w:lastRowFirstColumn="0" w:lastRowLastColumn="0"/>
            <w:tcW w:w="4988" w:type="pct"/>
            <w:tcBorders>
              <w:top w:val="single" w:sz="4" w:space="0" w:color="FFFFFF" w:themeColor="background1"/>
              <w:bottom w:val="single" w:sz="4" w:space="0" w:color="FFFFFF" w:themeColor="background1"/>
            </w:tcBorders>
            <w:shd w:val="clear" w:color="auto" w:fill="F2F2F2" w:themeFill="background1" w:themeFillShade="F2"/>
          </w:tcPr>
          <w:p w14:paraId="5E20DEAC" w14:textId="77777777" w:rsidR="00E37637" w:rsidRPr="0097175D" w:rsidRDefault="00E37637" w:rsidP="00CE5053">
            <w:pPr>
              <w:spacing w:before="40" w:after="40"/>
              <w:rPr>
                <w:sz w:val="20"/>
                <w:szCs w:val="20"/>
              </w:rPr>
            </w:pPr>
            <w:r w:rsidRPr="00D877E5">
              <w:rPr>
                <w:sz w:val="20"/>
                <w:szCs w:val="20"/>
              </w:rPr>
              <w:t xml:space="preserve">St Mildreds Road (A2015) from Hither green </w:t>
            </w:r>
            <w:r>
              <w:rPr>
                <w:sz w:val="20"/>
                <w:szCs w:val="20"/>
              </w:rPr>
              <w:t>Lane to Burnet Ash Hill (A2212)</w:t>
            </w:r>
          </w:p>
        </w:tc>
      </w:tr>
    </w:tbl>
    <w:p w14:paraId="24E957C3" w14:textId="77777777" w:rsidR="00695CA1" w:rsidRPr="00C43DD5" w:rsidRDefault="00695CA1" w:rsidP="00CE5053">
      <w:pPr>
        <w:pStyle w:val="Caption"/>
        <w:spacing w:before="120" w:after="360"/>
        <w:ind w:left="720"/>
        <w:rPr>
          <w:b/>
          <w:i w:val="0"/>
          <w:color w:val="auto"/>
        </w:rPr>
      </w:pPr>
      <w:r>
        <w:rPr>
          <w:b/>
          <w:i w:val="0"/>
          <w:color w:val="auto"/>
        </w:rPr>
        <w:t>T</w:t>
      </w:r>
      <w:r w:rsidRPr="00F067AD">
        <w:rPr>
          <w:b/>
          <w:i w:val="0"/>
          <w:color w:val="auto"/>
        </w:rPr>
        <w:t xml:space="preserve">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15</w:t>
      </w:r>
      <w:r>
        <w:rPr>
          <w:b/>
          <w:i w:val="0"/>
          <w:color w:val="auto"/>
        </w:rPr>
        <w:fldChar w:fldCharType="end"/>
      </w:r>
      <w:r w:rsidRPr="00C43DD5">
        <w:rPr>
          <w:i w:val="0"/>
          <w:color w:val="auto"/>
        </w:rPr>
        <w:t xml:space="preserve"> </w:t>
      </w:r>
      <w:r w:rsidR="00D877E5">
        <w:rPr>
          <w:i w:val="0"/>
          <w:color w:val="auto"/>
        </w:rPr>
        <w:t>Air quality focus areas</w:t>
      </w:r>
      <w:r>
        <w:rPr>
          <w:i w:val="0"/>
          <w:color w:val="auto"/>
        </w:rPr>
        <w:t>. Source: LB Lewisham</w:t>
      </w:r>
    </w:p>
    <w:p w14:paraId="496A2A2A" w14:textId="77777777" w:rsidR="00327843" w:rsidRDefault="00AF2B50" w:rsidP="00CE5053">
      <w:pPr>
        <w:pStyle w:val="ListParagraph"/>
        <w:numPr>
          <w:ilvl w:val="0"/>
          <w:numId w:val="21"/>
        </w:numPr>
        <w:spacing w:after="240"/>
        <w:ind w:left="737" w:hanging="737"/>
        <w:contextualSpacing w:val="0"/>
      </w:pPr>
      <w:r>
        <w:t xml:space="preserve">The </w:t>
      </w:r>
      <w:r w:rsidR="00327843">
        <w:t xml:space="preserve">Council’s Transport Strategy, adopted in 2019, seeks to respond to these challenges by </w:t>
      </w:r>
      <w:r>
        <w:t>supporting the delivery of the Mayor of London’s Transport Strategy (MTS), as well as identify and deliver targeted local interventions to improve road infrastructure through the Healthy Streets Framework across the borough. These projects generally seek to encourage modal shift to active and sustainable modes of transit by improving the quality of the public realm to encourage walking and cycling, as well as improve linkages to public transport nodes.</w:t>
      </w:r>
    </w:p>
    <w:p w14:paraId="1237A647" w14:textId="77777777" w:rsidR="00893442" w:rsidRDefault="00A307F8" w:rsidP="00CE5053">
      <w:pPr>
        <w:pStyle w:val="ListParagraph"/>
        <w:numPr>
          <w:ilvl w:val="0"/>
          <w:numId w:val="21"/>
        </w:numPr>
        <w:spacing w:after="240"/>
        <w:ind w:left="737" w:hanging="737"/>
        <w:contextualSpacing w:val="0"/>
      </w:pPr>
      <w:r>
        <w:t>The Strategy also addresses the need to reduce the number of people who are killed or seriously injured (KSI) on our roads. Between 2012 and 2016 a total of 5,040 casualties we</w:t>
      </w:r>
      <w:r w:rsidR="00652B09">
        <w:t>re reported in Lewisham, includ</w:t>
      </w:r>
      <w:r>
        <w:t>ing 329 serious casualties and 20 fatalities. The majority of casualties were on the major road ‘red route’</w:t>
      </w:r>
      <w:r w:rsidR="00652B09">
        <w:t xml:space="preserve"> network, which are also among the most congested in Lond</w:t>
      </w:r>
      <w:r w:rsidR="00893442">
        <w:t>on.</w:t>
      </w:r>
    </w:p>
    <w:p w14:paraId="4E9AA7D2" w14:textId="77777777" w:rsidR="00945B7D" w:rsidRDefault="00652B09" w:rsidP="00CE5053">
      <w:pPr>
        <w:pStyle w:val="ListParagraph"/>
        <w:numPr>
          <w:ilvl w:val="0"/>
          <w:numId w:val="21"/>
        </w:numPr>
        <w:spacing w:after="240"/>
        <w:ind w:left="737" w:hanging="737"/>
        <w:contextualSpacing w:val="0"/>
      </w:pPr>
      <w:r>
        <w:t xml:space="preserve">Bus performance in Lewisham also suffers from congestion on the major road ‘red route’ network, with passengers on high frequency routes waiting approximately 20% longer than intended. The slowest average speeds are generally near local centres such as Lewisham, Catford and Deptford. This is where the highest levels of activity </w:t>
      </w:r>
      <w:r>
        <w:lastRenderedPageBreak/>
        <w:t>and human movements take place, a</w:t>
      </w:r>
      <w:r w:rsidR="00B80E37">
        <w:t>nd is</w:t>
      </w:r>
      <w:r>
        <w:t xml:space="preserve"> reflected in the average numbers of bus boa</w:t>
      </w:r>
      <w:r w:rsidR="00B80E37">
        <w:t>rders in these areas.</w:t>
      </w:r>
    </w:p>
    <w:p w14:paraId="0503ED26" w14:textId="77777777" w:rsidR="00945B7D" w:rsidRDefault="00945B7D" w:rsidP="00CE5053">
      <w:pPr>
        <w:pStyle w:val="ListParagraph"/>
        <w:numPr>
          <w:ilvl w:val="0"/>
          <w:numId w:val="0"/>
        </w:numPr>
        <w:spacing w:after="240"/>
        <w:ind w:left="360" w:firstLine="360"/>
        <w:contextualSpacing w:val="0"/>
      </w:pPr>
      <w:r>
        <w:rPr>
          <w:b/>
        </w:rPr>
        <w:t>Future requirement</w:t>
      </w:r>
    </w:p>
    <w:p w14:paraId="73E84487" w14:textId="77777777" w:rsidR="00B80E37" w:rsidRDefault="00B80E37" w:rsidP="00CE5053">
      <w:pPr>
        <w:pStyle w:val="ListParagraph"/>
        <w:numPr>
          <w:ilvl w:val="0"/>
          <w:numId w:val="21"/>
        </w:numPr>
        <w:spacing w:after="240"/>
        <w:ind w:left="737" w:hanging="737"/>
        <w:contextualSpacing w:val="0"/>
      </w:pPr>
      <w:r>
        <w:t xml:space="preserve">The Council’s Transport Strategy seeks to achieve a net reduction in private car use by 2041, in line with the Mayor of London’s Transport Strategy (2018), and to improve accessibility to public transport as a means to improve social inclusion outcomes, particularly in areas in the south of the borough which have poor access to frequent and effective public transport options which in turn leads to higher private vehicle use. </w:t>
      </w:r>
    </w:p>
    <w:p w14:paraId="7B1121C5" w14:textId="77777777" w:rsidR="00B80E37" w:rsidRPr="00595E96" w:rsidRDefault="00B80E37" w:rsidP="00CE5053">
      <w:pPr>
        <w:pStyle w:val="ListParagraph"/>
        <w:numPr>
          <w:ilvl w:val="0"/>
          <w:numId w:val="21"/>
        </w:numPr>
        <w:spacing w:after="240"/>
        <w:ind w:left="737" w:hanging="737"/>
        <w:contextualSpacing w:val="0"/>
      </w:pPr>
      <w:r>
        <w:t xml:space="preserve">There is also a need to consider expanding the bus network in Lewisham, </w:t>
      </w:r>
      <w:r w:rsidR="00EB36B2">
        <w:t>particularly frequent east-west bus routes to provide more viable travel options for commuters living or working in the south.</w:t>
      </w:r>
    </w:p>
    <w:p w14:paraId="3348EA76" w14:textId="670491C5" w:rsidR="196E4387" w:rsidRDefault="196E4387" w:rsidP="00CE5053">
      <w:pPr>
        <w:pStyle w:val="ListParagraph"/>
        <w:numPr>
          <w:ilvl w:val="0"/>
          <w:numId w:val="21"/>
        </w:numPr>
        <w:spacing w:after="240"/>
        <w:ind w:left="737" w:hanging="737"/>
        <w:rPr>
          <w:rFonts w:asciiTheme="minorHAnsi" w:eastAsiaTheme="minorEastAsia" w:hAnsiTheme="minorHAnsi"/>
        </w:rPr>
      </w:pPr>
      <w:r>
        <w:t>Bus Route 225 currently runs between Canada Water and Hither Green via Lewisham Station and runs at a peak frequency. There is a proposal is to extend the service from its current terminus at Hither Green to Bellingham station, to help provide better connections between the north and the south of the borough.</w:t>
      </w:r>
    </w:p>
    <w:p w14:paraId="6FC71244" w14:textId="77777777" w:rsidR="00945B7D" w:rsidRDefault="00945B7D" w:rsidP="00CE5053">
      <w:pPr>
        <w:pStyle w:val="ListParagraph"/>
        <w:numPr>
          <w:ilvl w:val="0"/>
          <w:numId w:val="21"/>
        </w:numPr>
        <w:spacing w:after="240"/>
        <w:ind w:left="737" w:hanging="737"/>
        <w:contextualSpacing w:val="0"/>
      </w:pPr>
      <w:r>
        <w:t>The Council</w:t>
      </w:r>
      <w:r w:rsidR="00B80E37">
        <w:t xml:space="preserve"> has also identified a</w:t>
      </w:r>
      <w:r>
        <w:t xml:space="preserve"> number of opportunities to improve the borough’s road network to promote modal shift to more active and sustainable modes of travel, and promote Healthy Streets principles </w:t>
      </w:r>
      <w:r w:rsidR="002E3067">
        <w:t>on major roads in partnership with TfL</w:t>
      </w:r>
      <w:r w:rsidR="00B80E37">
        <w:t>.</w:t>
      </w:r>
      <w:r>
        <w:t xml:space="preserve"> These projects are identified in </w:t>
      </w:r>
      <w:r w:rsidRPr="5F430534">
        <w:rPr>
          <w:b/>
          <w:bCs/>
        </w:rPr>
        <w:t xml:space="preserve">Table </w:t>
      </w:r>
      <w:r w:rsidR="008806FA" w:rsidRPr="5F430534">
        <w:rPr>
          <w:b/>
          <w:bCs/>
        </w:rPr>
        <w:t>16</w:t>
      </w:r>
      <w:r w:rsidR="008806FA">
        <w:t xml:space="preserve"> </w:t>
      </w:r>
      <w:r>
        <w:t>below:</w:t>
      </w:r>
    </w:p>
    <w:tbl>
      <w:tblPr>
        <w:tblStyle w:val="ListTable3-Accent32"/>
        <w:tblW w:w="4539"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3256"/>
        <w:gridCol w:w="4929"/>
      </w:tblGrid>
      <w:tr w:rsidR="00945B7D" w:rsidRPr="00324C84" w14:paraId="3ABC5054"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989" w:type="pct"/>
            <w:tcBorders>
              <w:bottom w:val="single" w:sz="4" w:space="0" w:color="FFFFFF" w:themeColor="background1"/>
            </w:tcBorders>
            <w:shd w:val="clear" w:color="auto" w:fill="002060"/>
          </w:tcPr>
          <w:p w14:paraId="3A9C41CD" w14:textId="77777777" w:rsidR="00945B7D" w:rsidRPr="0097175D" w:rsidRDefault="00945B7D" w:rsidP="00CE5053">
            <w:pPr>
              <w:tabs>
                <w:tab w:val="left" w:pos="2520"/>
              </w:tabs>
              <w:spacing w:before="40" w:after="40"/>
              <w:rPr>
                <w:sz w:val="20"/>
                <w:szCs w:val="16"/>
              </w:rPr>
            </w:pPr>
            <w:r>
              <w:rPr>
                <w:sz w:val="20"/>
                <w:szCs w:val="16"/>
              </w:rPr>
              <w:t>Project</w:t>
            </w:r>
          </w:p>
        </w:tc>
        <w:tc>
          <w:tcPr>
            <w:tcW w:w="3011" w:type="pct"/>
            <w:tcBorders>
              <w:bottom w:val="single" w:sz="4" w:space="0" w:color="FFFFFF" w:themeColor="background1"/>
            </w:tcBorders>
            <w:shd w:val="clear" w:color="auto" w:fill="002060"/>
          </w:tcPr>
          <w:p w14:paraId="15BEAFE7" w14:textId="77777777" w:rsidR="00945B7D" w:rsidRPr="0097175D" w:rsidRDefault="002E3067"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16"/>
              </w:rPr>
            </w:pPr>
            <w:r>
              <w:rPr>
                <w:sz w:val="20"/>
                <w:szCs w:val="16"/>
              </w:rPr>
              <w:t>Timeframe</w:t>
            </w:r>
          </w:p>
        </w:tc>
      </w:tr>
      <w:tr w:rsidR="002E3067" w:rsidRPr="00324C84" w14:paraId="333D9AA8" w14:textId="77777777" w:rsidTr="0001380F">
        <w:trPr>
          <w:cnfStyle w:val="000000100000" w:firstRow="0" w:lastRow="0" w:firstColumn="0" w:lastColumn="0" w:oddVBand="0" w:evenVBand="0" w:oddHBand="1" w:evenHBand="0" w:firstRowFirstColumn="0" w:firstRowLastColumn="0" w:lastRowFirstColumn="0" w:lastRowLastColumn="0"/>
          <w:trHeight w:val="171"/>
          <w:jc w:val="right"/>
        </w:trPr>
        <w:tc>
          <w:tcPr>
            <w:cnfStyle w:val="001000000000" w:firstRow="0" w:lastRow="0" w:firstColumn="1" w:lastColumn="0" w:oddVBand="0" w:evenVBand="0" w:oddHBand="0" w:evenHBand="0" w:firstRowFirstColumn="0" w:firstRowLastColumn="0" w:lastRowFirstColumn="0" w:lastRowLastColumn="0"/>
            <w:tcW w:w="198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2C939461" w14:textId="77777777" w:rsidR="002E3067" w:rsidRPr="002E3067" w:rsidRDefault="002E3067" w:rsidP="00CE5053">
            <w:pPr>
              <w:spacing w:before="40" w:after="40"/>
              <w:rPr>
                <w:sz w:val="20"/>
                <w:szCs w:val="20"/>
              </w:rPr>
            </w:pPr>
            <w:r w:rsidRPr="002E3067">
              <w:rPr>
                <w:sz w:val="20"/>
              </w:rPr>
              <w:t>A2 New Cross Road / Amersham Gyratory removal Short</w:t>
            </w:r>
          </w:p>
        </w:tc>
        <w:tc>
          <w:tcPr>
            <w:tcW w:w="3011"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1912CD1" w14:textId="77777777" w:rsidR="002E3067" w:rsidRPr="002E3067" w:rsidRDefault="002E3067"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2E3067">
              <w:rPr>
                <w:sz w:val="20"/>
              </w:rPr>
              <w:t>Short</w:t>
            </w:r>
          </w:p>
        </w:tc>
      </w:tr>
      <w:tr w:rsidR="002E3067" w:rsidRPr="00324C84" w14:paraId="3885CEF0" w14:textId="77777777" w:rsidTr="0001380F">
        <w:trPr>
          <w:trHeight w:val="85"/>
          <w:jc w:val="right"/>
        </w:trPr>
        <w:tc>
          <w:tcPr>
            <w:cnfStyle w:val="001000000000" w:firstRow="0" w:lastRow="0" w:firstColumn="1" w:lastColumn="0" w:oddVBand="0" w:evenVBand="0" w:oddHBand="0" w:evenHBand="0" w:firstRowFirstColumn="0" w:firstRowLastColumn="0" w:lastRowFirstColumn="0" w:lastRowLastColumn="0"/>
            <w:tcW w:w="198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7CABC86" w14:textId="77777777" w:rsidR="002E3067" w:rsidRPr="002E3067" w:rsidRDefault="002E3067" w:rsidP="00CE5053">
            <w:pPr>
              <w:spacing w:before="40" w:after="40"/>
              <w:rPr>
                <w:sz w:val="20"/>
                <w:szCs w:val="20"/>
              </w:rPr>
            </w:pPr>
            <w:r w:rsidRPr="002E3067">
              <w:rPr>
                <w:sz w:val="20"/>
              </w:rPr>
              <w:t>A21 Healthy Streets Corridor (‘Lewisham Spine) Short to medium</w:t>
            </w:r>
          </w:p>
        </w:tc>
        <w:tc>
          <w:tcPr>
            <w:tcW w:w="3011"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2687C3B" w14:textId="77777777" w:rsidR="002E3067" w:rsidRPr="002E3067" w:rsidRDefault="002E3067"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E3067">
              <w:rPr>
                <w:sz w:val="20"/>
              </w:rPr>
              <w:t>Short to medium</w:t>
            </w:r>
          </w:p>
        </w:tc>
      </w:tr>
      <w:tr w:rsidR="002E3067" w:rsidRPr="00324C84" w14:paraId="53201D0B" w14:textId="77777777" w:rsidTr="0001380F">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98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9D0781B" w14:textId="77777777" w:rsidR="002E3067" w:rsidRPr="002E3067" w:rsidRDefault="002E3067" w:rsidP="00CE5053">
            <w:pPr>
              <w:spacing w:before="40" w:after="40"/>
              <w:rPr>
                <w:sz w:val="20"/>
                <w:szCs w:val="20"/>
              </w:rPr>
            </w:pPr>
            <w:r w:rsidRPr="002E3067">
              <w:rPr>
                <w:sz w:val="20"/>
              </w:rPr>
              <w:t>A205 (South Circular) Re-routing (Catford) Short</w:t>
            </w:r>
          </w:p>
        </w:tc>
        <w:tc>
          <w:tcPr>
            <w:tcW w:w="3011"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DC8DCBB" w14:textId="77777777" w:rsidR="002E3067" w:rsidRPr="002E3067" w:rsidRDefault="002E3067"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2E3067">
              <w:rPr>
                <w:sz w:val="20"/>
              </w:rPr>
              <w:t>Short</w:t>
            </w:r>
          </w:p>
        </w:tc>
      </w:tr>
      <w:tr w:rsidR="002E3067" w:rsidRPr="00324C84" w14:paraId="51F26763" w14:textId="77777777" w:rsidTr="0001380F">
        <w:trPr>
          <w:trHeight w:val="85"/>
          <w:jc w:val="right"/>
        </w:trPr>
        <w:tc>
          <w:tcPr>
            <w:cnfStyle w:val="001000000000" w:firstRow="0" w:lastRow="0" w:firstColumn="1" w:lastColumn="0" w:oddVBand="0" w:evenVBand="0" w:oddHBand="0" w:evenHBand="0" w:firstRowFirstColumn="0" w:firstRowLastColumn="0" w:lastRowFirstColumn="0" w:lastRowLastColumn="0"/>
            <w:tcW w:w="198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FC35889" w14:textId="77777777" w:rsidR="002E3067" w:rsidRPr="002E3067" w:rsidRDefault="002E3067" w:rsidP="00CE5053">
            <w:pPr>
              <w:spacing w:before="40" w:after="40"/>
              <w:rPr>
                <w:sz w:val="20"/>
                <w:szCs w:val="20"/>
              </w:rPr>
            </w:pPr>
            <w:r w:rsidRPr="002E3067">
              <w:rPr>
                <w:sz w:val="20"/>
              </w:rPr>
              <w:t>Ringway Corridor (Southend Land and Whitefoot Lane) Medium</w:t>
            </w:r>
          </w:p>
        </w:tc>
        <w:tc>
          <w:tcPr>
            <w:tcW w:w="3011"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9497B9C" w14:textId="77777777" w:rsidR="002E3067" w:rsidRPr="002E3067" w:rsidRDefault="002E3067"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2E3067">
              <w:rPr>
                <w:sz w:val="20"/>
              </w:rPr>
              <w:t>Medium</w:t>
            </w:r>
          </w:p>
        </w:tc>
      </w:tr>
      <w:tr w:rsidR="002E3067" w:rsidRPr="00324C84" w14:paraId="3BFAB119" w14:textId="77777777" w:rsidTr="0001380F">
        <w:trPr>
          <w:cnfStyle w:val="000000100000" w:firstRow="0" w:lastRow="0" w:firstColumn="0" w:lastColumn="0" w:oddVBand="0" w:evenVBand="0" w:oddHBand="1" w:evenHBand="0" w:firstRowFirstColumn="0" w:firstRowLastColumn="0" w:lastRowFirstColumn="0" w:lastRowLastColumn="0"/>
          <w:trHeight w:val="85"/>
          <w:jc w:val="right"/>
        </w:trPr>
        <w:tc>
          <w:tcPr>
            <w:cnfStyle w:val="001000000000" w:firstRow="0" w:lastRow="0" w:firstColumn="1" w:lastColumn="0" w:oddVBand="0" w:evenVBand="0" w:oddHBand="0" w:evenHBand="0" w:firstRowFirstColumn="0" w:firstRowLastColumn="0" w:lastRowFirstColumn="0" w:lastRowLastColumn="0"/>
            <w:tcW w:w="198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BDD8C0B" w14:textId="77777777" w:rsidR="002E3067" w:rsidRPr="002E3067" w:rsidRDefault="002E3067" w:rsidP="00CE5053">
            <w:pPr>
              <w:spacing w:before="40" w:after="40"/>
              <w:rPr>
                <w:sz w:val="20"/>
                <w:szCs w:val="20"/>
              </w:rPr>
            </w:pPr>
            <w:r w:rsidRPr="002E3067">
              <w:rPr>
                <w:sz w:val="20"/>
              </w:rPr>
              <w:t>Healthy Neighbourhoods Short to medium</w:t>
            </w:r>
          </w:p>
        </w:tc>
        <w:tc>
          <w:tcPr>
            <w:tcW w:w="3011"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1D2D06D" w14:textId="77777777" w:rsidR="002E3067" w:rsidRPr="002E3067" w:rsidRDefault="002E3067"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2E3067">
              <w:rPr>
                <w:sz w:val="20"/>
              </w:rPr>
              <w:t>Short to medium</w:t>
            </w:r>
          </w:p>
        </w:tc>
      </w:tr>
    </w:tbl>
    <w:p w14:paraId="600EFA50" w14:textId="77777777" w:rsidR="002E3067" w:rsidRDefault="002E3067" w:rsidP="00CE5053">
      <w:pPr>
        <w:pStyle w:val="Caption"/>
        <w:spacing w:before="120" w:after="360"/>
        <w:ind w:left="720"/>
        <w:rPr>
          <w:i w:val="0"/>
          <w:color w:val="auto"/>
        </w:rPr>
      </w:pPr>
      <w:r>
        <w:rPr>
          <w:b/>
          <w:i w:val="0"/>
          <w:color w:val="auto"/>
        </w:rPr>
        <w:t>T</w:t>
      </w:r>
      <w:r w:rsidRPr="00F067AD">
        <w:rPr>
          <w:b/>
          <w:i w:val="0"/>
          <w:color w:val="auto"/>
        </w:rPr>
        <w:t xml:space="preserve">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16</w:t>
      </w:r>
      <w:r>
        <w:rPr>
          <w:b/>
          <w:i w:val="0"/>
          <w:color w:val="auto"/>
        </w:rPr>
        <w:fldChar w:fldCharType="end"/>
      </w:r>
      <w:r w:rsidRPr="00C43DD5">
        <w:rPr>
          <w:i w:val="0"/>
          <w:color w:val="auto"/>
        </w:rPr>
        <w:t xml:space="preserve"> </w:t>
      </w:r>
      <w:r>
        <w:rPr>
          <w:i w:val="0"/>
          <w:color w:val="auto"/>
        </w:rPr>
        <w:t>Major road ‘red route’ improvement projects. Source: LB Lewisham</w:t>
      </w:r>
    </w:p>
    <w:p w14:paraId="2B68B59D" w14:textId="77777777" w:rsidR="00327843" w:rsidRDefault="00EB36B2" w:rsidP="00CE5053">
      <w:pPr>
        <w:pStyle w:val="ListParagraph"/>
        <w:numPr>
          <w:ilvl w:val="0"/>
          <w:numId w:val="21"/>
        </w:numPr>
        <w:spacing w:after="240"/>
        <w:ind w:left="737" w:hanging="737"/>
        <w:contextualSpacing w:val="0"/>
      </w:pPr>
      <w:r>
        <w:t>As part of the ‘Vision Zero’ Action Plan, TfL have announced the intention to introduce a 20 mph speed limit on major road ‘red routes’ in town centres and other high-risk areas. This would include the A21 between Catford and Lewisham, sections of the South Circular Road and the A245. Measures proposed include a review of the approach to powered-two-wheeler restrictions in bus lanes, and the introduction of a 20mph speed limit on all TLRN roads, to provide a more cohesive road network and reduce any uncertainty for more vulnerable users.</w:t>
      </w:r>
    </w:p>
    <w:p w14:paraId="2A80C38A" w14:textId="77777777" w:rsidR="00EB36B2" w:rsidRDefault="00EB36B2" w:rsidP="00CE5053">
      <w:pPr>
        <w:pStyle w:val="ListParagraph"/>
        <w:numPr>
          <w:ilvl w:val="0"/>
          <w:numId w:val="21"/>
        </w:numPr>
        <w:spacing w:after="240"/>
        <w:ind w:left="737" w:hanging="737"/>
        <w:contextualSpacing w:val="0"/>
      </w:pPr>
      <w:r>
        <w:lastRenderedPageBreak/>
        <w:t>The Council has succeeded in bringing 90% of its bus stops to accessible standards, and it aims to increase this by bringing all bus stops (where feasible), to TfL accessible standards over the life of the Local Plan period.</w:t>
      </w:r>
    </w:p>
    <w:p w14:paraId="574B741D" w14:textId="77777777" w:rsidR="00307563" w:rsidRDefault="00307563" w:rsidP="00CE5053">
      <w:pPr>
        <w:pStyle w:val="ListParagraph"/>
        <w:numPr>
          <w:ilvl w:val="0"/>
          <w:numId w:val="0"/>
        </w:numPr>
        <w:spacing w:after="240"/>
        <w:ind w:left="737"/>
        <w:contextualSpacing w:val="0"/>
      </w:pPr>
      <w:r w:rsidRPr="00893442">
        <w:rPr>
          <w:b/>
        </w:rPr>
        <w:t>Other projects include:</w:t>
      </w:r>
    </w:p>
    <w:p w14:paraId="32CD89BB" w14:textId="77777777" w:rsidR="00307563" w:rsidRDefault="00307563" w:rsidP="00CE5053">
      <w:pPr>
        <w:spacing w:after="60"/>
        <w:ind w:firstLine="720"/>
        <w:rPr>
          <w:bCs/>
        </w:rPr>
      </w:pPr>
      <w:r w:rsidRPr="00307563">
        <w:rPr>
          <w:bCs/>
          <w:i/>
        </w:rPr>
        <w:t>Ringway Corridor Improvements</w:t>
      </w:r>
    </w:p>
    <w:p w14:paraId="54677BDD" w14:textId="77777777" w:rsidR="00307563" w:rsidRPr="00307563" w:rsidRDefault="00307563" w:rsidP="00CE5053">
      <w:pPr>
        <w:pStyle w:val="ListParagraph"/>
        <w:numPr>
          <w:ilvl w:val="0"/>
          <w:numId w:val="21"/>
        </w:numPr>
        <w:spacing w:after="240"/>
        <w:ind w:left="737" w:hanging="737"/>
        <w:contextualSpacing w:val="0"/>
      </w:pPr>
      <w:r>
        <w:t xml:space="preserve">Proposals to improve the public realm environment and provide better active travel and public transport links through the reallocation of excess carriageway space between Southend Lane and Whitefoot Lane. The Council will be considering the location’s potential to become a bus priority corridor or/and active travel corridor with enhanced bus/cycle lanes, alongside installation of new linear parks. </w:t>
      </w:r>
    </w:p>
    <w:p w14:paraId="450D450A" w14:textId="77777777" w:rsidR="00307563" w:rsidRDefault="00307563" w:rsidP="00CE5053">
      <w:pPr>
        <w:ind w:firstLine="720"/>
        <w:rPr>
          <w:bCs/>
          <w:i/>
        </w:rPr>
      </w:pPr>
      <w:r w:rsidRPr="00307563">
        <w:rPr>
          <w:bCs/>
          <w:i/>
        </w:rPr>
        <w:t>Public Transport Supporting Interventions</w:t>
      </w:r>
    </w:p>
    <w:p w14:paraId="0E6C8AF9" w14:textId="77777777" w:rsidR="00307563" w:rsidRDefault="00307563" w:rsidP="00CE5053">
      <w:pPr>
        <w:pStyle w:val="ListParagraph"/>
        <w:numPr>
          <w:ilvl w:val="0"/>
          <w:numId w:val="21"/>
        </w:numPr>
        <w:spacing w:after="240"/>
        <w:ind w:left="737" w:hanging="737"/>
        <w:contextualSpacing w:val="0"/>
      </w:pPr>
      <w:r>
        <w:t>A programme of supporting measures to compliment strategic schemes outlined in the TfL Business Plan, as well as any other longer term transport aspirations proposed in Council’s Transport Strategy. This includes works to improve pedestrian accessibility to rail stations, complete Council’s Bus Stop Accessibility Programme.</w:t>
      </w:r>
    </w:p>
    <w:p w14:paraId="3B4902DB" w14:textId="77777777" w:rsidR="003C64FE" w:rsidRDefault="003C64FE" w:rsidP="00CE5053">
      <w:r>
        <w:br w:type="page"/>
      </w:r>
    </w:p>
    <w:p w14:paraId="33DAF30E" w14:textId="77777777" w:rsidR="002E3067" w:rsidRDefault="002E3067" w:rsidP="00CE5053">
      <w:pPr>
        <w:pStyle w:val="Heading2"/>
      </w:pPr>
      <w:bookmarkStart w:id="57" w:name="_Toc56146040"/>
      <w:bookmarkEnd w:id="56"/>
      <w:r>
        <w:lastRenderedPageBreak/>
        <w:t>Local transport infrastructure</w:t>
      </w:r>
      <w:bookmarkEnd w:id="57"/>
    </w:p>
    <w:p w14:paraId="6BBA9250" w14:textId="77777777" w:rsidR="002E3067" w:rsidRDefault="002E3067" w:rsidP="00CE5053">
      <w:pPr>
        <w:pStyle w:val="Heading3"/>
      </w:pPr>
      <w:bookmarkStart w:id="58" w:name="_Toc56146041"/>
      <w:r>
        <w:t>Local road network</w:t>
      </w:r>
      <w:bookmarkEnd w:id="58"/>
    </w:p>
    <w:p w14:paraId="59F75734" w14:textId="77777777" w:rsidR="003C64FE" w:rsidRDefault="003C64FE" w:rsidP="00CE5053">
      <w:pPr>
        <w:pStyle w:val="ListParagraph"/>
        <w:numPr>
          <w:ilvl w:val="0"/>
          <w:numId w:val="21"/>
        </w:numPr>
        <w:spacing w:after="240"/>
        <w:ind w:left="737" w:hanging="737"/>
        <w:contextualSpacing w:val="0"/>
      </w:pPr>
      <w:r>
        <w:t>Lewisham is proposing a traffic reduction strategy that aims to target rat-running and encouraging active travel as the most direct routes. The Council will implement this, in collaboration with communities, through localised road closures to through-traffic and one-way enforcements, complemented by a range of other measures, through a Healthy Neighbourhoods programme.</w:t>
      </w:r>
    </w:p>
    <w:p w14:paraId="2C259AAF" w14:textId="77777777" w:rsidR="00FB37F1" w:rsidRPr="003C64FE" w:rsidRDefault="00FB37F1" w:rsidP="00CE5053">
      <w:pPr>
        <w:pStyle w:val="ListParagraph"/>
        <w:numPr>
          <w:ilvl w:val="0"/>
          <w:numId w:val="0"/>
        </w:numPr>
        <w:spacing w:after="240"/>
        <w:ind w:left="737"/>
        <w:contextualSpacing w:val="0"/>
        <w:rPr>
          <w:b/>
        </w:rPr>
      </w:pPr>
      <w:r w:rsidRPr="003C64FE">
        <w:rPr>
          <w:b/>
        </w:rPr>
        <w:t>Future requirement</w:t>
      </w:r>
    </w:p>
    <w:p w14:paraId="22BFC58B" w14:textId="77777777" w:rsidR="008127B6" w:rsidRPr="00FB37F1" w:rsidRDefault="008127B6" w:rsidP="00CE5053">
      <w:pPr>
        <w:pStyle w:val="ListParagraph"/>
        <w:numPr>
          <w:ilvl w:val="0"/>
          <w:numId w:val="21"/>
        </w:numPr>
        <w:spacing w:after="240"/>
        <w:ind w:left="737" w:hanging="737"/>
        <w:contextualSpacing w:val="0"/>
      </w:pPr>
      <w:r>
        <w:t>There will be a negligible expansion of the local road network in Lewisham, as all new development expected to be delivered over the life of the new Local Plan will be delivered on infill sites. Projects to improve the provision of the existing local road network are identified below.</w:t>
      </w:r>
    </w:p>
    <w:p w14:paraId="64727355" w14:textId="77777777" w:rsidR="00FB37F1" w:rsidRDefault="00FB37F1" w:rsidP="00CE5053">
      <w:pPr>
        <w:spacing w:after="60"/>
        <w:ind w:firstLine="720"/>
        <w:rPr>
          <w:bCs/>
        </w:rPr>
      </w:pPr>
      <w:r w:rsidRPr="00FB37F1">
        <w:rPr>
          <w:bCs/>
          <w:i/>
        </w:rPr>
        <w:t>Road Danger Reduction</w:t>
      </w:r>
    </w:p>
    <w:p w14:paraId="59D0E4ED" w14:textId="77777777" w:rsidR="00FB37F1" w:rsidRPr="00FB37F1" w:rsidRDefault="00FB37F1" w:rsidP="00CE5053">
      <w:pPr>
        <w:pStyle w:val="ListParagraph"/>
        <w:numPr>
          <w:ilvl w:val="0"/>
          <w:numId w:val="21"/>
        </w:numPr>
        <w:spacing w:after="240"/>
        <w:ind w:left="737" w:hanging="737"/>
        <w:contextualSpacing w:val="0"/>
      </w:pPr>
      <w:r>
        <w:t>A programme of measures to reduce road danger, aligning with the Mayor of London’s “Vision Zero” objective. Short term projects include introducing traffic calming measures to support the delivery and implementation of a 20 mph speed limit across the borough, reduce the dominance and overall number of vehicles on the local road network, create safer streets to encourage people to walk, cycle and use public transport.</w:t>
      </w:r>
    </w:p>
    <w:p w14:paraId="28D750FA" w14:textId="77777777" w:rsidR="00FB37F1" w:rsidRDefault="00FB37F1" w:rsidP="00CE5053">
      <w:pPr>
        <w:spacing w:after="60"/>
        <w:ind w:firstLine="720"/>
        <w:rPr>
          <w:bCs/>
        </w:rPr>
      </w:pPr>
      <w:r w:rsidRPr="00FB37F1">
        <w:rPr>
          <w:bCs/>
          <w:i/>
        </w:rPr>
        <w:t>Air Quality and Noise</w:t>
      </w:r>
      <w:r w:rsidR="008127B6">
        <w:rPr>
          <w:bCs/>
          <w:i/>
        </w:rPr>
        <w:t xml:space="preserve"> Reduction</w:t>
      </w:r>
    </w:p>
    <w:p w14:paraId="7A0D98F5" w14:textId="77777777" w:rsidR="00FB37F1" w:rsidRDefault="00FB37F1" w:rsidP="00CE5053">
      <w:pPr>
        <w:pStyle w:val="ListParagraph"/>
        <w:numPr>
          <w:ilvl w:val="0"/>
          <w:numId w:val="21"/>
        </w:numPr>
        <w:spacing w:after="240"/>
        <w:ind w:left="737" w:hanging="737"/>
        <w:contextualSpacing w:val="0"/>
      </w:pPr>
      <w:r>
        <w:t xml:space="preserve">A programme to improve air quality in the borough. Projects that could be completed in the short term </w:t>
      </w:r>
      <w:r w:rsidR="008127B6">
        <w:t>includes t</w:t>
      </w:r>
      <w:r>
        <w:t xml:space="preserve">he delivery of electric vehicle charging infrastructure. The programme </w:t>
      </w:r>
      <w:r w:rsidR="008127B6">
        <w:t>will also</w:t>
      </w:r>
      <w:r>
        <w:t xml:space="preserve"> </w:t>
      </w:r>
      <w:r w:rsidR="008127B6">
        <w:t>investigate</w:t>
      </w:r>
      <w:r>
        <w:t xml:space="preserve"> the potential to provide funding for the monitoring of air quality and noise within the borough. </w:t>
      </w:r>
    </w:p>
    <w:p w14:paraId="7AD890A4" w14:textId="77777777" w:rsidR="008127B6" w:rsidRDefault="008127B6" w:rsidP="00CE5053">
      <w:pPr>
        <w:spacing w:after="240"/>
        <w:ind w:firstLine="720"/>
      </w:pPr>
      <w:r w:rsidRPr="008127B6">
        <w:rPr>
          <w:bCs/>
          <w:i/>
        </w:rPr>
        <w:t>Ultra-Low Emission Zone</w:t>
      </w:r>
      <w:r w:rsidRPr="008127B6">
        <w:rPr>
          <w:i/>
        </w:rPr>
        <w:t xml:space="preserve"> (ULEZ)</w:t>
      </w:r>
    </w:p>
    <w:p w14:paraId="71186CB3" w14:textId="77777777" w:rsidR="008127B6" w:rsidRDefault="008127B6" w:rsidP="00CE5053">
      <w:pPr>
        <w:pStyle w:val="ListParagraph"/>
        <w:numPr>
          <w:ilvl w:val="0"/>
          <w:numId w:val="21"/>
        </w:numPr>
        <w:spacing w:after="240"/>
        <w:ind w:left="737" w:hanging="737"/>
        <w:contextualSpacing w:val="0"/>
      </w:pPr>
      <w:r>
        <w:t>From October 2021 the ULEZ will be expanded to include all areas of the borough to the north of the South Circular. In the longer term the Council will assess the feasibility of seeking to further expand the ULEZ to cover the entire borough.</w:t>
      </w:r>
    </w:p>
    <w:p w14:paraId="1F14BA5A" w14:textId="77777777" w:rsidR="00307563" w:rsidRDefault="00307563" w:rsidP="00CE5053">
      <w:pPr>
        <w:pStyle w:val="ListParagraph"/>
        <w:numPr>
          <w:ilvl w:val="0"/>
          <w:numId w:val="0"/>
        </w:numPr>
        <w:spacing w:after="60"/>
        <w:ind w:left="360" w:firstLine="360"/>
        <w:contextualSpacing w:val="0"/>
        <w:rPr>
          <w:bCs/>
          <w:i/>
        </w:rPr>
      </w:pPr>
      <w:r w:rsidRPr="00307563">
        <w:rPr>
          <w:bCs/>
          <w:i/>
        </w:rPr>
        <w:t>Low Emission Bus Zones (LEBZ)</w:t>
      </w:r>
    </w:p>
    <w:p w14:paraId="1EA6B65F" w14:textId="77777777" w:rsidR="00307563" w:rsidRPr="00307563" w:rsidRDefault="00307563" w:rsidP="00CE5053">
      <w:pPr>
        <w:pStyle w:val="ListParagraph"/>
        <w:numPr>
          <w:ilvl w:val="0"/>
          <w:numId w:val="21"/>
        </w:numPr>
        <w:spacing w:after="240"/>
        <w:ind w:left="737" w:hanging="737"/>
        <w:contextualSpacing w:val="0"/>
      </w:pPr>
      <w:r>
        <w:t>The expansion of the London Mayor’s Low Emission Bus Zones beyond the current coverage to include Lewisham and Catford.</w:t>
      </w:r>
    </w:p>
    <w:p w14:paraId="45E84099" w14:textId="77777777" w:rsidR="002E3067" w:rsidRDefault="002E3067" w:rsidP="00CE5053">
      <w:pPr>
        <w:pStyle w:val="Heading3"/>
      </w:pPr>
      <w:bookmarkStart w:id="59" w:name="_Toc56146042"/>
      <w:r>
        <w:t>Walking and cycling network</w:t>
      </w:r>
      <w:bookmarkEnd w:id="59"/>
    </w:p>
    <w:p w14:paraId="135B1791" w14:textId="77777777" w:rsidR="00795C27" w:rsidRDefault="00795C27" w:rsidP="00CE5053">
      <w:pPr>
        <w:pStyle w:val="ListParagraph"/>
        <w:numPr>
          <w:ilvl w:val="0"/>
          <w:numId w:val="0"/>
        </w:numPr>
        <w:spacing w:after="240"/>
        <w:ind w:left="737"/>
        <w:contextualSpacing w:val="0"/>
      </w:pPr>
      <w:r>
        <w:rPr>
          <w:b/>
        </w:rPr>
        <w:t>Current situation</w:t>
      </w:r>
    </w:p>
    <w:p w14:paraId="57EF3464" w14:textId="77777777" w:rsidR="0001380F" w:rsidRDefault="0001380F" w:rsidP="00CE5053">
      <w:pPr>
        <w:pStyle w:val="ListParagraph"/>
        <w:numPr>
          <w:ilvl w:val="0"/>
          <w:numId w:val="21"/>
        </w:numPr>
        <w:spacing w:after="240"/>
        <w:ind w:left="737" w:hanging="737"/>
        <w:contextualSpacing w:val="0"/>
      </w:pPr>
      <w:r>
        <w:t>The borough benefits from an existing network of signed and off-road riverside paths, including the National Cycle Route 21, the Waterlink Way, and large areas of low movement local residential streets. The Council has also introduced a borough-wide 20 mph speed limit on all borough-controlled roads.</w:t>
      </w:r>
    </w:p>
    <w:p w14:paraId="643624BB" w14:textId="77777777" w:rsidR="002E3067" w:rsidRPr="002E3067" w:rsidRDefault="0001380F" w:rsidP="00CE5053">
      <w:pPr>
        <w:pStyle w:val="ListParagraph"/>
        <w:numPr>
          <w:ilvl w:val="0"/>
          <w:numId w:val="21"/>
        </w:numPr>
        <w:spacing w:after="240"/>
        <w:ind w:left="737" w:hanging="737"/>
        <w:contextualSpacing w:val="0"/>
      </w:pPr>
      <w:r>
        <w:lastRenderedPageBreak/>
        <w:t xml:space="preserve">There is significant potential to increase the number of cycling journeys in Lewisham, with analysis undertaken for the Lewisham Cycle Strategy indicating that there are currently approximately 282,600 trips made daily by residents that are could be made by bicycle. </w:t>
      </w:r>
    </w:p>
    <w:p w14:paraId="254728D1" w14:textId="77777777" w:rsidR="00DF60C7" w:rsidRPr="00595E96" w:rsidRDefault="00DF60C7" w:rsidP="00CE5053">
      <w:pPr>
        <w:tabs>
          <w:tab w:val="left" w:pos="720"/>
          <w:tab w:val="left" w:pos="1440"/>
          <w:tab w:val="left" w:pos="2160"/>
        </w:tabs>
        <w:spacing w:after="120"/>
        <w:ind w:left="578" w:firstLine="142"/>
      </w:pPr>
      <w:r w:rsidRPr="006D64E6">
        <w:rPr>
          <w:b/>
        </w:rPr>
        <w:t xml:space="preserve">Future </w:t>
      </w:r>
      <w:r w:rsidR="005F5AF5" w:rsidRPr="006D64E6">
        <w:rPr>
          <w:b/>
        </w:rPr>
        <w:t>requirement</w:t>
      </w:r>
    </w:p>
    <w:p w14:paraId="26CF2B53" w14:textId="77777777" w:rsidR="007B244D" w:rsidRDefault="008500A8" w:rsidP="00CE5053">
      <w:pPr>
        <w:pStyle w:val="ListParagraph"/>
        <w:numPr>
          <w:ilvl w:val="0"/>
          <w:numId w:val="21"/>
        </w:numPr>
        <w:spacing w:after="240"/>
        <w:ind w:left="737" w:hanging="737"/>
        <w:contextualSpacing w:val="0"/>
      </w:pPr>
      <w:r>
        <w:t xml:space="preserve">Given the anticipated population growth in the borough over the period of the new Local Plan, it is </w:t>
      </w:r>
      <w:r w:rsidR="007B244D">
        <w:t>essential that current and future residents are incentivised to complete more local trips by walking and cycling. Th</w:t>
      </w:r>
      <w:r>
        <w:t xml:space="preserve">e Council’s Transport Strategy </w:t>
      </w:r>
      <w:r w:rsidR="007B244D">
        <w:t>provides a range of potential local interventions that, if implemented, and to achieve the following outcomes:</w:t>
      </w:r>
    </w:p>
    <w:p w14:paraId="229488AA" w14:textId="77777777" w:rsidR="008500A8" w:rsidRPr="007B244D" w:rsidRDefault="008500A8" w:rsidP="00CE5053">
      <w:pPr>
        <w:pStyle w:val="ListParagraph"/>
        <w:numPr>
          <w:ilvl w:val="0"/>
          <w:numId w:val="5"/>
        </w:numPr>
        <w:spacing w:after="60"/>
        <w:ind w:left="1077" w:hanging="357"/>
        <w:contextualSpacing w:val="0"/>
        <w:rPr>
          <w:bCs/>
        </w:rPr>
      </w:pPr>
      <w:r w:rsidRPr="007B244D">
        <w:rPr>
          <w:bCs/>
        </w:rPr>
        <w:t>70% of residents doing at least 2x10 minutes of active travel a day by 2041</w:t>
      </w:r>
      <w:r w:rsidR="007B244D">
        <w:rPr>
          <w:bCs/>
        </w:rPr>
        <w:t>; and</w:t>
      </w:r>
    </w:p>
    <w:p w14:paraId="20FB8496" w14:textId="77777777" w:rsidR="007B244D" w:rsidRPr="008127B6" w:rsidRDefault="008500A8" w:rsidP="00CE5053">
      <w:pPr>
        <w:pStyle w:val="ListParagraph"/>
        <w:numPr>
          <w:ilvl w:val="0"/>
          <w:numId w:val="5"/>
        </w:numPr>
        <w:spacing w:after="240"/>
        <w:ind w:left="1077" w:hanging="357"/>
        <w:contextualSpacing w:val="0"/>
        <w:rPr>
          <w:bCs/>
        </w:rPr>
      </w:pPr>
      <w:r w:rsidRPr="007B244D">
        <w:rPr>
          <w:bCs/>
        </w:rPr>
        <w:t>71% of residents will live within 400 metres of the strategic cycle network by 2041</w:t>
      </w:r>
      <w:r w:rsidR="007B244D">
        <w:rPr>
          <w:bCs/>
        </w:rPr>
        <w:t>.</w:t>
      </w:r>
    </w:p>
    <w:p w14:paraId="15205FA1" w14:textId="77777777" w:rsidR="00FB37F1" w:rsidRDefault="007B244D" w:rsidP="00CE5053">
      <w:pPr>
        <w:pStyle w:val="ListParagraph"/>
        <w:numPr>
          <w:ilvl w:val="0"/>
          <w:numId w:val="21"/>
        </w:numPr>
        <w:spacing w:after="240"/>
        <w:ind w:left="737" w:hanging="737"/>
        <w:contextualSpacing w:val="0"/>
      </w:pPr>
      <w:r>
        <w:t>The Strategy</w:t>
      </w:r>
      <w:r w:rsidR="008500A8">
        <w:t xml:space="preserve"> identifies the opportunity to increase active travel links to public transport </w:t>
      </w:r>
      <w:r>
        <w:t>nodes</w:t>
      </w:r>
      <w:r w:rsidR="008500A8">
        <w:t xml:space="preserve">, where higher instances of multi-modal journeys associated with accessing public transport can be supported, particularly in the south of the borough where active travel is shown to be the lowest. </w:t>
      </w:r>
    </w:p>
    <w:p w14:paraId="7BBE894D" w14:textId="77777777" w:rsidR="008500A8" w:rsidRDefault="008500A8" w:rsidP="00CE5053">
      <w:pPr>
        <w:pStyle w:val="ListParagraph"/>
        <w:numPr>
          <w:ilvl w:val="0"/>
          <w:numId w:val="21"/>
        </w:numPr>
        <w:spacing w:after="240"/>
        <w:ind w:left="737" w:hanging="737"/>
        <w:contextualSpacing w:val="0"/>
      </w:pPr>
      <w:r>
        <w:t>To increase the proportion of residents that will live within 400m of the strategic cycle network (SCN)</w:t>
      </w:r>
      <w:r w:rsidR="007B244D">
        <w:t>,</w:t>
      </w:r>
      <w:r>
        <w:t xml:space="preserve"> the </w:t>
      </w:r>
      <w:r w:rsidR="007B244D">
        <w:t>Strategy</w:t>
      </w:r>
      <w:r>
        <w:t xml:space="preserve"> highlight</w:t>
      </w:r>
      <w:r w:rsidR="007B244D">
        <w:t>s</w:t>
      </w:r>
      <w:r>
        <w:t xml:space="preserve"> that in addition to </w:t>
      </w:r>
      <w:r w:rsidR="007B244D">
        <w:t xml:space="preserve">existing and </w:t>
      </w:r>
      <w:r>
        <w:t>committed schemes in the Lewisham Cycle Strategy</w:t>
      </w:r>
      <w:r w:rsidR="007B244D">
        <w:t>,</w:t>
      </w:r>
      <w:r>
        <w:t xml:space="preserve"> there </w:t>
      </w:r>
      <w:r w:rsidR="007B244D">
        <w:t xml:space="preserve">is a need </w:t>
      </w:r>
      <w:r>
        <w:t xml:space="preserve">to deliver </w:t>
      </w:r>
      <w:r w:rsidR="007B244D">
        <w:t xml:space="preserve">all of the Cycleway </w:t>
      </w:r>
      <w:r>
        <w:t xml:space="preserve">route proposals identified </w:t>
      </w:r>
      <w:r w:rsidR="007B244D">
        <w:t>in the Lewisham Cycle Strategy. This i</w:t>
      </w:r>
      <w:r>
        <w:t>nclud</w:t>
      </w:r>
      <w:r w:rsidR="007B244D">
        <w:t>es</w:t>
      </w:r>
      <w:r>
        <w:t xml:space="preserve"> routes not </w:t>
      </w:r>
      <w:r w:rsidR="007B244D">
        <w:t xml:space="preserve">currently </w:t>
      </w:r>
      <w:r>
        <w:t xml:space="preserve">identified by TfL as </w:t>
      </w:r>
      <w:r w:rsidR="007B244D">
        <w:t xml:space="preserve">current </w:t>
      </w:r>
      <w:r>
        <w:t>priorities</w:t>
      </w:r>
      <w:r w:rsidR="007B244D">
        <w:t>.</w:t>
      </w:r>
    </w:p>
    <w:p w14:paraId="58278D00" w14:textId="77777777" w:rsidR="008500A8" w:rsidRDefault="007B244D" w:rsidP="00CE5053">
      <w:pPr>
        <w:pStyle w:val="ListParagraph"/>
        <w:numPr>
          <w:ilvl w:val="0"/>
          <w:numId w:val="21"/>
        </w:numPr>
        <w:spacing w:after="240"/>
        <w:ind w:left="737" w:hanging="737"/>
        <w:contextualSpacing w:val="0"/>
      </w:pPr>
      <w:r>
        <w:t>There are a series of</w:t>
      </w:r>
      <w:r w:rsidR="008500A8">
        <w:t xml:space="preserve"> local projects that could be initiated to improve the borough’s walking and cycling network, including:</w:t>
      </w:r>
    </w:p>
    <w:p w14:paraId="0171D6A7" w14:textId="77777777" w:rsidR="00FB37F1" w:rsidRDefault="00FB37F1" w:rsidP="00CE5053">
      <w:pPr>
        <w:spacing w:after="60"/>
        <w:ind w:firstLine="720"/>
        <w:rPr>
          <w:bCs/>
          <w:i/>
        </w:rPr>
      </w:pPr>
      <w:r w:rsidRPr="00FB37F1">
        <w:rPr>
          <w:bCs/>
          <w:i/>
        </w:rPr>
        <w:t>The Lewisham Spine/A21 Healthy Streets corridor</w:t>
      </w:r>
    </w:p>
    <w:p w14:paraId="52DDD162" w14:textId="77777777" w:rsidR="00FB37F1" w:rsidRDefault="00FB37F1" w:rsidP="00CE5053">
      <w:pPr>
        <w:pStyle w:val="ListParagraph"/>
        <w:numPr>
          <w:ilvl w:val="0"/>
          <w:numId w:val="21"/>
        </w:numPr>
        <w:spacing w:after="240"/>
        <w:ind w:left="737" w:hanging="737"/>
        <w:contextualSpacing w:val="0"/>
      </w:pPr>
      <w:r>
        <w:t xml:space="preserve">Comprises a proposal for a ‘Healthy Streets’ corridor along a central spine running through the borough, from Cycle Superhighway 4 (A200) to Bromley Road (A21), supporting better connections between the south of borough and public transport provisions in the north. </w:t>
      </w:r>
    </w:p>
    <w:p w14:paraId="7A65275F" w14:textId="77777777" w:rsidR="00FB37F1" w:rsidRPr="00595E96" w:rsidRDefault="00FB37F1" w:rsidP="00CE5053">
      <w:pPr>
        <w:pStyle w:val="ListParagraph"/>
        <w:numPr>
          <w:ilvl w:val="0"/>
          <w:numId w:val="21"/>
        </w:numPr>
        <w:spacing w:after="240"/>
        <w:ind w:left="737" w:hanging="737"/>
        <w:contextualSpacing w:val="0"/>
      </w:pPr>
      <w:r>
        <w:t>The corridor will include Healthy Street improvements, cycle superhighway standard facilities, low emission bus zones, piazza-style public realm to create attractive environments for active travel, and support more multi-modal journeys. The proposals also include a major public realm improvement scheme at Deptford’s Church Street.</w:t>
      </w:r>
    </w:p>
    <w:p w14:paraId="5575E460" w14:textId="77777777" w:rsidR="00FB37F1" w:rsidRDefault="00FB37F1" w:rsidP="00CE5053">
      <w:pPr>
        <w:spacing w:after="60"/>
        <w:ind w:firstLine="720"/>
        <w:rPr>
          <w:bCs/>
          <w:i/>
        </w:rPr>
      </w:pPr>
      <w:r w:rsidRPr="00FB37F1">
        <w:rPr>
          <w:bCs/>
          <w:i/>
        </w:rPr>
        <w:t>Lewisham Town Centre</w:t>
      </w:r>
    </w:p>
    <w:p w14:paraId="10C1FCEC" w14:textId="77777777" w:rsidR="00FB37F1" w:rsidRPr="00595E96" w:rsidRDefault="00FB37F1" w:rsidP="00CE5053">
      <w:pPr>
        <w:pStyle w:val="ListParagraph"/>
        <w:numPr>
          <w:ilvl w:val="0"/>
          <w:numId w:val="21"/>
        </w:numPr>
        <w:spacing w:after="240"/>
        <w:ind w:left="737" w:hanging="737"/>
        <w:contextualSpacing w:val="0"/>
      </w:pPr>
      <w:r>
        <w:t xml:space="preserve">Comprises transport schemes and opportunities identified in the Lewisham Town Centre Local Plan, to improve the streetscape environment, and provide better pedestrian and cycling routes and facilities to support a more connected town centre that encourages more walking and cycling activities and the use of public transport provisions in the area. Improved transport facilities are also seen as a key contributing factor to the attractiveness of the town centre for retail developments, and the elevation of the town centre’s status to a Metropolitan Centre. </w:t>
      </w:r>
    </w:p>
    <w:p w14:paraId="7A5681CB" w14:textId="77777777" w:rsidR="00FB37F1" w:rsidRDefault="00FB37F1" w:rsidP="00CE5053">
      <w:pPr>
        <w:spacing w:after="60"/>
        <w:ind w:firstLine="720"/>
        <w:rPr>
          <w:bCs/>
        </w:rPr>
      </w:pPr>
      <w:r w:rsidRPr="00FB37F1">
        <w:rPr>
          <w:bCs/>
          <w:i/>
        </w:rPr>
        <w:lastRenderedPageBreak/>
        <w:t xml:space="preserve">Catford </w:t>
      </w:r>
      <w:r w:rsidR="00893442">
        <w:rPr>
          <w:bCs/>
          <w:i/>
        </w:rPr>
        <w:t xml:space="preserve">Town Centre </w:t>
      </w:r>
      <w:r w:rsidRPr="00FB37F1">
        <w:rPr>
          <w:bCs/>
          <w:i/>
        </w:rPr>
        <w:t>Masterplan</w:t>
      </w:r>
    </w:p>
    <w:p w14:paraId="2C32D3A1" w14:textId="77777777" w:rsidR="00FB37F1" w:rsidRPr="00595E96" w:rsidRDefault="00FB37F1" w:rsidP="00CE5053">
      <w:pPr>
        <w:pStyle w:val="ListParagraph"/>
        <w:numPr>
          <w:ilvl w:val="0"/>
          <w:numId w:val="21"/>
        </w:numPr>
        <w:spacing w:after="240"/>
        <w:ind w:left="737" w:hanging="737"/>
        <w:contextualSpacing w:val="0"/>
      </w:pPr>
      <w:r>
        <w:t>Comprises transport schemes proposed in the emerging masterplan for Catford, including the realignment of the South Circular (A205), and better pedestrian and cycling routes and facilities to create a healthier street environment. The emerginhg masterplan also includes proposals for the replacement of the current gyratory with a new traffic junction and two way traffic flow lanes around Plassy Island.</w:t>
      </w:r>
    </w:p>
    <w:p w14:paraId="3CCC122A" w14:textId="77777777" w:rsidR="008500A8" w:rsidRDefault="008500A8" w:rsidP="00CE5053">
      <w:pPr>
        <w:spacing w:after="60"/>
        <w:ind w:firstLine="720"/>
        <w:rPr>
          <w:bCs/>
        </w:rPr>
      </w:pPr>
      <w:r w:rsidRPr="008500A8">
        <w:rPr>
          <w:bCs/>
          <w:i/>
        </w:rPr>
        <w:t>Healthy Neighbourhoods</w:t>
      </w:r>
    </w:p>
    <w:p w14:paraId="529DF051" w14:textId="77777777" w:rsidR="008500A8" w:rsidRDefault="008500A8" w:rsidP="00CE5053">
      <w:pPr>
        <w:pStyle w:val="ListParagraph"/>
        <w:numPr>
          <w:ilvl w:val="0"/>
          <w:numId w:val="21"/>
        </w:numPr>
        <w:spacing w:after="240"/>
        <w:ind w:left="737" w:hanging="737"/>
        <w:contextualSpacing w:val="0"/>
      </w:pPr>
      <w:r>
        <w:t>A local programme that seeks to reduce traffic congestion, improve air quality and encourage more active and sustainable modes of transit through: local road interventions (point closures, modal filters and banned turns); investing in better cycling routes and pedestrian facilities; improving the quality of the public realm by planting street trees, providing parklets and benches.</w:t>
      </w:r>
    </w:p>
    <w:p w14:paraId="1A19096A" w14:textId="77777777" w:rsidR="008500A8" w:rsidRPr="00595E96" w:rsidRDefault="008500A8" w:rsidP="00CE5053">
      <w:pPr>
        <w:pStyle w:val="ListParagraph"/>
        <w:numPr>
          <w:ilvl w:val="0"/>
          <w:numId w:val="21"/>
        </w:numPr>
        <w:spacing w:after="240"/>
        <w:ind w:left="737" w:hanging="737"/>
        <w:contextualSpacing w:val="0"/>
      </w:pPr>
      <w:r>
        <w:t>The Lewisham Healthy Neighbourhoods programme incorporates key principles from the Liveable Neighbourhood Schemes, and proposals are informed by discussions with key stakeholders and residents living within the neighbourhood area. The areas prioritised by the short term include Lewisham and Lee Green, East Sydenham, Telegraph Hill, and Bellingham.</w:t>
      </w:r>
    </w:p>
    <w:p w14:paraId="0C7E1FB9" w14:textId="77777777" w:rsidR="008500A8" w:rsidRDefault="008500A8" w:rsidP="00CE5053">
      <w:pPr>
        <w:spacing w:after="60"/>
        <w:ind w:firstLine="720"/>
        <w:rPr>
          <w:bCs/>
          <w:i/>
        </w:rPr>
      </w:pPr>
      <w:r w:rsidRPr="008500A8">
        <w:rPr>
          <w:bCs/>
          <w:i/>
        </w:rPr>
        <w:t>Crofton Park Corridor</w:t>
      </w:r>
    </w:p>
    <w:p w14:paraId="1EA6225C" w14:textId="77777777" w:rsidR="008500A8" w:rsidRDefault="008500A8" w:rsidP="00CE5053">
      <w:pPr>
        <w:pStyle w:val="ListParagraph"/>
        <w:numPr>
          <w:ilvl w:val="0"/>
          <w:numId w:val="21"/>
        </w:numPr>
        <w:spacing w:after="240"/>
        <w:ind w:left="737" w:hanging="737"/>
        <w:contextualSpacing w:val="0"/>
      </w:pPr>
      <w:r>
        <w:t>Project that includes works to enhance road safety, air quality and public realm quality along the B218 corridor (Brockley Road, Stondon Park and Brockley Rise). The scheme includes proposals for the narrowing of roads and the widening of footways, raised table junctions to reduce vehicle speeds, and the provision of improved pedestrian crossings, planting of new street trees and other public realm improvements.</w:t>
      </w:r>
    </w:p>
    <w:p w14:paraId="3429ACEA" w14:textId="77777777" w:rsidR="00307563" w:rsidRDefault="00307563" w:rsidP="00CE5053">
      <w:pPr>
        <w:pStyle w:val="ListParagraph"/>
        <w:numPr>
          <w:ilvl w:val="0"/>
          <w:numId w:val="0"/>
        </w:numPr>
        <w:spacing w:after="60"/>
        <w:ind w:left="360" w:firstLine="360"/>
        <w:contextualSpacing w:val="0"/>
        <w:rPr>
          <w:bCs/>
        </w:rPr>
      </w:pPr>
      <w:r w:rsidRPr="00307563">
        <w:rPr>
          <w:bCs/>
          <w:i/>
        </w:rPr>
        <w:t>Liveable Neighbourhood</w:t>
      </w:r>
      <w:r>
        <w:rPr>
          <w:bCs/>
        </w:rPr>
        <w:t>s</w:t>
      </w:r>
    </w:p>
    <w:p w14:paraId="4F22B839" w14:textId="77777777" w:rsidR="00307563" w:rsidRPr="00307563" w:rsidRDefault="00307563" w:rsidP="00CE5053">
      <w:pPr>
        <w:pStyle w:val="ListParagraph"/>
        <w:numPr>
          <w:ilvl w:val="0"/>
          <w:numId w:val="21"/>
        </w:numPr>
        <w:spacing w:after="240"/>
        <w:ind w:left="737" w:hanging="737"/>
        <w:contextualSpacing w:val="0"/>
      </w:pPr>
      <w:r>
        <w:t>Includes the Deptford Park Liveable Neighbourhood programme, and proposals to create healthier streets, improve air quality and works to make it easier and safer for people to walk and cycle in the Deptford Park area. The programme incorporates Cycle Highway 4, and fully integrating surrounding neighbourhoods to provide a high quality active travel network beyond the Cycle Highway 4 route.</w:t>
      </w:r>
    </w:p>
    <w:p w14:paraId="2E2D37FE" w14:textId="77777777" w:rsidR="008500A8" w:rsidRDefault="008500A8" w:rsidP="00CE5053">
      <w:pPr>
        <w:spacing w:after="60"/>
        <w:ind w:firstLine="720"/>
        <w:rPr>
          <w:bCs/>
        </w:rPr>
      </w:pPr>
      <w:r w:rsidRPr="008500A8">
        <w:rPr>
          <w:bCs/>
          <w:i/>
        </w:rPr>
        <w:t>Local Pedestrian Improvements</w:t>
      </w:r>
    </w:p>
    <w:p w14:paraId="7CC47943" w14:textId="77777777" w:rsidR="008500A8" w:rsidRPr="008500A8" w:rsidRDefault="008500A8" w:rsidP="00CE5053">
      <w:pPr>
        <w:pStyle w:val="ListParagraph"/>
        <w:numPr>
          <w:ilvl w:val="0"/>
          <w:numId w:val="21"/>
        </w:numPr>
        <w:spacing w:after="240"/>
        <w:ind w:left="737" w:hanging="737"/>
        <w:contextualSpacing w:val="0"/>
      </w:pPr>
      <w:r>
        <w:t>A programme of local transport improvements to provide a better walking environment. A key aspect of the programme is the improvement of pedestrian accessibility around rail stations, and ensuring that access to public transport provisions are fully inclusive and accessible to all. The 2019/20 programme includes the resurfacing of streets and improvement of public realm environments in areas outside Lewisham Shopping Centre.</w:t>
      </w:r>
    </w:p>
    <w:p w14:paraId="6DF5A88D" w14:textId="77777777" w:rsidR="008500A8" w:rsidRDefault="008500A8" w:rsidP="00CE5053">
      <w:pPr>
        <w:spacing w:after="60"/>
        <w:ind w:firstLine="720"/>
        <w:rPr>
          <w:bCs/>
        </w:rPr>
      </w:pPr>
      <w:r w:rsidRPr="008500A8">
        <w:rPr>
          <w:bCs/>
          <w:i/>
        </w:rPr>
        <w:t>Local Cycling Improvements</w:t>
      </w:r>
    </w:p>
    <w:p w14:paraId="549B5C98" w14:textId="77777777" w:rsidR="008500A8" w:rsidRPr="008500A8" w:rsidRDefault="008500A8" w:rsidP="00CE5053">
      <w:pPr>
        <w:pStyle w:val="ListParagraph"/>
        <w:numPr>
          <w:ilvl w:val="0"/>
          <w:numId w:val="21"/>
        </w:numPr>
        <w:spacing w:after="240"/>
        <w:ind w:left="737" w:hanging="737"/>
        <w:contextualSpacing w:val="0"/>
      </w:pPr>
      <w:r>
        <w:t xml:space="preserve">A programme of local transport improvements to support and encourage cycling in the borough. The 2019/20 programme includes the introduction of contraflow lanes to one-way routes, installation of secured cycle hangers and upgrading of existing cycle routes to support better linkages and connections with greenspaces to complement TfL’s Cycle Quietway and Cycle Superhighway programmes. </w:t>
      </w:r>
    </w:p>
    <w:p w14:paraId="2ED0D1A2" w14:textId="77777777" w:rsidR="00FB37F1" w:rsidRDefault="00FB37F1" w:rsidP="00CE5053">
      <w:pPr>
        <w:spacing w:after="60"/>
        <w:ind w:firstLine="720"/>
        <w:rPr>
          <w:bCs/>
          <w:i/>
        </w:rPr>
      </w:pPr>
      <w:r w:rsidRPr="00FB37F1">
        <w:rPr>
          <w:bCs/>
          <w:i/>
        </w:rPr>
        <w:lastRenderedPageBreak/>
        <w:t>Safer and Active Travel</w:t>
      </w:r>
    </w:p>
    <w:p w14:paraId="73CD284F" w14:textId="7BC77D5F" w:rsidR="007453BE" w:rsidRDefault="00FB37F1" w:rsidP="00CE5053">
      <w:pPr>
        <w:pStyle w:val="ListParagraph"/>
        <w:numPr>
          <w:ilvl w:val="0"/>
          <w:numId w:val="21"/>
        </w:numPr>
        <w:spacing w:after="240"/>
        <w:ind w:left="737" w:hanging="737"/>
        <w:contextualSpacing w:val="0"/>
        <w:sectPr w:rsidR="007453BE" w:rsidSect="007B10F6">
          <w:pgSz w:w="11906" w:h="16838"/>
          <w:pgMar w:top="1440" w:right="1440" w:bottom="1440" w:left="1440" w:header="708" w:footer="708" w:gutter="0"/>
          <w:pgBorders w:offsetFrom="page">
            <w:top w:val="single" w:sz="4" w:space="24" w:color="FFFFFF" w:themeColor="background1"/>
            <w:bottom w:val="single" w:sz="4" w:space="24" w:color="FFFFFF" w:themeColor="background1"/>
          </w:pgBorders>
          <w:cols w:space="708"/>
          <w:docGrid w:linePitch="360"/>
        </w:sectPr>
      </w:pPr>
      <w:r>
        <w:t>A programme to promote healthier lifestyles and active travel options in the borough. The 2019/20 programme includes cycle training initiatives for adults and children, support travel planning for schools, including activities with local communities to identify ways of encourage more walking and cycling, and to address any real or perceived barriers to the take-up o</w:t>
      </w:r>
      <w:r w:rsidR="007453BE">
        <w:t>f active travel in the borough</w:t>
      </w:r>
    </w:p>
    <w:p w14:paraId="411C3846" w14:textId="4EBAEAC3" w:rsidR="00FB37F1" w:rsidRPr="00FB37F1" w:rsidRDefault="00FB37F1" w:rsidP="007453BE">
      <w:pPr>
        <w:spacing w:after="240"/>
      </w:pPr>
    </w:p>
    <w:p w14:paraId="06A4960E" w14:textId="77777777" w:rsidR="006D79EE" w:rsidRDefault="00AB5E74" w:rsidP="00CE5053">
      <w:pPr>
        <w:pStyle w:val="Heading3"/>
      </w:pPr>
      <w:bookmarkStart w:id="60" w:name="_Toc56146043"/>
      <w:r>
        <w:t xml:space="preserve">Strategic infrastructure </w:t>
      </w:r>
      <w:r w:rsidR="006D79EE" w:rsidRPr="00B95034">
        <w:t xml:space="preserve">list for </w:t>
      </w:r>
      <w:r w:rsidR="00893442">
        <w:t>T</w:t>
      </w:r>
      <w:r>
        <w:t>ransport</w:t>
      </w:r>
      <w:r w:rsidR="006D79EE" w:rsidRPr="00B95034">
        <w:t xml:space="preserve"> </w:t>
      </w:r>
      <w:r>
        <w:t>infrastructure</w:t>
      </w:r>
      <w:bookmarkEnd w:id="60"/>
    </w:p>
    <w:tbl>
      <w:tblPr>
        <w:tblStyle w:val="ListTable3-Accent32"/>
        <w:tblW w:w="4815" w:type="pct"/>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Table"/>
      </w:tblPr>
      <w:tblGrid>
        <w:gridCol w:w="1509"/>
        <w:gridCol w:w="1131"/>
        <w:gridCol w:w="3830"/>
        <w:gridCol w:w="1556"/>
        <w:gridCol w:w="562"/>
        <w:gridCol w:w="562"/>
        <w:gridCol w:w="562"/>
        <w:gridCol w:w="575"/>
        <w:gridCol w:w="825"/>
        <w:gridCol w:w="656"/>
        <w:gridCol w:w="718"/>
        <w:gridCol w:w="951"/>
      </w:tblGrid>
      <w:tr w:rsidR="00EF0499" w:rsidRPr="004400BC" w14:paraId="59DE10A5"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731EDA8" w14:textId="77777777" w:rsidR="00EF0499" w:rsidRPr="00C43DD5" w:rsidRDefault="00EF0499" w:rsidP="00CE5053">
            <w:pPr>
              <w:spacing w:before="40" w:after="40"/>
              <w:rPr>
                <w:b w:val="0"/>
                <w:bCs w:val="0"/>
                <w:sz w:val="18"/>
                <w:szCs w:val="16"/>
              </w:rPr>
            </w:pPr>
            <w:r w:rsidRPr="00C43DD5">
              <w:rPr>
                <w:sz w:val="18"/>
                <w:szCs w:val="16"/>
              </w:rPr>
              <w:t>Planned provision</w:t>
            </w:r>
          </w:p>
        </w:tc>
        <w:tc>
          <w:tcPr>
            <w:tcW w:w="421"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503C3C0E"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Proposed location</w:t>
            </w:r>
          </w:p>
        </w:tc>
        <w:tc>
          <w:tcPr>
            <w:tcW w:w="1425"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00E21E4C"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6"/>
              </w:rPr>
            </w:pPr>
            <w:r w:rsidRPr="00C43DD5">
              <w:rPr>
                <w:bCs w:val="0"/>
                <w:sz w:val="18"/>
                <w:szCs w:val="16"/>
              </w:rPr>
              <w:t xml:space="preserve">Description of </w:t>
            </w:r>
            <w:r w:rsidRPr="00C43DD5">
              <w:rPr>
                <w:bCs w:val="0"/>
                <w:noProof/>
                <w:sz w:val="18"/>
                <w:szCs w:val="16"/>
              </w:rPr>
              <w:t>project/proposal</w:t>
            </w:r>
          </w:p>
        </w:tc>
        <w:tc>
          <w:tcPr>
            <w:tcW w:w="579"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1A88EDEE"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6"/>
              </w:rPr>
            </w:pPr>
            <w:r w:rsidRPr="00C43DD5">
              <w:rPr>
                <w:bCs w:val="0"/>
                <w:sz w:val="18"/>
                <w:szCs w:val="16"/>
              </w:rPr>
              <w:t>Project lead (and delivery partners)</w:t>
            </w:r>
          </w:p>
        </w:tc>
        <w:tc>
          <w:tcPr>
            <w:tcW w:w="838"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00BF121"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Indicative timescale</w:t>
            </w:r>
            <w:r w:rsidR="00E86615">
              <w:rPr>
                <w:sz w:val="18"/>
                <w:szCs w:val="16"/>
              </w:rPr>
              <w:t xml:space="preserve"> for </w:t>
            </w:r>
            <w:r w:rsidR="009D1F56">
              <w:rPr>
                <w:sz w:val="18"/>
                <w:szCs w:val="16"/>
              </w:rPr>
              <w:t xml:space="preserve">project </w:t>
            </w:r>
            <w:r w:rsidR="00E86615">
              <w:rPr>
                <w:sz w:val="18"/>
                <w:szCs w:val="16"/>
              </w:rPr>
              <w:t>delivery</w:t>
            </w:r>
          </w:p>
        </w:tc>
        <w:tc>
          <w:tcPr>
            <w:tcW w:w="30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780DB647"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Total cost (indicative)</w:t>
            </w:r>
          </w:p>
        </w:tc>
        <w:tc>
          <w:tcPr>
            <w:tcW w:w="24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5E6FCF3"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Total funding available</w:t>
            </w:r>
          </w:p>
        </w:tc>
        <w:tc>
          <w:tcPr>
            <w:tcW w:w="26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5AB02153"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6"/>
              </w:rPr>
            </w:pPr>
            <w:r w:rsidRPr="00C43DD5">
              <w:rPr>
                <w:sz w:val="18"/>
                <w:szCs w:val="16"/>
              </w:rPr>
              <w:t>Funding gap</w:t>
            </w:r>
          </w:p>
        </w:tc>
        <w:tc>
          <w:tcPr>
            <w:tcW w:w="357" w:type="pct"/>
            <w:vMerge w:val="restart"/>
            <w:tcBorders>
              <w:top w:val="single" w:sz="4" w:space="0" w:color="FFFFFF" w:themeColor="background1"/>
              <w:left w:val="single" w:sz="4" w:space="0" w:color="FFFFFF" w:themeColor="background1"/>
              <w:right w:val="nil"/>
            </w:tcBorders>
            <w:shd w:val="clear" w:color="auto" w:fill="002060"/>
          </w:tcPr>
          <w:p w14:paraId="70DA258F"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Prioritisation</w:t>
            </w:r>
          </w:p>
          <w:p w14:paraId="72535BDB"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(3) Critical</w:t>
            </w:r>
          </w:p>
          <w:p w14:paraId="0AA9A7B2"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(2) Essential</w:t>
            </w:r>
          </w:p>
          <w:p w14:paraId="3602A05E"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(1) Important</w:t>
            </w:r>
          </w:p>
        </w:tc>
      </w:tr>
      <w:tr w:rsidR="00CD1374" w:rsidRPr="004400BC" w14:paraId="3D635080"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pct"/>
            <w:vMerge/>
          </w:tcPr>
          <w:p w14:paraId="711CDE5E" w14:textId="77777777" w:rsidR="00EF0499" w:rsidRDefault="00EF0499" w:rsidP="00CE5053">
            <w:pPr>
              <w:spacing w:before="40" w:after="40"/>
              <w:rPr>
                <w:sz w:val="16"/>
                <w:szCs w:val="16"/>
              </w:rPr>
            </w:pPr>
          </w:p>
        </w:tc>
        <w:tc>
          <w:tcPr>
            <w:tcW w:w="421" w:type="pct"/>
            <w:vMerge/>
          </w:tcPr>
          <w:p w14:paraId="6A2BC585" w14:textId="77777777" w:rsidR="00EF0499" w:rsidRPr="004400BC"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1425" w:type="pct"/>
            <w:vMerge/>
          </w:tcPr>
          <w:p w14:paraId="49A616B1" w14:textId="77777777" w:rsidR="00EF0499" w:rsidRPr="004400BC"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p>
        </w:tc>
        <w:tc>
          <w:tcPr>
            <w:tcW w:w="579" w:type="pct"/>
            <w:vMerge/>
          </w:tcPr>
          <w:p w14:paraId="3B4B52B0" w14:textId="77777777" w:rsidR="00EF0499" w:rsidRPr="004400BC"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D0A45BA"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2020/25</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9127122"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2025/30</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22F4A38"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2030/35</w:t>
            </w: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8985BC3"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2035/40</w:t>
            </w:r>
          </w:p>
        </w:tc>
        <w:tc>
          <w:tcPr>
            <w:tcW w:w="307" w:type="pct"/>
            <w:vMerge/>
          </w:tcPr>
          <w:p w14:paraId="6A8F822E"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244" w:type="pct"/>
            <w:vMerge/>
          </w:tcPr>
          <w:p w14:paraId="2EA75E83"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267" w:type="pct"/>
            <w:vMerge/>
          </w:tcPr>
          <w:p w14:paraId="4AC4FE2F"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357" w:type="pct"/>
            <w:vMerge/>
          </w:tcPr>
          <w:p w14:paraId="5B09ED56"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r>
      <w:tr w:rsidR="00EF0499" w:rsidRPr="004400BC" w14:paraId="074AB564" w14:textId="77777777" w:rsidTr="5F430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B61BED" w14:textId="77777777" w:rsidR="00EF0499" w:rsidRPr="00392010" w:rsidRDefault="00EF0499" w:rsidP="00CE5053">
            <w:pPr>
              <w:spacing w:before="40" w:after="40"/>
              <w:rPr>
                <w:sz w:val="18"/>
                <w:szCs w:val="18"/>
              </w:rPr>
            </w:pPr>
            <w:r w:rsidRPr="00392010">
              <w:rPr>
                <w:sz w:val="18"/>
                <w:szCs w:val="18"/>
              </w:rPr>
              <w:t>Bakerloo Line Extension</w:t>
            </w:r>
            <w:r w:rsidR="009D1F56" w:rsidRPr="00392010">
              <w:rPr>
                <w:sz w:val="18"/>
                <w:szCs w:val="18"/>
              </w:rPr>
              <w:t xml:space="preserve"> and upgrade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BAD94E" w14:textId="77777777" w:rsidR="00EF0499" w:rsidRPr="00392010" w:rsidRDefault="009D1F5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New Cross; Lewisham; Ladywell; Catford; Lower Sydenham; Hayes</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6E370E"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rFonts w:cs="Arial"/>
                <w:sz w:val="18"/>
                <w:szCs w:val="18"/>
              </w:rPr>
              <w:t>E</w:t>
            </w:r>
            <w:r w:rsidRPr="00392010">
              <w:rPr>
                <w:sz w:val="18"/>
                <w:szCs w:val="18"/>
              </w:rPr>
              <w:t xml:space="preserve">xtension of the </w:t>
            </w:r>
            <w:r w:rsidR="009D1F56" w:rsidRPr="00392010">
              <w:rPr>
                <w:sz w:val="18"/>
                <w:szCs w:val="18"/>
              </w:rPr>
              <w:t>Bakerloo Line</w:t>
            </w:r>
            <w:r w:rsidRPr="00392010">
              <w:rPr>
                <w:sz w:val="18"/>
                <w:szCs w:val="18"/>
              </w:rPr>
              <w:t xml:space="preserve"> beyond its current terminus to</w:t>
            </w:r>
            <w:r w:rsidR="009D1F56" w:rsidRPr="00392010">
              <w:rPr>
                <w:sz w:val="18"/>
                <w:szCs w:val="18"/>
              </w:rPr>
              <w:t xml:space="preserve"> Hayes via</w:t>
            </w:r>
            <w:r w:rsidRPr="00392010">
              <w:rPr>
                <w:sz w:val="18"/>
                <w:szCs w:val="18"/>
              </w:rPr>
              <w:t xml:space="preserve"> </w:t>
            </w:r>
            <w:r w:rsidR="009D1F56" w:rsidRPr="00392010">
              <w:rPr>
                <w:sz w:val="18"/>
                <w:szCs w:val="18"/>
              </w:rPr>
              <w:t>Lewisham, and others</w:t>
            </w:r>
            <w:r w:rsidRPr="00392010">
              <w:rPr>
                <w:sz w:val="18"/>
                <w:szCs w:val="18"/>
              </w:rPr>
              <w:t>.</w:t>
            </w:r>
            <w:r w:rsidR="009D1F56" w:rsidRPr="00392010">
              <w:rPr>
                <w:sz w:val="18"/>
                <w:szCs w:val="18"/>
              </w:rPr>
              <w:t xml:space="preserve"> </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CDC37C"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bCs/>
                <w:sz w:val="18"/>
                <w:szCs w:val="18"/>
              </w:rPr>
              <w:t>TfL, LB Lewisham, LB Southwark</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27EDCF" w14:textId="77777777" w:rsidR="00EF0499" w:rsidRPr="00392010" w:rsidRDefault="00440F30"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9BE05B"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9D72C6" w14:textId="77777777" w:rsidR="00EF0499" w:rsidRPr="00392010" w:rsidRDefault="00E8661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X</w:t>
            </w: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12E170"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3BB16C"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w:t>
            </w:r>
            <w:r w:rsidR="009D1F56" w:rsidRPr="00392010">
              <w:rPr>
                <w:sz w:val="18"/>
                <w:szCs w:val="18"/>
              </w:rPr>
              <w:t>4,7</w:t>
            </w:r>
            <w:r w:rsidRPr="00392010">
              <w:rPr>
                <w:sz w:val="18"/>
                <w:szCs w:val="18"/>
              </w:rPr>
              <w:t>00m</w:t>
            </w:r>
            <w:r w:rsidR="009D1F56" w:rsidRPr="00392010">
              <w:rPr>
                <w:sz w:val="18"/>
                <w:szCs w:val="18"/>
              </w:rPr>
              <w:t xml:space="preserve"> - £7,900m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8FF37E"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7452DB" w14:textId="77777777" w:rsidR="00EF0499"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£4,700m - £7,900m</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3C4372" w14:textId="77777777" w:rsidR="00EF0499" w:rsidRPr="00392010" w:rsidRDefault="009D1F5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3</w:t>
            </w:r>
          </w:p>
        </w:tc>
      </w:tr>
      <w:tr w:rsidR="00EF0499" w:rsidRPr="004400BC" w14:paraId="5E3D4B97" w14:textId="77777777" w:rsidTr="5F430534">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11C8D4" w14:textId="77777777" w:rsidR="00EF0499" w:rsidRPr="00392010" w:rsidRDefault="00EF0499" w:rsidP="00CE5053">
            <w:pPr>
              <w:spacing w:before="40" w:after="40"/>
              <w:rPr>
                <w:sz w:val="18"/>
                <w:szCs w:val="18"/>
              </w:rPr>
            </w:pPr>
            <w:r w:rsidRPr="00392010">
              <w:rPr>
                <w:sz w:val="18"/>
                <w:szCs w:val="18"/>
              </w:rPr>
              <w:t>Lewisham Station &amp; interchange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F19A36"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392010">
              <w:rPr>
                <w:sz w:val="18"/>
                <w:szCs w:val="18"/>
              </w:rPr>
              <w:t>Lewisham</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F6AC65"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392010">
              <w:rPr>
                <w:sz w:val="18"/>
                <w:szCs w:val="18"/>
              </w:rPr>
              <w:t>Enhancements to capacity and station quality to create a high-quality interchange between National Rail, DLR, the future BLE, bus</w:t>
            </w:r>
            <w:r w:rsidR="00EA1466" w:rsidRPr="00392010">
              <w:rPr>
                <w:sz w:val="18"/>
                <w:szCs w:val="18"/>
              </w:rPr>
              <w:t>es, taxis, walking and cycling.</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FC6186"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bCs/>
                <w:sz w:val="18"/>
                <w:szCs w:val="18"/>
              </w:rPr>
              <w:t>Network Rail, Department for Transport</w:t>
            </w:r>
            <w:r w:rsidR="009D1F56" w:rsidRPr="00392010">
              <w:rPr>
                <w:bCs/>
                <w:sz w:val="18"/>
                <w:szCs w:val="18"/>
              </w:rPr>
              <w:t>, TfL, LB Lewisham</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DDAAE7" w14:textId="77777777" w:rsidR="00EF0499" w:rsidRPr="00392010" w:rsidRDefault="009D1F5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78B3B4"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8AFD40"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DB5971"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E622AE" w14:textId="77777777" w:rsidR="00EF0499" w:rsidRPr="00392010" w:rsidRDefault="00EA146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E5E77"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4D83A"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CE27A1"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3</w:t>
            </w:r>
          </w:p>
        </w:tc>
      </w:tr>
      <w:tr w:rsidR="00EF0499" w:rsidRPr="004400BC" w14:paraId="04A39D95" w14:textId="77777777" w:rsidTr="5F430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480BA3" w14:textId="77777777" w:rsidR="00EF0499" w:rsidRPr="00392010" w:rsidRDefault="00EF0499" w:rsidP="00CE5053">
            <w:pPr>
              <w:spacing w:before="40" w:after="40"/>
              <w:rPr>
                <w:sz w:val="18"/>
                <w:szCs w:val="18"/>
              </w:rPr>
            </w:pPr>
            <w:r w:rsidRPr="00392010">
              <w:rPr>
                <w:sz w:val="18"/>
                <w:szCs w:val="18"/>
              </w:rPr>
              <w:t>Brockley Station &amp; interchange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023916"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Brockley</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CD2B7A"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rFonts w:cs="Arial"/>
                <w:sz w:val="18"/>
                <w:szCs w:val="18"/>
              </w:rPr>
              <w:t>Creation of a high-level platform at Brockley Station to provide an interchange between the East London Line and the Lewisham – Victoria Line.</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8B7F79"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bCs/>
                <w:sz w:val="18"/>
                <w:szCs w:val="18"/>
              </w:rPr>
              <w:t>Network Rail, Department for Transport</w:t>
            </w:r>
            <w:r w:rsidR="00EA1466" w:rsidRPr="00392010">
              <w:rPr>
                <w:bCs/>
                <w:sz w:val="18"/>
                <w:szCs w:val="18"/>
              </w:rPr>
              <w:t>, LB Lewisham</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F35735"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863D7F"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EEB8B1"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X</w:t>
            </w: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255343"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57CBE2"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DB713C" w14:textId="77777777" w:rsidR="00EF0499" w:rsidRPr="00392010" w:rsidRDefault="00EA146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BF82D" w14:textId="77777777" w:rsidR="00EF0499" w:rsidRPr="00392010" w:rsidRDefault="00EA146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484B98" w14:textId="77777777" w:rsidR="00EF0499" w:rsidRPr="00392010" w:rsidRDefault="00EA146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2</w:t>
            </w:r>
          </w:p>
        </w:tc>
      </w:tr>
      <w:tr w:rsidR="00EA1466" w:rsidRPr="004400BC" w14:paraId="232878DF" w14:textId="77777777" w:rsidTr="5F430534">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F612CE" w14:textId="77777777" w:rsidR="00EA1466" w:rsidRPr="00392010" w:rsidRDefault="00F45C3C" w:rsidP="00CE5053">
            <w:pPr>
              <w:spacing w:before="40" w:after="40"/>
              <w:rPr>
                <w:sz w:val="18"/>
                <w:szCs w:val="18"/>
              </w:rPr>
            </w:pPr>
            <w:r w:rsidRPr="00392010">
              <w:rPr>
                <w:sz w:val="18"/>
                <w:szCs w:val="18"/>
              </w:rPr>
              <w:t>Surrey Canal Triangle</w:t>
            </w:r>
            <w:r w:rsidR="00EA1466" w:rsidRPr="00392010">
              <w:rPr>
                <w:sz w:val="18"/>
                <w:szCs w:val="18"/>
              </w:rPr>
              <w:t xml:space="preserve"> Station</w:t>
            </w:r>
            <w:r w:rsidR="00123843" w:rsidRPr="00392010">
              <w:rPr>
                <w:sz w:val="18"/>
                <w:szCs w:val="18"/>
              </w:rPr>
              <w:t xml:space="preserve"> &amp; upgrade to East London Line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F4E6EDD" w14:textId="77777777" w:rsidR="00EA1466" w:rsidRPr="00392010" w:rsidRDefault="00EA146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Bermondsey / Surrey Canal Triangle</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50A189" w14:textId="77777777" w:rsidR="00EA1466" w:rsidRPr="00392010" w:rsidRDefault="00EA146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rFonts w:cs="Arial"/>
                <w:sz w:val="18"/>
                <w:szCs w:val="18"/>
              </w:rPr>
              <w:t xml:space="preserve">A </w:t>
            </w:r>
            <w:r w:rsidRPr="00392010">
              <w:rPr>
                <w:sz w:val="18"/>
                <w:szCs w:val="18"/>
              </w:rPr>
              <w:t xml:space="preserve">new London Overground station to be brought forward through the regeneration scheme of </w:t>
            </w:r>
            <w:r w:rsidR="00392010">
              <w:rPr>
                <w:sz w:val="18"/>
                <w:szCs w:val="18"/>
              </w:rPr>
              <w:t>Surrey Canal Triangle</w:t>
            </w:r>
            <w:r w:rsidRPr="00392010">
              <w:rPr>
                <w:sz w:val="18"/>
                <w:szCs w:val="18"/>
              </w:rPr>
              <w:t>.</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6EF602" w14:textId="77777777" w:rsidR="00EA1466" w:rsidRPr="00392010" w:rsidRDefault="00EA146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TfL, Network Rail, Department for Transport</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2C276D" w14:textId="77777777" w:rsidR="00EA1466" w:rsidRPr="00392010" w:rsidRDefault="00EA146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CB9E51" w14:textId="77777777" w:rsidR="00EA1466" w:rsidRPr="00392010" w:rsidRDefault="00EA146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8AFB83" w14:textId="77777777" w:rsidR="00EA1466" w:rsidRPr="00392010" w:rsidRDefault="00EA146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342FE7" w14:textId="77777777" w:rsidR="00EA1466" w:rsidRPr="00392010" w:rsidRDefault="00EA146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6A1C18" w14:textId="77777777" w:rsidR="00EA1466" w:rsidRPr="00392010" w:rsidRDefault="00EA146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£12m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AC3A58" w14:textId="77777777" w:rsidR="00EA1466" w:rsidRPr="00392010" w:rsidRDefault="00440F30"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5FDE6C" w14:textId="77777777" w:rsidR="00EA1466" w:rsidRPr="00392010" w:rsidRDefault="00440F30"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A26C19" w14:textId="77777777" w:rsidR="00EA1466" w:rsidRPr="00392010" w:rsidRDefault="00EA1466"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3</w:t>
            </w:r>
          </w:p>
        </w:tc>
      </w:tr>
      <w:tr w:rsidR="00DA34BB" w:rsidRPr="004400BC" w14:paraId="2014F41F" w14:textId="77777777" w:rsidTr="5F430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7E0AFD" w14:textId="77777777" w:rsidR="00DA34BB" w:rsidRPr="00392010" w:rsidRDefault="00DA34BB" w:rsidP="00CE5053">
            <w:pPr>
              <w:spacing w:before="40" w:after="40"/>
              <w:rPr>
                <w:sz w:val="18"/>
                <w:szCs w:val="18"/>
              </w:rPr>
            </w:pPr>
            <w:r w:rsidRPr="00392010">
              <w:rPr>
                <w:sz w:val="18"/>
                <w:szCs w:val="18"/>
              </w:rPr>
              <w:lastRenderedPageBreak/>
              <w:t>New Cross to Lewisham Overground extension</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4F36C1" w14:textId="77777777" w:rsidR="00DA34BB"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New Cross – Lewisham</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5710A7" w14:textId="77777777" w:rsidR="00DA34BB"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rFonts w:cs="Arial"/>
                <w:sz w:val="18"/>
                <w:szCs w:val="18"/>
              </w:rPr>
              <w:t>Extension of the London Overground line beyond its current terminus at New Cross to Lewisham to improve capacity and connectivity, and join Lewisham with the three other Strategic Interchanges in London as gateways to the Overground.</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CC9728C" w14:textId="77777777" w:rsidR="00DA34BB"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bCs/>
                <w:sz w:val="18"/>
                <w:szCs w:val="18"/>
              </w:rPr>
              <w:t>TfL, Network Rail, Department for Transport</w:t>
            </w:r>
          </w:p>
        </w:tc>
        <w:tc>
          <w:tcPr>
            <w:tcW w:w="838"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50B8B4" w14:textId="77777777" w:rsidR="00DA34BB"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3FA584" w14:textId="77777777" w:rsidR="00DA34BB"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ADBBDE" w14:textId="77777777" w:rsidR="00DA34BB"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B2032F" w14:textId="77777777" w:rsidR="00DA34BB"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3A60A7" w14:textId="77777777" w:rsidR="00DA34BB"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1</w:t>
            </w:r>
          </w:p>
        </w:tc>
      </w:tr>
      <w:tr w:rsidR="00440F30" w:rsidRPr="004400BC" w14:paraId="74F0F86B" w14:textId="77777777" w:rsidTr="5F430534">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225C21" w14:textId="77777777" w:rsidR="00440F30" w:rsidRPr="00392010" w:rsidRDefault="00440F30" w:rsidP="00CE5053">
            <w:pPr>
              <w:spacing w:before="40" w:after="40"/>
              <w:rPr>
                <w:sz w:val="18"/>
                <w:szCs w:val="18"/>
              </w:rPr>
            </w:pPr>
            <w:r w:rsidRPr="00392010">
              <w:rPr>
                <w:sz w:val="18"/>
                <w:szCs w:val="18"/>
              </w:rPr>
              <w:t>Metro-isation proposals</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A52962" w14:textId="77777777" w:rsidR="00440F30" w:rsidRPr="00392010" w:rsidRDefault="00440F30"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Various</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555F04" w14:textId="77777777" w:rsidR="00440F30" w:rsidRPr="00392010" w:rsidRDefault="00440F30"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rFonts w:cs="Arial"/>
                <w:sz w:val="18"/>
                <w:szCs w:val="18"/>
              </w:rPr>
              <w:t>Reorganisation of services to provide more regular trains on a simplified route network, providing frequent metro-style services on standardised routes.</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B4F7F2" w14:textId="77777777" w:rsidR="00440F30" w:rsidRPr="00392010" w:rsidRDefault="00440F30"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bCs/>
                <w:sz w:val="18"/>
                <w:szCs w:val="18"/>
              </w:rPr>
              <w:t>TfL, Network Rail, Department for Transport</w:t>
            </w:r>
          </w:p>
        </w:tc>
        <w:tc>
          <w:tcPr>
            <w:tcW w:w="838"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7F5FD6" w14:textId="77777777" w:rsidR="00440F30" w:rsidRPr="00392010" w:rsidRDefault="00440F30"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A2E1F8" w14:textId="77777777" w:rsidR="00440F30" w:rsidRPr="00392010" w:rsidRDefault="00440F30"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AD34D1D" w14:textId="77777777" w:rsidR="00440F30" w:rsidRPr="00392010" w:rsidRDefault="00440F30"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BD90AD" w14:textId="77777777" w:rsidR="00440F30" w:rsidRPr="00392010" w:rsidRDefault="00440F30"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B6E75B" w14:textId="77777777" w:rsidR="00440F30" w:rsidRPr="00392010" w:rsidRDefault="00440F30"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3</w:t>
            </w:r>
          </w:p>
        </w:tc>
      </w:tr>
      <w:tr w:rsidR="00EF0499" w:rsidRPr="004400BC" w14:paraId="1EF50F02" w14:textId="77777777" w:rsidTr="5F430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CBA391" w14:textId="77777777" w:rsidR="00EF0499" w:rsidRPr="00392010" w:rsidRDefault="00EF0499" w:rsidP="00CE5053">
            <w:pPr>
              <w:spacing w:before="40" w:after="40"/>
              <w:rPr>
                <w:sz w:val="18"/>
                <w:szCs w:val="18"/>
              </w:rPr>
            </w:pPr>
            <w:r w:rsidRPr="00392010">
              <w:rPr>
                <w:sz w:val="18"/>
                <w:szCs w:val="18"/>
              </w:rPr>
              <w:t xml:space="preserve">A2 </w:t>
            </w:r>
            <w:r w:rsidR="00EA1466" w:rsidRPr="00392010">
              <w:rPr>
                <w:sz w:val="18"/>
                <w:szCs w:val="18"/>
              </w:rPr>
              <w:t>corridor improvements</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6C5E76" w14:textId="77777777" w:rsidR="00EF0499" w:rsidRPr="00392010" w:rsidRDefault="00EA1466"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A2 corridor</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FFF946A"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rFonts w:cs="Arial"/>
                <w:sz w:val="18"/>
                <w:szCs w:val="18"/>
              </w:rPr>
              <w:t xml:space="preserve">Transformation of A2 </w:t>
            </w:r>
            <w:r w:rsidR="00123843" w:rsidRPr="00392010">
              <w:rPr>
                <w:rFonts w:cs="Arial"/>
                <w:sz w:val="18"/>
                <w:szCs w:val="18"/>
              </w:rPr>
              <w:t>corridor to create a healthy street environment to encourage sustainable modes of travel</w:t>
            </w:r>
            <w:r w:rsidRPr="00392010">
              <w:rPr>
                <w:rFonts w:cs="Arial"/>
                <w:sz w:val="18"/>
                <w:szCs w:val="18"/>
              </w:rPr>
              <w:t>.</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ABCCE3"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TfL, LB Lewisham</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5DDC67"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X</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82419B"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776332"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7E9FD5"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0478AE"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£30m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82D8E7" w14:textId="77777777" w:rsidR="00EF0499"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9134A1" w14:textId="77777777" w:rsidR="00EF0499"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A29BE50" w14:textId="77777777" w:rsidR="00EF0499" w:rsidRPr="00392010" w:rsidRDefault="0012384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2</w:t>
            </w:r>
          </w:p>
        </w:tc>
      </w:tr>
      <w:tr w:rsidR="00EF0499" w:rsidRPr="004400BC" w14:paraId="398D57BF" w14:textId="77777777" w:rsidTr="5F430534">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30207B" w14:textId="77777777" w:rsidR="00EF0499" w:rsidRPr="00392010" w:rsidRDefault="00EF0499" w:rsidP="00CE5053">
            <w:pPr>
              <w:spacing w:before="40" w:after="40"/>
              <w:rPr>
                <w:sz w:val="18"/>
                <w:szCs w:val="18"/>
              </w:rPr>
            </w:pPr>
            <w:r w:rsidRPr="00392010">
              <w:rPr>
                <w:sz w:val="18"/>
                <w:szCs w:val="18"/>
              </w:rPr>
              <w:t>Catford Gyratory removal</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515129"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Catford</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9E2263"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bCs/>
                <w:sz w:val="18"/>
                <w:szCs w:val="18"/>
              </w:rPr>
              <w:t>Rerouting the South Circular Road to provide more pedestrian space and improvements to transport infrastructure.</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B653E3" w14:textId="77777777" w:rsidR="00EF0499" w:rsidRPr="00392010" w:rsidRDefault="0012384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TfL, LB Lewisham</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B48C42" w14:textId="77777777" w:rsidR="00EF0499" w:rsidRPr="00392010" w:rsidRDefault="0062700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X</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576DCF" w14:textId="77777777" w:rsidR="00EF0499" w:rsidRPr="00392010" w:rsidRDefault="0012384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4A82CB"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E28D4A"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70C877" w14:textId="77777777" w:rsidR="00EF0499" w:rsidRPr="00392010" w:rsidRDefault="007064A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£50m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457721" w14:textId="77777777" w:rsidR="00EF0499" w:rsidRPr="00392010" w:rsidRDefault="007064A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428307" w14:textId="77777777" w:rsidR="00EF0499" w:rsidRPr="00392010" w:rsidRDefault="007064A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517A15"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3</w:t>
            </w:r>
          </w:p>
        </w:tc>
      </w:tr>
      <w:tr w:rsidR="00EF0499" w:rsidRPr="004400BC" w14:paraId="79A05C48" w14:textId="77777777" w:rsidTr="5F430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19FAE7" w14:textId="77777777" w:rsidR="00EF0499" w:rsidRPr="00392010" w:rsidRDefault="00EF0499" w:rsidP="00CE5053">
            <w:pPr>
              <w:spacing w:before="40" w:after="40"/>
              <w:rPr>
                <w:sz w:val="18"/>
                <w:szCs w:val="18"/>
              </w:rPr>
            </w:pPr>
            <w:r w:rsidRPr="00392010">
              <w:rPr>
                <w:sz w:val="18"/>
                <w:szCs w:val="18"/>
              </w:rPr>
              <w:t>A21 Healthy Streets Corridor (Lewisham Spine)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F0045C"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Lewisham – Catford</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E282E4"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bCs/>
                <w:sz w:val="18"/>
                <w:szCs w:val="18"/>
              </w:rPr>
              <w:t>Linking CS4 (A200) to the southern Borough boundary on the A21. Including Cycle Superhighway standard facilities, low emission bus zone, healthy streets improvement</w:t>
            </w:r>
            <w:r w:rsidR="00392010">
              <w:rPr>
                <w:bCs/>
                <w:sz w:val="18"/>
                <w:szCs w:val="18"/>
              </w:rPr>
              <w:t>s with piazza-type environments.</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2DFE67"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TfL, LB Lewisham</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ABAF869"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X</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35D2BB"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E60B2D"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A1092D"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B2F9F3"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£30m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E74030"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£200k</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8DBFEA"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£28.8m</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7D0166" w14:textId="77777777" w:rsidR="00EF0499" w:rsidRPr="00392010" w:rsidRDefault="007A253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2</w:t>
            </w:r>
          </w:p>
        </w:tc>
      </w:tr>
      <w:tr w:rsidR="006901EA" w:rsidRPr="004400BC" w14:paraId="09402A44" w14:textId="77777777" w:rsidTr="5F430534">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7C6758" w14:textId="77777777" w:rsidR="006901EA" w:rsidRPr="00392010" w:rsidRDefault="006901EA" w:rsidP="00CE5053">
            <w:pPr>
              <w:spacing w:before="40" w:after="40"/>
              <w:rPr>
                <w:sz w:val="18"/>
                <w:szCs w:val="18"/>
              </w:rPr>
            </w:pPr>
            <w:r>
              <w:rPr>
                <w:sz w:val="18"/>
                <w:szCs w:val="18"/>
              </w:rPr>
              <w:t>Healthy Neighbourhoods programme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D6AA2C" w14:textId="77777777" w:rsidR="006901EA" w:rsidRPr="00392010" w:rsidRDefault="006901E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Various</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56F4BC" w14:textId="77777777" w:rsidR="006901EA" w:rsidRPr="00392010" w:rsidRDefault="006901EA" w:rsidP="00CE5053">
            <w:pPr>
              <w:spacing w:before="40" w:after="40"/>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Implementation of the Healthy Neighbourhoods programme.</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F6FA91" w14:textId="77777777" w:rsidR="006901EA" w:rsidRPr="00392010" w:rsidRDefault="006901E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LB Lewisham</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A7CC0FA" w14:textId="77777777" w:rsidR="006901EA" w:rsidRPr="00392010" w:rsidRDefault="006901E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CC5A65" w14:textId="77777777" w:rsidR="006901EA" w:rsidRPr="00392010" w:rsidRDefault="006901E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ACB6A2" w14:textId="77777777" w:rsidR="006901EA" w:rsidRPr="00392010" w:rsidRDefault="006901E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8D472F" w14:textId="77777777" w:rsidR="006901EA" w:rsidRPr="00392010" w:rsidRDefault="006901E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5849A6" w14:textId="77777777" w:rsidR="006901EA" w:rsidRPr="00392010" w:rsidRDefault="006901E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£2.04m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09B05E" w14:textId="77777777" w:rsidR="006901EA" w:rsidRPr="00392010" w:rsidRDefault="006901E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£508k</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F25301" w14:textId="77777777" w:rsidR="006901EA" w:rsidRPr="00392010" w:rsidRDefault="006901E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90AB12" w14:textId="77777777" w:rsidR="006901EA" w:rsidRPr="00392010" w:rsidRDefault="006901EA"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5F430534" w14:paraId="49D8635B" w14:textId="77777777" w:rsidTr="5F430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89BBCE" w14:textId="6E86DCB4" w:rsidR="0DCCE1F8" w:rsidRDefault="0DCCE1F8" w:rsidP="00CE5053">
            <w:pPr>
              <w:rPr>
                <w:sz w:val="18"/>
                <w:szCs w:val="18"/>
              </w:rPr>
            </w:pPr>
            <w:r w:rsidRPr="5F430534">
              <w:rPr>
                <w:sz w:val="18"/>
                <w:szCs w:val="18"/>
              </w:rPr>
              <w:t>225 Bus Extension</w:t>
            </w: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FFE857" w14:textId="357C8AF0" w:rsidR="0DCCE1F8" w:rsidRDefault="0DCCE1F8" w:rsidP="00CE5053">
            <w:pPr>
              <w:cnfStyle w:val="000000100000" w:firstRow="0" w:lastRow="0" w:firstColumn="0" w:lastColumn="0" w:oddVBand="0" w:evenVBand="0" w:oddHBand="1" w:evenHBand="0" w:firstRowFirstColumn="0" w:firstRowLastColumn="0" w:lastRowFirstColumn="0" w:lastRowLastColumn="0"/>
              <w:rPr>
                <w:sz w:val="18"/>
                <w:szCs w:val="18"/>
              </w:rPr>
            </w:pPr>
            <w:r w:rsidRPr="5F430534">
              <w:rPr>
                <w:sz w:val="18"/>
                <w:szCs w:val="18"/>
              </w:rPr>
              <w:t>Catford, Bellingham</w:t>
            </w:r>
          </w:p>
          <w:p w14:paraId="4F7C8D97" w14:textId="2047EEE4" w:rsidR="5F430534" w:rsidRDefault="5F430534" w:rsidP="00CE5053">
            <w:pPr>
              <w:cnfStyle w:val="000000100000" w:firstRow="0" w:lastRow="0" w:firstColumn="0" w:lastColumn="0" w:oddVBand="0" w:evenVBand="0" w:oddHBand="1" w:evenHBand="0" w:firstRowFirstColumn="0" w:firstRowLastColumn="0" w:lastRowFirstColumn="0" w:lastRowLastColumn="0"/>
              <w:rPr>
                <w:sz w:val="18"/>
                <w:szCs w:val="18"/>
              </w:rPr>
            </w:pPr>
          </w:p>
        </w:tc>
        <w:tc>
          <w:tcPr>
            <w:tcW w:w="5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4709B8" w14:textId="50CB52C9" w:rsidR="0DCCE1F8" w:rsidRDefault="0DCCE1F8" w:rsidP="00CE5053">
            <w:pPr>
              <w:cnfStyle w:val="000000100000" w:firstRow="0" w:lastRow="0" w:firstColumn="0" w:lastColumn="0" w:oddVBand="0" w:evenVBand="0" w:oddHBand="1" w:evenHBand="0" w:firstRowFirstColumn="0" w:firstRowLastColumn="0" w:lastRowFirstColumn="0" w:lastRowLastColumn="0"/>
              <w:rPr>
                <w:sz w:val="18"/>
                <w:szCs w:val="18"/>
              </w:rPr>
            </w:pPr>
            <w:r w:rsidRPr="5F430534">
              <w:rPr>
                <w:sz w:val="18"/>
                <w:szCs w:val="18"/>
              </w:rPr>
              <w:t xml:space="preserve">Extension of bus route 225 which currently runs between Canada Water and Hither Green. The proposal is to extend the service from its current terminus at Hither Green to </w:t>
            </w:r>
            <w:r w:rsidRPr="5F430534">
              <w:rPr>
                <w:sz w:val="18"/>
                <w:szCs w:val="18"/>
              </w:rPr>
              <w:lastRenderedPageBreak/>
              <w:t>Bellingham station, to help provide better connections between the north and the south of the borough.</w:t>
            </w:r>
          </w:p>
          <w:p w14:paraId="58D8A5AE" w14:textId="434B8D0D" w:rsidR="5F430534" w:rsidRDefault="5F430534" w:rsidP="00CE5053">
            <w:pPr>
              <w:cnfStyle w:val="000000100000" w:firstRow="0" w:lastRow="0" w:firstColumn="0" w:lastColumn="0" w:oddVBand="0" w:evenVBand="0" w:oddHBand="1" w:evenHBand="0" w:firstRowFirstColumn="0" w:firstRowLastColumn="0" w:lastRowFirstColumn="0" w:lastRowLastColumn="0"/>
              <w:rPr>
                <w:sz w:val="18"/>
                <w:szCs w:val="18"/>
              </w:rPr>
            </w:pPr>
          </w:p>
        </w:tc>
        <w:tc>
          <w:tcPr>
            <w:tcW w:w="23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D785EB" w14:textId="3F6CF1F5" w:rsidR="2339D8FD" w:rsidRDefault="2339D8FD" w:rsidP="00CE5053">
            <w:pPr>
              <w:cnfStyle w:val="000000100000" w:firstRow="0" w:lastRow="0" w:firstColumn="0" w:lastColumn="0" w:oddVBand="0" w:evenVBand="0" w:oddHBand="1" w:evenHBand="0" w:firstRowFirstColumn="0" w:firstRowLastColumn="0" w:lastRowFirstColumn="0" w:lastRowLastColumn="0"/>
              <w:rPr>
                <w:sz w:val="18"/>
                <w:szCs w:val="18"/>
              </w:rPr>
            </w:pPr>
            <w:r w:rsidRPr="5F430534">
              <w:rPr>
                <w:sz w:val="18"/>
                <w:szCs w:val="18"/>
              </w:rPr>
              <w:lastRenderedPageBreak/>
              <w:t>TfL, LB Lewisham</w:t>
            </w:r>
          </w:p>
        </w:tc>
        <w:tc>
          <w:tcPr>
            <w:tcW w:w="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BC3EFD" w14:textId="12E21774" w:rsidR="5F430534" w:rsidRDefault="5F430534"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6DBD4EB6" w14:textId="77777777" w:rsidR="2339D8FD" w:rsidRDefault="2339D8FD"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5F430534">
              <w:rPr>
                <w:sz w:val="18"/>
                <w:szCs w:val="18"/>
              </w:rPr>
              <w:t>TBC</w:t>
            </w:r>
          </w:p>
          <w:p w14:paraId="345C3394" w14:textId="00ED43F3" w:rsidR="5F430534" w:rsidRDefault="5F430534" w:rsidP="00CE5053">
            <w:pPr>
              <w:cnfStyle w:val="000000100000" w:firstRow="0" w:lastRow="0" w:firstColumn="0" w:lastColumn="0" w:oddVBand="0" w:evenVBand="0" w:oddHBand="1" w:evenHBand="0" w:firstRowFirstColumn="0" w:firstRowLastColumn="0" w:lastRowFirstColumn="0" w:lastRowLastColumn="0"/>
              <w:rPr>
                <w:sz w:val="18"/>
                <w:szCs w:val="18"/>
              </w:rPr>
            </w:pPr>
          </w:p>
        </w:tc>
        <w:tc>
          <w:tcPr>
            <w:tcW w:w="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30F39D" w14:textId="028BAEF5" w:rsidR="2339D8FD" w:rsidRDefault="2339D8FD" w:rsidP="00CE5053">
            <w:pPr>
              <w:cnfStyle w:val="000000100000" w:firstRow="0" w:lastRow="0" w:firstColumn="0" w:lastColumn="0" w:oddVBand="0" w:evenVBand="0" w:oddHBand="1" w:evenHBand="0" w:firstRowFirstColumn="0" w:firstRowLastColumn="0" w:lastRowFirstColumn="0" w:lastRowLastColumn="0"/>
              <w:rPr>
                <w:sz w:val="18"/>
                <w:szCs w:val="18"/>
              </w:rPr>
            </w:pPr>
            <w:r w:rsidRPr="5F430534">
              <w:rPr>
                <w:sz w:val="18"/>
                <w:szCs w:val="18"/>
              </w:rPr>
              <w:t>TBC</w:t>
            </w:r>
          </w:p>
        </w:tc>
        <w:tc>
          <w:tcPr>
            <w:tcW w:w="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D4F671" w14:textId="6F3AD7EE" w:rsidR="2339D8FD" w:rsidRDefault="2339D8FD" w:rsidP="00CE5053">
            <w:pPr>
              <w:cnfStyle w:val="000000100000" w:firstRow="0" w:lastRow="0" w:firstColumn="0" w:lastColumn="0" w:oddVBand="0" w:evenVBand="0" w:oddHBand="1" w:evenHBand="0" w:firstRowFirstColumn="0" w:firstRowLastColumn="0" w:lastRowFirstColumn="0" w:lastRowLastColumn="0"/>
              <w:rPr>
                <w:sz w:val="18"/>
                <w:szCs w:val="18"/>
              </w:rPr>
            </w:pPr>
            <w:r w:rsidRPr="5F430534">
              <w:rPr>
                <w:sz w:val="18"/>
                <w:szCs w:val="18"/>
              </w:rPr>
              <w:t>TBC</w:t>
            </w:r>
          </w:p>
        </w:tc>
        <w:tc>
          <w:tcPr>
            <w:tcW w:w="8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07D034" w14:textId="6917F566" w:rsidR="2339D8FD" w:rsidRDefault="2339D8FD" w:rsidP="00CE5053">
            <w:pPr>
              <w:cnfStyle w:val="000000100000" w:firstRow="0" w:lastRow="0" w:firstColumn="0" w:lastColumn="0" w:oddVBand="0" w:evenVBand="0" w:oddHBand="1" w:evenHBand="0" w:firstRowFirstColumn="0" w:firstRowLastColumn="0" w:lastRowFirstColumn="0" w:lastRowLastColumn="0"/>
              <w:rPr>
                <w:sz w:val="18"/>
                <w:szCs w:val="18"/>
              </w:rPr>
            </w:pPr>
            <w:r w:rsidRPr="5F430534">
              <w:rPr>
                <w:sz w:val="18"/>
                <w:szCs w:val="18"/>
              </w:rPr>
              <w:t>TBC</w:t>
            </w: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870E4A" w14:textId="6DB1DA9C" w:rsidR="2339D8FD" w:rsidRDefault="2339D8FD" w:rsidP="00CE5053">
            <w:pPr>
              <w:cnfStyle w:val="000000100000" w:firstRow="0" w:lastRow="0" w:firstColumn="0" w:lastColumn="0" w:oddVBand="0" w:evenVBand="0" w:oddHBand="1" w:evenHBand="0" w:firstRowFirstColumn="0" w:firstRowLastColumn="0" w:lastRowFirstColumn="0" w:lastRowLastColumn="0"/>
            </w:pPr>
            <w:r w:rsidRPr="5F430534">
              <w:t>TBC</w:t>
            </w: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DA0FE0" w14:textId="0CF62A17" w:rsidR="2339D8FD" w:rsidRDefault="2339D8FD" w:rsidP="00CE5053">
            <w:pPr>
              <w:cnfStyle w:val="000000100000" w:firstRow="0" w:lastRow="0" w:firstColumn="0" w:lastColumn="0" w:oddVBand="0" w:evenVBand="0" w:oddHBand="1" w:evenHBand="0" w:firstRowFirstColumn="0" w:firstRowLastColumn="0" w:lastRowFirstColumn="0" w:lastRowLastColumn="0"/>
              <w:rPr>
                <w:sz w:val="18"/>
                <w:szCs w:val="18"/>
              </w:rPr>
            </w:pPr>
            <w:r w:rsidRPr="5F430534">
              <w:rPr>
                <w:sz w:val="18"/>
                <w:szCs w:val="18"/>
              </w:rPr>
              <w:t>TBC</w:t>
            </w:r>
          </w:p>
        </w:tc>
        <w:tc>
          <w:tcPr>
            <w:tcW w:w="1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DE8013" w14:textId="13EC7078" w:rsidR="2339D8FD" w:rsidRDefault="2339D8FD" w:rsidP="00CE5053">
            <w:pPr>
              <w:cnfStyle w:val="000000100000" w:firstRow="0" w:lastRow="0" w:firstColumn="0" w:lastColumn="0" w:oddVBand="0" w:evenVBand="0" w:oddHBand="1" w:evenHBand="0" w:firstRowFirstColumn="0" w:firstRowLastColumn="0" w:lastRowFirstColumn="0" w:lastRowLastColumn="0"/>
              <w:rPr>
                <w:sz w:val="18"/>
                <w:szCs w:val="18"/>
              </w:rPr>
            </w:pPr>
            <w:r w:rsidRPr="5F430534">
              <w:rPr>
                <w:sz w:val="18"/>
                <w:szCs w:val="18"/>
              </w:rPr>
              <w:t>TBC</w:t>
            </w:r>
          </w:p>
        </w:tc>
        <w:tc>
          <w:tcPr>
            <w:tcW w:w="1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313941" w14:textId="50C2F147" w:rsidR="5F430534" w:rsidRDefault="5F430534" w:rsidP="00CE5053">
            <w:pPr>
              <w:cnfStyle w:val="000000100000" w:firstRow="0" w:lastRow="0" w:firstColumn="0" w:lastColumn="0" w:oddVBand="0" w:evenVBand="0" w:oddHBand="1" w:evenHBand="0" w:firstRowFirstColumn="0" w:firstRowLastColumn="0" w:lastRowFirstColumn="0" w:lastRowLastColumn="0"/>
              <w:rPr>
                <w:sz w:val="18"/>
                <w:szCs w:val="18"/>
              </w:rPr>
            </w:pPr>
          </w:p>
        </w:tc>
      </w:tr>
      <w:tr w:rsidR="00EF0499" w:rsidRPr="004400BC" w14:paraId="75700E69" w14:textId="77777777" w:rsidTr="5F430534">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5C70A9" w14:textId="77777777" w:rsidR="00EF0499" w:rsidRPr="00392010" w:rsidRDefault="00EF0499" w:rsidP="00CE5053">
            <w:pPr>
              <w:spacing w:before="40" w:after="40"/>
              <w:rPr>
                <w:sz w:val="18"/>
                <w:szCs w:val="18"/>
              </w:rPr>
            </w:pPr>
            <w:r w:rsidRPr="00392010">
              <w:rPr>
                <w:sz w:val="18"/>
                <w:szCs w:val="18"/>
              </w:rPr>
              <w:lastRenderedPageBreak/>
              <w:t>Ringway Corridor improvements</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8F1261"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Southend Lane and Whitefoot Lane</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EBD45A"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bCs/>
                <w:sz w:val="18"/>
                <w:szCs w:val="18"/>
              </w:rPr>
              <w:t>Improve public realm and active travel links using excess carriageway space. Works may include potential for improvements such as linear parks, a bus priority corridor, and active travel corridor.</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F5CB02"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TfL, LB Lewisham</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E55097"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AE7378"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155012"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X</w:t>
            </w: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CE2273"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55971E"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£4m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59C060" w14:textId="77777777" w:rsidR="00EF0499" w:rsidRPr="00392010" w:rsidRDefault="00DA34BB"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86D676" w14:textId="77777777" w:rsidR="00EF0499" w:rsidRPr="00392010" w:rsidRDefault="00DA34BB"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CED413" w14:textId="77777777" w:rsidR="00EF0499" w:rsidRPr="00392010" w:rsidRDefault="007A253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2</w:t>
            </w:r>
          </w:p>
        </w:tc>
      </w:tr>
      <w:tr w:rsidR="00EF0499" w:rsidRPr="004400BC" w14:paraId="08B2EBFD" w14:textId="77777777" w:rsidTr="5F430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FBAFFC" w14:textId="77777777" w:rsidR="00EF0499" w:rsidRPr="00392010" w:rsidRDefault="00EF0499" w:rsidP="00CE5053">
            <w:pPr>
              <w:spacing w:before="40" w:after="40"/>
              <w:rPr>
                <w:sz w:val="18"/>
                <w:szCs w:val="18"/>
              </w:rPr>
            </w:pPr>
            <w:r w:rsidRPr="00392010">
              <w:rPr>
                <w:sz w:val="18"/>
                <w:szCs w:val="18"/>
              </w:rPr>
              <w:t>Upgrades to Local High Streets and Shopping Parades</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1F19CA"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Various</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C8C9AC6"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bCs/>
                <w:sz w:val="18"/>
                <w:szCs w:val="18"/>
              </w:rPr>
              <w:t>Measures including public realm, active travel and safety improvements at local High Streets and shopping parades.  Potential schemes have been identified at Kirkdale,(Sydenham), Hither Green Lane, Burnt Ash Road and the remainder of the Brockley corridor.</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593EC3"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TfL, LB Lewisham</w:t>
            </w:r>
          </w:p>
        </w:tc>
        <w:tc>
          <w:tcPr>
            <w:tcW w:w="838"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FE59AE"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860F66" w14:textId="77777777" w:rsidR="00EF0499" w:rsidRPr="00392010"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£1.5m per scheme</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C7845EA" w14:textId="77777777" w:rsidR="00EF0499"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48B856" w14:textId="77777777" w:rsidR="00EF0499" w:rsidRPr="00392010"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653F21" w14:textId="77777777" w:rsidR="00EF0499" w:rsidRPr="00392010" w:rsidRDefault="007A253F"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392010">
              <w:rPr>
                <w:sz w:val="18"/>
                <w:szCs w:val="18"/>
              </w:rPr>
              <w:t>1</w:t>
            </w:r>
          </w:p>
        </w:tc>
      </w:tr>
      <w:tr w:rsidR="00EF0499" w:rsidRPr="004400BC" w14:paraId="6662C00E" w14:textId="77777777" w:rsidTr="5F430534">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CD263C" w14:textId="77777777" w:rsidR="00EF0499" w:rsidRPr="00392010" w:rsidRDefault="00EF0499" w:rsidP="00CE5053">
            <w:pPr>
              <w:spacing w:before="40" w:after="40"/>
              <w:rPr>
                <w:sz w:val="18"/>
                <w:szCs w:val="18"/>
              </w:rPr>
            </w:pPr>
            <w:r w:rsidRPr="00392010">
              <w:rPr>
                <w:sz w:val="18"/>
                <w:szCs w:val="18"/>
              </w:rPr>
              <w:t>Cycle network improvements</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CEDBE0"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Various</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2323C1"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rFonts w:cs="Arial"/>
                <w:sz w:val="18"/>
                <w:szCs w:val="18"/>
              </w:rPr>
              <w:t>Delivering the network of routes set out in the Council’s Cycling Strategy</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791593"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TfL, LB Lewisham</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3059C8"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D1C452"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201B64"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X</w:t>
            </w:r>
          </w:p>
        </w:tc>
        <w:tc>
          <w:tcPr>
            <w:tcW w:w="2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617132"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X</w:t>
            </w: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C3437B"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D4D439" w14:textId="77777777" w:rsidR="00EF0499" w:rsidRPr="00392010"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£750k</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3A71BA" w14:textId="77777777" w:rsidR="00EF0499" w:rsidRPr="00392010" w:rsidRDefault="00DA34BB"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471D7B" w14:textId="77777777" w:rsidR="00EF0499" w:rsidRPr="00392010" w:rsidRDefault="007A253F"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392010">
              <w:rPr>
                <w:sz w:val="18"/>
                <w:szCs w:val="18"/>
              </w:rPr>
              <w:t>1</w:t>
            </w:r>
          </w:p>
        </w:tc>
      </w:tr>
      <w:tr w:rsidR="00EF0499" w:rsidRPr="004400BC" w14:paraId="30A18756" w14:textId="77777777" w:rsidTr="5F430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9CA3B16" w14:textId="77777777" w:rsidR="00EF0499" w:rsidRDefault="00EF0499" w:rsidP="00CE5053">
            <w:pPr>
              <w:spacing w:before="40" w:after="40"/>
              <w:rPr>
                <w:sz w:val="16"/>
                <w:szCs w:val="16"/>
              </w:rPr>
            </w:pPr>
          </w:p>
        </w:tc>
        <w:tc>
          <w:tcPr>
            <w:tcW w:w="42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A306A8" w14:textId="77777777" w:rsidR="00EF0499"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b/>
                <w:sz w:val="16"/>
                <w:szCs w:val="16"/>
              </w:rPr>
              <w:t>Sub-total</w:t>
            </w: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9DA628" w14:textId="77777777" w:rsidR="00EF0499" w:rsidRPr="006901EA"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901EA">
              <w:rPr>
                <w:sz w:val="18"/>
                <w:szCs w:val="16"/>
              </w:rPr>
              <w:t>£</w:t>
            </w:r>
            <w:r w:rsidR="00440F30" w:rsidRPr="006901EA">
              <w:rPr>
                <w:sz w:val="18"/>
                <w:szCs w:val="16"/>
              </w:rPr>
              <w:t xml:space="preserve">4,826m – </w:t>
            </w:r>
            <w:r w:rsidR="00DA34BB" w:rsidRPr="006901EA">
              <w:rPr>
                <w:sz w:val="18"/>
                <w:szCs w:val="16"/>
              </w:rPr>
              <w:t>£</w:t>
            </w:r>
            <w:r w:rsidR="00440F30" w:rsidRPr="006901EA">
              <w:rPr>
                <w:sz w:val="18"/>
                <w:szCs w:val="16"/>
              </w:rPr>
              <w:t>8</w:t>
            </w:r>
            <w:r w:rsidR="00DA34BB" w:rsidRPr="006901EA">
              <w:rPr>
                <w:sz w:val="18"/>
                <w:szCs w:val="16"/>
              </w:rPr>
              <w:t>,026m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197F451" w14:textId="77777777" w:rsidR="00EF0499" w:rsidRPr="006901EA" w:rsidRDefault="00DA34BB"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901EA">
              <w:rPr>
                <w:sz w:val="18"/>
                <w:szCs w:val="16"/>
              </w:rPr>
              <w:t>£</w:t>
            </w:r>
            <w:r w:rsidR="006901EA">
              <w:rPr>
                <w:sz w:val="18"/>
                <w:szCs w:val="16"/>
              </w:rPr>
              <w:t>1.458m</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232B87" w14:textId="77777777" w:rsidR="00EF0499" w:rsidRPr="006901EA"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901EA">
              <w:rPr>
                <w:sz w:val="18"/>
                <w:szCs w:val="16"/>
              </w:rPr>
              <w:t>£</w:t>
            </w:r>
            <w:r w:rsidR="00DA34BB" w:rsidRPr="006901EA">
              <w:rPr>
                <w:sz w:val="18"/>
                <w:szCs w:val="16"/>
              </w:rPr>
              <w:t>4,728.8</w:t>
            </w:r>
            <w:r w:rsidRPr="006901EA">
              <w:rPr>
                <w:sz w:val="18"/>
                <w:szCs w:val="16"/>
              </w:rPr>
              <w:t>m</w:t>
            </w:r>
            <w:r w:rsidR="00DA34BB" w:rsidRPr="006901EA">
              <w:rPr>
                <w:sz w:val="18"/>
                <w:szCs w:val="16"/>
              </w:rPr>
              <w:t xml:space="preserve"> - £7,928.8m</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CF92296" w14:textId="77777777" w:rsidR="00EF0499" w:rsidRPr="00AD2F12"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b/>
                <w:sz w:val="16"/>
                <w:szCs w:val="16"/>
              </w:rPr>
            </w:pPr>
          </w:p>
        </w:tc>
      </w:tr>
    </w:tbl>
    <w:p w14:paraId="3A15A143" w14:textId="77777777" w:rsidR="007453BE" w:rsidRDefault="007453BE" w:rsidP="00CE5053">
      <w:pPr>
        <w:sectPr w:rsidR="007453BE" w:rsidSect="007453BE">
          <w:pgSz w:w="16838" w:h="11906" w:orient="landscape"/>
          <w:pgMar w:top="1440" w:right="1440" w:bottom="1440" w:left="1440" w:header="708" w:footer="708" w:gutter="0"/>
          <w:pgBorders w:offsetFrom="page">
            <w:top w:val="single" w:sz="4" w:space="24" w:color="FFFFFF" w:themeColor="background1"/>
            <w:bottom w:val="single" w:sz="4" w:space="24" w:color="FFFFFF" w:themeColor="background1"/>
          </w:pgBorders>
          <w:cols w:space="708"/>
          <w:docGrid w:linePitch="360"/>
        </w:sectPr>
      </w:pPr>
    </w:p>
    <w:p w14:paraId="5B48A671" w14:textId="2F21ADCF" w:rsidR="00FC4CC2" w:rsidRPr="00FC4CC2" w:rsidRDefault="00FC4CC2" w:rsidP="00CE5053"/>
    <w:p w14:paraId="111A5A9E" w14:textId="77777777" w:rsidR="00DF60C7" w:rsidRPr="00DF60C7" w:rsidRDefault="007E7B00" w:rsidP="00CE5053">
      <w:pPr>
        <w:pStyle w:val="Heading1"/>
        <w:ind w:left="737" w:hanging="737"/>
      </w:pPr>
      <w:bookmarkStart w:id="61" w:name="_Toc56146044"/>
      <w:r>
        <w:t>U</w:t>
      </w:r>
      <w:r w:rsidR="004417BA">
        <w:t>tilit</w:t>
      </w:r>
      <w:r>
        <w:t>y</w:t>
      </w:r>
      <w:r w:rsidR="00DF60C7" w:rsidRPr="00DF60C7">
        <w:t xml:space="preserve"> infrastructure</w:t>
      </w:r>
      <w:bookmarkEnd w:id="61"/>
      <w:r w:rsidR="00741C33">
        <w:t xml:space="preserve"> </w:t>
      </w:r>
    </w:p>
    <w:p w14:paraId="532258E0" w14:textId="77777777" w:rsidR="00DF60C7" w:rsidRPr="006655BF" w:rsidRDefault="00DF60C7" w:rsidP="00CE5053">
      <w:pPr>
        <w:pStyle w:val="Heading2"/>
        <w:spacing w:after="240"/>
      </w:pPr>
      <w:bookmarkStart w:id="62" w:name="_Toc56146045"/>
      <w:r w:rsidRPr="001F7D61">
        <w:t>Energy infrastructure</w:t>
      </w:r>
      <w:bookmarkEnd w:id="62"/>
    </w:p>
    <w:p w14:paraId="374449A5" w14:textId="77777777" w:rsidR="00694AA5" w:rsidRPr="00E902E2" w:rsidRDefault="00694AA5" w:rsidP="00CE5053">
      <w:pPr>
        <w:tabs>
          <w:tab w:val="left" w:pos="720"/>
          <w:tab w:val="left" w:pos="1440"/>
          <w:tab w:val="left" w:pos="2160"/>
        </w:tabs>
        <w:spacing w:after="120"/>
        <w:ind w:left="578" w:firstLine="142"/>
        <w:rPr>
          <w:b/>
        </w:rPr>
      </w:pPr>
      <w:r w:rsidRPr="00E902E2">
        <w:rPr>
          <w:b/>
        </w:rPr>
        <w:t>Policy context</w:t>
      </w:r>
    </w:p>
    <w:p w14:paraId="162343FA" w14:textId="77777777" w:rsidR="00122FC0" w:rsidRPr="00122FC0" w:rsidRDefault="00122FC0" w:rsidP="00CE5053">
      <w:pPr>
        <w:pStyle w:val="ListParagraph"/>
        <w:numPr>
          <w:ilvl w:val="0"/>
          <w:numId w:val="16"/>
        </w:numPr>
        <w:contextualSpacing w:val="0"/>
        <w:rPr>
          <w:vanish/>
        </w:rPr>
      </w:pPr>
    </w:p>
    <w:p w14:paraId="44CD0D84" w14:textId="77777777" w:rsidR="00122FC0" w:rsidRPr="00122FC0" w:rsidRDefault="00122FC0" w:rsidP="00CE5053">
      <w:pPr>
        <w:pStyle w:val="ListParagraph"/>
        <w:numPr>
          <w:ilvl w:val="0"/>
          <w:numId w:val="16"/>
        </w:numPr>
        <w:contextualSpacing w:val="0"/>
        <w:rPr>
          <w:vanish/>
        </w:rPr>
      </w:pPr>
    </w:p>
    <w:p w14:paraId="0E5EEF3F" w14:textId="77777777" w:rsidR="00122FC0" w:rsidRPr="00122FC0" w:rsidRDefault="00122FC0" w:rsidP="00CE5053">
      <w:pPr>
        <w:pStyle w:val="ListParagraph"/>
        <w:numPr>
          <w:ilvl w:val="0"/>
          <w:numId w:val="16"/>
        </w:numPr>
        <w:contextualSpacing w:val="0"/>
        <w:rPr>
          <w:vanish/>
        </w:rPr>
      </w:pPr>
    </w:p>
    <w:p w14:paraId="017DFA3C" w14:textId="77777777" w:rsidR="00122FC0" w:rsidRPr="00122FC0" w:rsidRDefault="00122FC0" w:rsidP="00CE5053">
      <w:pPr>
        <w:pStyle w:val="ListParagraph"/>
        <w:numPr>
          <w:ilvl w:val="0"/>
          <w:numId w:val="16"/>
        </w:numPr>
        <w:contextualSpacing w:val="0"/>
        <w:rPr>
          <w:vanish/>
        </w:rPr>
      </w:pPr>
    </w:p>
    <w:p w14:paraId="486D2828" w14:textId="77777777" w:rsidR="00122FC0" w:rsidRPr="00122FC0" w:rsidRDefault="00122FC0" w:rsidP="00CE5053">
      <w:pPr>
        <w:pStyle w:val="ListParagraph"/>
        <w:numPr>
          <w:ilvl w:val="0"/>
          <w:numId w:val="16"/>
        </w:numPr>
        <w:contextualSpacing w:val="0"/>
        <w:rPr>
          <w:vanish/>
        </w:rPr>
      </w:pPr>
    </w:p>
    <w:p w14:paraId="6DE2FEB1" w14:textId="77777777" w:rsidR="00122FC0" w:rsidRPr="00122FC0" w:rsidRDefault="00122FC0" w:rsidP="00CE5053">
      <w:pPr>
        <w:pStyle w:val="ListParagraph"/>
        <w:numPr>
          <w:ilvl w:val="0"/>
          <w:numId w:val="16"/>
        </w:numPr>
        <w:contextualSpacing w:val="0"/>
        <w:rPr>
          <w:vanish/>
        </w:rPr>
      </w:pPr>
    </w:p>
    <w:p w14:paraId="7287B6D4" w14:textId="77777777" w:rsidR="00122FC0" w:rsidRPr="00122FC0" w:rsidRDefault="00122FC0" w:rsidP="00CE5053">
      <w:pPr>
        <w:pStyle w:val="ListParagraph"/>
        <w:numPr>
          <w:ilvl w:val="1"/>
          <w:numId w:val="16"/>
        </w:numPr>
        <w:contextualSpacing w:val="0"/>
        <w:rPr>
          <w:vanish/>
        </w:rPr>
      </w:pPr>
    </w:p>
    <w:p w14:paraId="13D22202" w14:textId="77777777" w:rsidR="00530EB9" w:rsidRDefault="00CA638C" w:rsidP="00CE5053">
      <w:pPr>
        <w:pStyle w:val="ListParagraph"/>
        <w:numPr>
          <w:ilvl w:val="2"/>
          <w:numId w:val="16"/>
        </w:numPr>
        <w:spacing w:after="240"/>
        <w:ind w:left="737" w:hanging="737"/>
        <w:contextualSpacing w:val="0"/>
      </w:pPr>
      <w:r>
        <w:t>London Plan Policy SI2 ‘Minimising greenhouse gas emission’ sets out the requirements for London’s boroughs to promote development that is net zero-carbon. To achieve this, the following energy hierarchy outlines how new development can reduce greenhouse gas emissions:</w:t>
      </w:r>
    </w:p>
    <w:p w14:paraId="0D8D2538" w14:textId="77777777" w:rsidR="00CA638C" w:rsidRDefault="00CA638C" w:rsidP="00CE5053">
      <w:pPr>
        <w:pStyle w:val="ListParagraph"/>
        <w:numPr>
          <w:ilvl w:val="0"/>
          <w:numId w:val="2"/>
        </w:numPr>
      </w:pPr>
      <w:r>
        <w:t>Be lean: use less energy and manage demand during operation;</w:t>
      </w:r>
    </w:p>
    <w:p w14:paraId="389EF038" w14:textId="77777777" w:rsidR="00CA638C" w:rsidRDefault="00CA638C" w:rsidP="00CE5053">
      <w:pPr>
        <w:pStyle w:val="ListParagraph"/>
        <w:numPr>
          <w:ilvl w:val="0"/>
          <w:numId w:val="2"/>
        </w:numPr>
      </w:pPr>
      <w:r>
        <w:t>Be clean: exploit local energy resources (such as secondary heat) and supply energy efficiently and cleanly;</w:t>
      </w:r>
    </w:p>
    <w:p w14:paraId="16E1C93F" w14:textId="77777777" w:rsidR="00CA638C" w:rsidRDefault="00CA638C" w:rsidP="00CE5053">
      <w:pPr>
        <w:pStyle w:val="ListParagraph"/>
        <w:numPr>
          <w:ilvl w:val="0"/>
          <w:numId w:val="2"/>
        </w:numPr>
      </w:pPr>
      <w:r>
        <w:t>Be green: maximise opportunities for renewable energy by producing, storing and using renewable energy on-site; and</w:t>
      </w:r>
    </w:p>
    <w:p w14:paraId="64197519" w14:textId="77777777" w:rsidR="00B26680" w:rsidRDefault="00CA638C" w:rsidP="00CE5053">
      <w:pPr>
        <w:pStyle w:val="ListParagraph"/>
        <w:numPr>
          <w:ilvl w:val="0"/>
          <w:numId w:val="2"/>
        </w:numPr>
      </w:pPr>
      <w:r>
        <w:t>Be seen: monitor, verify and report on energy performance.</w:t>
      </w:r>
    </w:p>
    <w:p w14:paraId="5022F28E" w14:textId="77777777" w:rsidR="00122FC0" w:rsidRDefault="00122FC0" w:rsidP="00CE5053">
      <w:pPr>
        <w:pStyle w:val="ListParagraph"/>
        <w:numPr>
          <w:ilvl w:val="0"/>
          <w:numId w:val="0"/>
        </w:numPr>
        <w:ind w:left="1457"/>
      </w:pPr>
    </w:p>
    <w:p w14:paraId="41A449F3" w14:textId="77777777" w:rsidR="00B26680" w:rsidRDefault="00B26680" w:rsidP="00CE5053">
      <w:pPr>
        <w:pStyle w:val="ListParagraph"/>
        <w:numPr>
          <w:ilvl w:val="2"/>
          <w:numId w:val="16"/>
        </w:numPr>
        <w:spacing w:after="240"/>
        <w:ind w:left="737" w:hanging="737"/>
        <w:contextualSpacing w:val="0"/>
      </w:pPr>
      <w:r>
        <w:t xml:space="preserve">Measures to achieve this include: </w:t>
      </w:r>
    </w:p>
    <w:p w14:paraId="69DB3212" w14:textId="77777777" w:rsidR="00B26680" w:rsidRDefault="00B26680" w:rsidP="00CE5053">
      <w:pPr>
        <w:pStyle w:val="ListParagraph"/>
        <w:numPr>
          <w:ilvl w:val="0"/>
          <w:numId w:val="2"/>
        </w:numPr>
      </w:pPr>
      <w:r>
        <w:t>Major development proposals including a detailed energy strategy to demonstrate how the zero-carbon target will be met within the framework of the energy hierarchy;</w:t>
      </w:r>
    </w:p>
    <w:p w14:paraId="2FDBF9C4" w14:textId="77777777" w:rsidR="00B26680" w:rsidRDefault="00B26680" w:rsidP="00CE5053">
      <w:pPr>
        <w:pStyle w:val="ListParagraph"/>
        <w:numPr>
          <w:ilvl w:val="0"/>
          <w:numId w:val="2"/>
        </w:numPr>
      </w:pPr>
      <w:r>
        <w:t xml:space="preserve">Achieving a minimum on-site reduction </w:t>
      </w:r>
      <w:r w:rsidR="00E902E2">
        <w:t xml:space="preserve">of greenhouse gas emissions </w:t>
      </w:r>
      <w:r>
        <w:t>of at least 35 percent beyond Building Regulations for major developments, 10 percent for other residential development, and 15 percent for non-residential development;</w:t>
      </w:r>
    </w:p>
    <w:p w14:paraId="70E9FF7F" w14:textId="77777777" w:rsidR="00B26680" w:rsidRDefault="00B26680" w:rsidP="00CE5053">
      <w:pPr>
        <w:pStyle w:val="ListParagraph"/>
        <w:numPr>
          <w:ilvl w:val="0"/>
          <w:numId w:val="2"/>
        </w:numPr>
        <w:spacing w:after="240"/>
        <w:ind w:left="1451" w:hanging="357"/>
        <w:contextualSpacing w:val="0"/>
      </w:pPr>
      <w:r>
        <w:t>Where the zero-carbon target cannot be fully achieved on-site, any shortfall is to be provided either through a cash in lieu contribution to the borough’s carbon offset fund, or off-site at an alternative scheme where achievable.</w:t>
      </w:r>
    </w:p>
    <w:p w14:paraId="64342555" w14:textId="77777777" w:rsidR="00694AA5" w:rsidRPr="00595E96" w:rsidRDefault="00694AA5" w:rsidP="00CE5053">
      <w:pPr>
        <w:pStyle w:val="ListParagraph"/>
        <w:numPr>
          <w:ilvl w:val="2"/>
          <w:numId w:val="16"/>
        </w:numPr>
        <w:spacing w:after="240"/>
        <w:ind w:left="737" w:hanging="737"/>
        <w:contextualSpacing w:val="0"/>
      </w:pPr>
      <w:r w:rsidRPr="00595E96">
        <w:t xml:space="preserve">London Plan </w:t>
      </w:r>
      <w:r>
        <w:t>P</w:t>
      </w:r>
      <w:r w:rsidRPr="00595E96">
        <w:t xml:space="preserve">olicy SI3 ‘Energy Infrastructure’ </w:t>
      </w:r>
      <w:r>
        <w:t xml:space="preserve">sets out the requirement for London’s boroughs to </w:t>
      </w:r>
      <w:r w:rsidRPr="00595E96">
        <w:t>work with relevant</w:t>
      </w:r>
      <w:r>
        <w:t xml:space="preserve"> </w:t>
      </w:r>
      <w:r w:rsidRPr="00595E96">
        <w:t xml:space="preserve">energy companies and bodies to establish the future energy infrastructure needs from development in their area, including new infrastructure and </w:t>
      </w:r>
      <w:r>
        <w:t xml:space="preserve">network </w:t>
      </w:r>
      <w:r w:rsidRPr="00595E96">
        <w:t>upgrades</w:t>
      </w:r>
      <w:r>
        <w:t xml:space="preserve"> required to service new growth. This includes the development of energy master plans for large-scale development locations, and realising opportunities to utilise heat from energy from waste plants, low and ambient temperature heat networks, and identifying land requirements for electricity and gas supplies.</w:t>
      </w:r>
      <w:r w:rsidRPr="00595E96">
        <w:t xml:space="preserve"> </w:t>
      </w:r>
    </w:p>
    <w:p w14:paraId="648E4F37" w14:textId="77777777" w:rsidR="00DF60C7" w:rsidRPr="00AF0D1E" w:rsidRDefault="00DF60C7" w:rsidP="00CE5053">
      <w:pPr>
        <w:pStyle w:val="Heading3"/>
      </w:pPr>
      <w:bookmarkStart w:id="63" w:name="_Toc56146046"/>
      <w:r w:rsidRPr="00AF0D1E">
        <w:t>Electricity</w:t>
      </w:r>
      <w:bookmarkEnd w:id="63"/>
      <w:r w:rsidRPr="00AF0D1E">
        <w:t xml:space="preserve"> </w:t>
      </w:r>
    </w:p>
    <w:p w14:paraId="6525F775" w14:textId="77777777" w:rsidR="00CA638C" w:rsidRPr="00CA638C" w:rsidRDefault="00CA638C" w:rsidP="00CE5053">
      <w:pPr>
        <w:tabs>
          <w:tab w:val="left" w:pos="720"/>
          <w:tab w:val="left" w:pos="1440"/>
          <w:tab w:val="left" w:pos="2160"/>
        </w:tabs>
        <w:spacing w:after="120"/>
        <w:ind w:left="578" w:firstLine="142"/>
        <w:rPr>
          <w:b/>
        </w:rPr>
      </w:pPr>
      <w:r w:rsidRPr="00CA638C">
        <w:rPr>
          <w:b/>
        </w:rPr>
        <w:t>Background</w:t>
      </w:r>
      <w:r w:rsidR="00E902E2">
        <w:rPr>
          <w:b/>
        </w:rPr>
        <w:tab/>
      </w:r>
    </w:p>
    <w:p w14:paraId="39BE0783" w14:textId="77777777" w:rsidR="00122FC0" w:rsidRDefault="00DF60C7" w:rsidP="00CE5053">
      <w:pPr>
        <w:pStyle w:val="ListParagraph"/>
        <w:numPr>
          <w:ilvl w:val="2"/>
          <w:numId w:val="16"/>
        </w:numPr>
        <w:spacing w:after="240"/>
        <w:ind w:left="737" w:hanging="737"/>
        <w:contextualSpacing w:val="0"/>
      </w:pPr>
      <w:r w:rsidRPr="00595E96">
        <w:t xml:space="preserve">UK Power Networks (UKPN) is London’s main Distribution Network Operator and is responsible for distributing electricity from National Grid’s Grid Supply Points to homes and businesses. It maintains </w:t>
      </w:r>
      <w:r w:rsidR="00CA638C">
        <w:t xml:space="preserve">the electricity distribution network, and is responsible for providing new </w:t>
      </w:r>
      <w:r w:rsidRPr="00595E96">
        <w:t xml:space="preserve">connections </w:t>
      </w:r>
      <w:r w:rsidR="00CA638C">
        <w:t xml:space="preserve">onto the network as </w:t>
      </w:r>
      <w:r w:rsidR="00525B60">
        <w:t xml:space="preserve">required to service </w:t>
      </w:r>
      <w:r w:rsidR="00CA638C">
        <w:t>new development</w:t>
      </w:r>
      <w:r w:rsidR="00525B60">
        <w:t>.</w:t>
      </w:r>
      <w:r w:rsidRPr="00595E96">
        <w:t xml:space="preserve"> </w:t>
      </w:r>
    </w:p>
    <w:p w14:paraId="00B3004D" w14:textId="77777777" w:rsidR="00122FC0" w:rsidRDefault="00DF60C7" w:rsidP="00CE5053">
      <w:pPr>
        <w:pStyle w:val="ListParagraph"/>
        <w:numPr>
          <w:ilvl w:val="2"/>
          <w:numId w:val="16"/>
        </w:numPr>
        <w:spacing w:after="240"/>
        <w:ind w:left="737" w:hanging="737"/>
        <w:contextualSpacing w:val="0"/>
      </w:pPr>
      <w:r w:rsidRPr="00595E96">
        <w:lastRenderedPageBreak/>
        <w:t>UKPN is not regulated to carry out speculative upgrades of the network</w:t>
      </w:r>
      <w:r w:rsidR="00525B60">
        <w:t>,</w:t>
      </w:r>
      <w:r w:rsidRPr="00595E96">
        <w:t xml:space="preserve"> and whil</w:t>
      </w:r>
      <w:r w:rsidR="00525B60">
        <w:t>e</w:t>
      </w:r>
      <w:r w:rsidRPr="00595E96">
        <w:t xml:space="preserve"> it does monitor </w:t>
      </w:r>
      <w:r w:rsidR="00525B60">
        <w:t xml:space="preserve">the strategic policies of the </w:t>
      </w:r>
      <w:r w:rsidRPr="00595E96">
        <w:t xml:space="preserve">London Plan and </w:t>
      </w:r>
      <w:r w:rsidR="00525B60">
        <w:t xml:space="preserve">local </w:t>
      </w:r>
      <w:r w:rsidR="002A5355">
        <w:t>authorities’</w:t>
      </w:r>
      <w:r w:rsidR="00525B60">
        <w:t xml:space="preserve"> development plans,</w:t>
      </w:r>
      <w:r w:rsidRPr="00595E96">
        <w:t xml:space="preserve"> </w:t>
      </w:r>
      <w:r w:rsidR="00525B60">
        <w:t>does not play an active role in planning policy. The primary function of UKPN within planning is to respond</w:t>
      </w:r>
      <w:r w:rsidRPr="00595E96">
        <w:t xml:space="preserve"> to requests from developers to connect, with developers meeting these costs and a relevant proportion of any r</w:t>
      </w:r>
      <w:r w:rsidR="00122FC0">
        <w:t>einforcement that is necessary.</w:t>
      </w:r>
    </w:p>
    <w:p w14:paraId="00D57FC3" w14:textId="77777777" w:rsidR="00122FC0" w:rsidRPr="00122FC0" w:rsidRDefault="00E902E2" w:rsidP="00CE5053">
      <w:pPr>
        <w:pStyle w:val="ListParagraph"/>
        <w:numPr>
          <w:ilvl w:val="0"/>
          <w:numId w:val="0"/>
        </w:numPr>
        <w:spacing w:after="240"/>
        <w:ind w:left="737"/>
        <w:contextualSpacing w:val="0"/>
      </w:pPr>
      <w:r w:rsidRPr="00122FC0">
        <w:rPr>
          <w:b/>
        </w:rPr>
        <w:t>Current situation</w:t>
      </w:r>
    </w:p>
    <w:p w14:paraId="559E34CD" w14:textId="77777777" w:rsidR="00DF60C7" w:rsidRPr="00595E96" w:rsidRDefault="00DF60C7" w:rsidP="00CE5053">
      <w:pPr>
        <w:pStyle w:val="ListParagraph"/>
        <w:numPr>
          <w:ilvl w:val="2"/>
          <w:numId w:val="16"/>
        </w:numPr>
        <w:spacing w:after="240"/>
        <w:ind w:left="737" w:hanging="737"/>
        <w:contextualSpacing w:val="0"/>
      </w:pPr>
      <w:r w:rsidRPr="00595E96">
        <w:t xml:space="preserve">There is currently a </w:t>
      </w:r>
      <w:r w:rsidR="00B857C7" w:rsidRPr="00595E96">
        <w:t xml:space="preserve">range </w:t>
      </w:r>
      <w:r w:rsidRPr="00595E96">
        <w:t>of electrical energy infrastructure in the borough, including:</w:t>
      </w:r>
    </w:p>
    <w:p w14:paraId="3333C173" w14:textId="77777777" w:rsidR="00DF60C7" w:rsidRPr="00595E96" w:rsidRDefault="00DF60C7" w:rsidP="00CE5053">
      <w:pPr>
        <w:pStyle w:val="ListParagraph"/>
        <w:numPr>
          <w:ilvl w:val="0"/>
          <w:numId w:val="8"/>
        </w:numPr>
      </w:pPr>
      <w:r w:rsidRPr="00595E96">
        <w:t>Strategic and secondary electricity sub-stations, overhead power lines, and underground cable network</w:t>
      </w:r>
    </w:p>
    <w:p w14:paraId="3143B5C0" w14:textId="77777777" w:rsidR="00DF60C7" w:rsidRPr="00595E96" w:rsidRDefault="00DF60C7" w:rsidP="00CE5053">
      <w:pPr>
        <w:pStyle w:val="ListParagraph"/>
        <w:numPr>
          <w:ilvl w:val="0"/>
          <w:numId w:val="8"/>
        </w:numPr>
        <w:spacing w:after="240"/>
        <w:ind w:left="1797" w:hanging="357"/>
        <w:contextualSpacing w:val="0"/>
      </w:pPr>
      <w:r w:rsidRPr="00595E96">
        <w:t xml:space="preserve">SELCHP Energy </w:t>
      </w:r>
      <w:r w:rsidR="00795AF4">
        <w:t xml:space="preserve">from Waste </w:t>
      </w:r>
      <w:r w:rsidRPr="00595E96">
        <w:t>Facility</w:t>
      </w:r>
    </w:p>
    <w:p w14:paraId="7B9540F5" w14:textId="77777777" w:rsidR="00122FC0" w:rsidRDefault="00DF60C7" w:rsidP="00CE5053">
      <w:pPr>
        <w:pStyle w:val="ListParagraph"/>
        <w:numPr>
          <w:ilvl w:val="2"/>
          <w:numId w:val="16"/>
        </w:numPr>
        <w:spacing w:after="240"/>
        <w:ind w:left="737" w:hanging="737"/>
        <w:contextualSpacing w:val="0"/>
      </w:pPr>
      <w:r w:rsidRPr="00595E96">
        <w:t xml:space="preserve">UKPN </w:t>
      </w:r>
      <w:r w:rsidR="00BA5A21">
        <w:t>are</w:t>
      </w:r>
      <w:r w:rsidRPr="00595E96">
        <w:t xml:space="preserve"> responsible for the maintenance and upgrade of the majority of the existing provision in relation to the distribution network. They directly manage any new requests for additional connections to the network that arise from new development</w:t>
      </w:r>
      <w:r w:rsidR="00BA5A21">
        <w:t>s</w:t>
      </w:r>
      <w:r w:rsidR="00122FC0">
        <w:t>.</w:t>
      </w:r>
    </w:p>
    <w:p w14:paraId="2953E69C" w14:textId="77777777" w:rsidR="00122FC0" w:rsidRPr="00122FC0" w:rsidRDefault="00E902E2" w:rsidP="00CE5053">
      <w:pPr>
        <w:pStyle w:val="ListParagraph"/>
        <w:numPr>
          <w:ilvl w:val="0"/>
          <w:numId w:val="0"/>
        </w:numPr>
        <w:spacing w:after="240"/>
        <w:ind w:left="737"/>
        <w:contextualSpacing w:val="0"/>
      </w:pPr>
      <w:r w:rsidRPr="00122FC0">
        <w:rPr>
          <w:b/>
        </w:rPr>
        <w:t>F</w:t>
      </w:r>
      <w:r w:rsidR="00DF60C7" w:rsidRPr="00122FC0">
        <w:rPr>
          <w:b/>
        </w:rPr>
        <w:t xml:space="preserve">uture </w:t>
      </w:r>
      <w:r w:rsidR="005F5AF5" w:rsidRPr="00122FC0">
        <w:rPr>
          <w:b/>
        </w:rPr>
        <w:t>requirement</w:t>
      </w:r>
    </w:p>
    <w:p w14:paraId="2CDC7AB4" w14:textId="77777777" w:rsidR="0062274B" w:rsidRPr="0062274B" w:rsidRDefault="0062274B" w:rsidP="00CE5053">
      <w:pPr>
        <w:pStyle w:val="ListParagraph"/>
        <w:numPr>
          <w:ilvl w:val="2"/>
          <w:numId w:val="16"/>
        </w:numPr>
        <w:spacing w:after="240"/>
        <w:ind w:left="737" w:hanging="737"/>
        <w:contextualSpacing w:val="0"/>
      </w:pPr>
      <w:r w:rsidRPr="0062274B">
        <w:t xml:space="preserve">At the present time no strategic electricity infrastructure projects have been identified in Lewisham, however, projects will be required to accommodate future growth, and the electricity operator, UKPN, will be required to respond to individual requests for connections. As the statutory undertaker they are required to oversee the delivery and maintenance of the network and system of distribution. The identification process for developing new projects associated with electrical infrastructure will be led by the operator. </w:t>
      </w:r>
    </w:p>
    <w:p w14:paraId="2B10C1D5" w14:textId="77777777" w:rsidR="00DF60C7" w:rsidRPr="00AF0D1E" w:rsidRDefault="00DF60C7" w:rsidP="00CE5053">
      <w:pPr>
        <w:pStyle w:val="Heading3"/>
      </w:pPr>
      <w:bookmarkStart w:id="64" w:name="_Toc56146047"/>
      <w:r w:rsidRPr="00AF0D1E">
        <w:t>Gas</w:t>
      </w:r>
      <w:bookmarkEnd w:id="64"/>
    </w:p>
    <w:p w14:paraId="3DAB1B7F" w14:textId="77777777" w:rsidR="00E902E2" w:rsidRPr="00CA638C" w:rsidRDefault="00E902E2" w:rsidP="00CE5053">
      <w:pPr>
        <w:tabs>
          <w:tab w:val="left" w:pos="720"/>
          <w:tab w:val="left" w:pos="1440"/>
          <w:tab w:val="left" w:pos="2160"/>
        </w:tabs>
        <w:spacing w:after="120"/>
        <w:ind w:left="578" w:firstLine="142"/>
        <w:rPr>
          <w:b/>
        </w:rPr>
      </w:pPr>
      <w:r w:rsidRPr="00CA638C">
        <w:rPr>
          <w:b/>
        </w:rPr>
        <w:t>Background</w:t>
      </w:r>
      <w:r>
        <w:rPr>
          <w:b/>
        </w:rPr>
        <w:tab/>
      </w:r>
    </w:p>
    <w:p w14:paraId="7F259432" w14:textId="77777777" w:rsidR="00122FC0" w:rsidRDefault="00DF60C7" w:rsidP="00CE5053">
      <w:pPr>
        <w:pStyle w:val="ListParagraph"/>
        <w:numPr>
          <w:ilvl w:val="2"/>
          <w:numId w:val="16"/>
        </w:numPr>
        <w:spacing w:after="240"/>
        <w:ind w:left="737" w:hanging="737"/>
        <w:contextualSpacing w:val="0"/>
      </w:pPr>
      <w:r w:rsidRPr="009B4EA9">
        <w:t xml:space="preserve">National Grid owns and operates the high pressure gas transmission </w:t>
      </w:r>
      <w:r w:rsidR="00863E4A" w:rsidRPr="009B4EA9">
        <w:t xml:space="preserve">network in the UK. Major gas infrastructure assets, including </w:t>
      </w:r>
      <w:r w:rsidR="00BA5A21" w:rsidRPr="009B4EA9">
        <w:t xml:space="preserve">gas </w:t>
      </w:r>
      <w:r w:rsidR="00863E4A" w:rsidRPr="009B4EA9">
        <w:t xml:space="preserve">distribution </w:t>
      </w:r>
      <w:r w:rsidR="00BA5A21" w:rsidRPr="009B4EA9">
        <w:t>networks</w:t>
      </w:r>
      <w:r w:rsidR="00863E4A" w:rsidRPr="009B4EA9">
        <w:t xml:space="preserve"> and facilities, are </w:t>
      </w:r>
      <w:r w:rsidR="0062274B" w:rsidRPr="009B4EA9">
        <w:t xml:space="preserve">not </w:t>
      </w:r>
      <w:r w:rsidR="00863E4A" w:rsidRPr="009B4EA9">
        <w:t xml:space="preserve">located </w:t>
      </w:r>
      <w:r w:rsidR="0062274B" w:rsidRPr="009B4EA9">
        <w:t>in</w:t>
      </w:r>
      <w:r w:rsidR="00863E4A" w:rsidRPr="009B4EA9">
        <w:t xml:space="preserve"> </w:t>
      </w:r>
      <w:r w:rsidR="0062274B" w:rsidRPr="009B4EA9">
        <w:t>the borough</w:t>
      </w:r>
      <w:r w:rsidR="00863E4A" w:rsidRPr="009B4EA9">
        <w:t>. The role of National Grid is to maintain the gas distribution network, and is responsible for providing new connections onto the network as required to service new development.</w:t>
      </w:r>
      <w:r w:rsidRPr="009B4EA9">
        <w:t xml:space="preserve"> </w:t>
      </w:r>
      <w:r w:rsidR="00122FC0">
        <w:t>Between 2001–2017</w:t>
      </w:r>
      <w:r w:rsidR="002D7D92" w:rsidRPr="009B4EA9">
        <w:t xml:space="preserve"> London’s gross gas usage across both domestic consumer and commercial/industrial markets has decreased by approximately 26%. This is a trend that is </w:t>
      </w:r>
      <w:r w:rsidRPr="009B4EA9">
        <w:t xml:space="preserve">expected to continue, </w:t>
      </w:r>
      <w:r w:rsidR="002D7D92" w:rsidRPr="009B4EA9">
        <w:t>driven by</w:t>
      </w:r>
      <w:r w:rsidRPr="009B4EA9">
        <w:t xml:space="preserve"> improve</w:t>
      </w:r>
      <w:r w:rsidR="002D7D92" w:rsidRPr="009B4EA9">
        <w:t>ments to technology resulting in higher</w:t>
      </w:r>
      <w:r w:rsidRPr="009B4EA9">
        <w:t xml:space="preserve"> efficienc</w:t>
      </w:r>
      <w:r w:rsidR="002D7D92" w:rsidRPr="009B4EA9">
        <w:t>y,</w:t>
      </w:r>
      <w:r w:rsidRPr="009B4EA9">
        <w:t xml:space="preserve"> and a </w:t>
      </w:r>
      <w:r w:rsidR="002D7D92" w:rsidRPr="009B4EA9">
        <w:t xml:space="preserve">general </w:t>
      </w:r>
      <w:r w:rsidRPr="009B4EA9">
        <w:t>shift away from individual gas boilers</w:t>
      </w:r>
      <w:r w:rsidR="00BA5A21" w:rsidRPr="009B4EA9">
        <w:t xml:space="preserve"> </w:t>
      </w:r>
      <w:r w:rsidR="002D7D92" w:rsidRPr="009B4EA9">
        <w:t>toward</w:t>
      </w:r>
      <w:r w:rsidR="00BA5A21" w:rsidRPr="009B4EA9">
        <w:t xml:space="preserve"> district heating</w:t>
      </w:r>
      <w:r w:rsidRPr="009B4EA9">
        <w:t>.</w:t>
      </w:r>
    </w:p>
    <w:p w14:paraId="3B4B9C5F" w14:textId="77777777" w:rsidR="00122FC0" w:rsidRPr="00122FC0" w:rsidRDefault="00E902E2" w:rsidP="00CE5053">
      <w:pPr>
        <w:pStyle w:val="ListParagraph"/>
        <w:numPr>
          <w:ilvl w:val="0"/>
          <w:numId w:val="0"/>
        </w:numPr>
        <w:spacing w:after="240"/>
        <w:ind w:left="737"/>
        <w:contextualSpacing w:val="0"/>
      </w:pPr>
      <w:r w:rsidRPr="00122FC0">
        <w:rPr>
          <w:b/>
        </w:rPr>
        <w:t>Current situation</w:t>
      </w:r>
    </w:p>
    <w:p w14:paraId="7E77748C" w14:textId="77777777" w:rsidR="00122FC0" w:rsidRDefault="00DF60C7" w:rsidP="00CE5053">
      <w:pPr>
        <w:pStyle w:val="ListParagraph"/>
        <w:numPr>
          <w:ilvl w:val="2"/>
          <w:numId w:val="16"/>
        </w:numPr>
        <w:spacing w:after="240"/>
        <w:ind w:left="737" w:hanging="737"/>
        <w:contextualSpacing w:val="0"/>
      </w:pPr>
      <w:r w:rsidRPr="00830A73">
        <w:t>There is currently a large gas network in the borough, and the industry is not expecting a general increase in gas demand. However, alongside the continuing programme of replacing old metal gas mains, local infrastructure improvements may be required to supp</w:t>
      </w:r>
      <w:r w:rsidR="00122FC0">
        <w:t>ly growth areas in the Borough.</w:t>
      </w:r>
    </w:p>
    <w:p w14:paraId="0A5D57BA" w14:textId="77777777" w:rsidR="00DF60C7" w:rsidRPr="00830A73" w:rsidRDefault="00DF60C7" w:rsidP="00CE5053">
      <w:pPr>
        <w:pStyle w:val="ListParagraph"/>
        <w:numPr>
          <w:ilvl w:val="2"/>
          <w:numId w:val="16"/>
        </w:numPr>
        <w:spacing w:after="240"/>
        <w:ind w:left="737" w:hanging="737"/>
        <w:contextualSpacing w:val="0"/>
      </w:pPr>
      <w:r w:rsidRPr="00DC47B2">
        <w:lastRenderedPageBreak/>
        <w:t>SGN</w:t>
      </w:r>
      <w:r w:rsidRPr="00830A73">
        <w:t xml:space="preserve"> is legally obliged to develop and maintain an efficient and economical pipeline system and, subject to that, to comply with any reasonable request to connect </w:t>
      </w:r>
      <w:r w:rsidR="00122FC0">
        <w:t xml:space="preserve">to </w:t>
      </w:r>
      <w:r w:rsidRPr="00830A73">
        <w:t>premises. In some instances specific system reinforcement may be required to maintain system pressures for the winter period after connecting a new supply or based on demand. Dependent on scale, reinforcement projects may have significant planning, resource and construction lead-times, however at the present time no infrastructure projects have been identified in Lewisham</w:t>
      </w:r>
      <w:r w:rsidR="00830A73" w:rsidRPr="00830A73">
        <w:t>. Nevertheless</w:t>
      </w:r>
      <w:r w:rsidRPr="00830A73">
        <w:t>, projects will be required to accommodate growth, and the gas operator will be required to respond to individual requests for connection.</w:t>
      </w:r>
    </w:p>
    <w:p w14:paraId="4FCEF060" w14:textId="77777777" w:rsidR="00DF60C7" w:rsidRPr="00830A73" w:rsidRDefault="00DF60C7" w:rsidP="00CE5053">
      <w:pPr>
        <w:tabs>
          <w:tab w:val="left" w:pos="720"/>
          <w:tab w:val="left" w:pos="1440"/>
          <w:tab w:val="left" w:pos="2160"/>
        </w:tabs>
        <w:spacing w:after="120"/>
        <w:ind w:left="578" w:firstLine="142"/>
        <w:rPr>
          <w:b/>
        </w:rPr>
      </w:pPr>
      <w:r w:rsidRPr="00830A73">
        <w:rPr>
          <w:b/>
        </w:rPr>
        <w:t xml:space="preserve">Future </w:t>
      </w:r>
      <w:r w:rsidR="005F5AF5" w:rsidRPr="00830A73">
        <w:rPr>
          <w:b/>
        </w:rPr>
        <w:t>requirement</w:t>
      </w:r>
    </w:p>
    <w:p w14:paraId="55F8ACB0" w14:textId="77777777" w:rsidR="00DF60C7" w:rsidRPr="00595E96" w:rsidRDefault="00DF60C7" w:rsidP="00CE5053">
      <w:pPr>
        <w:pStyle w:val="ListParagraph"/>
        <w:numPr>
          <w:ilvl w:val="2"/>
          <w:numId w:val="16"/>
        </w:numPr>
        <w:spacing w:after="240"/>
        <w:ind w:left="737" w:hanging="737"/>
        <w:contextualSpacing w:val="0"/>
      </w:pPr>
      <w:r w:rsidRPr="00830A73">
        <w:t>At the present time no strategic gas infrastructure projects have been identified in Lewisham, however</w:t>
      </w:r>
      <w:r w:rsidR="00830A73" w:rsidRPr="00830A73">
        <w:t>,</w:t>
      </w:r>
      <w:r w:rsidRPr="00830A73">
        <w:t xml:space="preserve"> projects will be required to accommodate growth, and the gas operator will be required to respond to individual requests for connections. As the statutory undertaker </w:t>
      </w:r>
      <w:r w:rsidR="00830A73" w:rsidRPr="00830A73">
        <w:t>SGN</w:t>
      </w:r>
      <w:r w:rsidRPr="00830A73">
        <w:t xml:space="preserve"> are required to oversee the delivery and maintenance of the </w:t>
      </w:r>
      <w:r w:rsidR="00830A73" w:rsidRPr="00830A73">
        <w:t xml:space="preserve">gas distribution </w:t>
      </w:r>
      <w:r w:rsidRPr="00830A73">
        <w:t>network. The identification process for developing new projects associated with gas infrastructure will be led by the operator.</w:t>
      </w:r>
      <w:r w:rsidRPr="00595E96">
        <w:t xml:space="preserve"> </w:t>
      </w:r>
    </w:p>
    <w:p w14:paraId="3E15C82D" w14:textId="77777777" w:rsidR="00DF60C7" w:rsidRPr="00AF0D1E" w:rsidRDefault="00DF60C7" w:rsidP="00CE5053">
      <w:pPr>
        <w:pStyle w:val="Heading3"/>
      </w:pPr>
      <w:bookmarkStart w:id="65" w:name="_Toc56146048"/>
      <w:r w:rsidRPr="00AF0D1E">
        <w:t>Local Energy Generation &amp; Distribution</w:t>
      </w:r>
      <w:bookmarkEnd w:id="65"/>
    </w:p>
    <w:p w14:paraId="0CDA69CD" w14:textId="77777777" w:rsidR="006A2497" w:rsidRPr="006D64E6" w:rsidRDefault="00BB00AB" w:rsidP="00CE5053">
      <w:pPr>
        <w:tabs>
          <w:tab w:val="left" w:pos="720"/>
          <w:tab w:val="left" w:pos="1440"/>
          <w:tab w:val="left" w:pos="2160"/>
        </w:tabs>
        <w:spacing w:after="120"/>
        <w:ind w:left="578" w:firstLine="142"/>
        <w:rPr>
          <w:b/>
        </w:rPr>
      </w:pPr>
      <w:r>
        <w:rPr>
          <w:b/>
        </w:rPr>
        <w:t>Current situation</w:t>
      </w:r>
    </w:p>
    <w:p w14:paraId="08922B43" w14:textId="77777777" w:rsidR="00122FC0" w:rsidRDefault="009630A5" w:rsidP="00CE5053">
      <w:pPr>
        <w:pStyle w:val="ListParagraph"/>
        <w:numPr>
          <w:ilvl w:val="2"/>
          <w:numId w:val="16"/>
        </w:numPr>
        <w:spacing w:after="240"/>
        <w:ind w:left="737" w:hanging="737"/>
        <w:contextualSpacing w:val="0"/>
      </w:pPr>
      <w:r>
        <w:t xml:space="preserve">The South East London Combined Heat and Power (SELCHP) facility in South Bermondsey processes around 430,000 tonnes of waste from Lewisham and other boroughs to generate electricity, which is fed back into the National Grid. However, due to various political and legislative </w:t>
      </w:r>
      <w:r w:rsidR="00D26777">
        <w:t>constraints</w:t>
      </w:r>
      <w:r>
        <w:t xml:space="preserve">, the extraction of heat, in the form of hot </w:t>
      </w:r>
      <w:r w:rsidR="00D26777">
        <w:t>water that is created as part of the energy generation process,</w:t>
      </w:r>
      <w:r>
        <w:t xml:space="preserve"> has not been possible. </w:t>
      </w:r>
      <w:r w:rsidR="00D26777">
        <w:t xml:space="preserve">More recently, </w:t>
      </w:r>
      <w:r w:rsidR="00E85A56">
        <w:t xml:space="preserve">concerns over </w:t>
      </w:r>
      <w:r>
        <w:t xml:space="preserve">climate change </w:t>
      </w:r>
      <w:r w:rsidR="00E85A56">
        <w:t>has</w:t>
      </w:r>
      <w:r>
        <w:t xml:space="preserve"> led to </w:t>
      </w:r>
      <w:r w:rsidR="00E85A56">
        <w:t xml:space="preserve">a </w:t>
      </w:r>
      <w:r>
        <w:t xml:space="preserve">renewed interest in </w:t>
      </w:r>
      <w:r w:rsidR="00E85A56">
        <w:t>better utilitising the capabilities of SELCHP to develop a local heat network to supply properties with heat and hot water. I</w:t>
      </w:r>
      <w:r>
        <w:t xml:space="preserve">n 2014 </w:t>
      </w:r>
      <w:r w:rsidR="00E85A56">
        <w:t xml:space="preserve">the </w:t>
      </w:r>
      <w:r>
        <w:t>L</w:t>
      </w:r>
      <w:r w:rsidR="00E85A56">
        <w:t xml:space="preserve">ondon </w:t>
      </w:r>
      <w:r>
        <w:t>B</w:t>
      </w:r>
      <w:r w:rsidR="00E85A56">
        <w:t>orough of</w:t>
      </w:r>
      <w:r>
        <w:t xml:space="preserve"> Southwark</w:t>
      </w:r>
      <w:r w:rsidR="00E85A56">
        <w:t xml:space="preserve"> p</w:t>
      </w:r>
      <w:r>
        <w:t>artner</w:t>
      </w:r>
      <w:r w:rsidR="00E85A56">
        <w:t>ed</w:t>
      </w:r>
      <w:r>
        <w:t xml:space="preserve"> with </w:t>
      </w:r>
      <w:r w:rsidR="00E85A56">
        <w:t>the operator of SELCHP to create</w:t>
      </w:r>
      <w:r>
        <w:t xml:space="preserve"> a </w:t>
      </w:r>
      <w:r w:rsidR="00E85A56">
        <w:t xml:space="preserve">5km pipe network to supply </w:t>
      </w:r>
      <w:r w:rsidRPr="00543095">
        <w:t>a</w:t>
      </w:r>
      <w:r w:rsidR="00E85A56" w:rsidRPr="00543095">
        <w:t xml:space="preserve">pproximately 2,500 </w:t>
      </w:r>
      <w:r w:rsidRPr="00543095">
        <w:t xml:space="preserve">properties </w:t>
      </w:r>
      <w:r w:rsidR="00E85A56" w:rsidRPr="00543095">
        <w:t>in Southwark.</w:t>
      </w:r>
    </w:p>
    <w:p w14:paraId="37EC412E" w14:textId="77777777" w:rsidR="00122FC0" w:rsidRDefault="00BB00AB" w:rsidP="00CE5053">
      <w:pPr>
        <w:pStyle w:val="ListParagraph"/>
        <w:numPr>
          <w:ilvl w:val="2"/>
          <w:numId w:val="16"/>
        </w:numPr>
        <w:spacing w:after="240"/>
        <w:ind w:left="737" w:hanging="737"/>
        <w:contextualSpacing w:val="0"/>
      </w:pPr>
      <w:r w:rsidRPr="00543095">
        <w:t>Secured through a planning agreement, in 2014 the Glass Mill Leisure Centre was opened in Lewisham Town Centre. The facility includes an energy centre that includes a combined heat plant that provides the leisure centre and the adjoining residential d</w:t>
      </w:r>
      <w:r w:rsidR="00122FC0">
        <w:t>evelopment with heat and power.</w:t>
      </w:r>
    </w:p>
    <w:p w14:paraId="2199D6D2" w14:textId="77777777" w:rsidR="00122FC0" w:rsidRPr="00122FC0" w:rsidRDefault="00BB00AB" w:rsidP="00CE5053">
      <w:pPr>
        <w:pStyle w:val="ListParagraph"/>
        <w:numPr>
          <w:ilvl w:val="0"/>
          <w:numId w:val="0"/>
        </w:numPr>
        <w:spacing w:after="240"/>
        <w:ind w:left="737"/>
        <w:contextualSpacing w:val="0"/>
      </w:pPr>
      <w:r w:rsidRPr="00122FC0">
        <w:rPr>
          <w:b/>
        </w:rPr>
        <w:t>Future requirement</w:t>
      </w:r>
    </w:p>
    <w:p w14:paraId="2A4697E5" w14:textId="77777777" w:rsidR="00543095" w:rsidRPr="00543095" w:rsidRDefault="00543095" w:rsidP="00CE5053">
      <w:pPr>
        <w:pStyle w:val="ListParagraph"/>
        <w:numPr>
          <w:ilvl w:val="2"/>
          <w:numId w:val="16"/>
        </w:numPr>
        <w:spacing w:after="240"/>
        <w:ind w:left="737" w:hanging="737"/>
        <w:contextualSpacing w:val="0"/>
      </w:pPr>
      <w:r w:rsidRPr="00543095">
        <w:t>There are a number of scalable projects that Council is seeking to progress as opportunities arise, including:</w:t>
      </w:r>
    </w:p>
    <w:p w14:paraId="58A37633" w14:textId="77777777" w:rsidR="00543095" w:rsidRPr="00543095" w:rsidRDefault="00BB00AB" w:rsidP="00CE5053">
      <w:pPr>
        <w:pStyle w:val="ListParagraph"/>
        <w:numPr>
          <w:ilvl w:val="0"/>
          <w:numId w:val="12"/>
        </w:numPr>
      </w:pPr>
      <w:r w:rsidRPr="00543095">
        <w:t>Th</w:t>
      </w:r>
      <w:r w:rsidR="00543095" w:rsidRPr="00543095">
        <w:t>e extension of</w:t>
      </w:r>
      <w:r w:rsidRPr="00543095">
        <w:t xml:space="preserve"> </w:t>
      </w:r>
      <w:r w:rsidR="00543095" w:rsidRPr="00543095">
        <w:t>the Glass Mill Leisure Centre combined heat plant network to</w:t>
      </w:r>
      <w:r w:rsidRPr="00543095">
        <w:t xml:space="preserve"> the Thurston Road Industrial Estate</w:t>
      </w:r>
      <w:r w:rsidR="00543095" w:rsidRPr="00543095">
        <w:t>,</w:t>
      </w:r>
      <w:r w:rsidRPr="00543095">
        <w:t xml:space="preserve"> and potentially other sites on</w:t>
      </w:r>
      <w:r w:rsidR="00543095" w:rsidRPr="00543095">
        <w:t xml:space="preserve"> the north side of Loampit Vale;</w:t>
      </w:r>
    </w:p>
    <w:p w14:paraId="0E8FC028" w14:textId="77777777" w:rsidR="00543095" w:rsidRDefault="00543095" w:rsidP="00CE5053">
      <w:pPr>
        <w:pStyle w:val="ListParagraph"/>
        <w:numPr>
          <w:ilvl w:val="0"/>
          <w:numId w:val="12"/>
        </w:numPr>
      </w:pPr>
      <w:r>
        <w:t>Connection of the Surrey Canal Triangle development to the SELCHP heat and hot water network; and</w:t>
      </w:r>
      <w:r w:rsidR="009630A5">
        <w:t xml:space="preserve"> </w:t>
      </w:r>
    </w:p>
    <w:p w14:paraId="4CC059DA" w14:textId="1FC35321" w:rsidR="00FD6792" w:rsidRDefault="00543095" w:rsidP="00CE5053">
      <w:pPr>
        <w:pStyle w:val="ListParagraph"/>
        <w:numPr>
          <w:ilvl w:val="0"/>
          <w:numId w:val="12"/>
        </w:numPr>
      </w:pPr>
      <w:r>
        <w:t xml:space="preserve">Investigating the feasibility of developing a </w:t>
      </w:r>
      <w:r w:rsidR="009630A5">
        <w:t>wider strategic network to supply heat to Lewisham Homes’ sites from</w:t>
      </w:r>
      <w:r>
        <w:t xml:space="preserve"> the </w:t>
      </w:r>
      <w:r w:rsidR="009630A5">
        <w:t>SELCHP</w:t>
      </w:r>
      <w:r>
        <w:t xml:space="preserve"> heat and hot water network</w:t>
      </w:r>
      <w:r w:rsidR="009630A5">
        <w:t>.</w:t>
      </w:r>
    </w:p>
    <w:p w14:paraId="12A804EC" w14:textId="77777777" w:rsidR="00DF60C7" w:rsidRDefault="00DF60C7" w:rsidP="00CE5053">
      <w:pPr>
        <w:pStyle w:val="Heading2"/>
        <w:spacing w:after="240"/>
      </w:pPr>
      <w:bookmarkStart w:id="66" w:name="_Toc56146049"/>
      <w:r w:rsidRPr="001F7D61">
        <w:lastRenderedPageBreak/>
        <w:t>Water infrastructure</w:t>
      </w:r>
      <w:bookmarkEnd w:id="66"/>
    </w:p>
    <w:p w14:paraId="29EE0F9C" w14:textId="77777777" w:rsidR="000420B6" w:rsidRPr="00E902E2" w:rsidRDefault="000420B6" w:rsidP="00CE5053">
      <w:pPr>
        <w:tabs>
          <w:tab w:val="left" w:pos="720"/>
          <w:tab w:val="left" w:pos="1440"/>
          <w:tab w:val="left" w:pos="2160"/>
        </w:tabs>
        <w:spacing w:after="120"/>
        <w:ind w:left="578" w:firstLine="142"/>
        <w:rPr>
          <w:b/>
        </w:rPr>
      </w:pPr>
      <w:r w:rsidRPr="00E902E2">
        <w:rPr>
          <w:b/>
        </w:rPr>
        <w:t>Policy context</w:t>
      </w:r>
    </w:p>
    <w:p w14:paraId="095B3937" w14:textId="77777777" w:rsidR="000420B6" w:rsidRDefault="00634D0A" w:rsidP="00CE5053">
      <w:pPr>
        <w:pStyle w:val="ListParagraph"/>
        <w:numPr>
          <w:ilvl w:val="0"/>
          <w:numId w:val="18"/>
        </w:numPr>
        <w:spacing w:after="240"/>
        <w:ind w:left="737" w:hanging="737"/>
        <w:contextualSpacing w:val="0"/>
      </w:pPr>
      <w:r w:rsidRPr="00595E96">
        <w:t xml:space="preserve">London Plan </w:t>
      </w:r>
      <w:r w:rsidR="002304D1">
        <w:t>P</w:t>
      </w:r>
      <w:r w:rsidR="00DF60C7" w:rsidRPr="00595E96">
        <w:t xml:space="preserve">olicy SI5 </w:t>
      </w:r>
      <w:r w:rsidRPr="00595E96">
        <w:t>‘</w:t>
      </w:r>
      <w:r w:rsidR="00DF60C7" w:rsidRPr="00595E96">
        <w:t xml:space="preserve">Water </w:t>
      </w:r>
      <w:r w:rsidR="002304D1">
        <w:t>I</w:t>
      </w:r>
      <w:r w:rsidR="00DF60C7" w:rsidRPr="00595E96">
        <w:t>nfrastructure</w:t>
      </w:r>
      <w:r w:rsidRPr="00595E96">
        <w:t xml:space="preserve">’ </w:t>
      </w:r>
      <w:r w:rsidR="000420B6">
        <w:t>sets out the requirements for London’s boroughs to</w:t>
      </w:r>
      <w:r w:rsidR="000420B6" w:rsidRPr="00595E96">
        <w:t xml:space="preserve"> </w:t>
      </w:r>
      <w:r w:rsidR="00DF60C7" w:rsidRPr="00595E96">
        <w:t xml:space="preserve">promote improvements to water supply infrastructure to ensure security of supply. </w:t>
      </w:r>
      <w:r w:rsidR="000420B6">
        <w:t>Other policy objectives include:</w:t>
      </w:r>
    </w:p>
    <w:p w14:paraId="6D0383B8" w14:textId="77777777" w:rsidR="000420B6" w:rsidRDefault="000420B6" w:rsidP="00CE5053">
      <w:pPr>
        <w:pStyle w:val="ListParagraph"/>
        <w:numPr>
          <w:ilvl w:val="0"/>
          <w:numId w:val="9"/>
        </w:numPr>
      </w:pPr>
      <w:r>
        <w:t>Minimising the use of mains water in line with the Optional Requirement of the Building Regulations (Residential Development), and achieving water mains consumption of 105 litres or less per head per day;</w:t>
      </w:r>
    </w:p>
    <w:p w14:paraId="4549581E" w14:textId="77777777" w:rsidR="000420B6" w:rsidRDefault="000420B6" w:rsidP="00CE5053">
      <w:pPr>
        <w:pStyle w:val="ListParagraph"/>
        <w:numPr>
          <w:ilvl w:val="0"/>
          <w:numId w:val="9"/>
        </w:numPr>
      </w:pPr>
      <w:r>
        <w:t>Incorporating measures such as smart metering, water saving and recycling measures, including retrofitting, to help to achieve lower water consumption rates and to maximise future-proofing;</w:t>
      </w:r>
    </w:p>
    <w:p w14:paraId="2E500321" w14:textId="77777777" w:rsidR="000420B6" w:rsidRDefault="000420B6" w:rsidP="00CE5053">
      <w:pPr>
        <w:pStyle w:val="ListParagraph"/>
        <w:numPr>
          <w:ilvl w:val="0"/>
          <w:numId w:val="9"/>
        </w:numPr>
      </w:pPr>
      <w:r>
        <w:t>Promoting the protection and improvement of the water environment in line with the Thames River Basin Management Plan, taking account of Catchment Plans;</w:t>
      </w:r>
      <w:r w:rsidR="002304D1">
        <w:t xml:space="preserve"> and</w:t>
      </w:r>
    </w:p>
    <w:p w14:paraId="7C18FED7" w14:textId="77777777" w:rsidR="002304D1" w:rsidRPr="00595E96" w:rsidRDefault="000420B6" w:rsidP="00CE5053">
      <w:pPr>
        <w:pStyle w:val="ListParagraph"/>
        <w:numPr>
          <w:ilvl w:val="0"/>
          <w:numId w:val="9"/>
        </w:numPr>
        <w:spacing w:after="240"/>
        <w:ind w:left="1434" w:hanging="357"/>
        <w:contextualSpacing w:val="0"/>
      </w:pPr>
      <w:r>
        <w:t>Supporting wastewater treatment infrastructure investment to accommodate London’s growth and climate change impacts</w:t>
      </w:r>
      <w:r w:rsidR="002304D1">
        <w:t>.</w:t>
      </w:r>
    </w:p>
    <w:p w14:paraId="361601EA" w14:textId="77777777" w:rsidR="00DF60C7" w:rsidRPr="00595E96" w:rsidRDefault="00430EB5" w:rsidP="00CE5053">
      <w:pPr>
        <w:pStyle w:val="ListParagraph"/>
        <w:numPr>
          <w:ilvl w:val="0"/>
          <w:numId w:val="18"/>
        </w:numPr>
        <w:spacing w:after="240"/>
        <w:ind w:left="737" w:hanging="737"/>
        <w:contextualSpacing w:val="0"/>
      </w:pPr>
      <w:r w:rsidRPr="00595E96">
        <w:t xml:space="preserve">London Plan </w:t>
      </w:r>
      <w:r w:rsidR="0000574E">
        <w:t>P</w:t>
      </w:r>
      <w:r w:rsidR="00634D0A" w:rsidRPr="00595E96">
        <w:t>olicy</w:t>
      </w:r>
      <w:r w:rsidR="00634D0A" w:rsidRPr="00595E96" w:rsidDel="00634D0A">
        <w:t xml:space="preserve"> </w:t>
      </w:r>
      <w:r w:rsidR="00DF60C7" w:rsidRPr="00595E96">
        <w:t xml:space="preserve">SI12 </w:t>
      </w:r>
      <w:r w:rsidRPr="00595E96">
        <w:t>‘</w:t>
      </w:r>
      <w:r w:rsidR="00DF60C7" w:rsidRPr="00595E96">
        <w:t>Flood risk management</w:t>
      </w:r>
      <w:r w:rsidRPr="00595E96">
        <w:t xml:space="preserve">’ </w:t>
      </w:r>
      <w:r w:rsidR="0000574E">
        <w:t>sets out the requirements for London’s boroughs to assess and manage flood risk from all sources in a sustainable and cost-effective way in collaboration with the Environment Agency, the Lead Local Flood Authorities, developers and infrastructure providers. Where particular and cumulative flood risk issues exist, actions and policy approaches should be developed to reduce these risks, and where cross-boundary flood risk issues are identified, boroughs are required to co-operate and jointly address these issues. Further, development plans should contribute to the delivery of the measures set out in Thames Estuary 2100 Plan.</w:t>
      </w:r>
      <w:r w:rsidR="00DF60C7" w:rsidRPr="00595E96">
        <w:t xml:space="preserve"> </w:t>
      </w:r>
    </w:p>
    <w:p w14:paraId="37A05626" w14:textId="77777777" w:rsidR="00DF60C7" w:rsidRPr="00DC47B2" w:rsidRDefault="00430EB5" w:rsidP="00CE5053">
      <w:pPr>
        <w:pStyle w:val="ListParagraph"/>
        <w:numPr>
          <w:ilvl w:val="0"/>
          <w:numId w:val="18"/>
        </w:numPr>
        <w:spacing w:after="240"/>
        <w:ind w:left="737" w:hanging="737"/>
        <w:contextualSpacing w:val="0"/>
      </w:pPr>
      <w:r w:rsidRPr="00595E96">
        <w:t>London Plan p</w:t>
      </w:r>
      <w:r w:rsidR="00634D0A" w:rsidRPr="00595E96">
        <w:t>olicy</w:t>
      </w:r>
      <w:r w:rsidR="00634D0A" w:rsidRPr="00595E96" w:rsidDel="00634D0A">
        <w:t xml:space="preserve"> </w:t>
      </w:r>
      <w:r w:rsidR="00DF60C7" w:rsidRPr="00595E96">
        <w:t xml:space="preserve">SI16 </w:t>
      </w:r>
      <w:r w:rsidRPr="00595E96">
        <w:t>‘</w:t>
      </w:r>
      <w:r w:rsidR="00DF60C7" w:rsidRPr="00595E96">
        <w:t>Waterways</w:t>
      </w:r>
      <w:r w:rsidRPr="00595E96">
        <w:t>’ and SI17 ‘Protecting London’s waterways’ cover the</w:t>
      </w:r>
      <w:r w:rsidR="00DF60C7" w:rsidRPr="00595E96">
        <w:t xml:space="preserve"> use and enjoyment</w:t>
      </w:r>
      <w:r w:rsidRPr="00595E96">
        <w:t xml:space="preserve"> of waterways, as well as stating that L</w:t>
      </w:r>
      <w:r w:rsidR="00DF60C7" w:rsidRPr="00595E96">
        <w:t>ocal Plans should protect and enhance waterway infrastructure to enable water-dependent uses including water</w:t>
      </w:r>
      <w:r w:rsidR="00DC47B2">
        <w:t xml:space="preserve"> </w:t>
      </w:r>
      <w:r w:rsidR="00DF60C7" w:rsidRPr="00595E96">
        <w:t xml:space="preserve">based recreation and sports, and to identify opportunities for increased local distinctiveness. This includes river restoration works. </w:t>
      </w:r>
    </w:p>
    <w:p w14:paraId="32CF7962" w14:textId="77777777" w:rsidR="00DF60C7" w:rsidRPr="00AF0D1E" w:rsidRDefault="00DF60C7" w:rsidP="00CE5053">
      <w:pPr>
        <w:pStyle w:val="Heading3"/>
      </w:pPr>
      <w:bookmarkStart w:id="67" w:name="_Toc56146050"/>
      <w:r w:rsidRPr="00AF0D1E">
        <w:t>Strategic water supply</w:t>
      </w:r>
      <w:bookmarkEnd w:id="67"/>
      <w:r w:rsidRPr="00AF0D1E">
        <w:t xml:space="preserve"> </w:t>
      </w:r>
    </w:p>
    <w:p w14:paraId="684DD9C2" w14:textId="77777777" w:rsidR="005B6AAA" w:rsidRPr="005B6AAA" w:rsidRDefault="005B6AAA" w:rsidP="00CE5053">
      <w:pPr>
        <w:ind w:left="1440" w:hanging="720"/>
        <w:rPr>
          <w:b/>
        </w:rPr>
      </w:pPr>
      <w:r>
        <w:rPr>
          <w:b/>
        </w:rPr>
        <w:t>Background</w:t>
      </w:r>
    </w:p>
    <w:p w14:paraId="63847592" w14:textId="77777777" w:rsidR="005B6AAA" w:rsidRPr="00595E96" w:rsidRDefault="00DF60C7" w:rsidP="00CE5053">
      <w:pPr>
        <w:pStyle w:val="ListParagraph"/>
        <w:numPr>
          <w:ilvl w:val="0"/>
          <w:numId w:val="18"/>
        </w:numPr>
        <w:spacing w:after="240"/>
        <w:ind w:left="737" w:hanging="737"/>
        <w:contextualSpacing w:val="0"/>
      </w:pPr>
      <w:r w:rsidRPr="00595E96">
        <w:t>Thames Water operates the water and waste</w:t>
      </w:r>
      <w:r w:rsidR="00852E80">
        <w:t xml:space="preserve"> </w:t>
      </w:r>
      <w:r w:rsidRPr="00595E96">
        <w:t xml:space="preserve">water network in Lewisham and is responsible for </w:t>
      </w:r>
      <w:r w:rsidR="00852E80">
        <w:t>the water and w</w:t>
      </w:r>
      <w:r w:rsidRPr="00595E96">
        <w:t xml:space="preserve">astewater </w:t>
      </w:r>
      <w:r w:rsidR="00852E80">
        <w:t>distribution network.</w:t>
      </w:r>
      <w:r w:rsidRPr="00595E96">
        <w:t xml:space="preserve"> In relation to wastewater infrastructure,</w:t>
      </w:r>
      <w:r w:rsidR="00852E80">
        <w:t xml:space="preserve"> London </w:t>
      </w:r>
      <w:r w:rsidRPr="00595E96">
        <w:t xml:space="preserve">boroughs work with the relevant agencies and bodies to identify the wastewater infrastructure </w:t>
      </w:r>
      <w:r w:rsidR="005F5AF5">
        <w:t>require</w:t>
      </w:r>
      <w:r w:rsidR="00852E80">
        <w:t xml:space="preserve">d to service expected demand </w:t>
      </w:r>
      <w:r w:rsidRPr="00595E96">
        <w:t>in the</w:t>
      </w:r>
      <w:r w:rsidR="00852E80">
        <w:t xml:space="preserve"> local </w:t>
      </w:r>
      <w:r w:rsidRPr="00595E96">
        <w:t xml:space="preserve">area. Local Plans should also </w:t>
      </w:r>
      <w:r w:rsidR="00852E80">
        <w:t xml:space="preserve">safeguard strategic sites required to meet the current and future </w:t>
      </w:r>
      <w:r w:rsidR="00914800">
        <w:t>strategic infrastructure requirements,</w:t>
      </w:r>
      <w:r w:rsidR="00852E80">
        <w:t xml:space="preserve"> including tunnel alignments</w:t>
      </w:r>
      <w:r w:rsidR="00914800">
        <w:t xml:space="preserve">, as required </w:t>
      </w:r>
      <w:r w:rsidR="00852E80">
        <w:t xml:space="preserve">by projects such as </w:t>
      </w:r>
      <w:r w:rsidRPr="00595E96">
        <w:t>the Thames Tideway Tunnel Scheme.</w:t>
      </w:r>
    </w:p>
    <w:p w14:paraId="1CDDF228" w14:textId="77777777" w:rsidR="00DF60C7" w:rsidRPr="006D64E6" w:rsidRDefault="00E902E2" w:rsidP="00CE5053">
      <w:pPr>
        <w:tabs>
          <w:tab w:val="left" w:pos="720"/>
          <w:tab w:val="left" w:pos="1440"/>
          <w:tab w:val="left" w:pos="2160"/>
        </w:tabs>
        <w:spacing w:after="120"/>
        <w:ind w:left="578" w:firstLine="142"/>
        <w:rPr>
          <w:b/>
        </w:rPr>
      </w:pPr>
      <w:r w:rsidRPr="002F330D">
        <w:rPr>
          <w:b/>
        </w:rPr>
        <w:t>Current situation</w:t>
      </w:r>
    </w:p>
    <w:p w14:paraId="6EEA660A" w14:textId="77777777" w:rsidR="00DF60C7" w:rsidRPr="00595E96" w:rsidRDefault="00DF60C7" w:rsidP="00CE5053">
      <w:pPr>
        <w:pStyle w:val="ListParagraph"/>
        <w:numPr>
          <w:ilvl w:val="0"/>
          <w:numId w:val="18"/>
        </w:numPr>
        <w:spacing w:after="240"/>
        <w:ind w:left="737" w:hanging="737"/>
        <w:contextualSpacing w:val="0"/>
      </w:pPr>
      <w:r w:rsidRPr="00595E96">
        <w:t xml:space="preserve">There </w:t>
      </w:r>
      <w:r w:rsidR="005B6AAA">
        <w:t xml:space="preserve">is </w:t>
      </w:r>
      <w:r w:rsidRPr="00595E96">
        <w:t xml:space="preserve">a </w:t>
      </w:r>
      <w:r w:rsidR="0002624A" w:rsidRPr="00595E96">
        <w:t xml:space="preserve">range </w:t>
      </w:r>
      <w:r w:rsidRPr="00595E96">
        <w:t xml:space="preserve">of water and sewage infrastructure </w:t>
      </w:r>
      <w:r w:rsidR="001179E7">
        <w:t xml:space="preserve">located </w:t>
      </w:r>
      <w:r w:rsidRPr="00595E96">
        <w:t>in the borough, including:</w:t>
      </w:r>
    </w:p>
    <w:p w14:paraId="002D6890" w14:textId="77777777" w:rsidR="00DF60C7" w:rsidRPr="00595E96" w:rsidRDefault="00DF60C7" w:rsidP="00CE5053">
      <w:pPr>
        <w:pStyle w:val="ListParagraph"/>
        <w:numPr>
          <w:ilvl w:val="0"/>
          <w:numId w:val="9"/>
        </w:numPr>
      </w:pPr>
      <w:r w:rsidRPr="00595E96">
        <w:lastRenderedPageBreak/>
        <w:t>Deptford Water Treatment Works</w:t>
      </w:r>
      <w:r w:rsidR="005B6AAA">
        <w:t>;</w:t>
      </w:r>
    </w:p>
    <w:p w14:paraId="51F8F2D9" w14:textId="77777777" w:rsidR="00DF60C7" w:rsidRPr="00595E96" w:rsidRDefault="00DF60C7" w:rsidP="00CE5053">
      <w:pPr>
        <w:pStyle w:val="ListParagraph"/>
        <w:numPr>
          <w:ilvl w:val="0"/>
          <w:numId w:val="9"/>
        </w:numPr>
      </w:pPr>
      <w:r w:rsidRPr="00595E96">
        <w:t>Trunk sewers and network of combined sewers</w:t>
      </w:r>
      <w:r w:rsidR="005B6AAA">
        <w:t>;</w:t>
      </w:r>
    </w:p>
    <w:p w14:paraId="5610BA57" w14:textId="77777777" w:rsidR="00DF60C7" w:rsidRPr="00595E96" w:rsidRDefault="00DF60C7" w:rsidP="00CE5053">
      <w:pPr>
        <w:pStyle w:val="ListParagraph"/>
        <w:numPr>
          <w:ilvl w:val="0"/>
          <w:numId w:val="9"/>
        </w:numPr>
      </w:pPr>
      <w:r w:rsidRPr="00595E96">
        <w:t>Water supply network</w:t>
      </w:r>
      <w:r w:rsidR="005B6AAA">
        <w:t>; and</w:t>
      </w:r>
    </w:p>
    <w:p w14:paraId="5901FCE2" w14:textId="77777777" w:rsidR="00DF60C7" w:rsidRPr="00595E96" w:rsidRDefault="00DF60C7" w:rsidP="00CE5053">
      <w:pPr>
        <w:pStyle w:val="ListParagraph"/>
        <w:numPr>
          <w:ilvl w:val="0"/>
          <w:numId w:val="9"/>
        </w:numPr>
        <w:spacing w:after="240"/>
        <w:ind w:left="1434" w:hanging="357"/>
        <w:contextualSpacing w:val="0"/>
      </w:pPr>
      <w:r w:rsidRPr="00595E96">
        <w:t>Combined sewer overflow (CSO) and pumping station</w:t>
      </w:r>
      <w:r w:rsidR="005B6AAA">
        <w:t>.</w:t>
      </w:r>
    </w:p>
    <w:p w14:paraId="23C29B0F" w14:textId="77777777" w:rsidR="00DF60C7" w:rsidRDefault="00DF60C7" w:rsidP="00CE5053">
      <w:pPr>
        <w:pStyle w:val="ListParagraph"/>
        <w:numPr>
          <w:ilvl w:val="0"/>
          <w:numId w:val="18"/>
        </w:numPr>
        <w:spacing w:after="240"/>
        <w:ind w:left="737" w:hanging="737"/>
        <w:contextualSpacing w:val="0"/>
      </w:pPr>
      <w:r w:rsidRPr="00595E96">
        <w:t>Thames Water is responsible</w:t>
      </w:r>
      <w:r w:rsidR="00914800">
        <w:t xml:space="preserve"> for the maintenance and upgrading</w:t>
      </w:r>
      <w:r w:rsidRPr="00595E96">
        <w:t xml:space="preserve"> of this existing provision, and directly manages any new requests for additional connections to the network that arise from new development. </w:t>
      </w:r>
    </w:p>
    <w:p w14:paraId="2B6BE550" w14:textId="77777777" w:rsidR="0006257D" w:rsidRPr="0006257D" w:rsidRDefault="0006257D" w:rsidP="00CE5053">
      <w:pPr>
        <w:pStyle w:val="ListParagraph"/>
        <w:numPr>
          <w:ilvl w:val="0"/>
          <w:numId w:val="18"/>
        </w:numPr>
        <w:spacing w:after="240"/>
        <w:ind w:left="737" w:hanging="737"/>
        <w:contextualSpacing w:val="0"/>
      </w:pPr>
      <w:r w:rsidRPr="0006257D">
        <w:t>Thames W</w:t>
      </w:r>
      <w:r w:rsidR="00914800">
        <w:t xml:space="preserve">ater is currently undertaking a number of </w:t>
      </w:r>
      <w:r w:rsidRPr="0006257D">
        <w:t>preliminary Drainage and Wastewater Management Plans</w:t>
      </w:r>
      <w:r w:rsidR="00914800">
        <w:t>, which are expected to be published by 2022</w:t>
      </w:r>
      <w:r w:rsidRPr="0006257D">
        <w:t>. The</w:t>
      </w:r>
      <w:r w:rsidR="00914800">
        <w:t>se</w:t>
      </w:r>
      <w:r w:rsidRPr="0006257D">
        <w:t xml:space="preserve"> plans will set out how </w:t>
      </w:r>
      <w:r w:rsidR="00914800">
        <w:t>Thames Water</w:t>
      </w:r>
      <w:r w:rsidRPr="0006257D">
        <w:t xml:space="preserve"> intend to extend, improve and maintain </w:t>
      </w:r>
      <w:r w:rsidR="00914800">
        <w:t>the network over the next 25 year period.</w:t>
      </w:r>
      <w:r w:rsidRPr="0006257D">
        <w:t xml:space="preserve">     </w:t>
      </w:r>
    </w:p>
    <w:p w14:paraId="5BFCA597" w14:textId="77777777" w:rsidR="00DF60C7" w:rsidRPr="006D64E6" w:rsidRDefault="00DF60C7" w:rsidP="00CE5053">
      <w:pPr>
        <w:tabs>
          <w:tab w:val="left" w:pos="720"/>
          <w:tab w:val="left" w:pos="1440"/>
          <w:tab w:val="left" w:pos="2160"/>
        </w:tabs>
        <w:spacing w:after="120"/>
        <w:ind w:left="578" w:firstLine="142"/>
        <w:rPr>
          <w:b/>
        </w:rPr>
      </w:pPr>
      <w:r w:rsidRPr="002F330D">
        <w:rPr>
          <w:b/>
        </w:rPr>
        <w:t xml:space="preserve">Future </w:t>
      </w:r>
      <w:r w:rsidR="005F5AF5" w:rsidRPr="002F330D">
        <w:rPr>
          <w:b/>
        </w:rPr>
        <w:t>requirement</w:t>
      </w:r>
    </w:p>
    <w:p w14:paraId="4ABF1E6E" w14:textId="77777777" w:rsidR="00DF60C7" w:rsidRPr="00595E96" w:rsidRDefault="00DF60C7" w:rsidP="00CE5053">
      <w:pPr>
        <w:pStyle w:val="ListParagraph"/>
        <w:numPr>
          <w:ilvl w:val="0"/>
          <w:numId w:val="18"/>
        </w:numPr>
        <w:spacing w:after="240"/>
        <w:ind w:left="737" w:hanging="737"/>
        <w:contextualSpacing w:val="0"/>
      </w:pPr>
      <w:r w:rsidRPr="00595E96">
        <w:t>Thames Water currently has no specific plans to upgrade water supply infrastructure in Lewisham, although it will review the need for network improvements on an ongoing basis</w:t>
      </w:r>
      <w:r w:rsidR="00914800">
        <w:t>,</w:t>
      </w:r>
      <w:r w:rsidRPr="00595E96">
        <w:t xml:space="preserve"> and prioritise any works accordingly. It may be necessary for </w:t>
      </w:r>
      <w:r w:rsidR="00914800">
        <w:t xml:space="preserve">additional infrastructure </w:t>
      </w:r>
      <w:r w:rsidRPr="00595E96">
        <w:t xml:space="preserve">to </w:t>
      </w:r>
      <w:r w:rsidR="00914800">
        <w:t>augment the existing network to support larger scale redevelopments,</w:t>
      </w:r>
      <w:r w:rsidRPr="00595E96">
        <w:t xml:space="preserve"> depending on the </w:t>
      </w:r>
      <w:r w:rsidR="00914800">
        <w:t>use class</w:t>
      </w:r>
      <w:r w:rsidRPr="00595E96">
        <w:t xml:space="preserve">, scale and location of development. The identification process for developing new </w:t>
      </w:r>
      <w:r w:rsidR="00AF3C3C">
        <w:t xml:space="preserve">infrastructure </w:t>
      </w:r>
      <w:r w:rsidRPr="00595E96">
        <w:t xml:space="preserve">projects will be led by </w:t>
      </w:r>
      <w:r w:rsidR="00914800">
        <w:t>Thames Water</w:t>
      </w:r>
      <w:r w:rsidRPr="00595E96">
        <w:t xml:space="preserve">. </w:t>
      </w:r>
    </w:p>
    <w:p w14:paraId="47654A0D" w14:textId="77777777" w:rsidR="00DF60C7" w:rsidRPr="00AF0D1E" w:rsidRDefault="00DF60C7" w:rsidP="00CE5053">
      <w:pPr>
        <w:pStyle w:val="Heading3"/>
      </w:pPr>
      <w:bookmarkStart w:id="68" w:name="_Toc56146051"/>
      <w:r w:rsidRPr="00AF0D1E">
        <w:t>Wastewater infrastructure</w:t>
      </w:r>
      <w:bookmarkEnd w:id="68"/>
      <w:r w:rsidRPr="00AF0D1E">
        <w:t xml:space="preserve">  </w:t>
      </w:r>
    </w:p>
    <w:p w14:paraId="2AA73D90" w14:textId="77777777" w:rsidR="00DF60C7" w:rsidRPr="006D64E6" w:rsidRDefault="00E902E2" w:rsidP="00CE5053">
      <w:pPr>
        <w:tabs>
          <w:tab w:val="left" w:pos="720"/>
          <w:tab w:val="left" w:pos="1440"/>
          <w:tab w:val="left" w:pos="2160"/>
        </w:tabs>
        <w:spacing w:after="120"/>
        <w:ind w:left="578" w:firstLine="142"/>
        <w:rPr>
          <w:b/>
        </w:rPr>
      </w:pPr>
      <w:r w:rsidRPr="002F330D">
        <w:rPr>
          <w:b/>
        </w:rPr>
        <w:t>Current situation</w:t>
      </w:r>
    </w:p>
    <w:p w14:paraId="7CA7B5C9" w14:textId="77777777" w:rsidR="00DF60C7" w:rsidRPr="00595E96" w:rsidRDefault="00DF60C7" w:rsidP="00CE5053">
      <w:pPr>
        <w:pStyle w:val="ListParagraph"/>
        <w:numPr>
          <w:ilvl w:val="0"/>
          <w:numId w:val="18"/>
        </w:numPr>
        <w:spacing w:after="240"/>
        <w:ind w:left="737" w:hanging="737"/>
        <w:contextualSpacing w:val="0"/>
      </w:pPr>
      <w:r w:rsidRPr="00595E96">
        <w:t>The northern part of the Borough is served by two ‘Low Level’ trunk sewers which flow eastwards through Deptford to Thames Water’s pumping station in Greenwich. Greenwich Sewage Pumping Station lifts flows into the Southern Outfall Sewer which continues easterly to Crossness Sewage Treatment Works (STW) in London Borough of Bexley. The southern part of the Borough is served by the ‘High Level No.1’ trunk sewer which flows eastwards through Lewisham and then north easterly towards Crossness S</w:t>
      </w:r>
      <w:r w:rsidR="00914800">
        <w:t xml:space="preserve">ewerage </w:t>
      </w:r>
      <w:r w:rsidRPr="00595E96">
        <w:t>T</w:t>
      </w:r>
      <w:r w:rsidR="00914800">
        <w:t xml:space="preserve">reatment </w:t>
      </w:r>
      <w:r w:rsidRPr="00595E96">
        <w:t>W</w:t>
      </w:r>
      <w:r w:rsidR="00914800">
        <w:t>orks</w:t>
      </w:r>
      <w:r w:rsidRPr="00595E96">
        <w:t>.</w:t>
      </w:r>
    </w:p>
    <w:p w14:paraId="742F7709" w14:textId="77777777" w:rsidR="00DF60C7" w:rsidRPr="00595E96" w:rsidRDefault="00DF60C7" w:rsidP="00CE5053">
      <w:pPr>
        <w:pStyle w:val="ListParagraph"/>
        <w:numPr>
          <w:ilvl w:val="0"/>
          <w:numId w:val="18"/>
        </w:numPr>
        <w:spacing w:after="240"/>
        <w:ind w:left="737" w:hanging="737"/>
        <w:contextualSpacing w:val="0"/>
      </w:pPr>
      <w:r w:rsidRPr="00595E96">
        <w:t>The Thames Tideway Tunnel project is currently under construction in parts of Lewisham. This project consists of a scheme to reduce and limit pollution of the Rivers Thames and Lee from the Beckton and Crossness sewerage system. It involves the construction of a storage and transfer wastewater tunnel from West London to Beckton in East London and the interception of a number of combined sewer overflows along the River Thames.</w:t>
      </w:r>
      <w:r w:rsidR="005B6AAA">
        <w:t xml:space="preserve"> </w:t>
      </w:r>
      <w:r w:rsidRPr="00595E96">
        <w:t xml:space="preserve">In Lewisham, the project involves </w:t>
      </w:r>
      <w:r w:rsidR="005B6AAA">
        <w:t>connecting existing combined sewer overflow at the Earl Pumping Station in New Cross to the new main tunnel, and ventilation infrastructure at a site on Church Street in Deptford.</w:t>
      </w:r>
    </w:p>
    <w:p w14:paraId="1C30F243" w14:textId="77777777" w:rsidR="00DF60C7" w:rsidRPr="006D64E6" w:rsidRDefault="00DF60C7" w:rsidP="00CE5053">
      <w:pPr>
        <w:tabs>
          <w:tab w:val="left" w:pos="720"/>
          <w:tab w:val="left" w:pos="1440"/>
          <w:tab w:val="left" w:pos="2160"/>
        </w:tabs>
        <w:spacing w:after="120"/>
        <w:ind w:left="578" w:firstLine="142"/>
        <w:rPr>
          <w:b/>
        </w:rPr>
      </w:pPr>
      <w:r w:rsidRPr="002F330D">
        <w:rPr>
          <w:b/>
        </w:rPr>
        <w:t xml:space="preserve">Future </w:t>
      </w:r>
      <w:r w:rsidR="005F5AF5" w:rsidRPr="002F330D">
        <w:rPr>
          <w:b/>
        </w:rPr>
        <w:t>requirement</w:t>
      </w:r>
    </w:p>
    <w:p w14:paraId="59BB13A1" w14:textId="77777777" w:rsidR="00DF60C7" w:rsidRPr="00595E96" w:rsidRDefault="00DF60C7" w:rsidP="00CE5053">
      <w:pPr>
        <w:pStyle w:val="ListParagraph"/>
        <w:numPr>
          <w:ilvl w:val="0"/>
          <w:numId w:val="18"/>
        </w:numPr>
        <w:spacing w:after="240"/>
        <w:ind w:left="737" w:hanging="737"/>
        <w:contextualSpacing w:val="0"/>
      </w:pPr>
      <w:r w:rsidRPr="00595E96">
        <w:t>Thames Water currently ha</w:t>
      </w:r>
      <w:r w:rsidR="00AF3C3C">
        <w:t>ve</w:t>
      </w:r>
      <w:r w:rsidRPr="00595E96">
        <w:t xml:space="preserve"> no specific plans to upgrade waste water infrastructure in Lewisham, </w:t>
      </w:r>
      <w:r w:rsidR="001F6AD8">
        <w:t>aside from completing the</w:t>
      </w:r>
      <w:r w:rsidRPr="00595E96">
        <w:t xml:space="preserve"> Thames Tideway Tunnel project</w:t>
      </w:r>
      <w:r w:rsidR="001F6AD8">
        <w:t>. Thames Water will also be required to review on an ongoing basis t</w:t>
      </w:r>
      <w:r w:rsidRPr="00595E96">
        <w:t xml:space="preserve">he need for network </w:t>
      </w:r>
      <w:r w:rsidRPr="00595E96">
        <w:lastRenderedPageBreak/>
        <w:t>improvements</w:t>
      </w:r>
      <w:r w:rsidR="001F6AD8">
        <w:t>.</w:t>
      </w:r>
      <w:r w:rsidRPr="00595E96">
        <w:t xml:space="preserve"> The identification process for developing new projects associated with water infrastructure will be led by the operator.</w:t>
      </w:r>
    </w:p>
    <w:p w14:paraId="65B520F6" w14:textId="77777777" w:rsidR="00DF60C7" w:rsidRPr="00AF0D1E" w:rsidRDefault="00DF60C7" w:rsidP="00CE5053">
      <w:pPr>
        <w:pStyle w:val="Heading3"/>
      </w:pPr>
      <w:bookmarkStart w:id="69" w:name="_Toc56146052"/>
      <w:r w:rsidRPr="00AF0D1E">
        <w:t>Flood risk management and Waterways</w:t>
      </w:r>
      <w:bookmarkEnd w:id="69"/>
      <w:r w:rsidRPr="00AF0D1E">
        <w:t xml:space="preserve"> </w:t>
      </w:r>
    </w:p>
    <w:p w14:paraId="0E6DFFC7" w14:textId="77777777" w:rsidR="001A7E7C" w:rsidRPr="001A7E7C" w:rsidRDefault="001A7E7C" w:rsidP="00CE5053">
      <w:pPr>
        <w:ind w:left="1440" w:hanging="720"/>
        <w:rPr>
          <w:b/>
        </w:rPr>
      </w:pPr>
      <w:r>
        <w:rPr>
          <w:b/>
        </w:rPr>
        <w:t>Policy context</w:t>
      </w:r>
    </w:p>
    <w:p w14:paraId="5ECC4F6E" w14:textId="77777777" w:rsidR="0006257D" w:rsidRDefault="0006257D" w:rsidP="00CE5053">
      <w:pPr>
        <w:pStyle w:val="ListParagraph"/>
        <w:numPr>
          <w:ilvl w:val="0"/>
          <w:numId w:val="18"/>
        </w:numPr>
        <w:spacing w:after="240"/>
        <w:ind w:left="737" w:hanging="737"/>
        <w:contextualSpacing w:val="0"/>
      </w:pPr>
      <w:r w:rsidRPr="0006257D">
        <w:t xml:space="preserve">The Flood and Water Management Act 2010 </w:t>
      </w:r>
      <w:r w:rsidR="001A7E7C">
        <w:t>designates</w:t>
      </w:r>
      <w:r w:rsidRPr="0006257D">
        <w:t xml:space="preserve"> </w:t>
      </w:r>
      <w:r w:rsidR="001A7E7C">
        <w:t xml:space="preserve">local planning authorities are also the lead local flood authority for the area. </w:t>
      </w:r>
      <w:r w:rsidRPr="0006257D">
        <w:t>The Council</w:t>
      </w:r>
      <w:r w:rsidR="001A7E7C">
        <w:t>,</w:t>
      </w:r>
      <w:r w:rsidRPr="0006257D">
        <w:t xml:space="preserve"> as the Lead Local Flood Authority</w:t>
      </w:r>
      <w:r w:rsidR="001A7E7C">
        <w:t>,</w:t>
      </w:r>
      <w:r w:rsidRPr="0006257D">
        <w:t xml:space="preserve"> is responsible for leading in managing local flood risks from surface water, groundwater and ordinary (smaller) watercourses. </w:t>
      </w:r>
    </w:p>
    <w:p w14:paraId="280C80FA" w14:textId="77777777" w:rsidR="000D26B8" w:rsidRDefault="001A7E7C" w:rsidP="00CE5053">
      <w:pPr>
        <w:pStyle w:val="ListParagraph"/>
        <w:numPr>
          <w:ilvl w:val="0"/>
          <w:numId w:val="18"/>
        </w:numPr>
        <w:spacing w:after="240"/>
        <w:ind w:left="737" w:hanging="737"/>
        <w:contextualSpacing w:val="0"/>
      </w:pPr>
      <w:r>
        <w:t>The London Plan Policy SI12</w:t>
      </w:r>
      <w:r w:rsidR="000D26B8">
        <w:t xml:space="preserve"> ‘Flood risk management’ requires London boroughs to identify areas where particular and cumulative flood risk issues exist</w:t>
      </w:r>
      <w:r w:rsidR="00AD0772">
        <w:t>,</w:t>
      </w:r>
      <w:r w:rsidR="000D26B8">
        <w:t xml:space="preserve"> and </w:t>
      </w:r>
      <w:r w:rsidR="00AD0772">
        <w:t xml:space="preserve">to </w:t>
      </w:r>
      <w:r w:rsidR="000D26B8">
        <w:t>develop actions and policy approaches aimed at reducing these risks. Boroughs should also employ natural flood management methods in development proposals due to their multiple benefits, including increasing flood storage, creating recreational areas, and habitat.</w:t>
      </w:r>
    </w:p>
    <w:p w14:paraId="6F366844" w14:textId="77777777" w:rsidR="001A7E7C" w:rsidRPr="0006257D" w:rsidRDefault="000D26B8" w:rsidP="00CE5053">
      <w:pPr>
        <w:ind w:left="720" w:hanging="720"/>
      </w:pPr>
      <w:r>
        <w:tab/>
      </w:r>
      <w:r>
        <w:rPr>
          <w:b/>
        </w:rPr>
        <w:t>Background</w:t>
      </w:r>
      <w:r>
        <w:t xml:space="preserve"> </w:t>
      </w:r>
    </w:p>
    <w:p w14:paraId="5D7A49DC" w14:textId="77777777" w:rsidR="00BD7939" w:rsidRDefault="00BD7939" w:rsidP="00CE5053">
      <w:pPr>
        <w:pStyle w:val="ListParagraph"/>
        <w:numPr>
          <w:ilvl w:val="0"/>
          <w:numId w:val="18"/>
        </w:numPr>
        <w:spacing w:after="240"/>
        <w:ind w:left="737" w:hanging="737"/>
        <w:contextualSpacing w:val="0"/>
      </w:pPr>
      <w:r>
        <w:t xml:space="preserve">Significant parts of the borough are located within areas that are at risk of various sources of flooding. </w:t>
      </w:r>
      <w:r w:rsidR="0006257D" w:rsidRPr="0006257D">
        <w:t>Lewisham</w:t>
      </w:r>
      <w:r w:rsidR="0051146A">
        <w:t xml:space="preserve"> is </w:t>
      </w:r>
      <w:r>
        <w:t>locat</w:t>
      </w:r>
      <w:r w:rsidR="0051146A">
        <w:t xml:space="preserve">ed in </w:t>
      </w:r>
      <w:r>
        <w:t xml:space="preserve">the Ravensbourne Catchment, </w:t>
      </w:r>
      <w:r w:rsidR="0051146A">
        <w:t xml:space="preserve">and as a result </w:t>
      </w:r>
      <w:r>
        <w:t>m</w:t>
      </w:r>
      <w:r w:rsidR="003622F2">
        <w:t>uch of the borough is at r</w:t>
      </w:r>
      <w:r>
        <w:t xml:space="preserve">isk </w:t>
      </w:r>
      <w:r w:rsidR="0051146A">
        <w:t>of</w:t>
      </w:r>
      <w:r>
        <w:t xml:space="preserve"> </w:t>
      </w:r>
      <w:r w:rsidR="003622F2">
        <w:t xml:space="preserve">fluvial flooding from </w:t>
      </w:r>
      <w:r>
        <w:t xml:space="preserve">the River Ravensbourne and its main tributaries, the Pool River and River Quaggy. North of Deptford Bridge, the Ravensbourne </w:t>
      </w:r>
      <w:r w:rsidR="00731023">
        <w:t>merges with</w:t>
      </w:r>
      <w:r>
        <w:t xml:space="preserve"> the tidal Deptford Creek, </w:t>
      </w:r>
      <w:r w:rsidR="00CC5EC8">
        <w:t xml:space="preserve">which creates </w:t>
      </w:r>
      <w:r w:rsidR="00731023">
        <w:t xml:space="preserve">additional risk in the north of the borough for </w:t>
      </w:r>
      <w:r>
        <w:t>tidal flood</w:t>
      </w:r>
      <w:r w:rsidR="00CC5EC8">
        <w:t xml:space="preserve">ing </w:t>
      </w:r>
      <w:r w:rsidR="00731023">
        <w:t xml:space="preserve">from both Deptford Creek and the River Thames. </w:t>
      </w:r>
      <w:r w:rsidR="00CC5EC8">
        <w:t>in the north of the borough, despite tidal defences along the River Thames being in place.</w:t>
      </w:r>
      <w:r>
        <w:t xml:space="preserve"> </w:t>
      </w:r>
    </w:p>
    <w:p w14:paraId="4217A743" w14:textId="77777777" w:rsidR="00AB77AD" w:rsidRDefault="0006257D" w:rsidP="00CE5053">
      <w:pPr>
        <w:pStyle w:val="ListParagraph"/>
        <w:numPr>
          <w:ilvl w:val="0"/>
          <w:numId w:val="18"/>
        </w:numPr>
        <w:spacing w:after="240"/>
        <w:ind w:left="737" w:hanging="737"/>
        <w:contextualSpacing w:val="0"/>
      </w:pPr>
      <w:r w:rsidRPr="0006257D">
        <w:t xml:space="preserve"> </w:t>
      </w:r>
      <w:r w:rsidR="00295FA8">
        <w:t>Addressing</w:t>
      </w:r>
      <w:r w:rsidR="00D67FB8">
        <w:t xml:space="preserve"> the impact</w:t>
      </w:r>
      <w:r w:rsidR="00BD7939">
        <w:t xml:space="preserve"> of s</w:t>
      </w:r>
      <w:r w:rsidRPr="0006257D">
        <w:t xml:space="preserve">urface water flooding </w:t>
      </w:r>
      <w:r w:rsidR="00D67FB8">
        <w:t>will become</w:t>
      </w:r>
      <w:r w:rsidR="00AB77AD">
        <w:t xml:space="preserve"> </w:t>
      </w:r>
      <w:r w:rsidR="0013635A">
        <w:t xml:space="preserve">of </w:t>
      </w:r>
      <w:r w:rsidR="00AB77AD">
        <w:t>increasing imp</w:t>
      </w:r>
      <w:r w:rsidRPr="0006257D">
        <w:t>o</w:t>
      </w:r>
      <w:r w:rsidR="00AB77AD">
        <w:t>rtan</w:t>
      </w:r>
      <w:r w:rsidR="0013635A">
        <w:t>ce</w:t>
      </w:r>
      <w:r w:rsidR="00AB77AD">
        <w:t xml:space="preserve"> </w:t>
      </w:r>
      <w:r w:rsidR="00295FA8">
        <w:t>as Lewisham’s population grows</w:t>
      </w:r>
      <w:r w:rsidR="0013635A">
        <w:t>. While historically surface water flooding was the result of saturated soil and insufficient drainage capacity</w:t>
      </w:r>
      <w:r w:rsidR="00295FA8">
        <w:t xml:space="preserve">, </w:t>
      </w:r>
      <w:r w:rsidR="00794FFB">
        <w:t xml:space="preserve">the </w:t>
      </w:r>
      <w:r w:rsidR="0013635A">
        <w:t xml:space="preserve">accelerating </w:t>
      </w:r>
      <w:r w:rsidR="00AB77AD">
        <w:t>impact</w:t>
      </w:r>
      <w:r w:rsidR="00794FFB">
        <w:t>s</w:t>
      </w:r>
      <w:r w:rsidR="00AB77AD">
        <w:t xml:space="preserve"> of climate change</w:t>
      </w:r>
      <w:r w:rsidR="0013635A">
        <w:t xml:space="preserve"> </w:t>
      </w:r>
      <w:r w:rsidR="00794FFB">
        <w:t xml:space="preserve">and the increase in non-permeable surfaces in a denser built environment will likely exacerbate the effects of surface water flooding in the borough. </w:t>
      </w:r>
    </w:p>
    <w:p w14:paraId="711417DE" w14:textId="77777777" w:rsidR="0006257D" w:rsidRPr="0006257D" w:rsidRDefault="00AF3C3C" w:rsidP="00CE5053">
      <w:pPr>
        <w:pStyle w:val="ListParagraph"/>
        <w:numPr>
          <w:ilvl w:val="0"/>
          <w:numId w:val="18"/>
        </w:numPr>
        <w:spacing w:after="240"/>
        <w:ind w:left="737" w:hanging="737"/>
        <w:contextualSpacing w:val="0"/>
      </w:pPr>
      <w:r>
        <w:t>G</w:t>
      </w:r>
      <w:r w:rsidR="0006257D" w:rsidRPr="0006257D">
        <w:t>roundwater flooding</w:t>
      </w:r>
      <w:r w:rsidR="00AB77AD">
        <w:t>, which</w:t>
      </w:r>
      <w:r w:rsidR="0006257D" w:rsidRPr="0006257D">
        <w:t xml:space="preserve"> occurs </w:t>
      </w:r>
      <w:r w:rsidR="00BD7939">
        <w:t xml:space="preserve">when the </w:t>
      </w:r>
      <w:r w:rsidR="0006257D" w:rsidRPr="0006257D">
        <w:t>water table reach</w:t>
      </w:r>
      <w:r w:rsidR="00AB77AD">
        <w:t>es</w:t>
      </w:r>
      <w:r w:rsidR="0006257D" w:rsidRPr="0006257D">
        <w:t xml:space="preserve"> the surface,</w:t>
      </w:r>
      <w:r w:rsidR="00AB77AD">
        <w:t xml:space="preserve"> </w:t>
      </w:r>
      <w:r w:rsidR="00D67FB8">
        <w:t>is not presently i</w:t>
      </w:r>
      <w:r w:rsidR="00AB77AD">
        <w:t xml:space="preserve">dentified as an area of significant concern </w:t>
      </w:r>
      <w:r w:rsidR="00D67FB8">
        <w:t>for</w:t>
      </w:r>
      <w:r w:rsidR="00AB77AD">
        <w:t xml:space="preserve"> Lewisham.</w:t>
      </w:r>
      <w:r w:rsidR="0006257D" w:rsidRPr="0006257D">
        <w:t xml:space="preserve"> </w:t>
      </w:r>
    </w:p>
    <w:p w14:paraId="46076F5D" w14:textId="77777777" w:rsidR="0006257D" w:rsidRDefault="0006257D" w:rsidP="00CE5053">
      <w:pPr>
        <w:pStyle w:val="ListParagraph"/>
        <w:numPr>
          <w:ilvl w:val="0"/>
          <w:numId w:val="18"/>
        </w:numPr>
        <w:spacing w:after="240"/>
        <w:ind w:left="737" w:hanging="737"/>
        <w:contextualSpacing w:val="0"/>
      </w:pPr>
      <w:r w:rsidRPr="0006257D">
        <w:t xml:space="preserve">The Borough </w:t>
      </w:r>
      <w:r w:rsidR="00D67FB8">
        <w:t xml:space="preserve">also </w:t>
      </w:r>
      <w:r w:rsidRPr="0006257D">
        <w:t>has a mix of separate and combined sewer systems</w:t>
      </w:r>
      <w:r w:rsidR="00794FFB">
        <w:t>. Sewer flooding arises when surface water enters the system via misconnection, or where the capacity of the sewer system is exceeded. This can result in contaminated water being discharged at the surface or</w:t>
      </w:r>
      <w:r w:rsidR="003622F2">
        <w:t xml:space="preserve"> </w:t>
      </w:r>
      <w:r w:rsidR="00794FFB">
        <w:t>into other adjoining</w:t>
      </w:r>
      <w:r w:rsidR="003622F2">
        <w:t xml:space="preserve"> water catchments</w:t>
      </w:r>
      <w:r w:rsidR="00794FFB">
        <w:t>.</w:t>
      </w:r>
      <w:r w:rsidR="003622F2">
        <w:t xml:space="preserve"> </w:t>
      </w:r>
      <w:r w:rsidR="00794FFB">
        <w:t>S</w:t>
      </w:r>
      <w:r w:rsidRPr="0006257D">
        <w:t>ewer flooding</w:t>
      </w:r>
      <w:r w:rsidR="00AB77AD">
        <w:t xml:space="preserve"> has been previously recorded</w:t>
      </w:r>
      <w:r w:rsidR="00794FFB">
        <w:t xml:space="preserve"> in the Lewisham</w:t>
      </w:r>
      <w:r w:rsidR="00AB77AD">
        <w:t xml:space="preserve">, </w:t>
      </w:r>
      <w:r w:rsidR="00794FFB">
        <w:t xml:space="preserve">with </w:t>
      </w:r>
      <w:r w:rsidR="00AB77AD">
        <w:t>particular</w:t>
      </w:r>
      <w:r w:rsidR="00794FFB">
        <w:t xml:space="preserve"> issues recorded</w:t>
      </w:r>
      <w:r w:rsidR="00AB77AD">
        <w:t xml:space="preserve"> in Catford South and Hither Green</w:t>
      </w:r>
      <w:r w:rsidR="00921739">
        <w:t>.</w:t>
      </w:r>
    </w:p>
    <w:p w14:paraId="19FAA8E7" w14:textId="77777777" w:rsidR="002C07DE" w:rsidRPr="0006257D" w:rsidRDefault="002C07DE" w:rsidP="00CE5053">
      <w:pPr>
        <w:pStyle w:val="ListParagraph"/>
        <w:numPr>
          <w:ilvl w:val="0"/>
          <w:numId w:val="18"/>
        </w:numPr>
        <w:spacing w:after="240"/>
        <w:ind w:left="737" w:hanging="737"/>
        <w:contextualSpacing w:val="0"/>
      </w:pPr>
      <w:r w:rsidRPr="0006257D">
        <w:t xml:space="preserve">There are a number of formal flood defences built to reduce flood risk from Main River (under the Environment Agency’s jurisdiction) within the Borough including: </w:t>
      </w:r>
    </w:p>
    <w:p w14:paraId="4B4CF246" w14:textId="77777777" w:rsidR="002C07DE" w:rsidRPr="0006257D" w:rsidRDefault="002C07DE" w:rsidP="00CE5053">
      <w:pPr>
        <w:pStyle w:val="ListParagraph"/>
        <w:numPr>
          <w:ilvl w:val="0"/>
          <w:numId w:val="11"/>
        </w:numPr>
      </w:pPr>
      <w:r w:rsidRPr="0006257D">
        <w:t>Floo</w:t>
      </w:r>
      <w:r>
        <w:t>d walls along The River Thames;</w:t>
      </w:r>
    </w:p>
    <w:p w14:paraId="6473A9D3" w14:textId="77777777" w:rsidR="002C07DE" w:rsidRPr="0006257D" w:rsidRDefault="002C07DE" w:rsidP="00CE5053">
      <w:pPr>
        <w:pStyle w:val="ListParagraph"/>
        <w:numPr>
          <w:ilvl w:val="0"/>
          <w:numId w:val="11"/>
        </w:numPr>
      </w:pPr>
      <w:r w:rsidRPr="0006257D">
        <w:t>Flood walls along The River Rav</w:t>
      </w:r>
      <w:r>
        <w:t>ensbourne and the River Quaggy;</w:t>
      </w:r>
    </w:p>
    <w:p w14:paraId="49999DC1" w14:textId="77777777" w:rsidR="002C07DE" w:rsidRPr="0006257D" w:rsidRDefault="002C07DE" w:rsidP="00CE5053">
      <w:pPr>
        <w:pStyle w:val="ListParagraph"/>
        <w:numPr>
          <w:ilvl w:val="0"/>
          <w:numId w:val="11"/>
        </w:numPr>
      </w:pPr>
      <w:r w:rsidRPr="0006257D">
        <w:lastRenderedPageBreak/>
        <w:t>Embankments along the River Qu</w:t>
      </w:r>
      <w:r>
        <w:t>aggy and the River Ravensbourne; and</w:t>
      </w:r>
      <w:r w:rsidRPr="0006257D">
        <w:t xml:space="preserve"> </w:t>
      </w:r>
    </w:p>
    <w:p w14:paraId="0C923DEB" w14:textId="77777777" w:rsidR="002C07DE" w:rsidRPr="0006257D" w:rsidRDefault="002C07DE" w:rsidP="00CE5053">
      <w:pPr>
        <w:pStyle w:val="ListParagraph"/>
        <w:numPr>
          <w:ilvl w:val="0"/>
          <w:numId w:val="11"/>
        </w:numPr>
      </w:pPr>
      <w:r w:rsidRPr="0006257D">
        <w:t xml:space="preserve">High ground/bunds following most of the Ravensbourne River and the River Pool. </w:t>
      </w:r>
    </w:p>
    <w:p w14:paraId="5B97351C" w14:textId="77777777" w:rsidR="002C07DE" w:rsidRPr="0006257D" w:rsidRDefault="002C07DE" w:rsidP="00CE5053">
      <w:pPr>
        <w:pStyle w:val="ListParagraph"/>
        <w:numPr>
          <w:ilvl w:val="0"/>
          <w:numId w:val="18"/>
        </w:numPr>
        <w:spacing w:after="240"/>
        <w:ind w:left="737" w:hanging="737"/>
        <w:contextualSpacing w:val="0"/>
      </w:pPr>
      <w:r w:rsidRPr="0006257D">
        <w:t>A number of informal flood defences also exist in the form of wharfs, embankments and walls built for other purposes</w:t>
      </w:r>
      <w:r>
        <w:t xml:space="preserve">, </w:t>
      </w:r>
      <w:r w:rsidRPr="0006257D">
        <w:t xml:space="preserve">but have </w:t>
      </w:r>
      <w:r>
        <w:t>a positive impact in reducing flood risk.</w:t>
      </w:r>
      <w:r w:rsidRPr="0006257D">
        <w:t xml:space="preserve"> These </w:t>
      </w:r>
      <w:r>
        <w:t xml:space="preserve">defences </w:t>
      </w:r>
      <w:r w:rsidRPr="0006257D">
        <w:t>include:</w:t>
      </w:r>
    </w:p>
    <w:p w14:paraId="355D579E" w14:textId="77777777" w:rsidR="002C07DE" w:rsidRPr="0006257D" w:rsidRDefault="002C07DE" w:rsidP="00CE5053">
      <w:pPr>
        <w:pStyle w:val="ListParagraph"/>
        <w:numPr>
          <w:ilvl w:val="0"/>
          <w:numId w:val="11"/>
        </w:numPr>
      </w:pPr>
      <w:r w:rsidRPr="0006257D">
        <w:t>Wharfs along Deptford Creek</w:t>
      </w:r>
      <w:r>
        <w:t>;</w:t>
      </w:r>
    </w:p>
    <w:p w14:paraId="04845D87" w14:textId="77777777" w:rsidR="002C07DE" w:rsidRPr="0006257D" w:rsidRDefault="002C07DE" w:rsidP="00CE5053">
      <w:pPr>
        <w:pStyle w:val="ListParagraph"/>
        <w:numPr>
          <w:ilvl w:val="0"/>
          <w:numId w:val="11"/>
        </w:numPr>
      </w:pPr>
      <w:r w:rsidRPr="0006257D">
        <w:t>Embankments at Deptford Environmental Centre</w:t>
      </w:r>
      <w:r>
        <w:t>;</w:t>
      </w:r>
    </w:p>
    <w:p w14:paraId="585CA482" w14:textId="77777777" w:rsidR="002C07DE" w:rsidRPr="0006257D" w:rsidRDefault="002C07DE" w:rsidP="00CE5053">
      <w:pPr>
        <w:pStyle w:val="ListParagraph"/>
        <w:numPr>
          <w:ilvl w:val="0"/>
          <w:numId w:val="11"/>
        </w:numPr>
      </w:pPr>
      <w:r w:rsidRPr="0006257D">
        <w:t>Walls in several buildings and structures along Deptford Creek</w:t>
      </w:r>
      <w:r>
        <w:t>;</w:t>
      </w:r>
    </w:p>
    <w:p w14:paraId="158C725B" w14:textId="77777777" w:rsidR="002C07DE" w:rsidRPr="0006257D" w:rsidRDefault="002C07DE" w:rsidP="00CE5053">
      <w:pPr>
        <w:pStyle w:val="ListParagraph"/>
        <w:numPr>
          <w:ilvl w:val="0"/>
          <w:numId w:val="11"/>
        </w:numPr>
      </w:pPr>
      <w:r w:rsidRPr="0006257D">
        <w:t>Rail Embankments in Lewisham Town Centre</w:t>
      </w:r>
      <w:r>
        <w:t>; and</w:t>
      </w:r>
    </w:p>
    <w:p w14:paraId="1F2631FD" w14:textId="77777777" w:rsidR="002C07DE" w:rsidRPr="0006257D" w:rsidRDefault="002C07DE" w:rsidP="00CE5053">
      <w:pPr>
        <w:pStyle w:val="ListParagraph"/>
        <w:numPr>
          <w:ilvl w:val="0"/>
          <w:numId w:val="11"/>
        </w:numPr>
        <w:spacing w:after="240"/>
        <w:ind w:left="1434" w:hanging="357"/>
        <w:contextualSpacing w:val="0"/>
      </w:pPr>
      <w:r w:rsidRPr="0006257D">
        <w:t>Rail Embankments near Grove Park Cemetery and Sundridge Park</w:t>
      </w:r>
      <w:r w:rsidR="00921739">
        <w:t>.</w:t>
      </w:r>
    </w:p>
    <w:p w14:paraId="6FCE1C57" w14:textId="77777777" w:rsidR="00DF60C7" w:rsidRPr="006D64E6" w:rsidRDefault="00E902E2" w:rsidP="00CE5053">
      <w:pPr>
        <w:tabs>
          <w:tab w:val="left" w:pos="720"/>
          <w:tab w:val="left" w:pos="1440"/>
          <w:tab w:val="left" w:pos="2160"/>
        </w:tabs>
        <w:spacing w:after="120"/>
        <w:ind w:left="578" w:firstLine="142"/>
        <w:rPr>
          <w:b/>
        </w:rPr>
      </w:pPr>
      <w:r w:rsidRPr="002F330D">
        <w:rPr>
          <w:b/>
        </w:rPr>
        <w:t>Current situation</w:t>
      </w:r>
      <w:r w:rsidR="006D64E6">
        <w:rPr>
          <w:b/>
        </w:rPr>
        <w:tab/>
      </w:r>
      <w:r w:rsidR="006D64E6">
        <w:rPr>
          <w:b/>
        </w:rPr>
        <w:tab/>
      </w:r>
    </w:p>
    <w:p w14:paraId="3F3A63C2" w14:textId="77777777" w:rsidR="0006257D" w:rsidRPr="0006257D" w:rsidRDefault="0006257D" w:rsidP="00CE5053">
      <w:pPr>
        <w:pStyle w:val="ListParagraph"/>
        <w:numPr>
          <w:ilvl w:val="0"/>
          <w:numId w:val="18"/>
        </w:numPr>
        <w:spacing w:after="240"/>
        <w:ind w:left="737" w:hanging="737"/>
        <w:contextualSpacing w:val="0"/>
      </w:pPr>
      <w:r w:rsidRPr="0006257D">
        <w:t xml:space="preserve">As part of the Department of Environment, Food and Rural Affairs (DEFRA)’s Surface Water Management Action Plan (July 2018), the Council has successfully secured </w:t>
      </w:r>
      <w:r w:rsidR="00794FFB">
        <w:t>a</w:t>
      </w:r>
      <w:r w:rsidRPr="0006257D">
        <w:t xml:space="preserve"> grant to develop more detailed local surface water modelling in the Honor Oak and Sydenham study area. This modelling and mapping work will allow the inclusion of more detailed local surface water mapping information </w:t>
      </w:r>
      <w:r w:rsidR="002A72F8">
        <w:t>o</w:t>
      </w:r>
      <w:r w:rsidRPr="0006257D">
        <w:t>n the national Risk of Flooding from Surface Water (RoFSW) map</w:t>
      </w:r>
      <w:r w:rsidR="002A72F8">
        <w:t>, which</w:t>
      </w:r>
      <w:r w:rsidRPr="0006257D">
        <w:t xml:space="preserve"> showing surface water flood risk.  The improved map will ensure that homes and businesses can make informed decisions about flood risk </w:t>
      </w:r>
      <w:r w:rsidR="00AA3A74">
        <w:t xml:space="preserve">in the longer </w:t>
      </w:r>
      <w:r w:rsidRPr="0006257D">
        <w:t xml:space="preserve">term. </w:t>
      </w:r>
      <w:r w:rsidR="00AA3A74">
        <w:t xml:space="preserve">This modelling is expected to be </w:t>
      </w:r>
      <w:r w:rsidRPr="0006257D">
        <w:t xml:space="preserve">available by the end of 2020.   </w:t>
      </w:r>
    </w:p>
    <w:p w14:paraId="4939002B" w14:textId="77777777" w:rsidR="0006257D" w:rsidRPr="0006257D" w:rsidRDefault="0006257D" w:rsidP="00CE5053">
      <w:pPr>
        <w:pStyle w:val="ListParagraph"/>
        <w:numPr>
          <w:ilvl w:val="0"/>
          <w:numId w:val="18"/>
        </w:numPr>
        <w:spacing w:after="240"/>
        <w:ind w:left="737" w:hanging="737"/>
        <w:contextualSpacing w:val="0"/>
      </w:pPr>
      <w:r w:rsidRPr="0006257D">
        <w:t xml:space="preserve">As the Lead Local Flood Authority, the Council is </w:t>
      </w:r>
      <w:r w:rsidR="007A1346">
        <w:t xml:space="preserve">a </w:t>
      </w:r>
      <w:r w:rsidRPr="0006257D">
        <w:t>statutory consultees for major developments of 10 dwe</w:t>
      </w:r>
      <w:r w:rsidR="007A1346">
        <w:t xml:space="preserve">llings or more. </w:t>
      </w:r>
      <w:r w:rsidR="00AD0772">
        <w:t>In this role, t</w:t>
      </w:r>
      <w:r w:rsidR="007A1346">
        <w:t xml:space="preserve">he Council works </w:t>
      </w:r>
      <w:r w:rsidRPr="0006257D">
        <w:t xml:space="preserve">actively </w:t>
      </w:r>
      <w:r w:rsidR="007A1346">
        <w:t xml:space="preserve">to ensure that </w:t>
      </w:r>
      <w:r w:rsidRPr="0006257D">
        <w:t>effecti</w:t>
      </w:r>
      <w:r w:rsidR="00AD0772">
        <w:t xml:space="preserve">ve Sustainable Drainage Systems </w:t>
      </w:r>
      <w:r w:rsidR="007A1346">
        <w:t xml:space="preserve">are integrated into new development in accordance with </w:t>
      </w:r>
      <w:r w:rsidRPr="0006257D">
        <w:t xml:space="preserve">London Plan </w:t>
      </w:r>
      <w:r w:rsidR="002A72F8">
        <w:t xml:space="preserve">and local development management </w:t>
      </w:r>
      <w:r w:rsidRPr="0006257D">
        <w:t>policies</w:t>
      </w:r>
      <w:r w:rsidR="007A1346">
        <w:t xml:space="preserve">. </w:t>
      </w:r>
    </w:p>
    <w:p w14:paraId="122AC6EC" w14:textId="77777777" w:rsidR="0006257D" w:rsidRPr="0006257D" w:rsidRDefault="00CB4C3C" w:rsidP="00CE5053">
      <w:pPr>
        <w:pStyle w:val="ListParagraph"/>
        <w:numPr>
          <w:ilvl w:val="0"/>
          <w:numId w:val="18"/>
        </w:numPr>
        <w:spacing w:after="240"/>
        <w:ind w:left="737" w:hanging="737"/>
        <w:contextualSpacing w:val="0"/>
      </w:pPr>
      <w:r>
        <w:t xml:space="preserve">A modelling and feasibility studies are being undertaken for the Honor Oak Lower Catchment Flood Alleviation Study before an Outline Business Case is produced.  A preferred option to reduce surface water flood risk for Verdant Lane is also being assessed.  A feasibility study for the candidate scheme is being assessed before an Outline Business Case is produced. </w:t>
      </w:r>
    </w:p>
    <w:p w14:paraId="75E77BAB" w14:textId="77777777" w:rsidR="00DF60C7" w:rsidRPr="002F330D" w:rsidRDefault="00DF60C7" w:rsidP="00CE5053">
      <w:pPr>
        <w:tabs>
          <w:tab w:val="left" w:pos="720"/>
          <w:tab w:val="left" w:pos="1440"/>
          <w:tab w:val="left" w:pos="2160"/>
          <w:tab w:val="left" w:pos="2640"/>
          <w:tab w:val="left" w:pos="3360"/>
        </w:tabs>
        <w:spacing w:after="120"/>
        <w:ind w:left="578" w:firstLine="142"/>
        <w:rPr>
          <w:b/>
        </w:rPr>
      </w:pPr>
      <w:r w:rsidRPr="002F330D">
        <w:rPr>
          <w:b/>
        </w:rPr>
        <w:t xml:space="preserve">Future </w:t>
      </w:r>
      <w:r w:rsidR="005F5AF5" w:rsidRPr="002F330D">
        <w:rPr>
          <w:b/>
        </w:rPr>
        <w:t>requirement</w:t>
      </w:r>
      <w:r w:rsidR="006D64E6">
        <w:rPr>
          <w:b/>
        </w:rPr>
        <w:tab/>
      </w:r>
    </w:p>
    <w:p w14:paraId="4912CE3F" w14:textId="77777777" w:rsidR="0006257D" w:rsidRPr="007E7D19" w:rsidRDefault="0006257D" w:rsidP="00CE5053">
      <w:pPr>
        <w:pStyle w:val="ListParagraph"/>
        <w:numPr>
          <w:ilvl w:val="0"/>
          <w:numId w:val="18"/>
        </w:numPr>
        <w:spacing w:after="240"/>
        <w:ind w:left="737" w:hanging="737"/>
        <w:contextualSpacing w:val="0"/>
      </w:pPr>
      <w:r w:rsidRPr="0006257D">
        <w:t>The Council continues to work with the Environment Agency, Thames Water, Thames21, Transport for London and neighbouring authorities through the South East London Local Flood Risk Partnership (cons</w:t>
      </w:r>
      <w:r w:rsidR="00AD0772">
        <w:t>tituting the L</w:t>
      </w:r>
      <w:r w:rsidRPr="0006257D">
        <w:t>ondon Borough</w:t>
      </w:r>
      <w:r w:rsidR="00AD0772">
        <w:t>s</w:t>
      </w:r>
      <w:r w:rsidRPr="0006257D">
        <w:t xml:space="preserve"> of Bexley, </w:t>
      </w:r>
      <w:r w:rsidR="00AD0772">
        <w:t>Bro</w:t>
      </w:r>
      <w:r w:rsidRPr="0006257D">
        <w:t>mley,</w:t>
      </w:r>
      <w:r w:rsidR="00AD0772">
        <w:t xml:space="preserve"> and Lewisham, and the</w:t>
      </w:r>
      <w:r w:rsidRPr="0006257D">
        <w:t xml:space="preserve"> Royal Borough of Greenwich) to investigate and implement flood reduction measures </w:t>
      </w:r>
      <w:r w:rsidR="00AD0772">
        <w:t xml:space="preserve">across south-east London. Measures include the development and monitoring of </w:t>
      </w:r>
      <w:r w:rsidRPr="0006257D">
        <w:t xml:space="preserve">Drainage and Wastewater Management Plans, </w:t>
      </w:r>
      <w:r w:rsidR="00AD0772">
        <w:t xml:space="preserve">the </w:t>
      </w:r>
      <w:r w:rsidRPr="0006257D">
        <w:t xml:space="preserve">Thames River Basin Management Plan, Thames Catchment Flood Management Plan and the Ravensbourne Catchment Plan. The Council will </w:t>
      </w:r>
      <w:r w:rsidR="00AD0772">
        <w:t xml:space="preserve">continue to </w:t>
      </w:r>
      <w:r w:rsidRPr="0006257D">
        <w:t xml:space="preserve">work </w:t>
      </w:r>
      <w:r w:rsidR="00AD0772">
        <w:t xml:space="preserve">agencies, partners, and community groups to </w:t>
      </w:r>
      <w:r w:rsidRPr="0006257D">
        <w:t xml:space="preserve">participate in retaining and improving the </w:t>
      </w:r>
      <w:r w:rsidRPr="007E7D19">
        <w:t>management of existing waterside habitats and f</w:t>
      </w:r>
      <w:r w:rsidR="00AD0772" w:rsidRPr="007E7D19">
        <w:t xml:space="preserve">eatures within river corridors. </w:t>
      </w:r>
    </w:p>
    <w:p w14:paraId="20DFA3F7" w14:textId="77777777" w:rsidR="008F25CF" w:rsidRDefault="0006257D" w:rsidP="00CE5053">
      <w:pPr>
        <w:pStyle w:val="ListParagraph"/>
        <w:numPr>
          <w:ilvl w:val="0"/>
          <w:numId w:val="18"/>
        </w:numPr>
        <w:spacing w:after="240"/>
        <w:ind w:left="737" w:hanging="737"/>
        <w:contextualSpacing w:val="0"/>
      </w:pPr>
      <w:r w:rsidRPr="007E7D19">
        <w:lastRenderedPageBreak/>
        <w:t xml:space="preserve">The Council will </w:t>
      </w:r>
      <w:r w:rsidR="00AD0772" w:rsidRPr="007E7D19">
        <w:t xml:space="preserve">also </w:t>
      </w:r>
      <w:r w:rsidRPr="007E7D19">
        <w:t>continue to explore alternative sources of funding</w:t>
      </w:r>
      <w:r w:rsidR="00811C0E" w:rsidRPr="007E7D19">
        <w:t>, such as</w:t>
      </w:r>
      <w:r w:rsidR="00F723F5" w:rsidRPr="007E7D19">
        <w:t xml:space="preserve"> </w:t>
      </w:r>
      <w:r w:rsidRPr="007E7D19">
        <w:t>the Flood and Coastal Erosion Risk Management (FCERM) Grant-in-Aid Funding</w:t>
      </w:r>
      <w:r w:rsidR="00811C0E" w:rsidRPr="007E7D19">
        <w:t xml:space="preserve"> programme,</w:t>
      </w:r>
      <w:r w:rsidRPr="007E7D19">
        <w:t xml:space="preserve"> to</w:t>
      </w:r>
      <w:r w:rsidR="00AD0772" w:rsidRPr="007E7D19">
        <w:t xml:space="preserve"> enable the </w:t>
      </w:r>
      <w:r w:rsidRPr="007E7D19">
        <w:t>undertak</w:t>
      </w:r>
      <w:r w:rsidR="00AD0772" w:rsidRPr="007E7D19">
        <w:t xml:space="preserve">ing of </w:t>
      </w:r>
      <w:r w:rsidRPr="007E7D19">
        <w:t xml:space="preserve">feasibility studies </w:t>
      </w:r>
      <w:r w:rsidR="00AD0772" w:rsidRPr="007E7D19">
        <w:t>to i</w:t>
      </w:r>
      <w:r w:rsidRPr="007E7D19">
        <w:t xml:space="preserve">dentify viable </w:t>
      </w:r>
      <w:r w:rsidR="00AD0772" w:rsidRPr="007E7D19">
        <w:t xml:space="preserve">interventions that can </w:t>
      </w:r>
      <w:r w:rsidRPr="007E7D19">
        <w:t xml:space="preserve">reduce flood risk </w:t>
      </w:r>
      <w:r w:rsidR="00AD0772" w:rsidRPr="007E7D19">
        <w:t xml:space="preserve">in the borough. </w:t>
      </w:r>
      <w:r w:rsidR="00CB4C3C" w:rsidRPr="007E7D19">
        <w:t xml:space="preserve">Government’s grants provided are bid-based capital grants that can only be provided in line with the partnership-funding rules under the National Flood and Coastal Erosion Risk Management Strategy. The Environment Agency uses Partnership Funding scores to help prioritise projects. </w:t>
      </w:r>
      <w:r w:rsidR="008F25CF" w:rsidRPr="007E7D19">
        <w:t>T</w:t>
      </w:r>
      <w:r w:rsidR="00CB4C3C" w:rsidRPr="007E7D19">
        <w:t xml:space="preserve">he council is </w:t>
      </w:r>
      <w:r w:rsidR="008F25CF" w:rsidRPr="007E7D19">
        <w:t xml:space="preserve">currently </w:t>
      </w:r>
      <w:r w:rsidR="00CB4C3C" w:rsidRPr="007E7D19">
        <w:t xml:space="preserve">developing </w:t>
      </w:r>
      <w:r w:rsidR="008F25CF" w:rsidRPr="007E7D19">
        <w:t xml:space="preserve">a </w:t>
      </w:r>
      <w:r w:rsidR="00CB4C3C" w:rsidRPr="007E7D19">
        <w:t xml:space="preserve">pipeline </w:t>
      </w:r>
      <w:r w:rsidR="008F25CF" w:rsidRPr="007E7D19">
        <w:t xml:space="preserve">of </w:t>
      </w:r>
      <w:r w:rsidR="00CB4C3C" w:rsidRPr="007E7D19">
        <w:t xml:space="preserve">projects </w:t>
      </w:r>
      <w:r w:rsidR="008F25CF" w:rsidRPr="007E7D19">
        <w:t xml:space="preserve">that would be eligible </w:t>
      </w:r>
      <w:r w:rsidR="00CB4C3C" w:rsidRPr="007E7D19">
        <w:t xml:space="preserve">for </w:t>
      </w:r>
      <w:r w:rsidR="008F25CF" w:rsidRPr="007E7D19">
        <w:t xml:space="preserve">grant funding in </w:t>
      </w:r>
      <w:r w:rsidR="00CB4C3C">
        <w:t>the current 2015 to 2021 FCERM investment programme</w:t>
      </w:r>
      <w:r w:rsidR="008F25CF">
        <w:t>,</w:t>
      </w:r>
      <w:r w:rsidR="00CB4C3C">
        <w:t xml:space="preserve"> and the next beyond 2021. </w:t>
      </w:r>
    </w:p>
    <w:p w14:paraId="2CD1B1D6" w14:textId="77777777" w:rsidR="008F25CF" w:rsidRDefault="008F25CF" w:rsidP="00CE5053">
      <w:pPr>
        <w:pStyle w:val="ListParagraph"/>
        <w:numPr>
          <w:ilvl w:val="0"/>
          <w:numId w:val="18"/>
        </w:numPr>
        <w:spacing w:after="240"/>
        <w:ind w:left="737" w:hanging="737"/>
        <w:contextualSpacing w:val="0"/>
      </w:pPr>
      <w:r>
        <w:t>As part of this process, t</w:t>
      </w:r>
      <w:r w:rsidR="00CB4C3C">
        <w:t>he Council is working jointly with the Environment Agency to develop a project mandate to investigate the feasibility of reducing flood risk at Chinbrook Meadows</w:t>
      </w:r>
      <w:r>
        <w:t>,</w:t>
      </w:r>
      <w:r w:rsidR="00CB4C3C">
        <w:t xml:space="preserve"> and </w:t>
      </w:r>
      <w:r>
        <w:t xml:space="preserve">an </w:t>
      </w:r>
      <w:r w:rsidR="00CB4C3C">
        <w:t xml:space="preserve">asset management strategy </w:t>
      </w:r>
      <w:r>
        <w:t xml:space="preserve">for the River </w:t>
      </w:r>
      <w:r w:rsidR="00CB4C3C">
        <w:t xml:space="preserve">Ravensbourne. </w:t>
      </w:r>
      <w:r>
        <w:t>Council is also seeking to undertake further stud</w:t>
      </w:r>
      <w:r w:rsidR="00CB4C3C">
        <w:t xml:space="preserve">ies to investigate flooding mechanisms at </w:t>
      </w:r>
      <w:r>
        <w:t>a number of identified local</w:t>
      </w:r>
      <w:r w:rsidR="00CB4C3C">
        <w:t xml:space="preserve"> flood hotspots</w:t>
      </w:r>
      <w:r>
        <w:t>, including:</w:t>
      </w:r>
    </w:p>
    <w:p w14:paraId="30F05A51" w14:textId="77777777" w:rsidR="008F25CF" w:rsidRDefault="00CB4C3C" w:rsidP="00CE5053">
      <w:pPr>
        <w:pStyle w:val="ListParagraph"/>
        <w:numPr>
          <w:ilvl w:val="0"/>
          <w:numId w:val="11"/>
        </w:numPr>
      </w:pPr>
      <w:r>
        <w:t xml:space="preserve">Carholme Road, </w:t>
      </w:r>
      <w:r w:rsidR="000332B6">
        <w:t>Perry Vale Ward</w:t>
      </w:r>
      <w:r w:rsidR="008F25CF">
        <w:t>;</w:t>
      </w:r>
    </w:p>
    <w:p w14:paraId="23F6C374" w14:textId="77777777" w:rsidR="008F25CF" w:rsidRDefault="00CB4C3C" w:rsidP="00CE5053">
      <w:pPr>
        <w:pStyle w:val="ListParagraph"/>
        <w:numPr>
          <w:ilvl w:val="0"/>
          <w:numId w:val="11"/>
        </w:numPr>
      </w:pPr>
      <w:r>
        <w:t xml:space="preserve">Bankhurst Road, </w:t>
      </w:r>
      <w:r w:rsidR="000332B6">
        <w:t>Crofton Park Ward</w:t>
      </w:r>
      <w:r w:rsidR="008F25CF">
        <w:t>;</w:t>
      </w:r>
    </w:p>
    <w:p w14:paraId="0D2509EB" w14:textId="77777777" w:rsidR="000332B6" w:rsidRDefault="00CB4C3C" w:rsidP="00CE5053">
      <w:pPr>
        <w:pStyle w:val="ListParagraph"/>
        <w:numPr>
          <w:ilvl w:val="0"/>
          <w:numId w:val="11"/>
        </w:numPr>
      </w:pPr>
      <w:r>
        <w:t xml:space="preserve">Avignon Road, </w:t>
      </w:r>
      <w:r w:rsidR="000332B6">
        <w:t>Telegraph Hill Ward;</w:t>
      </w:r>
    </w:p>
    <w:p w14:paraId="2DC199F6" w14:textId="77777777" w:rsidR="000332B6" w:rsidRDefault="00CB4C3C" w:rsidP="00CE5053">
      <w:pPr>
        <w:pStyle w:val="ListParagraph"/>
        <w:numPr>
          <w:ilvl w:val="0"/>
          <w:numId w:val="11"/>
        </w:numPr>
      </w:pPr>
      <w:r>
        <w:t xml:space="preserve">Ivy Road, </w:t>
      </w:r>
      <w:r w:rsidR="000332B6">
        <w:t>Ladywell Ward;</w:t>
      </w:r>
    </w:p>
    <w:p w14:paraId="632CA7A2" w14:textId="77777777" w:rsidR="000332B6" w:rsidRDefault="00CB4C3C" w:rsidP="00CE5053">
      <w:pPr>
        <w:pStyle w:val="ListParagraph"/>
        <w:numPr>
          <w:ilvl w:val="0"/>
          <w:numId w:val="11"/>
        </w:numPr>
      </w:pPr>
      <w:r>
        <w:t xml:space="preserve">Heath Lane, </w:t>
      </w:r>
      <w:r w:rsidR="000332B6">
        <w:t>Blackheath Ward;</w:t>
      </w:r>
      <w:r w:rsidR="00636ADE">
        <w:t xml:space="preserve"> and</w:t>
      </w:r>
    </w:p>
    <w:p w14:paraId="4FCF4DF7" w14:textId="77777777" w:rsidR="000332B6" w:rsidRDefault="00CB4C3C" w:rsidP="00CE5053">
      <w:pPr>
        <w:pStyle w:val="ListParagraph"/>
        <w:numPr>
          <w:ilvl w:val="0"/>
          <w:numId w:val="11"/>
        </w:numPr>
        <w:spacing w:after="240"/>
        <w:ind w:left="1434" w:hanging="357"/>
        <w:contextualSpacing w:val="0"/>
      </w:pPr>
      <w:r>
        <w:t xml:space="preserve">Lewisham Road, </w:t>
      </w:r>
      <w:r w:rsidR="000332B6">
        <w:t>Lewisham Ward</w:t>
      </w:r>
      <w:r w:rsidR="00636ADE">
        <w:t>.</w:t>
      </w:r>
    </w:p>
    <w:p w14:paraId="32762C92" w14:textId="77777777" w:rsidR="0006257D" w:rsidRPr="0006257D" w:rsidRDefault="00921739" w:rsidP="00CE5053">
      <w:pPr>
        <w:pStyle w:val="ListParagraph"/>
        <w:numPr>
          <w:ilvl w:val="0"/>
          <w:numId w:val="18"/>
        </w:numPr>
        <w:spacing w:after="240"/>
        <w:ind w:left="737" w:hanging="737"/>
        <w:contextualSpacing w:val="0"/>
      </w:pPr>
      <w:r>
        <w:t>T</w:t>
      </w:r>
      <w:r w:rsidR="0006257D" w:rsidRPr="0006257D">
        <w:t xml:space="preserve">he Council is </w:t>
      </w:r>
      <w:r w:rsidR="00636ADE">
        <w:t xml:space="preserve">also </w:t>
      </w:r>
      <w:r w:rsidR="0006257D" w:rsidRPr="0006257D">
        <w:t xml:space="preserve">seeking opportunities to </w:t>
      </w:r>
      <w:r w:rsidR="001F440A">
        <w:t>work with third sector organisations, local community groups, government agencies and developers to</w:t>
      </w:r>
      <w:r w:rsidR="001F440A" w:rsidRPr="0006257D">
        <w:t xml:space="preserve"> </w:t>
      </w:r>
      <w:r w:rsidR="0006257D" w:rsidRPr="0006257D">
        <w:t xml:space="preserve">utilise the River Corridor Improvement Plan and Ravensbourne River Corridor Improvement Plan </w:t>
      </w:r>
      <w:r w:rsidR="007E7D19">
        <w:t xml:space="preserve">to encourage </w:t>
      </w:r>
      <w:r w:rsidR="001F440A">
        <w:t xml:space="preserve">the incorporation of </w:t>
      </w:r>
      <w:r w:rsidR="007E7D19">
        <w:t xml:space="preserve">restoration projects into new developments that are adjacent to identified </w:t>
      </w:r>
      <w:r w:rsidR="001F440A">
        <w:t xml:space="preserve">river </w:t>
      </w:r>
      <w:r w:rsidR="007E7D19">
        <w:t xml:space="preserve">corridors. </w:t>
      </w:r>
      <w:r w:rsidR="001F440A">
        <w:t>W</w:t>
      </w:r>
      <w:r w:rsidR="007E7D19">
        <w:t xml:space="preserve">orks </w:t>
      </w:r>
      <w:r w:rsidR="001F440A">
        <w:t>may</w:t>
      </w:r>
      <w:r w:rsidR="007E7D19">
        <w:t xml:space="preserve"> include </w:t>
      </w:r>
      <w:r w:rsidR="001F440A">
        <w:t xml:space="preserve">the </w:t>
      </w:r>
      <w:r w:rsidR="007E7D19">
        <w:t>re-naturalis</w:t>
      </w:r>
      <w:r w:rsidR="001F440A">
        <w:t>at</w:t>
      </w:r>
      <w:r w:rsidR="007E7D19">
        <w:t>i</w:t>
      </w:r>
      <w:r w:rsidR="001F440A">
        <w:t>on of</w:t>
      </w:r>
      <w:r w:rsidR="007E7D19">
        <w:t xml:space="preserve"> river culverts</w:t>
      </w:r>
      <w:r w:rsidR="001F440A">
        <w:t xml:space="preserve">, restoring </w:t>
      </w:r>
      <w:r w:rsidR="007E7D19">
        <w:t xml:space="preserve">natural </w:t>
      </w:r>
      <w:r w:rsidR="0006257D" w:rsidRPr="0006257D">
        <w:t>floodplain</w:t>
      </w:r>
      <w:r w:rsidR="007E7D19">
        <w:t xml:space="preserve">s into new development schemes, and improving </w:t>
      </w:r>
      <w:r w:rsidR="0006257D" w:rsidRPr="0006257D">
        <w:t xml:space="preserve">woodland management </w:t>
      </w:r>
      <w:r w:rsidR="007E7D19">
        <w:t xml:space="preserve">to </w:t>
      </w:r>
      <w:r w:rsidR="0006257D" w:rsidRPr="0006257D">
        <w:t xml:space="preserve">manage runoff </w:t>
      </w:r>
      <w:r w:rsidR="007E7D19">
        <w:t xml:space="preserve">and </w:t>
      </w:r>
      <w:r w:rsidR="0006257D" w:rsidRPr="0006257D">
        <w:t>reduce flood risk.</w:t>
      </w:r>
    </w:p>
    <w:p w14:paraId="0BA13462" w14:textId="77777777" w:rsidR="0006257D" w:rsidRPr="0006257D" w:rsidRDefault="0006257D" w:rsidP="00CE5053">
      <w:pPr>
        <w:pStyle w:val="ListParagraph"/>
        <w:numPr>
          <w:ilvl w:val="0"/>
          <w:numId w:val="18"/>
        </w:numPr>
        <w:spacing w:after="240"/>
        <w:ind w:left="737" w:hanging="737"/>
        <w:contextualSpacing w:val="0"/>
      </w:pPr>
      <w:r w:rsidRPr="0006257D">
        <w:t>The EA has completed a comprehensive programme of study (T</w:t>
      </w:r>
      <w:r w:rsidR="00811C0E">
        <w:t xml:space="preserve">hames </w:t>
      </w:r>
      <w:r w:rsidRPr="0006257D">
        <w:t>E</w:t>
      </w:r>
      <w:r w:rsidR="00811C0E">
        <w:t xml:space="preserve">stuary </w:t>
      </w:r>
      <w:r w:rsidRPr="0006257D">
        <w:t>2100</w:t>
      </w:r>
      <w:r w:rsidR="00811C0E">
        <w:t xml:space="preserve"> Plan</w:t>
      </w:r>
      <w:r w:rsidRPr="0006257D">
        <w:t>) that establishes the best approaches to manage flood risk in the estuary, taking into consideration various climate change scenarios. In Lewisham the study indicates that further action is required, including an increase in the level of flood protection from a 1 in 1,000 year level to a 1 in 10,000 year level. In terms of</w:t>
      </w:r>
      <w:r w:rsidR="00811C0E">
        <w:t xml:space="preserve"> </w:t>
      </w:r>
      <w:r w:rsidRPr="0006257D">
        <w:t>flood defence</w:t>
      </w:r>
      <w:r w:rsidR="00811C0E">
        <w:t xml:space="preserve"> infrastructure, this include</w:t>
      </w:r>
      <w:r w:rsidRPr="0006257D">
        <w:t>s:</w:t>
      </w:r>
    </w:p>
    <w:p w14:paraId="009F1592" w14:textId="77777777" w:rsidR="0006257D" w:rsidRPr="0006257D" w:rsidRDefault="0006257D" w:rsidP="00CE5053">
      <w:pPr>
        <w:pStyle w:val="ListParagraph"/>
        <w:numPr>
          <w:ilvl w:val="0"/>
          <w:numId w:val="11"/>
        </w:numPr>
      </w:pPr>
      <w:r w:rsidRPr="0006257D">
        <w:t>An ongoing programme of inspection, maintenance, repair and replacement of defences</w:t>
      </w:r>
      <w:r w:rsidR="00811C0E">
        <w:t>;</w:t>
      </w:r>
    </w:p>
    <w:p w14:paraId="3B89E3F4" w14:textId="77777777" w:rsidR="0006257D" w:rsidRPr="0006257D" w:rsidRDefault="0006257D" w:rsidP="00CE5053">
      <w:pPr>
        <w:pStyle w:val="ListParagraph"/>
        <w:numPr>
          <w:ilvl w:val="0"/>
          <w:numId w:val="11"/>
        </w:numPr>
      </w:pPr>
      <w:r w:rsidRPr="0006257D">
        <w:t>Raising of all defences by up to 0.5 m by 2065</w:t>
      </w:r>
      <w:r w:rsidR="00811C0E">
        <w:t>; and</w:t>
      </w:r>
    </w:p>
    <w:p w14:paraId="047C9B2D" w14:textId="77777777" w:rsidR="0006257D" w:rsidRPr="0006257D" w:rsidRDefault="0006257D" w:rsidP="00CE5053">
      <w:pPr>
        <w:pStyle w:val="ListParagraph"/>
        <w:numPr>
          <w:ilvl w:val="0"/>
          <w:numId w:val="11"/>
        </w:numPr>
        <w:spacing w:after="240"/>
        <w:ind w:left="1434" w:hanging="357"/>
        <w:contextualSpacing w:val="0"/>
      </w:pPr>
      <w:r w:rsidRPr="0006257D">
        <w:t>Raising of all defences by an additional 0.5 m by 2100</w:t>
      </w:r>
      <w:r w:rsidR="00811C0E">
        <w:t>.</w:t>
      </w:r>
    </w:p>
    <w:p w14:paraId="0BC795E9" w14:textId="77777777" w:rsidR="00AF0D1E" w:rsidRDefault="00F55DA8" w:rsidP="00CE5053">
      <w:pPr>
        <w:pStyle w:val="ListParagraph"/>
        <w:numPr>
          <w:ilvl w:val="0"/>
          <w:numId w:val="18"/>
        </w:numPr>
        <w:spacing w:after="240"/>
        <w:ind w:left="737" w:hanging="737"/>
        <w:contextualSpacing w:val="0"/>
      </w:pPr>
      <w:r>
        <w:t>The Thames Estuary Assessment Management 2100 programme, led by the Environment Agency, is overseeing the refur</w:t>
      </w:r>
      <w:r w:rsidR="004D3F40">
        <w:t xml:space="preserve">bishment and improvement to tidal flood risk management assets. Phase 1 of the programme, which covers the period 2019 to 2035, will seek to maintain and improve current assets including wall gates, embankments and pumps, protect land needed for future improvements to flood defences, and monitor how the estuary is changing. The Council will seek to ensure that appropriate setbacks to existing flood risk management infrastructure are </w:t>
      </w:r>
      <w:r w:rsidR="004D3F40">
        <w:lastRenderedPageBreak/>
        <w:t xml:space="preserve">safeguarded in new development schemes adjoining these assets, to allow for access for maintenance and upgrading as required. </w:t>
      </w:r>
    </w:p>
    <w:p w14:paraId="41DA1215" w14:textId="77777777" w:rsidR="00EF0499" w:rsidRDefault="00EF0499" w:rsidP="00CE5053">
      <w:pPr>
        <w:spacing w:after="60"/>
        <w:rPr>
          <w:bCs/>
        </w:rPr>
      </w:pPr>
    </w:p>
    <w:p w14:paraId="4CF13355" w14:textId="77777777" w:rsidR="00EF0499" w:rsidRDefault="00EF0499" w:rsidP="00CE5053">
      <w:pPr>
        <w:spacing w:after="60"/>
        <w:rPr>
          <w:sz w:val="19"/>
          <w:szCs w:val="19"/>
        </w:rPr>
        <w:sectPr w:rsidR="00EF0499" w:rsidSect="007453BE">
          <w:pgSz w:w="11906" w:h="16838"/>
          <w:pgMar w:top="1440" w:right="1440" w:bottom="1440" w:left="1440" w:header="708" w:footer="708" w:gutter="0"/>
          <w:pgBorders w:offsetFrom="page">
            <w:top w:val="single" w:sz="4" w:space="24" w:color="FFFFFF" w:themeColor="background1"/>
            <w:bottom w:val="single" w:sz="4" w:space="24" w:color="FFFFFF" w:themeColor="background1"/>
          </w:pgBorders>
          <w:cols w:space="708"/>
          <w:docGrid w:linePitch="360"/>
        </w:sectPr>
      </w:pPr>
    </w:p>
    <w:p w14:paraId="7EEE6F29" w14:textId="77777777" w:rsidR="00EF0499" w:rsidRDefault="00EF0499" w:rsidP="00CE5053">
      <w:pPr>
        <w:pStyle w:val="Heading3"/>
      </w:pPr>
      <w:bookmarkStart w:id="70" w:name="_Toc56146053"/>
      <w:r>
        <w:lastRenderedPageBreak/>
        <w:t xml:space="preserve">Strategic infrastructure </w:t>
      </w:r>
      <w:r w:rsidRPr="00B95034">
        <w:t xml:space="preserve">list for </w:t>
      </w:r>
      <w:r w:rsidR="00431BDF">
        <w:t>flood risk management</w:t>
      </w:r>
      <w:r w:rsidRPr="00B95034">
        <w:t xml:space="preserve"> </w:t>
      </w:r>
      <w:r>
        <w:t>infrastructure</w:t>
      </w:r>
      <w:bookmarkEnd w:id="70"/>
    </w:p>
    <w:tbl>
      <w:tblPr>
        <w:tblStyle w:val="ListTable3-Accent32"/>
        <w:tblW w:w="4815" w:type="pct"/>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Table"/>
      </w:tblPr>
      <w:tblGrid>
        <w:gridCol w:w="2266"/>
        <w:gridCol w:w="1697"/>
        <w:gridCol w:w="5744"/>
        <w:gridCol w:w="2334"/>
        <w:gridCol w:w="830"/>
        <w:gridCol w:w="842"/>
        <w:gridCol w:w="842"/>
        <w:gridCol w:w="863"/>
        <w:gridCol w:w="1238"/>
        <w:gridCol w:w="984"/>
        <w:gridCol w:w="1076"/>
        <w:gridCol w:w="1439"/>
      </w:tblGrid>
      <w:tr w:rsidR="00EF0499" w:rsidRPr="004400BC" w14:paraId="789F15C8"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3492DE79" w14:textId="77777777" w:rsidR="00EF0499" w:rsidRPr="00C43DD5" w:rsidRDefault="00EF0499" w:rsidP="00CE5053">
            <w:pPr>
              <w:spacing w:before="40" w:after="40"/>
              <w:rPr>
                <w:b w:val="0"/>
                <w:bCs w:val="0"/>
                <w:sz w:val="18"/>
                <w:szCs w:val="16"/>
              </w:rPr>
            </w:pPr>
            <w:r w:rsidRPr="00C43DD5">
              <w:rPr>
                <w:sz w:val="18"/>
                <w:szCs w:val="16"/>
              </w:rPr>
              <w:t>Planned provision</w:t>
            </w:r>
          </w:p>
        </w:tc>
        <w:tc>
          <w:tcPr>
            <w:tcW w:w="421"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E3C49A0"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Proposed location</w:t>
            </w:r>
          </w:p>
        </w:tc>
        <w:tc>
          <w:tcPr>
            <w:tcW w:w="1425"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48A067B4"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6"/>
              </w:rPr>
            </w:pPr>
            <w:r w:rsidRPr="00C43DD5">
              <w:rPr>
                <w:bCs w:val="0"/>
                <w:sz w:val="18"/>
                <w:szCs w:val="16"/>
              </w:rPr>
              <w:t xml:space="preserve">Description of </w:t>
            </w:r>
            <w:r w:rsidRPr="00C43DD5">
              <w:rPr>
                <w:bCs w:val="0"/>
                <w:noProof/>
                <w:sz w:val="18"/>
                <w:szCs w:val="16"/>
              </w:rPr>
              <w:t>project/proposal</w:t>
            </w:r>
          </w:p>
        </w:tc>
        <w:tc>
          <w:tcPr>
            <w:tcW w:w="579"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72E1496E"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6"/>
              </w:rPr>
            </w:pPr>
            <w:r w:rsidRPr="00C43DD5">
              <w:rPr>
                <w:bCs w:val="0"/>
                <w:sz w:val="18"/>
                <w:szCs w:val="16"/>
              </w:rPr>
              <w:t>Project lead (and delivery partners)</w:t>
            </w:r>
          </w:p>
        </w:tc>
        <w:tc>
          <w:tcPr>
            <w:tcW w:w="838"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5D6AE24"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Indicative timescale</w:t>
            </w:r>
          </w:p>
        </w:tc>
        <w:tc>
          <w:tcPr>
            <w:tcW w:w="30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5F142CB5"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Total cost (indicative)</w:t>
            </w:r>
          </w:p>
        </w:tc>
        <w:tc>
          <w:tcPr>
            <w:tcW w:w="24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4EFABEBE"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Total funding available</w:t>
            </w:r>
          </w:p>
        </w:tc>
        <w:tc>
          <w:tcPr>
            <w:tcW w:w="26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455A1995"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6"/>
              </w:rPr>
            </w:pPr>
            <w:r w:rsidRPr="00C43DD5">
              <w:rPr>
                <w:sz w:val="18"/>
                <w:szCs w:val="16"/>
              </w:rPr>
              <w:t>Funding gap</w:t>
            </w:r>
          </w:p>
        </w:tc>
        <w:tc>
          <w:tcPr>
            <w:tcW w:w="357" w:type="pct"/>
            <w:vMerge w:val="restart"/>
            <w:tcBorders>
              <w:top w:val="single" w:sz="4" w:space="0" w:color="FFFFFF" w:themeColor="background1"/>
              <w:left w:val="single" w:sz="4" w:space="0" w:color="FFFFFF" w:themeColor="background1"/>
              <w:right w:val="nil"/>
            </w:tcBorders>
            <w:shd w:val="clear" w:color="auto" w:fill="002060"/>
          </w:tcPr>
          <w:p w14:paraId="61C47D59"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Prioritisation</w:t>
            </w:r>
          </w:p>
          <w:p w14:paraId="11A88E7E"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(3) Critical</w:t>
            </w:r>
          </w:p>
          <w:p w14:paraId="6E254399"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(2) Essential</w:t>
            </w:r>
          </w:p>
          <w:p w14:paraId="7181A99D"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(1) Important</w:t>
            </w:r>
          </w:p>
        </w:tc>
      </w:tr>
      <w:tr w:rsidR="00CD1374" w:rsidRPr="004400BC" w14:paraId="40ED76B0"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3DA529F9" w14:textId="77777777" w:rsidR="00EF0499" w:rsidRDefault="00EF0499" w:rsidP="00CE5053">
            <w:pPr>
              <w:spacing w:before="40" w:after="40"/>
              <w:rPr>
                <w:sz w:val="16"/>
                <w:szCs w:val="16"/>
              </w:rPr>
            </w:pPr>
          </w:p>
        </w:tc>
        <w:tc>
          <w:tcPr>
            <w:tcW w:w="421"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6CD137CE" w14:textId="77777777" w:rsidR="00EF0499" w:rsidRPr="004400BC"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1425"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07E4BC8B" w14:textId="77777777" w:rsidR="00EF0499" w:rsidRPr="004400BC"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p>
        </w:tc>
        <w:tc>
          <w:tcPr>
            <w:tcW w:w="579"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34F1C49A" w14:textId="77777777" w:rsidR="00EF0499" w:rsidRPr="004400BC"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E89851D"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2020/25</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BA38975"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2025/30</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E6B800B"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2030/35</w:t>
            </w: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DFCB401"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2035/40</w:t>
            </w:r>
          </w:p>
        </w:tc>
        <w:tc>
          <w:tcPr>
            <w:tcW w:w="30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6A956623"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244"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05DBCD01"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26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F027B32"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357" w:type="pct"/>
            <w:vMerge/>
            <w:tcBorders>
              <w:left w:val="single" w:sz="4" w:space="0" w:color="FFFFFF" w:themeColor="background1"/>
              <w:bottom w:val="single" w:sz="4" w:space="0" w:color="FFFFFF" w:themeColor="background1"/>
              <w:right w:val="nil"/>
            </w:tcBorders>
            <w:shd w:val="clear" w:color="auto" w:fill="333399"/>
          </w:tcPr>
          <w:p w14:paraId="63FF2D74"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r>
      <w:tr w:rsidR="00241179" w:rsidRPr="004400BC" w14:paraId="5EEB231C" w14:textId="77777777" w:rsidTr="0064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07F647" w14:textId="77777777" w:rsidR="00241179" w:rsidRPr="006A7981" w:rsidRDefault="00241179" w:rsidP="00CE5053">
            <w:pPr>
              <w:spacing w:before="40" w:after="40"/>
              <w:rPr>
                <w:sz w:val="18"/>
                <w:szCs w:val="16"/>
              </w:rPr>
            </w:pPr>
            <w:r w:rsidRPr="006A7981">
              <w:rPr>
                <w:sz w:val="18"/>
                <w:szCs w:val="16"/>
              </w:rPr>
              <w:t>Honor Oak Lower Catchment Flood Alleviation Scheme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CC25F4B" w14:textId="77777777" w:rsidR="00241179" w:rsidRPr="006A7981" w:rsidRDefault="006017C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Crofton Park, Honor Oak</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F899B2E" w14:textId="77777777" w:rsidR="00241179" w:rsidRPr="006A7981" w:rsidRDefault="0024117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Proposed detention Basin in Ladywell Green to reduce flood risk at the Priority 3 Local Flood Risk Zone (further evidence-base is needed to demonstrate that flooding actually occurs at the location as defined in the 2011 Surface Water Management Plan).</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6060666" w14:textId="77777777" w:rsidR="00241179" w:rsidRPr="006A7981" w:rsidRDefault="0024117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LB Lewisham</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BB060D9" w14:textId="77777777" w:rsidR="00241179" w:rsidRPr="006A7981" w:rsidRDefault="0024117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2E5966" w14:textId="77777777" w:rsidR="00241179" w:rsidRPr="006A7981" w:rsidRDefault="0024117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A7E634" w14:textId="77777777" w:rsidR="00241179" w:rsidRPr="006A7981" w:rsidRDefault="0024117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X</w:t>
            </w: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CF3892" w14:textId="77777777" w:rsidR="00241179" w:rsidRPr="006A7981" w:rsidRDefault="0024117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C27AE8" w14:textId="77777777" w:rsidR="00241179" w:rsidRPr="006A7981" w:rsidRDefault="0024117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£2M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595F49" w14:textId="77777777" w:rsidR="00241179" w:rsidRPr="006A7981" w:rsidRDefault="0024117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41AC088" w14:textId="77777777" w:rsidR="00241179" w:rsidRPr="006A7981" w:rsidRDefault="0024117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£2M</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55F7DB" w14:textId="77777777" w:rsidR="00241179" w:rsidRPr="006A7981" w:rsidRDefault="0024117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1</w:t>
            </w:r>
          </w:p>
        </w:tc>
      </w:tr>
      <w:tr w:rsidR="00241179" w:rsidRPr="004400BC" w14:paraId="5F8A1B9F" w14:textId="77777777" w:rsidTr="006410EE">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6FA5F8" w14:textId="77777777" w:rsidR="00241179" w:rsidRPr="006A7981" w:rsidRDefault="00241179" w:rsidP="00CE5053">
            <w:pPr>
              <w:spacing w:before="40" w:after="40"/>
              <w:rPr>
                <w:sz w:val="18"/>
                <w:szCs w:val="16"/>
              </w:rPr>
            </w:pPr>
            <w:r w:rsidRPr="006A7981">
              <w:rPr>
                <w:sz w:val="18"/>
                <w:szCs w:val="16"/>
              </w:rPr>
              <w:t>Verdant Lane Flood Alleviation Scheme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136FCEE" w14:textId="77777777" w:rsidR="00241179" w:rsidRPr="006A7981" w:rsidRDefault="006017C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highlight w:val="yellow"/>
              </w:rPr>
            </w:pPr>
            <w:r w:rsidRPr="006A7981">
              <w:rPr>
                <w:sz w:val="18"/>
                <w:szCs w:val="16"/>
              </w:rPr>
              <w:t>Hither Green</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DDDA62" w14:textId="77777777" w:rsidR="00241179" w:rsidRPr="006A7981" w:rsidRDefault="0024117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highlight w:val="yellow"/>
              </w:rPr>
            </w:pPr>
            <w:r w:rsidRPr="006A7981">
              <w:rPr>
                <w:sz w:val="18"/>
                <w:szCs w:val="16"/>
              </w:rPr>
              <w:t xml:space="preserve">Proposed pavement improvements in Hither Green Lane to reduce surface water flood risk </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12DD12" w14:textId="77777777" w:rsidR="00241179" w:rsidRPr="006A7981" w:rsidRDefault="0024117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LB Lewisham</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E5F606" w14:textId="77777777" w:rsidR="00241179" w:rsidRPr="006A7981" w:rsidRDefault="0024117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EA07B3" w14:textId="77777777" w:rsidR="00241179" w:rsidRPr="006A7981" w:rsidRDefault="0024117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A2E535C" w14:textId="77777777" w:rsidR="00241179" w:rsidRPr="006A7981" w:rsidRDefault="0024117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X</w:t>
            </w: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87F392" w14:textId="77777777" w:rsidR="00241179" w:rsidRPr="006A7981" w:rsidRDefault="0024117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E7BD72C" w14:textId="77777777" w:rsidR="00241179" w:rsidRPr="006A7981" w:rsidRDefault="006017C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BC1A7CA" w14:textId="77777777" w:rsidR="00241179" w:rsidRPr="006A7981" w:rsidRDefault="006017C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9DDAD5" w14:textId="77777777" w:rsidR="00241179" w:rsidRPr="006A7981" w:rsidRDefault="006017C3"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00C05E" w14:textId="77777777" w:rsidR="00241179" w:rsidRPr="006A7981" w:rsidRDefault="00241179"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1</w:t>
            </w:r>
          </w:p>
        </w:tc>
      </w:tr>
      <w:tr w:rsidR="00EF0499" w:rsidRPr="004400BC" w14:paraId="4A1CC428" w14:textId="77777777" w:rsidTr="0064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068C59" w14:textId="77777777" w:rsidR="00EF0499" w:rsidRPr="006A7981" w:rsidRDefault="00EF0499" w:rsidP="00CE5053">
            <w:pPr>
              <w:spacing w:before="40" w:after="40"/>
              <w:rPr>
                <w:sz w:val="18"/>
                <w:szCs w:val="16"/>
              </w:rPr>
            </w:pPr>
          </w:p>
        </w:tc>
        <w:tc>
          <w:tcPr>
            <w:tcW w:w="42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347533B" w14:textId="77777777" w:rsidR="00EF0499" w:rsidRPr="006A7981"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b/>
                <w:sz w:val="18"/>
                <w:szCs w:val="16"/>
              </w:rPr>
              <w:t>Sub-total</w:t>
            </w: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736CC4" w14:textId="77777777" w:rsidR="00EF0499" w:rsidRPr="006A7981" w:rsidRDefault="004D3F40"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£2m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1A276E" w14:textId="77777777" w:rsidR="00EF0499" w:rsidRPr="006A7981"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2795EF7" w14:textId="77777777" w:rsidR="00EF0499" w:rsidRPr="006A7981" w:rsidRDefault="004D3F40"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£2m</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3BACD0F" w14:textId="77777777" w:rsidR="00EF0499" w:rsidRPr="006A7981" w:rsidRDefault="00EF0499" w:rsidP="00CE5053">
            <w:pPr>
              <w:spacing w:before="40" w:after="40"/>
              <w:cnfStyle w:val="000000100000" w:firstRow="0" w:lastRow="0" w:firstColumn="0" w:lastColumn="0" w:oddVBand="0" w:evenVBand="0" w:oddHBand="1" w:evenHBand="0" w:firstRowFirstColumn="0" w:firstRowLastColumn="0" w:lastRowFirstColumn="0" w:lastRowLastColumn="0"/>
              <w:rPr>
                <w:b/>
                <w:sz w:val="18"/>
                <w:szCs w:val="16"/>
              </w:rPr>
            </w:pPr>
          </w:p>
        </w:tc>
      </w:tr>
    </w:tbl>
    <w:p w14:paraId="4AE6BDC3" w14:textId="77777777" w:rsidR="00EF0499" w:rsidRDefault="00EF0499" w:rsidP="00CE5053"/>
    <w:p w14:paraId="6CDA7058" w14:textId="77777777" w:rsidR="00EF0499" w:rsidRDefault="00EF0499" w:rsidP="00CE5053">
      <w:pPr>
        <w:spacing w:after="60"/>
        <w:rPr>
          <w:sz w:val="19"/>
          <w:szCs w:val="19"/>
        </w:rPr>
      </w:pPr>
    </w:p>
    <w:p w14:paraId="1D7BD492" w14:textId="77777777" w:rsidR="00EF0499" w:rsidRDefault="00EF0499" w:rsidP="00CE5053">
      <w:pPr>
        <w:spacing w:after="60"/>
        <w:rPr>
          <w:sz w:val="19"/>
          <w:szCs w:val="19"/>
        </w:rPr>
        <w:sectPr w:rsidR="00EF0499" w:rsidSect="007B10F6">
          <w:pgSz w:w="23814" w:h="16839" w:orient="landscape" w:code="8"/>
          <w:pgMar w:top="1440" w:right="1440" w:bottom="1440" w:left="1440" w:header="708" w:footer="708" w:gutter="0"/>
          <w:pgBorders w:offsetFrom="page">
            <w:top w:val="single" w:sz="4" w:space="24" w:color="FFFFFF" w:themeColor="background1"/>
            <w:bottom w:val="single" w:sz="4" w:space="24" w:color="FFFFFF" w:themeColor="background1"/>
          </w:pgBorders>
          <w:cols w:space="708"/>
          <w:docGrid w:linePitch="360"/>
        </w:sectPr>
      </w:pPr>
    </w:p>
    <w:p w14:paraId="08C525D3" w14:textId="77777777" w:rsidR="00DF60C7" w:rsidRPr="006655BF" w:rsidRDefault="00DF60C7" w:rsidP="00CE5053">
      <w:pPr>
        <w:pStyle w:val="Heading2"/>
      </w:pPr>
      <w:bookmarkStart w:id="71" w:name="_Toc56146054"/>
      <w:r>
        <w:lastRenderedPageBreak/>
        <w:t>Waste infrastructure</w:t>
      </w:r>
      <w:bookmarkEnd w:id="71"/>
      <w:r>
        <w:t xml:space="preserve">  </w:t>
      </w:r>
    </w:p>
    <w:p w14:paraId="01C987D2" w14:textId="77777777" w:rsidR="00DF60C7" w:rsidRPr="00812461" w:rsidRDefault="00812461" w:rsidP="00CE5053">
      <w:pPr>
        <w:ind w:left="578" w:firstLine="142"/>
        <w:rPr>
          <w:b/>
        </w:rPr>
      </w:pPr>
      <w:r>
        <w:rPr>
          <w:b/>
        </w:rPr>
        <w:t>Policy context</w:t>
      </w:r>
    </w:p>
    <w:p w14:paraId="0EE4A4F5" w14:textId="77777777" w:rsidR="008D591D" w:rsidRDefault="002F6073" w:rsidP="00CE5053">
      <w:pPr>
        <w:pStyle w:val="ListParagraph"/>
        <w:numPr>
          <w:ilvl w:val="0"/>
          <w:numId w:val="22"/>
        </w:numPr>
        <w:spacing w:after="240"/>
        <w:ind w:left="737" w:hanging="737"/>
        <w:contextualSpacing w:val="0"/>
      </w:pPr>
      <w:r w:rsidRPr="00595E96">
        <w:t xml:space="preserve">London Plan </w:t>
      </w:r>
      <w:r w:rsidR="008D591D">
        <w:t>P</w:t>
      </w:r>
      <w:r w:rsidR="00DF60C7" w:rsidRPr="00595E96">
        <w:t xml:space="preserve">olicy SI7 </w:t>
      </w:r>
      <w:r w:rsidRPr="00595E96">
        <w:t>‘</w:t>
      </w:r>
      <w:r w:rsidR="00DF60C7" w:rsidRPr="00595E96">
        <w:t>Reducing waste and supporting the circular economy</w:t>
      </w:r>
      <w:r w:rsidRPr="00595E96">
        <w:t xml:space="preserve">’ and </w:t>
      </w:r>
      <w:r w:rsidR="00DF60C7" w:rsidRPr="00595E96">
        <w:t xml:space="preserve">SI8 </w:t>
      </w:r>
      <w:r w:rsidRPr="00595E96">
        <w:t>‘</w:t>
      </w:r>
      <w:r w:rsidR="00DF60C7" w:rsidRPr="00595E96">
        <w:t>Waste capacity and net waste self-sufficiency</w:t>
      </w:r>
      <w:r w:rsidRPr="00595E96">
        <w:t xml:space="preserve">’ </w:t>
      </w:r>
      <w:r w:rsidR="00812461">
        <w:t xml:space="preserve">set out the requirement for London’s </w:t>
      </w:r>
      <w:r w:rsidRPr="00595E96">
        <w:t>b</w:t>
      </w:r>
      <w:r w:rsidR="00DF60C7" w:rsidRPr="00595E96">
        <w:t xml:space="preserve">oroughs </w:t>
      </w:r>
      <w:r w:rsidR="00812461">
        <w:t>to</w:t>
      </w:r>
      <w:r w:rsidR="00DF60C7" w:rsidRPr="00595E96">
        <w:t xml:space="preserve"> identify waste management facilities</w:t>
      </w:r>
      <w:r w:rsidR="00812461">
        <w:t>,</w:t>
      </w:r>
      <w:r w:rsidR="00DF60C7" w:rsidRPr="00595E96">
        <w:t xml:space="preserve"> allocate sufficient land in their Local Plans to meet the waste apportionments </w:t>
      </w:r>
      <w:r w:rsidR="00812461">
        <w:t xml:space="preserve">set out </w:t>
      </w:r>
      <w:r w:rsidR="00DF60C7" w:rsidRPr="00595E96">
        <w:t xml:space="preserve">in the London Plan, </w:t>
      </w:r>
      <w:r w:rsidR="00812461">
        <w:t xml:space="preserve">and </w:t>
      </w:r>
      <w:r w:rsidR="00DF60C7" w:rsidRPr="00595E96">
        <w:t>promot</w:t>
      </w:r>
      <w:r w:rsidR="00812461">
        <w:t>e</w:t>
      </w:r>
      <w:r w:rsidR="00DF60C7" w:rsidRPr="00595E96">
        <w:t xml:space="preserve"> a circular economy and reduc</w:t>
      </w:r>
      <w:r w:rsidR="00812461">
        <w:t xml:space="preserve">e overall levels of </w:t>
      </w:r>
      <w:r w:rsidR="00DF60C7" w:rsidRPr="00595E96">
        <w:t xml:space="preserve">waste. </w:t>
      </w:r>
    </w:p>
    <w:p w14:paraId="3FC1D79A" w14:textId="77777777" w:rsidR="00DF60C7" w:rsidRPr="00595E96" w:rsidRDefault="008D591D" w:rsidP="00CE5053">
      <w:pPr>
        <w:pStyle w:val="ListParagraph"/>
        <w:numPr>
          <w:ilvl w:val="0"/>
          <w:numId w:val="22"/>
        </w:numPr>
        <w:spacing w:after="240"/>
        <w:ind w:left="737" w:hanging="737"/>
        <w:contextualSpacing w:val="0"/>
      </w:pPr>
      <w:r w:rsidRPr="008D591D">
        <w:t xml:space="preserve">The Council, as a member of the South East London Joint Waste Planning Group, is committed to addressing the requirements of the London Plan, policies 5.16 and 5.17 in line with national policy for waste management (set out in the National Planning Policy for Waste, October 2014) and National Planning Policy Guidance set out online. The Waste Planning Group was originally formed by five London unitary waste planning authorities working together to identify and meet sub-regional requirements for waste management facilities.  The initial group consisted of the London boroughs of Bexley, Bromley, Lewisham, Greenwich and Southwark.  The City of London subsequently joined the group, with Bexley taking responsibility for their apportionment.  </w:t>
      </w:r>
    </w:p>
    <w:p w14:paraId="218576E8" w14:textId="77777777" w:rsidR="00DF60C7" w:rsidRPr="002633E9" w:rsidRDefault="002633E9" w:rsidP="00CE5053">
      <w:pPr>
        <w:ind w:left="578" w:firstLine="142"/>
        <w:rPr>
          <w:b/>
        </w:rPr>
      </w:pPr>
      <w:r>
        <w:rPr>
          <w:b/>
        </w:rPr>
        <w:t>Current provision</w:t>
      </w:r>
    </w:p>
    <w:p w14:paraId="7C4A2B0C" w14:textId="77777777" w:rsidR="0043154F" w:rsidRDefault="0043154F" w:rsidP="00CE5053">
      <w:pPr>
        <w:pStyle w:val="ListParagraph"/>
        <w:numPr>
          <w:ilvl w:val="0"/>
          <w:numId w:val="22"/>
        </w:numPr>
        <w:spacing w:after="240"/>
        <w:ind w:left="737" w:hanging="737"/>
        <w:contextualSpacing w:val="0"/>
      </w:pPr>
      <w:r w:rsidRPr="0043154F">
        <w:t>A key strategic focus within Lewisham is to deal with waste in the most sustainable way by moving waste management up the waste hierarchy by prioritising waste reduction followed by re-use, recycle and composting.</w:t>
      </w:r>
    </w:p>
    <w:p w14:paraId="496B570D" w14:textId="77777777" w:rsidR="0043154F" w:rsidRPr="0043154F" w:rsidRDefault="0043154F" w:rsidP="00CE5053">
      <w:pPr>
        <w:pStyle w:val="ListParagraph"/>
        <w:numPr>
          <w:ilvl w:val="0"/>
          <w:numId w:val="22"/>
        </w:numPr>
        <w:spacing w:after="240"/>
        <w:ind w:left="737" w:hanging="737"/>
        <w:contextualSpacing w:val="0"/>
      </w:pPr>
      <w:r>
        <w:t>T</w:t>
      </w:r>
      <w:r w:rsidRPr="0043154F">
        <w:t>here are three waste facilities</w:t>
      </w:r>
      <w:r>
        <w:t xml:space="preserve"> </w:t>
      </w:r>
      <w:r w:rsidR="00897B51">
        <w:t xml:space="preserve">that are </w:t>
      </w:r>
      <w:r>
        <w:t xml:space="preserve">currently in operation in the borough: a </w:t>
      </w:r>
      <w:r w:rsidRPr="0043154F">
        <w:t>waste transfer site</w:t>
      </w:r>
      <w:r>
        <w:t xml:space="preserve">, a </w:t>
      </w:r>
      <w:r w:rsidRPr="0043154F">
        <w:t>Reuse and Recycling facility</w:t>
      </w:r>
      <w:r>
        <w:t>,</w:t>
      </w:r>
      <w:r w:rsidRPr="0043154F">
        <w:t xml:space="preserve"> </w:t>
      </w:r>
      <w:r>
        <w:t xml:space="preserve">and the </w:t>
      </w:r>
      <w:r w:rsidRPr="0043154F">
        <w:t>S</w:t>
      </w:r>
      <w:r>
        <w:t xml:space="preserve">outh </w:t>
      </w:r>
      <w:r w:rsidRPr="0043154F">
        <w:t>E</w:t>
      </w:r>
      <w:r>
        <w:t xml:space="preserve">ast </w:t>
      </w:r>
      <w:r w:rsidRPr="0043154F">
        <w:t>L</w:t>
      </w:r>
      <w:r>
        <w:t xml:space="preserve">ondon </w:t>
      </w:r>
      <w:r w:rsidRPr="0043154F">
        <w:t>C</w:t>
      </w:r>
      <w:r>
        <w:t xml:space="preserve">ombined </w:t>
      </w:r>
      <w:r w:rsidRPr="0043154F">
        <w:t>H</w:t>
      </w:r>
      <w:r>
        <w:t xml:space="preserve">eat and </w:t>
      </w:r>
      <w:r w:rsidRPr="0043154F">
        <w:t>P</w:t>
      </w:r>
      <w:r>
        <w:t>ower (SELCHP) plant, which are all located in South Bermondsey</w:t>
      </w:r>
      <w:r w:rsidRPr="0043154F">
        <w:t xml:space="preserve">. </w:t>
      </w:r>
      <w:r w:rsidR="00897B51">
        <w:t>These sites have been identified and safeguarded in the Site Allocations Local Plan</w:t>
      </w:r>
      <w:r w:rsidR="005D5B21">
        <w:t xml:space="preserve"> 2014</w:t>
      </w:r>
      <w:r w:rsidR="00897B51">
        <w:t xml:space="preserve"> to meet the waste apportionment set out in the London Plan 201</w:t>
      </w:r>
      <w:r w:rsidR="005D5B21">
        <w:t>6,</w:t>
      </w:r>
      <w:r w:rsidR="00897B51">
        <w:t xml:space="preserve"> </w:t>
      </w:r>
      <w:r w:rsidR="005D5B21">
        <w:t>up to the period 2036.</w:t>
      </w:r>
    </w:p>
    <w:p w14:paraId="351BBEDA" w14:textId="77777777" w:rsidR="0043154F" w:rsidRPr="0043154F" w:rsidRDefault="0043154F" w:rsidP="00CE5053">
      <w:pPr>
        <w:pStyle w:val="ListParagraph"/>
        <w:numPr>
          <w:ilvl w:val="0"/>
          <w:numId w:val="22"/>
        </w:numPr>
        <w:spacing w:after="240"/>
        <w:ind w:left="737" w:hanging="737"/>
        <w:contextualSpacing w:val="0"/>
      </w:pPr>
      <w:r w:rsidRPr="0043154F">
        <w:t xml:space="preserve">Residual waste is taken to </w:t>
      </w:r>
      <w:r w:rsidR="005D5B21">
        <w:t xml:space="preserve">the </w:t>
      </w:r>
      <w:r w:rsidRPr="0043154F">
        <w:t xml:space="preserve">SELCHP </w:t>
      </w:r>
      <w:r w:rsidR="00897B51">
        <w:t xml:space="preserve">for </w:t>
      </w:r>
      <w:r w:rsidRPr="0043154F">
        <w:t>incinerat</w:t>
      </w:r>
      <w:r w:rsidR="00897B51">
        <w:t>ion</w:t>
      </w:r>
      <w:r w:rsidR="005D5B21">
        <w:t>, and</w:t>
      </w:r>
      <w:r w:rsidRPr="0043154F">
        <w:t xml:space="preserve"> </w:t>
      </w:r>
      <w:r w:rsidR="005D5B21">
        <w:t>b</w:t>
      </w:r>
      <w:r w:rsidRPr="0043154F">
        <w:t xml:space="preserve">ulky waste is taken to </w:t>
      </w:r>
      <w:r w:rsidR="005D5B21">
        <w:t xml:space="preserve">the waste transfer site for </w:t>
      </w:r>
      <w:r w:rsidRPr="0043154F">
        <w:t>sort</w:t>
      </w:r>
      <w:r w:rsidR="005D5B21">
        <w:t>ing</w:t>
      </w:r>
      <w:r w:rsidRPr="0043154F">
        <w:t xml:space="preserve"> and processing outside of the borough. Dry recycled waste is currently taken to Bow, East London and organic waste is taken to Southw</w:t>
      </w:r>
      <w:r>
        <w:t xml:space="preserve">ark. </w:t>
      </w:r>
      <w:r w:rsidRPr="0043154F">
        <w:t xml:space="preserve">The contract for dry recycling is currently being tendered and will commence 1st July 2020. </w:t>
      </w:r>
    </w:p>
    <w:p w14:paraId="6DEF9D08" w14:textId="77777777" w:rsidR="0043154F" w:rsidRDefault="0043154F" w:rsidP="00CE5053">
      <w:pPr>
        <w:pStyle w:val="ListParagraph"/>
        <w:numPr>
          <w:ilvl w:val="0"/>
          <w:numId w:val="22"/>
        </w:numPr>
        <w:spacing w:after="240"/>
        <w:ind w:left="737" w:hanging="737"/>
        <w:contextualSpacing w:val="0"/>
      </w:pPr>
      <w:r w:rsidRPr="0043154F">
        <w:t>During 2018/19, Lewisham collected a total of 117,653 tonnes of waste, of which 95,453 tonnes was household waste. Landfill disposal accounted for 331 tonnes and a total of 85,557 tonnes was incinerated during this period.</w:t>
      </w:r>
      <w:r>
        <w:t xml:space="preserve"> </w:t>
      </w:r>
      <w:r w:rsidRPr="0043154F">
        <w:t>Waste sent for recycling, composting or re-use increased by 5445 tonnes compared to the previous year.</w:t>
      </w:r>
    </w:p>
    <w:p w14:paraId="13C3DB5A" w14:textId="77777777" w:rsidR="0043154F" w:rsidRDefault="0043154F" w:rsidP="00CE5053">
      <w:pPr>
        <w:pStyle w:val="ListParagraph"/>
        <w:numPr>
          <w:ilvl w:val="0"/>
          <w:numId w:val="22"/>
        </w:numPr>
        <w:spacing w:after="240"/>
        <w:ind w:left="737" w:hanging="737"/>
        <w:contextualSpacing w:val="0"/>
      </w:pPr>
      <w:r w:rsidRPr="0043154F">
        <w:t xml:space="preserve">The waste collection service collects from </w:t>
      </w:r>
      <w:r>
        <w:t xml:space="preserve">approximately </w:t>
      </w:r>
      <w:r w:rsidRPr="0043154F">
        <w:t>134,</w:t>
      </w:r>
      <w:r>
        <w:t>000</w:t>
      </w:r>
      <w:r w:rsidRPr="0043154F">
        <w:t xml:space="preserve"> households within the borough for recycling and residual waste</w:t>
      </w:r>
      <w:r>
        <w:t>, with</w:t>
      </w:r>
      <w:r w:rsidRPr="0043154F">
        <w:t xml:space="preserve"> </w:t>
      </w:r>
      <w:r>
        <w:t>a</w:t>
      </w:r>
      <w:r w:rsidRPr="0043154F">
        <w:t>pprox</w:t>
      </w:r>
      <w:r>
        <w:t xml:space="preserve">imately </w:t>
      </w:r>
      <w:r w:rsidRPr="0043154F">
        <w:t>80,000 households receiv</w:t>
      </w:r>
      <w:r>
        <w:t>ing</w:t>
      </w:r>
      <w:r w:rsidRPr="0043154F">
        <w:t xml:space="preserve"> a collection for food waste.</w:t>
      </w:r>
    </w:p>
    <w:p w14:paraId="32550F4F" w14:textId="77777777" w:rsidR="00DF60C7" w:rsidRDefault="005D5B21" w:rsidP="00CE5053">
      <w:pPr>
        <w:pStyle w:val="ListParagraph"/>
        <w:numPr>
          <w:ilvl w:val="0"/>
          <w:numId w:val="22"/>
        </w:numPr>
        <w:spacing w:after="480"/>
        <w:ind w:left="737" w:hanging="737"/>
        <w:contextualSpacing w:val="0"/>
      </w:pPr>
      <w:r>
        <w:t xml:space="preserve">London’s boroughs are required to </w:t>
      </w:r>
      <w:r w:rsidR="00DF60C7" w:rsidRPr="00595E96">
        <w:t xml:space="preserve">demonstrate that </w:t>
      </w:r>
      <w:r>
        <w:t xml:space="preserve">they </w:t>
      </w:r>
      <w:r w:rsidR="00DF60C7" w:rsidRPr="00595E96">
        <w:t>have allocated</w:t>
      </w:r>
      <w:r w:rsidR="0043154F">
        <w:t xml:space="preserve"> sufficient</w:t>
      </w:r>
      <w:r w:rsidR="00DF60C7" w:rsidRPr="00595E96">
        <w:t xml:space="preserve"> land for strategic waste management facilities</w:t>
      </w:r>
      <w:r>
        <w:t xml:space="preserve"> to</w:t>
      </w:r>
      <w:r w:rsidR="0043154F">
        <w:t xml:space="preserve"> </w:t>
      </w:r>
      <w:r w:rsidR="00DF60C7" w:rsidRPr="00595E96">
        <w:t xml:space="preserve">meet the apportionment </w:t>
      </w:r>
      <w:r w:rsidR="005F5AF5">
        <w:t>requirement</w:t>
      </w:r>
      <w:r w:rsidR="00DF60C7" w:rsidRPr="00595E96">
        <w:t xml:space="preserve"> identified for the</w:t>
      </w:r>
      <w:r>
        <w:t>ir</w:t>
      </w:r>
      <w:r w:rsidR="00DF60C7" w:rsidRPr="00595E96">
        <w:t xml:space="preserve"> sub-region</w:t>
      </w:r>
      <w:r>
        <w:t>. The Southeast London Joint Waste Planning Group prepared a Joint Waste Technical Paper in 2017</w:t>
      </w:r>
      <w:r w:rsidR="00EF3350">
        <w:t>,</w:t>
      </w:r>
      <w:r>
        <w:t xml:space="preserve"> which c</w:t>
      </w:r>
      <w:r w:rsidR="00DF60C7" w:rsidRPr="00595E96">
        <w:t>alculate</w:t>
      </w:r>
      <w:r>
        <w:t xml:space="preserve">s </w:t>
      </w:r>
      <w:r>
        <w:lastRenderedPageBreak/>
        <w:t>current capacities again</w:t>
      </w:r>
      <w:r w:rsidR="00DF60C7" w:rsidRPr="00595E96">
        <w:t xml:space="preserve">st the </w:t>
      </w:r>
      <w:r w:rsidR="00C422B2">
        <w:t xml:space="preserve">current </w:t>
      </w:r>
      <w:r w:rsidR="00DF60C7" w:rsidRPr="00595E96">
        <w:t>L</w:t>
      </w:r>
      <w:r w:rsidR="00EF3350">
        <w:t>ondon Plan apportionment target. The figures below have been calculated when measured against the 2016 London Plan apportionment targets:</w:t>
      </w:r>
      <w:r w:rsidR="00DF60C7" w:rsidRPr="00595E96">
        <w:t xml:space="preserve"> </w:t>
      </w:r>
    </w:p>
    <w:tbl>
      <w:tblPr>
        <w:tblStyle w:val="ListTable3-Accent32"/>
        <w:tblW w:w="4610"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2062"/>
        <w:gridCol w:w="1252"/>
        <w:gridCol w:w="1250"/>
        <w:gridCol w:w="1250"/>
        <w:gridCol w:w="1250"/>
        <w:gridCol w:w="1249"/>
      </w:tblGrid>
      <w:tr w:rsidR="00EF3350" w:rsidRPr="00324C84" w14:paraId="3828B571"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240" w:type="pct"/>
            <w:tcBorders>
              <w:bottom w:val="none" w:sz="0" w:space="0" w:color="auto"/>
              <w:right w:val="none" w:sz="0" w:space="0" w:color="auto"/>
            </w:tcBorders>
            <w:shd w:val="clear" w:color="auto" w:fill="auto"/>
          </w:tcPr>
          <w:p w14:paraId="1D1F4880" w14:textId="77777777" w:rsidR="00EF3350" w:rsidRPr="00D21B72" w:rsidRDefault="00EF3350" w:rsidP="00CE5053">
            <w:pPr>
              <w:tabs>
                <w:tab w:val="center" w:pos="3056"/>
                <w:tab w:val="left" w:pos="4975"/>
              </w:tabs>
              <w:spacing w:before="40" w:after="40"/>
              <w:rPr>
                <w:sz w:val="18"/>
                <w:szCs w:val="18"/>
              </w:rPr>
            </w:pPr>
          </w:p>
        </w:tc>
        <w:tc>
          <w:tcPr>
            <w:tcW w:w="753" w:type="pct"/>
            <w:shd w:val="clear" w:color="auto" w:fill="002060"/>
          </w:tcPr>
          <w:p w14:paraId="7D1E0FE1" w14:textId="77777777" w:rsidR="00EF3350" w:rsidRPr="00303B80" w:rsidRDefault="00EF3350"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20"/>
              </w:rPr>
            </w:pPr>
            <w:r w:rsidRPr="00303B80">
              <w:rPr>
                <w:sz w:val="20"/>
              </w:rPr>
              <w:t>2016</w:t>
            </w:r>
          </w:p>
        </w:tc>
        <w:tc>
          <w:tcPr>
            <w:tcW w:w="752" w:type="pct"/>
            <w:shd w:val="clear" w:color="auto" w:fill="002060"/>
          </w:tcPr>
          <w:p w14:paraId="65B281B9" w14:textId="77777777" w:rsidR="00EF3350" w:rsidRPr="00303B80" w:rsidRDefault="00EF3350"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rPr>
            </w:pPr>
            <w:r w:rsidRPr="00303B80">
              <w:rPr>
                <w:sz w:val="20"/>
              </w:rPr>
              <w:t>2021</w:t>
            </w:r>
          </w:p>
        </w:tc>
        <w:tc>
          <w:tcPr>
            <w:tcW w:w="752" w:type="pct"/>
            <w:shd w:val="clear" w:color="auto" w:fill="002060"/>
          </w:tcPr>
          <w:p w14:paraId="4B169B85" w14:textId="77777777" w:rsidR="00EF3350" w:rsidRPr="00303B80" w:rsidRDefault="00EF3350"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rPr>
            </w:pPr>
            <w:r w:rsidRPr="00303B80">
              <w:rPr>
                <w:sz w:val="20"/>
              </w:rPr>
              <w:t>2026</w:t>
            </w:r>
          </w:p>
        </w:tc>
        <w:tc>
          <w:tcPr>
            <w:tcW w:w="752" w:type="pct"/>
            <w:shd w:val="clear" w:color="auto" w:fill="002060"/>
          </w:tcPr>
          <w:p w14:paraId="609786F2" w14:textId="77777777" w:rsidR="00EF3350" w:rsidRPr="00303B80" w:rsidRDefault="00EF3350"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rPr>
            </w:pPr>
            <w:r w:rsidRPr="00303B80">
              <w:rPr>
                <w:sz w:val="20"/>
              </w:rPr>
              <w:t>2031</w:t>
            </w:r>
          </w:p>
        </w:tc>
        <w:tc>
          <w:tcPr>
            <w:tcW w:w="752" w:type="pct"/>
            <w:shd w:val="clear" w:color="auto" w:fill="002060"/>
          </w:tcPr>
          <w:p w14:paraId="10F1A743" w14:textId="77777777" w:rsidR="00EF3350" w:rsidRPr="00303B80" w:rsidRDefault="00EF3350"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rPr>
            </w:pPr>
            <w:r w:rsidRPr="00303B80">
              <w:rPr>
                <w:sz w:val="20"/>
              </w:rPr>
              <w:t>2036</w:t>
            </w:r>
          </w:p>
        </w:tc>
      </w:tr>
      <w:tr w:rsidR="00EF3350" w:rsidRPr="00324C84" w14:paraId="3E424E97" w14:textId="77777777" w:rsidTr="00EF3350">
        <w:trPr>
          <w:cnfStyle w:val="000000100000" w:firstRow="0" w:lastRow="0" w:firstColumn="0" w:lastColumn="0" w:oddVBand="0" w:evenVBand="0" w:oddHBand="1" w:evenHBand="0" w:firstRowFirstColumn="0" w:firstRowLastColumn="0" w:lastRowFirstColumn="0" w:lastRowLastColumn="0"/>
          <w:trHeight w:val="92"/>
          <w:jc w:val="right"/>
        </w:trPr>
        <w:tc>
          <w:tcPr>
            <w:cnfStyle w:val="001000000000" w:firstRow="0" w:lastRow="0" w:firstColumn="1" w:lastColumn="0" w:oddVBand="0" w:evenVBand="0" w:oddHBand="0" w:evenHBand="0" w:firstRowFirstColumn="0" w:firstRowLastColumn="0" w:lastRowFirstColumn="0" w:lastRowLastColumn="0"/>
            <w:tcW w:w="1240" w:type="pct"/>
            <w:tcBorders>
              <w:top w:val="none" w:sz="0" w:space="0" w:color="auto"/>
              <w:bottom w:val="none" w:sz="0" w:space="0" w:color="auto"/>
              <w:right w:val="none" w:sz="0" w:space="0" w:color="auto"/>
            </w:tcBorders>
            <w:shd w:val="clear" w:color="auto" w:fill="F2F2F2" w:themeFill="background1" w:themeFillShade="F2"/>
          </w:tcPr>
          <w:p w14:paraId="3EDECF6E" w14:textId="77777777" w:rsidR="00EF3350" w:rsidRPr="004E2CE1" w:rsidRDefault="00EF3350" w:rsidP="00CE5053">
            <w:pPr>
              <w:spacing w:before="40" w:after="40"/>
              <w:rPr>
                <w:sz w:val="20"/>
                <w:szCs w:val="20"/>
              </w:rPr>
            </w:pPr>
            <w:r w:rsidRPr="004E2CE1">
              <w:rPr>
                <w:sz w:val="20"/>
                <w:szCs w:val="20"/>
              </w:rPr>
              <w:t xml:space="preserve">Bromley </w:t>
            </w:r>
          </w:p>
        </w:tc>
        <w:tc>
          <w:tcPr>
            <w:tcW w:w="753" w:type="pct"/>
            <w:tcBorders>
              <w:top w:val="none" w:sz="0" w:space="0" w:color="auto"/>
              <w:bottom w:val="none" w:sz="0" w:space="0" w:color="auto"/>
            </w:tcBorders>
            <w:shd w:val="clear" w:color="auto" w:fill="F2F2F2" w:themeFill="background1" w:themeFillShade="F2"/>
          </w:tcPr>
          <w:p w14:paraId="05FA2636"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81,932</w:t>
            </w:r>
          </w:p>
        </w:tc>
        <w:tc>
          <w:tcPr>
            <w:tcW w:w="752" w:type="pct"/>
            <w:tcBorders>
              <w:top w:val="none" w:sz="0" w:space="0" w:color="auto"/>
              <w:bottom w:val="none" w:sz="0" w:space="0" w:color="auto"/>
            </w:tcBorders>
            <w:shd w:val="clear" w:color="auto" w:fill="F2F2F2" w:themeFill="background1" w:themeFillShade="F2"/>
          </w:tcPr>
          <w:p w14:paraId="2436DF90"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95,240</w:t>
            </w:r>
          </w:p>
        </w:tc>
        <w:tc>
          <w:tcPr>
            <w:tcW w:w="752" w:type="pct"/>
            <w:tcBorders>
              <w:top w:val="none" w:sz="0" w:space="0" w:color="auto"/>
              <w:bottom w:val="none" w:sz="0" w:space="0" w:color="auto"/>
            </w:tcBorders>
            <w:shd w:val="clear" w:color="auto" w:fill="F2F2F2" w:themeFill="background1" w:themeFillShade="F2"/>
          </w:tcPr>
          <w:p w14:paraId="68533C3F"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102,264</w:t>
            </w:r>
          </w:p>
        </w:tc>
        <w:tc>
          <w:tcPr>
            <w:tcW w:w="752" w:type="pct"/>
            <w:tcBorders>
              <w:top w:val="none" w:sz="0" w:space="0" w:color="auto"/>
              <w:bottom w:val="none" w:sz="0" w:space="0" w:color="auto"/>
            </w:tcBorders>
            <w:shd w:val="clear" w:color="auto" w:fill="F2F2F2" w:themeFill="background1" w:themeFillShade="F2"/>
          </w:tcPr>
          <w:p w14:paraId="0BA60455"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109,288</w:t>
            </w:r>
          </w:p>
        </w:tc>
        <w:tc>
          <w:tcPr>
            <w:tcW w:w="752" w:type="pct"/>
            <w:tcBorders>
              <w:top w:val="none" w:sz="0" w:space="0" w:color="auto"/>
              <w:bottom w:val="none" w:sz="0" w:space="0" w:color="auto"/>
            </w:tcBorders>
            <w:shd w:val="clear" w:color="auto" w:fill="F2F2F2" w:themeFill="background1" w:themeFillShade="F2"/>
          </w:tcPr>
          <w:p w14:paraId="0F26F3A9"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109,288</w:t>
            </w:r>
          </w:p>
        </w:tc>
      </w:tr>
      <w:tr w:rsidR="00EF3350" w:rsidRPr="00324C84" w14:paraId="507F3058" w14:textId="77777777" w:rsidTr="00EF3350">
        <w:trPr>
          <w:jc w:val="right"/>
        </w:trPr>
        <w:tc>
          <w:tcPr>
            <w:cnfStyle w:val="001000000000" w:firstRow="0" w:lastRow="0" w:firstColumn="1" w:lastColumn="0" w:oddVBand="0" w:evenVBand="0" w:oddHBand="0" w:evenHBand="0" w:firstRowFirstColumn="0" w:firstRowLastColumn="0" w:lastRowFirstColumn="0" w:lastRowLastColumn="0"/>
            <w:tcW w:w="1240" w:type="pct"/>
            <w:tcBorders>
              <w:right w:val="none" w:sz="0" w:space="0" w:color="auto"/>
            </w:tcBorders>
            <w:shd w:val="clear" w:color="auto" w:fill="F2F2F2" w:themeFill="background1" w:themeFillShade="F2"/>
          </w:tcPr>
          <w:p w14:paraId="7BF6DD7A" w14:textId="77777777" w:rsidR="00EF3350" w:rsidRPr="004E2CE1" w:rsidRDefault="00EF3350" w:rsidP="00CE5053">
            <w:pPr>
              <w:spacing w:before="40" w:after="40"/>
              <w:rPr>
                <w:sz w:val="20"/>
                <w:szCs w:val="20"/>
              </w:rPr>
            </w:pPr>
            <w:r w:rsidRPr="004E2CE1">
              <w:rPr>
                <w:sz w:val="20"/>
                <w:szCs w:val="20"/>
              </w:rPr>
              <w:t>Bexley</w:t>
            </w:r>
          </w:p>
        </w:tc>
        <w:tc>
          <w:tcPr>
            <w:tcW w:w="753" w:type="pct"/>
            <w:shd w:val="clear" w:color="auto" w:fill="F2F2F2" w:themeFill="background1" w:themeFillShade="F2"/>
          </w:tcPr>
          <w:p w14:paraId="565D74AE"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1,219,584</w:t>
            </w:r>
          </w:p>
        </w:tc>
        <w:tc>
          <w:tcPr>
            <w:tcW w:w="752" w:type="pct"/>
            <w:shd w:val="clear" w:color="auto" w:fill="F2F2F2" w:themeFill="background1" w:themeFillShade="F2"/>
          </w:tcPr>
          <w:p w14:paraId="58DB3A0D"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1,224,297 </w:t>
            </w:r>
          </w:p>
        </w:tc>
        <w:tc>
          <w:tcPr>
            <w:tcW w:w="752" w:type="pct"/>
            <w:shd w:val="clear" w:color="auto" w:fill="F2F2F2" w:themeFill="background1" w:themeFillShade="F2"/>
          </w:tcPr>
          <w:p w14:paraId="132F69E2"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1,224,297 </w:t>
            </w:r>
          </w:p>
        </w:tc>
        <w:tc>
          <w:tcPr>
            <w:tcW w:w="752" w:type="pct"/>
            <w:shd w:val="clear" w:color="auto" w:fill="F2F2F2" w:themeFill="background1" w:themeFillShade="F2"/>
          </w:tcPr>
          <w:p w14:paraId="477B6773"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1,224,297 </w:t>
            </w:r>
          </w:p>
        </w:tc>
        <w:tc>
          <w:tcPr>
            <w:tcW w:w="752" w:type="pct"/>
            <w:shd w:val="clear" w:color="auto" w:fill="F2F2F2" w:themeFill="background1" w:themeFillShade="F2"/>
          </w:tcPr>
          <w:p w14:paraId="2C499C05"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1,224,297 </w:t>
            </w:r>
          </w:p>
        </w:tc>
      </w:tr>
      <w:tr w:rsidR="00EF3350" w:rsidRPr="00324C84" w14:paraId="21E269C7" w14:textId="77777777" w:rsidTr="00EF335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40" w:type="pct"/>
            <w:tcBorders>
              <w:top w:val="none" w:sz="0" w:space="0" w:color="auto"/>
              <w:bottom w:val="none" w:sz="0" w:space="0" w:color="auto"/>
              <w:right w:val="none" w:sz="0" w:space="0" w:color="auto"/>
            </w:tcBorders>
            <w:shd w:val="clear" w:color="auto" w:fill="F2F2F2" w:themeFill="background1" w:themeFillShade="F2"/>
          </w:tcPr>
          <w:p w14:paraId="448A5162" w14:textId="77777777" w:rsidR="00EF3350" w:rsidRPr="004E2CE1" w:rsidRDefault="00EF3350" w:rsidP="00CE5053">
            <w:pPr>
              <w:spacing w:before="40" w:after="40"/>
              <w:rPr>
                <w:sz w:val="20"/>
                <w:szCs w:val="20"/>
              </w:rPr>
            </w:pPr>
            <w:r w:rsidRPr="004E2CE1">
              <w:rPr>
                <w:sz w:val="20"/>
                <w:szCs w:val="20"/>
              </w:rPr>
              <w:t xml:space="preserve">City of London </w:t>
            </w:r>
          </w:p>
        </w:tc>
        <w:tc>
          <w:tcPr>
            <w:tcW w:w="753" w:type="pct"/>
            <w:tcBorders>
              <w:top w:val="none" w:sz="0" w:space="0" w:color="auto"/>
              <w:bottom w:val="none" w:sz="0" w:space="0" w:color="auto"/>
            </w:tcBorders>
            <w:shd w:val="clear" w:color="auto" w:fill="EDEDED" w:themeFill="accent3" w:themeFillTint="33"/>
          </w:tcPr>
          <w:p w14:paraId="5531F93F"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0</w:t>
            </w:r>
          </w:p>
        </w:tc>
        <w:tc>
          <w:tcPr>
            <w:tcW w:w="752" w:type="pct"/>
            <w:tcBorders>
              <w:top w:val="none" w:sz="0" w:space="0" w:color="auto"/>
              <w:bottom w:val="none" w:sz="0" w:space="0" w:color="auto"/>
            </w:tcBorders>
            <w:shd w:val="clear" w:color="auto" w:fill="EDEDED" w:themeFill="accent3" w:themeFillTint="33"/>
          </w:tcPr>
          <w:p w14:paraId="0213FF8E"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0</w:t>
            </w:r>
          </w:p>
        </w:tc>
        <w:tc>
          <w:tcPr>
            <w:tcW w:w="752" w:type="pct"/>
            <w:tcBorders>
              <w:top w:val="none" w:sz="0" w:space="0" w:color="auto"/>
              <w:bottom w:val="none" w:sz="0" w:space="0" w:color="auto"/>
            </w:tcBorders>
            <w:shd w:val="clear" w:color="auto" w:fill="EDEDED" w:themeFill="accent3" w:themeFillTint="33"/>
          </w:tcPr>
          <w:p w14:paraId="370D6AA5"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0</w:t>
            </w:r>
          </w:p>
        </w:tc>
        <w:tc>
          <w:tcPr>
            <w:tcW w:w="752" w:type="pct"/>
            <w:tcBorders>
              <w:top w:val="none" w:sz="0" w:space="0" w:color="auto"/>
              <w:bottom w:val="none" w:sz="0" w:space="0" w:color="auto"/>
            </w:tcBorders>
            <w:shd w:val="clear" w:color="auto" w:fill="EDEDED" w:themeFill="accent3" w:themeFillTint="33"/>
          </w:tcPr>
          <w:p w14:paraId="05F7728E"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0</w:t>
            </w:r>
          </w:p>
        </w:tc>
        <w:tc>
          <w:tcPr>
            <w:tcW w:w="752" w:type="pct"/>
            <w:tcBorders>
              <w:top w:val="none" w:sz="0" w:space="0" w:color="auto"/>
              <w:bottom w:val="none" w:sz="0" w:space="0" w:color="auto"/>
            </w:tcBorders>
            <w:shd w:val="clear" w:color="auto" w:fill="EDEDED" w:themeFill="accent3" w:themeFillTint="33"/>
          </w:tcPr>
          <w:p w14:paraId="3D22F59A"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0</w:t>
            </w:r>
          </w:p>
        </w:tc>
      </w:tr>
      <w:tr w:rsidR="00EF3350" w:rsidRPr="00324C84" w14:paraId="06942B44" w14:textId="77777777" w:rsidTr="00EF3350">
        <w:trPr>
          <w:jc w:val="right"/>
        </w:trPr>
        <w:tc>
          <w:tcPr>
            <w:cnfStyle w:val="001000000000" w:firstRow="0" w:lastRow="0" w:firstColumn="1" w:lastColumn="0" w:oddVBand="0" w:evenVBand="0" w:oddHBand="0" w:evenHBand="0" w:firstRowFirstColumn="0" w:firstRowLastColumn="0" w:lastRowFirstColumn="0" w:lastRowLastColumn="0"/>
            <w:tcW w:w="1240" w:type="pct"/>
            <w:tcBorders>
              <w:right w:val="none" w:sz="0" w:space="0" w:color="auto"/>
            </w:tcBorders>
            <w:shd w:val="clear" w:color="auto" w:fill="F2F2F2" w:themeFill="background1" w:themeFillShade="F2"/>
          </w:tcPr>
          <w:p w14:paraId="0295582F" w14:textId="77777777" w:rsidR="00EF3350" w:rsidRPr="004E2CE1" w:rsidRDefault="00EF3350" w:rsidP="00CE5053">
            <w:pPr>
              <w:spacing w:before="40" w:after="40"/>
              <w:rPr>
                <w:sz w:val="20"/>
                <w:szCs w:val="20"/>
              </w:rPr>
            </w:pPr>
            <w:r w:rsidRPr="004E2CE1">
              <w:rPr>
                <w:sz w:val="20"/>
                <w:szCs w:val="20"/>
              </w:rPr>
              <w:t xml:space="preserve">Lewisham </w:t>
            </w:r>
          </w:p>
        </w:tc>
        <w:tc>
          <w:tcPr>
            <w:tcW w:w="753" w:type="pct"/>
            <w:shd w:val="clear" w:color="auto" w:fill="EDEDED" w:themeFill="accent3" w:themeFillTint="33"/>
          </w:tcPr>
          <w:p w14:paraId="13C90867"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502,297 </w:t>
            </w:r>
          </w:p>
        </w:tc>
        <w:tc>
          <w:tcPr>
            <w:tcW w:w="752" w:type="pct"/>
            <w:shd w:val="clear" w:color="auto" w:fill="EDEDED" w:themeFill="accent3" w:themeFillTint="33"/>
          </w:tcPr>
          <w:p w14:paraId="06F63F7B"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502,623 </w:t>
            </w:r>
          </w:p>
        </w:tc>
        <w:tc>
          <w:tcPr>
            <w:tcW w:w="752" w:type="pct"/>
            <w:shd w:val="clear" w:color="auto" w:fill="EDEDED" w:themeFill="accent3" w:themeFillTint="33"/>
          </w:tcPr>
          <w:p w14:paraId="4E00ECBF"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502,888 </w:t>
            </w:r>
          </w:p>
        </w:tc>
        <w:tc>
          <w:tcPr>
            <w:tcW w:w="752" w:type="pct"/>
            <w:shd w:val="clear" w:color="auto" w:fill="EDEDED" w:themeFill="accent3" w:themeFillTint="33"/>
          </w:tcPr>
          <w:p w14:paraId="56792C99"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503,152 </w:t>
            </w:r>
          </w:p>
        </w:tc>
        <w:tc>
          <w:tcPr>
            <w:tcW w:w="752" w:type="pct"/>
            <w:shd w:val="clear" w:color="auto" w:fill="EDEDED" w:themeFill="accent3" w:themeFillTint="33"/>
          </w:tcPr>
          <w:p w14:paraId="22F0519C"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503,152 </w:t>
            </w:r>
          </w:p>
        </w:tc>
      </w:tr>
      <w:tr w:rsidR="00EF3350" w:rsidRPr="00324C84" w14:paraId="014D5189" w14:textId="77777777" w:rsidTr="00EF335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40" w:type="pct"/>
            <w:tcBorders>
              <w:top w:val="none" w:sz="0" w:space="0" w:color="auto"/>
              <w:bottom w:val="none" w:sz="0" w:space="0" w:color="auto"/>
              <w:right w:val="none" w:sz="0" w:space="0" w:color="auto"/>
            </w:tcBorders>
            <w:shd w:val="clear" w:color="auto" w:fill="F2F2F2" w:themeFill="background1" w:themeFillShade="F2"/>
          </w:tcPr>
          <w:p w14:paraId="47D66930" w14:textId="77777777" w:rsidR="00EF3350" w:rsidRPr="004E2CE1" w:rsidRDefault="00EF3350" w:rsidP="00CE5053">
            <w:pPr>
              <w:spacing w:before="40" w:after="40"/>
              <w:rPr>
                <w:sz w:val="20"/>
                <w:szCs w:val="20"/>
              </w:rPr>
            </w:pPr>
            <w:r w:rsidRPr="004E2CE1">
              <w:rPr>
                <w:sz w:val="20"/>
                <w:szCs w:val="20"/>
              </w:rPr>
              <w:t xml:space="preserve">Royal Greenwich </w:t>
            </w:r>
          </w:p>
        </w:tc>
        <w:tc>
          <w:tcPr>
            <w:tcW w:w="753" w:type="pct"/>
            <w:tcBorders>
              <w:top w:val="none" w:sz="0" w:space="0" w:color="auto"/>
              <w:bottom w:val="none" w:sz="0" w:space="0" w:color="auto"/>
            </w:tcBorders>
            <w:shd w:val="clear" w:color="auto" w:fill="EDEDED" w:themeFill="accent3" w:themeFillTint="33"/>
          </w:tcPr>
          <w:p w14:paraId="19EF03EA"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93,546 </w:t>
            </w:r>
          </w:p>
        </w:tc>
        <w:tc>
          <w:tcPr>
            <w:tcW w:w="752" w:type="pct"/>
            <w:tcBorders>
              <w:top w:val="none" w:sz="0" w:space="0" w:color="auto"/>
              <w:bottom w:val="none" w:sz="0" w:space="0" w:color="auto"/>
            </w:tcBorders>
            <w:shd w:val="clear" w:color="auto" w:fill="EDEDED" w:themeFill="accent3" w:themeFillTint="33"/>
          </w:tcPr>
          <w:p w14:paraId="280C8757"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99,072 </w:t>
            </w:r>
          </w:p>
        </w:tc>
        <w:tc>
          <w:tcPr>
            <w:tcW w:w="752" w:type="pct"/>
            <w:tcBorders>
              <w:top w:val="none" w:sz="0" w:space="0" w:color="auto"/>
              <w:bottom w:val="none" w:sz="0" w:space="0" w:color="auto"/>
            </w:tcBorders>
            <w:shd w:val="clear" w:color="auto" w:fill="EDEDED" w:themeFill="accent3" w:themeFillTint="33"/>
          </w:tcPr>
          <w:p w14:paraId="20A6F1B3"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102,482 </w:t>
            </w:r>
          </w:p>
        </w:tc>
        <w:tc>
          <w:tcPr>
            <w:tcW w:w="752" w:type="pct"/>
            <w:tcBorders>
              <w:top w:val="none" w:sz="0" w:space="0" w:color="auto"/>
              <w:bottom w:val="none" w:sz="0" w:space="0" w:color="auto"/>
            </w:tcBorders>
            <w:shd w:val="clear" w:color="auto" w:fill="EDEDED" w:themeFill="accent3" w:themeFillTint="33"/>
          </w:tcPr>
          <w:p w14:paraId="62BE6463"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105,893 </w:t>
            </w:r>
          </w:p>
        </w:tc>
        <w:tc>
          <w:tcPr>
            <w:tcW w:w="752" w:type="pct"/>
            <w:tcBorders>
              <w:top w:val="none" w:sz="0" w:space="0" w:color="auto"/>
              <w:bottom w:val="none" w:sz="0" w:space="0" w:color="auto"/>
            </w:tcBorders>
            <w:shd w:val="clear" w:color="auto" w:fill="EDEDED" w:themeFill="accent3" w:themeFillTint="33"/>
          </w:tcPr>
          <w:p w14:paraId="68AB08EE"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105,893 </w:t>
            </w:r>
          </w:p>
        </w:tc>
      </w:tr>
      <w:tr w:rsidR="00EF3350" w:rsidRPr="00324C84" w14:paraId="56FE3413" w14:textId="77777777" w:rsidTr="00EF3350">
        <w:trPr>
          <w:jc w:val="right"/>
        </w:trPr>
        <w:tc>
          <w:tcPr>
            <w:cnfStyle w:val="001000000000" w:firstRow="0" w:lastRow="0" w:firstColumn="1" w:lastColumn="0" w:oddVBand="0" w:evenVBand="0" w:oddHBand="0" w:evenHBand="0" w:firstRowFirstColumn="0" w:firstRowLastColumn="0" w:lastRowFirstColumn="0" w:lastRowLastColumn="0"/>
            <w:tcW w:w="1240" w:type="pct"/>
            <w:tcBorders>
              <w:right w:val="none" w:sz="0" w:space="0" w:color="auto"/>
            </w:tcBorders>
            <w:shd w:val="clear" w:color="auto" w:fill="F2F2F2" w:themeFill="background1" w:themeFillShade="F2"/>
          </w:tcPr>
          <w:p w14:paraId="62A161FF" w14:textId="77777777" w:rsidR="00EF3350" w:rsidRPr="004E2CE1" w:rsidRDefault="00EF3350" w:rsidP="00CE5053">
            <w:pPr>
              <w:spacing w:before="40" w:after="40"/>
              <w:rPr>
                <w:sz w:val="20"/>
                <w:szCs w:val="20"/>
              </w:rPr>
            </w:pPr>
            <w:r w:rsidRPr="004E2CE1">
              <w:rPr>
                <w:sz w:val="20"/>
                <w:szCs w:val="20"/>
              </w:rPr>
              <w:t xml:space="preserve">Southwark </w:t>
            </w:r>
          </w:p>
        </w:tc>
        <w:tc>
          <w:tcPr>
            <w:tcW w:w="753" w:type="pct"/>
            <w:shd w:val="clear" w:color="auto" w:fill="EDEDED" w:themeFill="accent3" w:themeFillTint="33"/>
          </w:tcPr>
          <w:p w14:paraId="1A9CD578"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104,850 </w:t>
            </w:r>
          </w:p>
        </w:tc>
        <w:tc>
          <w:tcPr>
            <w:tcW w:w="752" w:type="pct"/>
            <w:shd w:val="clear" w:color="auto" w:fill="EDEDED" w:themeFill="accent3" w:themeFillTint="33"/>
          </w:tcPr>
          <w:p w14:paraId="18C31717"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106,950 </w:t>
            </w:r>
          </w:p>
        </w:tc>
        <w:tc>
          <w:tcPr>
            <w:tcW w:w="752" w:type="pct"/>
            <w:shd w:val="clear" w:color="auto" w:fill="EDEDED" w:themeFill="accent3" w:themeFillTint="33"/>
          </w:tcPr>
          <w:p w14:paraId="0876B96F"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109,050 </w:t>
            </w:r>
          </w:p>
        </w:tc>
        <w:tc>
          <w:tcPr>
            <w:tcW w:w="752" w:type="pct"/>
            <w:shd w:val="clear" w:color="auto" w:fill="EDEDED" w:themeFill="accent3" w:themeFillTint="33"/>
          </w:tcPr>
          <w:p w14:paraId="3D8A1F07"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111,150 </w:t>
            </w:r>
          </w:p>
        </w:tc>
        <w:tc>
          <w:tcPr>
            <w:tcW w:w="752" w:type="pct"/>
            <w:shd w:val="clear" w:color="auto" w:fill="EDEDED" w:themeFill="accent3" w:themeFillTint="33"/>
          </w:tcPr>
          <w:p w14:paraId="6079087E"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4E2CE1">
              <w:rPr>
                <w:sz w:val="20"/>
                <w:szCs w:val="20"/>
              </w:rPr>
              <w:t xml:space="preserve">111,150 </w:t>
            </w:r>
          </w:p>
        </w:tc>
      </w:tr>
      <w:tr w:rsidR="00EF3350" w:rsidRPr="00324C84" w14:paraId="4568D399" w14:textId="77777777" w:rsidTr="00EF335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40" w:type="pct"/>
            <w:tcBorders>
              <w:top w:val="none" w:sz="0" w:space="0" w:color="auto"/>
              <w:bottom w:val="none" w:sz="0" w:space="0" w:color="auto"/>
              <w:right w:val="none" w:sz="0" w:space="0" w:color="auto"/>
            </w:tcBorders>
            <w:shd w:val="clear" w:color="auto" w:fill="F2F2F2" w:themeFill="background1" w:themeFillShade="F2"/>
          </w:tcPr>
          <w:p w14:paraId="4580CDB5" w14:textId="77777777" w:rsidR="00EF3350" w:rsidRPr="004E2CE1" w:rsidRDefault="004E2CE1" w:rsidP="00CE5053">
            <w:pPr>
              <w:spacing w:before="40" w:after="40"/>
              <w:rPr>
                <w:sz w:val="20"/>
                <w:szCs w:val="20"/>
              </w:rPr>
            </w:pPr>
            <w:r>
              <w:rPr>
                <w:sz w:val="20"/>
                <w:szCs w:val="20"/>
              </w:rPr>
              <w:t>T</w:t>
            </w:r>
            <w:r w:rsidR="00EF3350" w:rsidRPr="004E2CE1">
              <w:rPr>
                <w:sz w:val="20"/>
                <w:szCs w:val="20"/>
              </w:rPr>
              <w:t xml:space="preserve">otal </w:t>
            </w:r>
          </w:p>
        </w:tc>
        <w:tc>
          <w:tcPr>
            <w:tcW w:w="753" w:type="pct"/>
            <w:tcBorders>
              <w:top w:val="none" w:sz="0" w:space="0" w:color="auto"/>
              <w:bottom w:val="none" w:sz="0" w:space="0" w:color="auto"/>
            </w:tcBorders>
            <w:shd w:val="clear" w:color="auto" w:fill="EDEDED" w:themeFill="accent3" w:themeFillTint="33"/>
          </w:tcPr>
          <w:p w14:paraId="35280ACB"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2,002,209 </w:t>
            </w:r>
          </w:p>
        </w:tc>
        <w:tc>
          <w:tcPr>
            <w:tcW w:w="752" w:type="pct"/>
            <w:tcBorders>
              <w:top w:val="none" w:sz="0" w:space="0" w:color="auto"/>
              <w:bottom w:val="none" w:sz="0" w:space="0" w:color="auto"/>
            </w:tcBorders>
            <w:shd w:val="clear" w:color="auto" w:fill="EDEDED" w:themeFill="accent3" w:themeFillTint="33"/>
          </w:tcPr>
          <w:p w14:paraId="5E0DAF5C"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2,028,182 </w:t>
            </w:r>
          </w:p>
        </w:tc>
        <w:tc>
          <w:tcPr>
            <w:tcW w:w="752" w:type="pct"/>
            <w:tcBorders>
              <w:top w:val="none" w:sz="0" w:space="0" w:color="auto"/>
              <w:bottom w:val="none" w:sz="0" w:space="0" w:color="auto"/>
            </w:tcBorders>
            <w:shd w:val="clear" w:color="auto" w:fill="EDEDED" w:themeFill="accent3" w:themeFillTint="33"/>
          </w:tcPr>
          <w:p w14:paraId="3BB4A9DE"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2,040,981 </w:t>
            </w:r>
          </w:p>
        </w:tc>
        <w:tc>
          <w:tcPr>
            <w:tcW w:w="752" w:type="pct"/>
            <w:tcBorders>
              <w:top w:val="none" w:sz="0" w:space="0" w:color="auto"/>
              <w:bottom w:val="none" w:sz="0" w:space="0" w:color="auto"/>
            </w:tcBorders>
            <w:shd w:val="clear" w:color="auto" w:fill="EDEDED" w:themeFill="accent3" w:themeFillTint="33"/>
          </w:tcPr>
          <w:p w14:paraId="3CB0517D"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2,053,780 </w:t>
            </w:r>
          </w:p>
        </w:tc>
        <w:tc>
          <w:tcPr>
            <w:tcW w:w="752" w:type="pct"/>
            <w:tcBorders>
              <w:top w:val="none" w:sz="0" w:space="0" w:color="auto"/>
              <w:bottom w:val="none" w:sz="0" w:space="0" w:color="auto"/>
            </w:tcBorders>
            <w:shd w:val="clear" w:color="auto" w:fill="EDEDED" w:themeFill="accent3" w:themeFillTint="33"/>
          </w:tcPr>
          <w:p w14:paraId="7E9A8269"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2,053,780 </w:t>
            </w:r>
          </w:p>
        </w:tc>
      </w:tr>
      <w:tr w:rsidR="00EF3350" w:rsidRPr="00324C84" w14:paraId="2322EF46" w14:textId="77777777" w:rsidTr="00EF3350">
        <w:trPr>
          <w:jc w:val="right"/>
        </w:trPr>
        <w:tc>
          <w:tcPr>
            <w:cnfStyle w:val="001000000000" w:firstRow="0" w:lastRow="0" w:firstColumn="1" w:lastColumn="0" w:oddVBand="0" w:evenVBand="0" w:oddHBand="0" w:evenHBand="0" w:firstRowFirstColumn="0" w:firstRowLastColumn="0" w:lastRowFirstColumn="0" w:lastRowLastColumn="0"/>
            <w:tcW w:w="1240" w:type="pct"/>
            <w:tcBorders>
              <w:right w:val="none" w:sz="0" w:space="0" w:color="auto"/>
            </w:tcBorders>
            <w:shd w:val="clear" w:color="auto" w:fill="F2F2F2" w:themeFill="background1" w:themeFillShade="F2"/>
          </w:tcPr>
          <w:p w14:paraId="032898F3" w14:textId="77777777" w:rsidR="00EF3350" w:rsidRPr="004E2CE1" w:rsidRDefault="004E2CE1" w:rsidP="00CE5053">
            <w:pPr>
              <w:spacing w:before="40" w:after="40"/>
              <w:rPr>
                <w:sz w:val="20"/>
                <w:szCs w:val="20"/>
              </w:rPr>
            </w:pPr>
            <w:r>
              <w:rPr>
                <w:sz w:val="20"/>
                <w:szCs w:val="20"/>
              </w:rPr>
              <w:t>P</w:t>
            </w:r>
            <w:r w:rsidR="00EF3350" w:rsidRPr="004E2CE1">
              <w:rPr>
                <w:sz w:val="20"/>
                <w:szCs w:val="20"/>
              </w:rPr>
              <w:t xml:space="preserve">rojected total surplus </w:t>
            </w:r>
          </w:p>
        </w:tc>
        <w:tc>
          <w:tcPr>
            <w:tcW w:w="753" w:type="pct"/>
            <w:shd w:val="clear" w:color="auto" w:fill="EDEDED" w:themeFill="accent3" w:themeFillTint="33"/>
          </w:tcPr>
          <w:p w14:paraId="4BB82FAA"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4E2CE1">
              <w:rPr>
                <w:sz w:val="20"/>
                <w:szCs w:val="20"/>
              </w:rPr>
              <w:t xml:space="preserve">871,209 </w:t>
            </w:r>
          </w:p>
        </w:tc>
        <w:tc>
          <w:tcPr>
            <w:tcW w:w="752" w:type="pct"/>
            <w:shd w:val="clear" w:color="auto" w:fill="EDEDED" w:themeFill="accent3" w:themeFillTint="33"/>
          </w:tcPr>
          <w:p w14:paraId="3F9C0D12"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4E2CE1">
              <w:rPr>
                <w:sz w:val="20"/>
                <w:szCs w:val="20"/>
              </w:rPr>
              <w:t xml:space="preserve">735,182 </w:t>
            </w:r>
          </w:p>
        </w:tc>
        <w:tc>
          <w:tcPr>
            <w:tcW w:w="752" w:type="pct"/>
            <w:shd w:val="clear" w:color="auto" w:fill="EDEDED" w:themeFill="accent3" w:themeFillTint="33"/>
          </w:tcPr>
          <w:p w14:paraId="288ADC7D"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4E2CE1">
              <w:rPr>
                <w:sz w:val="20"/>
                <w:szCs w:val="20"/>
              </w:rPr>
              <w:t xml:space="preserve">510,981 </w:t>
            </w:r>
          </w:p>
        </w:tc>
        <w:tc>
          <w:tcPr>
            <w:tcW w:w="752" w:type="pct"/>
            <w:shd w:val="clear" w:color="auto" w:fill="EDEDED" w:themeFill="accent3" w:themeFillTint="33"/>
          </w:tcPr>
          <w:p w14:paraId="1A593AB0"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4E2CE1">
              <w:rPr>
                <w:sz w:val="20"/>
                <w:szCs w:val="20"/>
              </w:rPr>
              <w:t xml:space="preserve">500,780 </w:t>
            </w:r>
          </w:p>
        </w:tc>
        <w:tc>
          <w:tcPr>
            <w:tcW w:w="752" w:type="pct"/>
            <w:shd w:val="clear" w:color="auto" w:fill="EDEDED" w:themeFill="accent3" w:themeFillTint="33"/>
          </w:tcPr>
          <w:p w14:paraId="08563145" w14:textId="77777777" w:rsidR="00EF3350" w:rsidRPr="004E2CE1"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4E2CE1">
              <w:rPr>
                <w:sz w:val="20"/>
                <w:szCs w:val="20"/>
              </w:rPr>
              <w:t xml:space="preserve">471,780 </w:t>
            </w:r>
          </w:p>
        </w:tc>
      </w:tr>
      <w:tr w:rsidR="00EF3350" w:rsidRPr="00324C84" w14:paraId="6AED210D" w14:textId="77777777" w:rsidTr="00EF335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40" w:type="pct"/>
            <w:tcBorders>
              <w:top w:val="none" w:sz="0" w:space="0" w:color="auto"/>
              <w:bottom w:val="none" w:sz="0" w:space="0" w:color="auto"/>
              <w:right w:val="none" w:sz="0" w:space="0" w:color="auto"/>
            </w:tcBorders>
            <w:shd w:val="clear" w:color="auto" w:fill="F2F2F2" w:themeFill="background1" w:themeFillShade="F2"/>
          </w:tcPr>
          <w:p w14:paraId="004891EE" w14:textId="77777777" w:rsidR="00EF3350" w:rsidRPr="004E2CE1" w:rsidRDefault="004E2CE1" w:rsidP="00CE5053">
            <w:pPr>
              <w:spacing w:before="40" w:after="40"/>
              <w:rPr>
                <w:sz w:val="20"/>
                <w:szCs w:val="20"/>
              </w:rPr>
            </w:pPr>
            <w:r>
              <w:rPr>
                <w:sz w:val="20"/>
                <w:szCs w:val="20"/>
              </w:rPr>
              <w:t>P</w:t>
            </w:r>
            <w:r w:rsidR="00EF3350" w:rsidRPr="004E2CE1">
              <w:rPr>
                <w:sz w:val="20"/>
                <w:szCs w:val="20"/>
              </w:rPr>
              <w:t xml:space="preserve">rojected actual surplus capacity </w:t>
            </w:r>
          </w:p>
        </w:tc>
        <w:tc>
          <w:tcPr>
            <w:tcW w:w="753" w:type="pct"/>
            <w:tcBorders>
              <w:top w:val="none" w:sz="0" w:space="0" w:color="auto"/>
              <w:bottom w:val="none" w:sz="0" w:space="0" w:color="auto"/>
            </w:tcBorders>
            <w:shd w:val="clear" w:color="auto" w:fill="EDEDED" w:themeFill="accent3" w:themeFillTint="33"/>
          </w:tcPr>
          <w:p w14:paraId="6CEB7792"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665,609 </w:t>
            </w:r>
          </w:p>
        </w:tc>
        <w:tc>
          <w:tcPr>
            <w:tcW w:w="752" w:type="pct"/>
            <w:tcBorders>
              <w:top w:val="none" w:sz="0" w:space="0" w:color="auto"/>
              <w:bottom w:val="none" w:sz="0" w:space="0" w:color="auto"/>
            </w:tcBorders>
            <w:shd w:val="clear" w:color="auto" w:fill="EDEDED" w:themeFill="accent3" w:themeFillTint="33"/>
          </w:tcPr>
          <w:p w14:paraId="2DDB03EA"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529,582 </w:t>
            </w:r>
          </w:p>
        </w:tc>
        <w:tc>
          <w:tcPr>
            <w:tcW w:w="752" w:type="pct"/>
            <w:tcBorders>
              <w:top w:val="none" w:sz="0" w:space="0" w:color="auto"/>
              <w:bottom w:val="none" w:sz="0" w:space="0" w:color="auto"/>
            </w:tcBorders>
            <w:shd w:val="clear" w:color="auto" w:fill="EDEDED" w:themeFill="accent3" w:themeFillTint="33"/>
          </w:tcPr>
          <w:p w14:paraId="158DD845"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305,381 </w:t>
            </w:r>
          </w:p>
        </w:tc>
        <w:tc>
          <w:tcPr>
            <w:tcW w:w="752" w:type="pct"/>
            <w:tcBorders>
              <w:top w:val="none" w:sz="0" w:space="0" w:color="auto"/>
              <w:bottom w:val="none" w:sz="0" w:space="0" w:color="auto"/>
            </w:tcBorders>
            <w:shd w:val="clear" w:color="auto" w:fill="EDEDED" w:themeFill="accent3" w:themeFillTint="33"/>
          </w:tcPr>
          <w:p w14:paraId="340937AB"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295,180 </w:t>
            </w:r>
          </w:p>
        </w:tc>
        <w:tc>
          <w:tcPr>
            <w:tcW w:w="752" w:type="pct"/>
            <w:tcBorders>
              <w:top w:val="none" w:sz="0" w:space="0" w:color="auto"/>
              <w:bottom w:val="none" w:sz="0" w:space="0" w:color="auto"/>
            </w:tcBorders>
            <w:shd w:val="clear" w:color="auto" w:fill="EDEDED" w:themeFill="accent3" w:themeFillTint="33"/>
          </w:tcPr>
          <w:p w14:paraId="2D7BE939" w14:textId="77777777" w:rsidR="00EF3350" w:rsidRPr="004E2CE1"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4E2CE1">
              <w:rPr>
                <w:sz w:val="20"/>
                <w:szCs w:val="20"/>
              </w:rPr>
              <w:t xml:space="preserve">266,180 </w:t>
            </w:r>
          </w:p>
        </w:tc>
      </w:tr>
    </w:tbl>
    <w:p w14:paraId="16856492" w14:textId="77777777" w:rsidR="00EF3350" w:rsidRDefault="00EF3350" w:rsidP="00CE5053">
      <w:pPr>
        <w:pStyle w:val="Caption"/>
        <w:spacing w:before="120" w:after="360"/>
        <w:ind w:left="720" w:firstLine="17"/>
        <w:rPr>
          <w:i w:val="0"/>
          <w:color w:val="auto"/>
        </w:rPr>
      </w:pPr>
      <w:r w:rsidRPr="005A0648">
        <w:rPr>
          <w:b/>
          <w:i w:val="0"/>
          <w:color w:val="auto"/>
        </w:rPr>
        <w:t xml:space="preserve">Table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17</w:t>
      </w:r>
      <w:r>
        <w:rPr>
          <w:b/>
          <w:i w:val="0"/>
          <w:color w:val="auto"/>
        </w:rPr>
        <w:fldChar w:fldCharType="end"/>
      </w:r>
      <w:r w:rsidRPr="005A0648">
        <w:rPr>
          <w:i w:val="0"/>
          <w:color w:val="auto"/>
        </w:rPr>
        <w:t xml:space="preserve"> </w:t>
      </w:r>
      <w:r w:rsidR="007F324C" w:rsidRPr="007F324C">
        <w:rPr>
          <w:i w:val="0"/>
          <w:color w:val="auto"/>
        </w:rPr>
        <w:t>Southeast London boroughs’ capacity from safeguarded operational strategic waste management facilities and potential waste sites</w:t>
      </w:r>
      <w:r w:rsidRPr="005A0648">
        <w:rPr>
          <w:i w:val="0"/>
          <w:color w:val="auto"/>
        </w:rPr>
        <w:t xml:space="preserve">. Source: </w:t>
      </w:r>
      <w:r w:rsidR="007F324C" w:rsidRPr="007F324C">
        <w:rPr>
          <w:i w:val="0"/>
          <w:color w:val="auto"/>
        </w:rPr>
        <w:t>Southeast London Joint Waste Planning Group (SELJWPG)</w:t>
      </w:r>
      <w:r w:rsidR="007F324C">
        <w:rPr>
          <w:i w:val="0"/>
          <w:color w:val="auto"/>
        </w:rPr>
        <w:t>.</w:t>
      </w:r>
    </w:p>
    <w:p w14:paraId="10482075" w14:textId="77777777" w:rsidR="00EF3350" w:rsidRDefault="00DF60C7" w:rsidP="00CE5053">
      <w:pPr>
        <w:pStyle w:val="ListParagraph"/>
        <w:numPr>
          <w:ilvl w:val="0"/>
          <w:numId w:val="22"/>
        </w:numPr>
        <w:spacing w:after="360"/>
        <w:ind w:left="720" w:hanging="737"/>
        <w:contextualSpacing w:val="0"/>
      </w:pPr>
      <w:r w:rsidRPr="00595E96">
        <w:t xml:space="preserve">Comparison with the new draft London Plan </w:t>
      </w:r>
      <w:r w:rsidR="00C422B2">
        <w:t xml:space="preserve">(2019) </w:t>
      </w:r>
      <w:r w:rsidRPr="00595E96">
        <w:t xml:space="preserve">apportionment targets </w:t>
      </w:r>
      <w:r w:rsidR="00C422B2">
        <w:t xml:space="preserve">are </w:t>
      </w:r>
      <w:r w:rsidRPr="00595E96">
        <w:t>set out below</w:t>
      </w:r>
      <w:r w:rsidR="00C07926">
        <w:t>, which demonst</w:t>
      </w:r>
      <w:r w:rsidRPr="00595E96">
        <w:t xml:space="preserve">rates the southeast London boroughs </w:t>
      </w:r>
      <w:r w:rsidR="00C07926">
        <w:t xml:space="preserve">meet the </w:t>
      </w:r>
      <w:r w:rsidRPr="00595E96">
        <w:t xml:space="preserve">new draft London Plan apportionment targets should they be adopted. </w:t>
      </w:r>
    </w:p>
    <w:tbl>
      <w:tblPr>
        <w:tblStyle w:val="ListTable3-Accent32"/>
        <w:tblW w:w="4610"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3120"/>
        <w:gridCol w:w="1731"/>
        <w:gridCol w:w="1731"/>
        <w:gridCol w:w="1731"/>
      </w:tblGrid>
      <w:tr w:rsidR="00EF3350" w:rsidRPr="00324C84" w14:paraId="1474E155"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1877" w:type="pct"/>
            <w:tcBorders>
              <w:bottom w:val="single" w:sz="4" w:space="0" w:color="FFFFFF" w:themeColor="background1"/>
            </w:tcBorders>
            <w:shd w:val="clear" w:color="auto" w:fill="auto"/>
          </w:tcPr>
          <w:p w14:paraId="0612E972" w14:textId="77777777" w:rsidR="00EF3350" w:rsidRPr="00F47425" w:rsidRDefault="00EF3350" w:rsidP="00CE5053">
            <w:pPr>
              <w:tabs>
                <w:tab w:val="center" w:pos="3056"/>
                <w:tab w:val="left" w:pos="4975"/>
              </w:tabs>
              <w:spacing w:before="40" w:after="40"/>
              <w:rPr>
                <w:sz w:val="20"/>
                <w:szCs w:val="20"/>
              </w:rPr>
            </w:pPr>
          </w:p>
        </w:tc>
        <w:tc>
          <w:tcPr>
            <w:tcW w:w="1041" w:type="pct"/>
            <w:tcBorders>
              <w:bottom w:val="single" w:sz="4" w:space="0" w:color="FFFFFF" w:themeColor="background1"/>
            </w:tcBorders>
            <w:shd w:val="clear" w:color="auto" w:fill="002060"/>
          </w:tcPr>
          <w:p w14:paraId="1897C7B7" w14:textId="77777777" w:rsidR="00EF3350" w:rsidRPr="00F47425" w:rsidRDefault="00EF3350"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20"/>
                <w:szCs w:val="20"/>
              </w:rPr>
            </w:pPr>
            <w:r w:rsidRPr="00F47425">
              <w:rPr>
                <w:sz w:val="20"/>
                <w:szCs w:val="20"/>
              </w:rPr>
              <w:t>2021</w:t>
            </w:r>
          </w:p>
        </w:tc>
        <w:tc>
          <w:tcPr>
            <w:tcW w:w="1041" w:type="pct"/>
            <w:tcBorders>
              <w:bottom w:val="single" w:sz="4" w:space="0" w:color="FFFFFF" w:themeColor="background1"/>
            </w:tcBorders>
            <w:shd w:val="clear" w:color="auto" w:fill="002060"/>
          </w:tcPr>
          <w:p w14:paraId="6D4EE19D" w14:textId="77777777" w:rsidR="00EF3350" w:rsidRPr="00F47425" w:rsidRDefault="00EF3350"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F47425">
              <w:rPr>
                <w:sz w:val="20"/>
                <w:szCs w:val="20"/>
              </w:rPr>
              <w:t>2036</w:t>
            </w:r>
          </w:p>
        </w:tc>
        <w:tc>
          <w:tcPr>
            <w:tcW w:w="1041" w:type="pct"/>
            <w:tcBorders>
              <w:bottom w:val="single" w:sz="4" w:space="0" w:color="FFFFFF" w:themeColor="background1"/>
            </w:tcBorders>
            <w:shd w:val="clear" w:color="auto" w:fill="002060"/>
          </w:tcPr>
          <w:p w14:paraId="69CA71F8" w14:textId="77777777" w:rsidR="00EF3350" w:rsidRPr="00F47425" w:rsidRDefault="00EF3350"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F47425">
              <w:rPr>
                <w:sz w:val="20"/>
                <w:szCs w:val="20"/>
              </w:rPr>
              <w:t>2041</w:t>
            </w:r>
          </w:p>
        </w:tc>
      </w:tr>
      <w:tr w:rsidR="00EF3350" w:rsidRPr="00324C84" w14:paraId="71D5A597" w14:textId="77777777" w:rsidTr="00C422B2">
        <w:trPr>
          <w:cnfStyle w:val="000000100000" w:firstRow="0" w:lastRow="0" w:firstColumn="0" w:lastColumn="0" w:oddVBand="0" w:evenVBand="0" w:oddHBand="1" w:evenHBand="0" w:firstRowFirstColumn="0" w:firstRowLastColumn="0" w:lastRowFirstColumn="0" w:lastRowLastColumn="0"/>
          <w:trHeight w:val="92"/>
          <w:jc w:val="right"/>
        </w:trPr>
        <w:tc>
          <w:tcPr>
            <w:cnfStyle w:val="001000000000" w:firstRow="0" w:lastRow="0" w:firstColumn="1" w:lastColumn="0" w:oddVBand="0" w:evenVBand="0" w:oddHBand="0" w:evenHBand="0" w:firstRowFirstColumn="0" w:firstRowLastColumn="0" w:lastRowFirstColumn="0" w:lastRowLastColumn="0"/>
            <w:tcW w:w="1877"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0247820" w14:textId="77777777" w:rsidR="00EF3350" w:rsidRPr="00F47425" w:rsidRDefault="00EF3350" w:rsidP="00CE5053">
            <w:pPr>
              <w:spacing w:before="40" w:after="40"/>
              <w:rPr>
                <w:sz w:val="20"/>
                <w:szCs w:val="20"/>
              </w:rPr>
            </w:pPr>
            <w:r w:rsidRPr="00F47425">
              <w:rPr>
                <w:sz w:val="20"/>
                <w:szCs w:val="20"/>
              </w:rPr>
              <w:t>Bromley</w:t>
            </w:r>
          </w:p>
        </w:tc>
        <w:tc>
          <w:tcPr>
            <w:tcW w:w="1041" w:type="pct"/>
            <w:tcBorders>
              <w:top w:val="single" w:sz="4" w:space="0" w:color="FFFFFF" w:themeColor="background1"/>
              <w:bottom w:val="single" w:sz="4" w:space="0" w:color="FFFFFF" w:themeColor="background1"/>
            </w:tcBorders>
            <w:shd w:val="clear" w:color="auto" w:fill="F2F2F2" w:themeFill="background1" w:themeFillShade="F2"/>
          </w:tcPr>
          <w:p w14:paraId="4E7B40DD"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95,240</w:t>
            </w:r>
          </w:p>
        </w:tc>
        <w:tc>
          <w:tcPr>
            <w:tcW w:w="1041" w:type="pct"/>
            <w:tcBorders>
              <w:top w:val="single" w:sz="4" w:space="0" w:color="FFFFFF" w:themeColor="background1"/>
              <w:bottom w:val="single" w:sz="4" w:space="0" w:color="FFFFFF" w:themeColor="background1"/>
            </w:tcBorders>
            <w:shd w:val="clear" w:color="auto" w:fill="F2F2F2" w:themeFill="background1" w:themeFillShade="F2"/>
          </w:tcPr>
          <w:p w14:paraId="31B25F82"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109,288</w:t>
            </w:r>
          </w:p>
        </w:tc>
        <w:tc>
          <w:tcPr>
            <w:tcW w:w="1041" w:type="pct"/>
            <w:vMerge w:val="restart"/>
            <w:tcBorders>
              <w:top w:val="single" w:sz="4" w:space="0" w:color="FFFFFF" w:themeColor="background1"/>
            </w:tcBorders>
            <w:shd w:val="clear" w:color="auto" w:fill="F2F2F2" w:themeFill="background1" w:themeFillShade="F2"/>
          </w:tcPr>
          <w:p w14:paraId="1A50DEE1"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Assumed as per capacity at 2036</w:t>
            </w:r>
          </w:p>
        </w:tc>
      </w:tr>
      <w:tr w:rsidR="00EF3350" w:rsidRPr="00324C84" w14:paraId="5CB77F52" w14:textId="77777777" w:rsidTr="00C422B2">
        <w:trPr>
          <w:jc w:val="right"/>
        </w:trPr>
        <w:tc>
          <w:tcPr>
            <w:cnfStyle w:val="001000000000" w:firstRow="0" w:lastRow="0" w:firstColumn="1" w:lastColumn="0" w:oddVBand="0" w:evenVBand="0" w:oddHBand="0" w:evenHBand="0" w:firstRowFirstColumn="0" w:firstRowLastColumn="0" w:lastRowFirstColumn="0" w:lastRowLastColumn="0"/>
            <w:tcW w:w="1877" w:type="pct"/>
            <w:shd w:val="clear" w:color="auto" w:fill="F2F2F2" w:themeFill="background1" w:themeFillShade="F2"/>
            <w:vAlign w:val="center"/>
          </w:tcPr>
          <w:p w14:paraId="52E1DC02" w14:textId="77777777" w:rsidR="00EF3350" w:rsidRPr="00F47425" w:rsidRDefault="00EF3350" w:rsidP="00CE5053">
            <w:pPr>
              <w:spacing w:before="40" w:after="40"/>
              <w:rPr>
                <w:sz w:val="20"/>
                <w:szCs w:val="20"/>
              </w:rPr>
            </w:pPr>
            <w:r w:rsidRPr="00F47425">
              <w:rPr>
                <w:sz w:val="20"/>
                <w:szCs w:val="20"/>
              </w:rPr>
              <w:t>Bexley</w:t>
            </w:r>
          </w:p>
        </w:tc>
        <w:tc>
          <w:tcPr>
            <w:tcW w:w="1041" w:type="pct"/>
            <w:shd w:val="clear" w:color="auto" w:fill="F2F2F2" w:themeFill="background1" w:themeFillShade="F2"/>
          </w:tcPr>
          <w:p w14:paraId="4A4BB9FE"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425">
              <w:rPr>
                <w:sz w:val="20"/>
                <w:szCs w:val="20"/>
              </w:rPr>
              <w:t>1,224,297</w:t>
            </w:r>
          </w:p>
        </w:tc>
        <w:tc>
          <w:tcPr>
            <w:tcW w:w="1041" w:type="pct"/>
            <w:shd w:val="clear" w:color="auto" w:fill="F2F2F2" w:themeFill="background1" w:themeFillShade="F2"/>
          </w:tcPr>
          <w:p w14:paraId="13AD6492"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425">
              <w:rPr>
                <w:sz w:val="20"/>
                <w:szCs w:val="20"/>
              </w:rPr>
              <w:t>1,224,297</w:t>
            </w:r>
          </w:p>
        </w:tc>
        <w:tc>
          <w:tcPr>
            <w:tcW w:w="1041" w:type="pct"/>
            <w:vMerge/>
            <w:shd w:val="clear" w:color="auto" w:fill="F2F2F2" w:themeFill="background1" w:themeFillShade="F2"/>
          </w:tcPr>
          <w:p w14:paraId="4DFFF28C"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EF3350" w:rsidRPr="00324C84" w14:paraId="2C9101DB" w14:textId="77777777" w:rsidTr="00C422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877"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C6CAF1C" w14:textId="77777777" w:rsidR="00EF3350" w:rsidRPr="00F47425" w:rsidRDefault="00EF3350" w:rsidP="00CE5053">
            <w:pPr>
              <w:spacing w:before="40" w:after="40"/>
              <w:rPr>
                <w:sz w:val="20"/>
                <w:szCs w:val="20"/>
              </w:rPr>
            </w:pPr>
            <w:r w:rsidRPr="00F47425">
              <w:rPr>
                <w:sz w:val="20"/>
                <w:szCs w:val="20"/>
              </w:rPr>
              <w:t>City of London</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56C62623"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0</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7A06C686"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0</w:t>
            </w:r>
          </w:p>
        </w:tc>
        <w:tc>
          <w:tcPr>
            <w:tcW w:w="1041" w:type="pct"/>
            <w:vMerge/>
            <w:shd w:val="clear" w:color="auto" w:fill="EDEDED" w:themeFill="accent3" w:themeFillTint="33"/>
          </w:tcPr>
          <w:p w14:paraId="66FCFE07"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EF3350" w:rsidRPr="00324C84" w14:paraId="1BCE11B2" w14:textId="77777777" w:rsidTr="00C422B2">
        <w:trPr>
          <w:jc w:val="right"/>
        </w:trPr>
        <w:tc>
          <w:tcPr>
            <w:cnfStyle w:val="001000000000" w:firstRow="0" w:lastRow="0" w:firstColumn="1" w:lastColumn="0" w:oddVBand="0" w:evenVBand="0" w:oddHBand="0" w:evenHBand="0" w:firstRowFirstColumn="0" w:firstRowLastColumn="0" w:lastRowFirstColumn="0" w:lastRowLastColumn="0"/>
            <w:tcW w:w="1877"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1CF28E6" w14:textId="77777777" w:rsidR="00EF3350" w:rsidRPr="00F47425" w:rsidRDefault="00EF3350" w:rsidP="00CE5053">
            <w:pPr>
              <w:spacing w:before="40" w:after="40"/>
              <w:rPr>
                <w:sz w:val="20"/>
                <w:szCs w:val="20"/>
              </w:rPr>
            </w:pPr>
            <w:r w:rsidRPr="00F47425">
              <w:rPr>
                <w:sz w:val="20"/>
                <w:szCs w:val="20"/>
              </w:rPr>
              <w:t>Lewisham</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5341D012"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425">
              <w:rPr>
                <w:sz w:val="20"/>
                <w:szCs w:val="20"/>
              </w:rPr>
              <w:t>502,623</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00218584"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425">
              <w:rPr>
                <w:sz w:val="20"/>
                <w:szCs w:val="20"/>
              </w:rPr>
              <w:t>503,152</w:t>
            </w:r>
          </w:p>
        </w:tc>
        <w:tc>
          <w:tcPr>
            <w:tcW w:w="1041" w:type="pct"/>
            <w:vMerge/>
            <w:shd w:val="clear" w:color="auto" w:fill="EDEDED" w:themeFill="accent3" w:themeFillTint="33"/>
          </w:tcPr>
          <w:p w14:paraId="0CE5CD97"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EF3350" w:rsidRPr="00324C84" w14:paraId="567BB0C2" w14:textId="77777777" w:rsidTr="00C422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877"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DAF5519" w14:textId="77777777" w:rsidR="00EF3350" w:rsidRPr="00F47425" w:rsidRDefault="00EF3350" w:rsidP="00CE5053">
            <w:pPr>
              <w:spacing w:before="40" w:after="40"/>
              <w:rPr>
                <w:sz w:val="20"/>
                <w:szCs w:val="20"/>
              </w:rPr>
            </w:pPr>
            <w:r w:rsidRPr="00F47425">
              <w:rPr>
                <w:sz w:val="20"/>
                <w:szCs w:val="20"/>
              </w:rPr>
              <w:t>Royal Greenwich</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7FDC9F2A"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99,072</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20FBF7F2"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105,893</w:t>
            </w:r>
          </w:p>
        </w:tc>
        <w:tc>
          <w:tcPr>
            <w:tcW w:w="1041" w:type="pct"/>
            <w:vMerge/>
            <w:shd w:val="clear" w:color="auto" w:fill="EDEDED" w:themeFill="accent3" w:themeFillTint="33"/>
          </w:tcPr>
          <w:p w14:paraId="33A0AE41"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EF3350" w:rsidRPr="00324C84" w14:paraId="4339C3E8" w14:textId="77777777" w:rsidTr="00C422B2">
        <w:trPr>
          <w:jc w:val="right"/>
        </w:trPr>
        <w:tc>
          <w:tcPr>
            <w:cnfStyle w:val="001000000000" w:firstRow="0" w:lastRow="0" w:firstColumn="1" w:lastColumn="0" w:oddVBand="0" w:evenVBand="0" w:oddHBand="0" w:evenHBand="0" w:firstRowFirstColumn="0" w:firstRowLastColumn="0" w:lastRowFirstColumn="0" w:lastRowLastColumn="0"/>
            <w:tcW w:w="1877"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EB6C80F" w14:textId="77777777" w:rsidR="00EF3350" w:rsidRPr="00F47425" w:rsidRDefault="00EF3350" w:rsidP="00CE5053">
            <w:pPr>
              <w:spacing w:before="40" w:after="40"/>
              <w:rPr>
                <w:sz w:val="20"/>
                <w:szCs w:val="20"/>
              </w:rPr>
            </w:pPr>
            <w:r w:rsidRPr="00F47425">
              <w:rPr>
                <w:sz w:val="20"/>
                <w:szCs w:val="20"/>
              </w:rPr>
              <w:t>Southwark</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7556CA7E"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425">
              <w:rPr>
                <w:sz w:val="20"/>
                <w:szCs w:val="20"/>
              </w:rPr>
              <w:t>106,950</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5D1F8291"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425">
              <w:rPr>
                <w:sz w:val="20"/>
                <w:szCs w:val="20"/>
              </w:rPr>
              <w:t>111,150</w:t>
            </w:r>
          </w:p>
        </w:tc>
        <w:tc>
          <w:tcPr>
            <w:tcW w:w="1041" w:type="pct"/>
            <w:vMerge/>
            <w:shd w:val="clear" w:color="auto" w:fill="EDEDED" w:themeFill="accent3" w:themeFillTint="33"/>
          </w:tcPr>
          <w:p w14:paraId="061FEB43"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EF3350" w:rsidRPr="00324C84" w14:paraId="4C57CBD3" w14:textId="77777777" w:rsidTr="00C422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877"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51E8FDB7" w14:textId="77777777" w:rsidR="00EF3350" w:rsidRPr="00F47425" w:rsidRDefault="00EF3350" w:rsidP="00CE5053">
            <w:pPr>
              <w:spacing w:before="40" w:after="40"/>
              <w:rPr>
                <w:sz w:val="20"/>
                <w:szCs w:val="20"/>
              </w:rPr>
            </w:pPr>
            <w:r w:rsidRPr="00F47425">
              <w:rPr>
                <w:sz w:val="20"/>
                <w:szCs w:val="20"/>
              </w:rPr>
              <w:t>Total</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07241F67"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2,028,182</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415EA9E5"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2,053,780</w:t>
            </w:r>
          </w:p>
        </w:tc>
        <w:tc>
          <w:tcPr>
            <w:tcW w:w="1041" w:type="pct"/>
            <w:vMerge/>
            <w:tcBorders>
              <w:bottom w:val="single" w:sz="4" w:space="0" w:color="FFFFFF" w:themeColor="background1"/>
            </w:tcBorders>
            <w:shd w:val="clear" w:color="auto" w:fill="EDEDED" w:themeFill="accent3" w:themeFillTint="33"/>
          </w:tcPr>
          <w:p w14:paraId="188425CC"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EF3350" w:rsidRPr="00324C84" w14:paraId="732600C1" w14:textId="77777777" w:rsidTr="00C422B2">
        <w:trPr>
          <w:jc w:val="right"/>
        </w:trPr>
        <w:tc>
          <w:tcPr>
            <w:cnfStyle w:val="001000000000" w:firstRow="0" w:lastRow="0" w:firstColumn="1" w:lastColumn="0" w:oddVBand="0" w:evenVBand="0" w:oddHBand="0" w:evenHBand="0" w:firstRowFirstColumn="0" w:firstRowLastColumn="0" w:lastRowFirstColumn="0" w:lastRowLastColumn="0"/>
            <w:tcW w:w="1877"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DC4561B" w14:textId="77777777" w:rsidR="00EF3350" w:rsidRPr="00F47425" w:rsidRDefault="00EF3350" w:rsidP="00CE5053">
            <w:pPr>
              <w:spacing w:before="40" w:after="40"/>
              <w:rPr>
                <w:sz w:val="20"/>
                <w:szCs w:val="20"/>
              </w:rPr>
            </w:pPr>
            <w:r w:rsidRPr="00F47425">
              <w:rPr>
                <w:sz w:val="20"/>
                <w:szCs w:val="20"/>
              </w:rPr>
              <w:t>Combined draft new London Plan apportionment target</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62B9A5A9"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F47425">
              <w:rPr>
                <w:b/>
                <w:sz w:val="20"/>
                <w:szCs w:val="20"/>
              </w:rPr>
              <w:t>1,405,000</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629D792A"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F47425">
              <w:rPr>
                <w:b/>
                <w:sz w:val="20"/>
                <w:szCs w:val="20"/>
              </w:rPr>
              <w:t>N/A</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276FDAC5"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b/>
                <w:sz w:val="20"/>
                <w:szCs w:val="20"/>
              </w:rPr>
            </w:pPr>
            <w:r w:rsidRPr="00F47425">
              <w:rPr>
                <w:b/>
                <w:sz w:val="20"/>
                <w:szCs w:val="20"/>
              </w:rPr>
              <w:t>1,492,000</w:t>
            </w:r>
          </w:p>
        </w:tc>
      </w:tr>
      <w:tr w:rsidR="00EF3350" w:rsidRPr="00324C84" w14:paraId="77AF0F9A" w14:textId="77777777" w:rsidTr="00C422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877"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3BD19181" w14:textId="77777777" w:rsidR="00EF3350" w:rsidRPr="00F47425" w:rsidRDefault="00EF3350" w:rsidP="00CE5053">
            <w:pPr>
              <w:spacing w:before="40" w:after="40"/>
              <w:rPr>
                <w:sz w:val="20"/>
                <w:szCs w:val="20"/>
              </w:rPr>
            </w:pPr>
            <w:r w:rsidRPr="00F47425">
              <w:rPr>
                <w:sz w:val="20"/>
                <w:szCs w:val="20"/>
              </w:rPr>
              <w:t>Collective projected total surplus</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468868E1"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623,182</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34824FA9"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N/A</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31436D03" w14:textId="77777777" w:rsidR="00EF3350" w:rsidRPr="00F47425" w:rsidRDefault="00EF3350"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20"/>
              </w:rPr>
            </w:pPr>
            <w:r w:rsidRPr="00F47425">
              <w:rPr>
                <w:sz w:val="20"/>
                <w:szCs w:val="20"/>
              </w:rPr>
              <w:t>561,780</w:t>
            </w:r>
          </w:p>
        </w:tc>
      </w:tr>
      <w:tr w:rsidR="00EF3350" w:rsidRPr="00324C84" w14:paraId="12C60555" w14:textId="77777777" w:rsidTr="00C422B2">
        <w:trPr>
          <w:jc w:val="right"/>
        </w:trPr>
        <w:tc>
          <w:tcPr>
            <w:cnfStyle w:val="001000000000" w:firstRow="0" w:lastRow="0" w:firstColumn="1" w:lastColumn="0" w:oddVBand="0" w:evenVBand="0" w:oddHBand="0" w:evenHBand="0" w:firstRowFirstColumn="0" w:firstRowLastColumn="0" w:lastRowFirstColumn="0" w:lastRowLastColumn="0"/>
            <w:tcW w:w="1877"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047925E1" w14:textId="77777777" w:rsidR="00EF3350" w:rsidRPr="00F47425" w:rsidRDefault="00EF3350" w:rsidP="00CE5053">
            <w:pPr>
              <w:spacing w:before="40" w:after="40"/>
              <w:rPr>
                <w:sz w:val="20"/>
                <w:szCs w:val="20"/>
              </w:rPr>
            </w:pPr>
            <w:r w:rsidRPr="00F47425">
              <w:rPr>
                <w:sz w:val="20"/>
                <w:szCs w:val="20"/>
              </w:rPr>
              <w:t>Projected surplus capacity from operational sites</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6C5C8FA3"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425">
              <w:rPr>
                <w:sz w:val="20"/>
                <w:szCs w:val="20"/>
              </w:rPr>
              <w:t>417,582</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7546AC13"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425">
              <w:rPr>
                <w:sz w:val="20"/>
                <w:szCs w:val="20"/>
              </w:rPr>
              <w:t>N/A</w:t>
            </w:r>
          </w:p>
        </w:tc>
        <w:tc>
          <w:tcPr>
            <w:tcW w:w="1041" w:type="pct"/>
            <w:tcBorders>
              <w:top w:val="single" w:sz="4" w:space="0" w:color="FFFFFF" w:themeColor="background1"/>
              <w:bottom w:val="single" w:sz="4" w:space="0" w:color="FFFFFF" w:themeColor="background1"/>
            </w:tcBorders>
            <w:shd w:val="clear" w:color="auto" w:fill="EDEDED" w:themeFill="accent3" w:themeFillTint="33"/>
          </w:tcPr>
          <w:p w14:paraId="615518EB" w14:textId="77777777" w:rsidR="00EF3350" w:rsidRPr="00F47425" w:rsidRDefault="00EF3350"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20"/>
              </w:rPr>
            </w:pPr>
            <w:r w:rsidRPr="00F47425">
              <w:rPr>
                <w:sz w:val="20"/>
                <w:szCs w:val="20"/>
              </w:rPr>
              <w:t>365,180</w:t>
            </w:r>
          </w:p>
        </w:tc>
      </w:tr>
    </w:tbl>
    <w:p w14:paraId="6D552393" w14:textId="77777777" w:rsidR="00DE7F33" w:rsidRDefault="00C422B2" w:rsidP="00CE5053">
      <w:pPr>
        <w:pStyle w:val="Caption"/>
        <w:spacing w:before="120" w:after="360"/>
        <w:ind w:left="720" w:firstLine="17"/>
        <w:rPr>
          <w:i w:val="0"/>
          <w:color w:val="auto"/>
        </w:rPr>
      </w:pPr>
      <w:r w:rsidRPr="005A0648">
        <w:rPr>
          <w:b/>
          <w:i w:val="0"/>
          <w:color w:val="auto"/>
        </w:rPr>
        <w:t xml:space="preserve">Table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18</w:t>
      </w:r>
      <w:r>
        <w:rPr>
          <w:b/>
          <w:i w:val="0"/>
          <w:color w:val="auto"/>
        </w:rPr>
        <w:fldChar w:fldCharType="end"/>
      </w:r>
      <w:r w:rsidRPr="005A0648">
        <w:rPr>
          <w:i w:val="0"/>
          <w:color w:val="auto"/>
        </w:rPr>
        <w:t xml:space="preserve"> </w:t>
      </w:r>
      <w:r w:rsidR="00DE7F33">
        <w:rPr>
          <w:i w:val="0"/>
          <w:color w:val="auto"/>
        </w:rPr>
        <w:t>Modelled capacity of each Waste Planning Group member. Source</w:t>
      </w:r>
      <w:r w:rsidR="004507C5">
        <w:rPr>
          <w:i w:val="0"/>
          <w:color w:val="auto"/>
        </w:rPr>
        <w:t>:</w:t>
      </w:r>
      <w:r w:rsidR="00DE7F33" w:rsidRPr="005A0648">
        <w:rPr>
          <w:i w:val="0"/>
          <w:color w:val="auto"/>
        </w:rPr>
        <w:t xml:space="preserve"> </w:t>
      </w:r>
      <w:r w:rsidR="00DE7F33" w:rsidRPr="007F324C">
        <w:rPr>
          <w:i w:val="0"/>
          <w:color w:val="auto"/>
        </w:rPr>
        <w:t>Southeast London Joint Waste Planning Group (SELJWPG)</w:t>
      </w:r>
      <w:r w:rsidR="00DE7F33">
        <w:rPr>
          <w:i w:val="0"/>
          <w:color w:val="auto"/>
        </w:rPr>
        <w:t>.</w:t>
      </w:r>
    </w:p>
    <w:p w14:paraId="624C5EDE" w14:textId="77777777" w:rsidR="00DF60C7" w:rsidRDefault="00DF60C7" w:rsidP="00CE5053">
      <w:pPr>
        <w:pStyle w:val="ListParagraph"/>
        <w:numPr>
          <w:ilvl w:val="0"/>
          <w:numId w:val="22"/>
        </w:numPr>
        <w:spacing w:after="240"/>
        <w:ind w:left="737" w:hanging="737"/>
        <w:contextualSpacing w:val="0"/>
      </w:pPr>
      <w:r w:rsidRPr="00595E96">
        <w:t xml:space="preserve">The pooled figures </w:t>
      </w:r>
      <w:r w:rsidR="004507C5">
        <w:t xml:space="preserve">as </w:t>
      </w:r>
      <w:r w:rsidRPr="00595E96">
        <w:t xml:space="preserve">set out above exceed the </w:t>
      </w:r>
      <w:r w:rsidR="004507C5">
        <w:t xml:space="preserve">minimum </w:t>
      </w:r>
      <w:r w:rsidR="004507C5" w:rsidRPr="00595E96">
        <w:t>pooled waste apportionment requirement for the southeast London boroughs (including the City of London)</w:t>
      </w:r>
      <w:r w:rsidR="004507C5">
        <w:t xml:space="preserve"> as set out in</w:t>
      </w:r>
      <w:r w:rsidRPr="00595E96">
        <w:t xml:space="preserve"> the London Plan 2016</w:t>
      </w:r>
      <w:r w:rsidR="004507C5">
        <w:t>.</w:t>
      </w:r>
      <w:r w:rsidRPr="00595E96">
        <w:t xml:space="preserve"> For all safeguarded sites, including non-operational potential waste sites, the total projected surplus capacity is 471,780 tonnes per annum by 2036.</w:t>
      </w:r>
    </w:p>
    <w:p w14:paraId="2CDCA35A" w14:textId="77777777" w:rsidR="002A5355" w:rsidRDefault="00830545" w:rsidP="00CE5053">
      <w:pPr>
        <w:pStyle w:val="ListParagraph"/>
        <w:numPr>
          <w:ilvl w:val="0"/>
          <w:numId w:val="22"/>
        </w:numPr>
        <w:spacing w:after="240"/>
        <w:ind w:left="737" w:hanging="737"/>
        <w:contextualSpacing w:val="0"/>
      </w:pPr>
      <w:r>
        <w:lastRenderedPageBreak/>
        <w:t xml:space="preserve">The Joint Waste Technical Paper is periodically updated and forms part of the Local Plan evidence base for the constituent boroughs. </w:t>
      </w:r>
    </w:p>
    <w:p w14:paraId="78466506" w14:textId="77777777" w:rsidR="002633E9" w:rsidRPr="002633E9" w:rsidRDefault="002633E9" w:rsidP="00CE5053">
      <w:pPr>
        <w:ind w:left="578" w:firstLine="142"/>
        <w:rPr>
          <w:b/>
        </w:rPr>
      </w:pPr>
      <w:r>
        <w:rPr>
          <w:b/>
        </w:rPr>
        <w:t>Future requirement</w:t>
      </w:r>
    </w:p>
    <w:p w14:paraId="7968DFE5" w14:textId="77777777" w:rsidR="006D79EE" w:rsidRDefault="004507C5" w:rsidP="00CE5053">
      <w:pPr>
        <w:pStyle w:val="ListParagraph"/>
        <w:numPr>
          <w:ilvl w:val="0"/>
          <w:numId w:val="22"/>
        </w:numPr>
        <w:spacing w:after="240"/>
        <w:ind w:left="737" w:hanging="737"/>
        <w:contextualSpacing w:val="0"/>
      </w:pPr>
      <w:r>
        <w:t xml:space="preserve">In terms of the Council’s obligations toward meeting the pooled waste apportionment requirement set out in the London Plan, </w:t>
      </w:r>
      <w:r w:rsidR="002633E9" w:rsidRPr="00DE7F33">
        <w:t xml:space="preserve">Lewisham has sufficient </w:t>
      </w:r>
      <w:r>
        <w:t xml:space="preserve">infrastructure capacity to meet its </w:t>
      </w:r>
      <w:r w:rsidR="002633E9" w:rsidRPr="00DE7F33">
        <w:t xml:space="preserve">waste needs of the borough </w:t>
      </w:r>
      <w:r>
        <w:t>to</w:t>
      </w:r>
      <w:r w:rsidR="002633E9" w:rsidRPr="00DE7F33">
        <w:t xml:space="preserve"> 2040.</w:t>
      </w:r>
    </w:p>
    <w:p w14:paraId="4DC46927" w14:textId="77777777" w:rsidR="00DE0443" w:rsidRDefault="004507C5" w:rsidP="00CE5053">
      <w:pPr>
        <w:pStyle w:val="ListParagraph"/>
        <w:numPr>
          <w:ilvl w:val="0"/>
          <w:numId w:val="22"/>
        </w:numPr>
        <w:spacing w:after="240"/>
        <w:ind w:left="737" w:hanging="737"/>
        <w:contextualSpacing w:val="0"/>
      </w:pPr>
      <w:r>
        <w:t xml:space="preserve">There </w:t>
      </w:r>
      <w:r w:rsidR="00DE0443">
        <w:t>are,</w:t>
      </w:r>
      <w:r>
        <w:t xml:space="preserve"> however, emerging </w:t>
      </w:r>
      <w:r w:rsidR="00DE0443">
        <w:t>changes in the market that is resulting in higher standards being imposed on the quality of waste that will be accepted by downstream waste re-processers. In recent years, there has been an increase in pre-processers rejecting lower quality material (such as spoiled or comingled waste), placing pressure on existing Material Recovery Facilities that will accept co-mingled waste, and have capacity.</w:t>
      </w:r>
    </w:p>
    <w:p w14:paraId="59B7203F" w14:textId="77777777" w:rsidR="00DE0443" w:rsidRPr="0012463D" w:rsidRDefault="00DE0443" w:rsidP="00CE5053">
      <w:pPr>
        <w:pStyle w:val="ListParagraph"/>
        <w:numPr>
          <w:ilvl w:val="0"/>
          <w:numId w:val="22"/>
        </w:numPr>
        <w:spacing w:after="240"/>
        <w:ind w:left="737" w:hanging="737"/>
        <w:contextualSpacing w:val="0"/>
      </w:pPr>
      <w:r>
        <w:t>As a result, over the period of the Local Plan there could be a future need for Council to consider providing a new Waste Transfer Site (WTS) within the borough. The WTS would allow for sorting of waste materials and an improved quality of waste material that then can be more easily transferred for re-processing.</w:t>
      </w:r>
      <w:r w:rsidR="00880FFE">
        <w:t xml:space="preserve"> While the WTS would not be needed to help achieve the apportionment targets, it would assist in achieving the waste targets in place for local authorities in the Environment Strategy.</w:t>
      </w:r>
    </w:p>
    <w:p w14:paraId="30563357" w14:textId="77777777" w:rsidR="00880FFE" w:rsidRPr="00880FFE" w:rsidRDefault="00880FFE" w:rsidP="00CE5053">
      <w:pPr>
        <w:spacing w:after="240"/>
        <w:rPr>
          <w:highlight w:val="yellow"/>
        </w:rPr>
        <w:sectPr w:rsidR="00880FFE" w:rsidRPr="00880FFE" w:rsidSect="007B10F6">
          <w:pgSz w:w="11906" w:h="16838"/>
          <w:pgMar w:top="1440" w:right="1440" w:bottom="1440" w:left="1440" w:header="708" w:footer="708" w:gutter="0"/>
          <w:pgBorders w:offsetFrom="page">
            <w:top w:val="single" w:sz="4" w:space="24" w:color="FFFFFF" w:themeColor="background1"/>
            <w:bottom w:val="single" w:sz="4" w:space="24" w:color="FFFFFF" w:themeColor="background1"/>
          </w:pgBorders>
          <w:cols w:space="708"/>
          <w:docGrid w:linePitch="360"/>
        </w:sectPr>
      </w:pPr>
    </w:p>
    <w:p w14:paraId="3699F588" w14:textId="77777777" w:rsidR="006D79EE" w:rsidRDefault="00E408EB" w:rsidP="00CE5053">
      <w:pPr>
        <w:pStyle w:val="Heading3"/>
      </w:pPr>
      <w:bookmarkStart w:id="72" w:name="_Toc56146055"/>
      <w:r>
        <w:lastRenderedPageBreak/>
        <w:t xml:space="preserve">Strategic infrastructure </w:t>
      </w:r>
      <w:r w:rsidR="006D79EE" w:rsidRPr="00B95034">
        <w:t xml:space="preserve">list for </w:t>
      </w:r>
      <w:r w:rsidR="002633E9">
        <w:t>Waste infrastructure</w:t>
      </w:r>
      <w:bookmarkEnd w:id="72"/>
    </w:p>
    <w:tbl>
      <w:tblPr>
        <w:tblStyle w:val="ListTable3-Accent32"/>
        <w:tblW w:w="4815" w:type="pct"/>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Table"/>
      </w:tblPr>
      <w:tblGrid>
        <w:gridCol w:w="2266"/>
        <w:gridCol w:w="1697"/>
        <w:gridCol w:w="5744"/>
        <w:gridCol w:w="2334"/>
        <w:gridCol w:w="830"/>
        <w:gridCol w:w="842"/>
        <w:gridCol w:w="842"/>
        <w:gridCol w:w="863"/>
        <w:gridCol w:w="1238"/>
        <w:gridCol w:w="984"/>
        <w:gridCol w:w="1076"/>
        <w:gridCol w:w="1439"/>
      </w:tblGrid>
      <w:tr w:rsidR="00EF0499" w:rsidRPr="004400BC" w14:paraId="36043F37"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5BBD8430" w14:textId="77777777" w:rsidR="00EF0499" w:rsidRPr="00C43DD5" w:rsidRDefault="00EF0499" w:rsidP="00CE5053">
            <w:pPr>
              <w:spacing w:before="40" w:after="40"/>
              <w:rPr>
                <w:b w:val="0"/>
                <w:bCs w:val="0"/>
                <w:sz w:val="18"/>
                <w:szCs w:val="16"/>
              </w:rPr>
            </w:pPr>
            <w:r w:rsidRPr="00C43DD5">
              <w:rPr>
                <w:sz w:val="18"/>
                <w:szCs w:val="16"/>
              </w:rPr>
              <w:t>Planned provision</w:t>
            </w:r>
          </w:p>
        </w:tc>
        <w:tc>
          <w:tcPr>
            <w:tcW w:w="421"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576D8F7D"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Proposed location</w:t>
            </w:r>
          </w:p>
        </w:tc>
        <w:tc>
          <w:tcPr>
            <w:tcW w:w="1425"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3D544F05"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6"/>
              </w:rPr>
            </w:pPr>
            <w:r w:rsidRPr="00C43DD5">
              <w:rPr>
                <w:bCs w:val="0"/>
                <w:sz w:val="18"/>
                <w:szCs w:val="16"/>
              </w:rPr>
              <w:t xml:space="preserve">Description of </w:t>
            </w:r>
            <w:r w:rsidRPr="00C43DD5">
              <w:rPr>
                <w:bCs w:val="0"/>
                <w:noProof/>
                <w:sz w:val="18"/>
                <w:szCs w:val="16"/>
              </w:rPr>
              <w:t>project/proposal</w:t>
            </w:r>
          </w:p>
        </w:tc>
        <w:tc>
          <w:tcPr>
            <w:tcW w:w="579"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41F69403"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6"/>
              </w:rPr>
            </w:pPr>
            <w:r w:rsidRPr="00C43DD5">
              <w:rPr>
                <w:bCs w:val="0"/>
                <w:sz w:val="18"/>
                <w:szCs w:val="16"/>
              </w:rPr>
              <w:t>Project lead (and delivery partners)</w:t>
            </w:r>
          </w:p>
        </w:tc>
        <w:tc>
          <w:tcPr>
            <w:tcW w:w="838"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2455F86"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Indicative timescale</w:t>
            </w:r>
          </w:p>
        </w:tc>
        <w:tc>
          <w:tcPr>
            <w:tcW w:w="30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0773EFD7"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Total cost (indicative)</w:t>
            </w:r>
          </w:p>
        </w:tc>
        <w:tc>
          <w:tcPr>
            <w:tcW w:w="24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4B93965A"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Total funding available</w:t>
            </w:r>
          </w:p>
        </w:tc>
        <w:tc>
          <w:tcPr>
            <w:tcW w:w="26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6B3506B3"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6"/>
              </w:rPr>
            </w:pPr>
            <w:r w:rsidRPr="00C43DD5">
              <w:rPr>
                <w:sz w:val="18"/>
                <w:szCs w:val="16"/>
              </w:rPr>
              <w:t>Funding gap</w:t>
            </w:r>
          </w:p>
        </w:tc>
        <w:tc>
          <w:tcPr>
            <w:tcW w:w="357" w:type="pct"/>
            <w:vMerge w:val="restart"/>
            <w:tcBorders>
              <w:top w:val="single" w:sz="4" w:space="0" w:color="FFFFFF" w:themeColor="background1"/>
              <w:left w:val="single" w:sz="4" w:space="0" w:color="FFFFFF" w:themeColor="background1"/>
              <w:right w:val="nil"/>
            </w:tcBorders>
            <w:shd w:val="clear" w:color="auto" w:fill="002060"/>
          </w:tcPr>
          <w:p w14:paraId="5462056A"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Prioritisation</w:t>
            </w:r>
          </w:p>
          <w:p w14:paraId="417878D8"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(3) Critical</w:t>
            </w:r>
          </w:p>
          <w:p w14:paraId="6057F7E8"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(2) Essential</w:t>
            </w:r>
          </w:p>
          <w:p w14:paraId="1832BBBD" w14:textId="77777777" w:rsidR="00EF0499" w:rsidRPr="00C43DD5"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(1) Important</w:t>
            </w:r>
          </w:p>
        </w:tc>
      </w:tr>
      <w:tr w:rsidR="00CD1374" w:rsidRPr="004400BC" w14:paraId="1C084E24"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3F804A0" w14:textId="77777777" w:rsidR="00EF0499" w:rsidRDefault="00EF0499" w:rsidP="00CE5053">
            <w:pPr>
              <w:spacing w:before="40" w:after="40"/>
              <w:rPr>
                <w:sz w:val="16"/>
                <w:szCs w:val="16"/>
              </w:rPr>
            </w:pPr>
          </w:p>
        </w:tc>
        <w:tc>
          <w:tcPr>
            <w:tcW w:w="421"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200D767" w14:textId="77777777" w:rsidR="00EF0499" w:rsidRPr="004400BC"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1425"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96217B0" w14:textId="77777777" w:rsidR="00EF0499" w:rsidRPr="004400BC"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p>
        </w:tc>
        <w:tc>
          <w:tcPr>
            <w:tcW w:w="579"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66C82AA8" w14:textId="77777777" w:rsidR="00EF0499" w:rsidRPr="004400BC"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5A1E5A8"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2020/25</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3B7F718"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2025/30</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9BAD1FA"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2030/35</w:t>
            </w: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EA535F2" w14:textId="77777777" w:rsidR="00EF0499" w:rsidRPr="00AB5E74"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2035/40</w:t>
            </w:r>
          </w:p>
        </w:tc>
        <w:tc>
          <w:tcPr>
            <w:tcW w:w="30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631F88E"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244"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AF909B0"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26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4885100A"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357" w:type="pct"/>
            <w:vMerge/>
            <w:tcBorders>
              <w:left w:val="single" w:sz="4" w:space="0" w:color="FFFFFF" w:themeColor="background1"/>
              <w:bottom w:val="single" w:sz="4" w:space="0" w:color="FFFFFF" w:themeColor="background1"/>
              <w:right w:val="nil"/>
            </w:tcBorders>
            <w:shd w:val="clear" w:color="auto" w:fill="333399"/>
          </w:tcPr>
          <w:p w14:paraId="3D7CEA7F" w14:textId="77777777" w:rsidR="00EF0499" w:rsidRDefault="00EF0499"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r>
      <w:tr w:rsidR="00DE7F33" w:rsidRPr="004400BC" w14:paraId="160438A7" w14:textId="77777777" w:rsidTr="0064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253013" w14:textId="77777777" w:rsidR="00DE7F33" w:rsidRPr="006A7981" w:rsidRDefault="00DE7F33" w:rsidP="00CE5053">
            <w:pPr>
              <w:spacing w:before="40" w:after="40"/>
              <w:rPr>
                <w:sz w:val="18"/>
                <w:szCs w:val="16"/>
              </w:rPr>
            </w:pPr>
            <w:r w:rsidRPr="006A7981">
              <w:rPr>
                <w:sz w:val="18"/>
                <w:szCs w:val="16"/>
              </w:rPr>
              <w:t>Waste Transfer Site</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F670E6" w14:textId="77777777" w:rsidR="00DE7F33" w:rsidRPr="006A7981" w:rsidRDefault="00DE7F3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highlight w:val="yellow"/>
              </w:rPr>
            </w:pP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DC0988" w14:textId="77777777" w:rsidR="00DE7F33" w:rsidRPr="006A7981" w:rsidRDefault="00DE7F3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highlight w:val="yellow"/>
              </w:rPr>
            </w:pPr>
            <w:r w:rsidRPr="006A7981">
              <w:rPr>
                <w:sz w:val="18"/>
                <w:szCs w:val="16"/>
              </w:rPr>
              <w:t>Potential project to improve service to the borough and to improve quality of material being exported for treatment, to help reduce cost for dry recycling and organic waste treatment</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9B2255" w14:textId="77777777" w:rsidR="00DE7F33" w:rsidRPr="006A7981" w:rsidRDefault="00DE7F3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Strategic Waste</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597038" w14:textId="77777777" w:rsidR="00DE7F33" w:rsidRPr="006A7981" w:rsidRDefault="00DE7F3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18E2AD" w14:textId="77777777" w:rsidR="00DE7F33" w:rsidRPr="006A7981" w:rsidRDefault="002A5355"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7458F3" w14:textId="77777777" w:rsidR="00DE7F33" w:rsidRPr="006A7981" w:rsidRDefault="00DE7F3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086500" w14:textId="77777777" w:rsidR="00DE7F33" w:rsidRPr="006A7981" w:rsidRDefault="00DE7F3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6E7102" w14:textId="77777777" w:rsidR="00DE7F33" w:rsidRPr="006A7981" w:rsidRDefault="00DE7F3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TBC</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A8EBC1" w14:textId="77777777" w:rsidR="00DE7F33" w:rsidRPr="006A7981" w:rsidRDefault="00C77FED"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TBC</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25679F" w14:textId="77777777" w:rsidR="00DE7F33" w:rsidRPr="006A7981" w:rsidRDefault="00DE7F3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TBC</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7074C6" w14:textId="77777777" w:rsidR="00DE7F33" w:rsidRPr="006A7981" w:rsidRDefault="00DE7F33"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2</w:t>
            </w:r>
          </w:p>
        </w:tc>
      </w:tr>
      <w:tr w:rsidR="00EF0499" w:rsidRPr="004400BC" w14:paraId="387D3DE9" w14:textId="77777777" w:rsidTr="006410EE">
        <w:tc>
          <w:tcPr>
            <w:cnfStyle w:val="001000000000" w:firstRow="0" w:lastRow="0" w:firstColumn="1" w:lastColumn="0" w:oddVBand="0" w:evenVBand="0" w:oddHBand="0" w:evenHBand="0" w:firstRowFirstColumn="0" w:firstRowLastColumn="0" w:lastRowFirstColumn="0" w:lastRowLastColumn="0"/>
            <w:tcW w:w="3402"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A9BAC8F" w14:textId="77777777" w:rsidR="00EF0499" w:rsidRDefault="00EF0499" w:rsidP="00CE5053">
            <w:pPr>
              <w:spacing w:before="40" w:after="40"/>
              <w:rPr>
                <w:sz w:val="16"/>
                <w:szCs w:val="16"/>
              </w:rPr>
            </w:pPr>
          </w:p>
        </w:tc>
        <w:tc>
          <w:tcPr>
            <w:tcW w:w="42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91F047D" w14:textId="77777777" w:rsidR="00EF0499"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Sub-total</w:t>
            </w: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C28ACFC" w14:textId="77777777" w:rsidR="00EF0499" w:rsidRPr="004400BC"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525D00" w14:textId="77777777" w:rsidR="00EF0499" w:rsidRPr="004400BC"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2A3EDED" w14:textId="77777777" w:rsidR="00EF0499" w:rsidRPr="004400BC"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B496E2" w14:textId="77777777" w:rsidR="00EF0499" w:rsidRPr="00AD2F12" w:rsidRDefault="00EF0499" w:rsidP="00CE5053">
            <w:pPr>
              <w:spacing w:before="40" w:after="40"/>
              <w:cnfStyle w:val="000000000000" w:firstRow="0" w:lastRow="0" w:firstColumn="0" w:lastColumn="0" w:oddVBand="0" w:evenVBand="0" w:oddHBand="0" w:evenHBand="0" w:firstRowFirstColumn="0" w:firstRowLastColumn="0" w:lastRowFirstColumn="0" w:lastRowLastColumn="0"/>
              <w:rPr>
                <w:b/>
                <w:sz w:val="16"/>
                <w:szCs w:val="16"/>
              </w:rPr>
            </w:pPr>
          </w:p>
        </w:tc>
      </w:tr>
    </w:tbl>
    <w:p w14:paraId="3A871899" w14:textId="77777777" w:rsidR="00EF0499" w:rsidRDefault="00EF0499" w:rsidP="00CE5053"/>
    <w:p w14:paraId="2F6D4EFB" w14:textId="77777777" w:rsidR="006D79EE" w:rsidRDefault="006D79EE" w:rsidP="00CE5053">
      <w:pPr>
        <w:ind w:left="720"/>
      </w:pPr>
    </w:p>
    <w:p w14:paraId="035A956E" w14:textId="77777777" w:rsidR="00EF0499" w:rsidRDefault="00EF0499" w:rsidP="00CE5053">
      <w:pPr>
        <w:ind w:left="720"/>
        <w:sectPr w:rsidR="00EF0499" w:rsidSect="007B10F6">
          <w:pgSz w:w="23814" w:h="16839" w:orient="landscape" w:code="8"/>
          <w:pgMar w:top="1440" w:right="1440" w:bottom="1440" w:left="1440" w:header="708" w:footer="708" w:gutter="0"/>
          <w:pgBorders w:offsetFrom="page">
            <w:top w:val="single" w:sz="4" w:space="24" w:color="FFFFFF" w:themeColor="background1"/>
            <w:bottom w:val="single" w:sz="4" w:space="24" w:color="FFFFFF" w:themeColor="background1"/>
          </w:pgBorders>
          <w:cols w:space="708"/>
          <w:docGrid w:linePitch="360"/>
        </w:sectPr>
      </w:pPr>
    </w:p>
    <w:p w14:paraId="1B87AB7B" w14:textId="77777777" w:rsidR="00CB4C3C" w:rsidRPr="006655BF" w:rsidRDefault="00CB4C3C" w:rsidP="00CE5053">
      <w:pPr>
        <w:pStyle w:val="Heading2"/>
        <w:spacing w:after="240"/>
      </w:pPr>
      <w:bookmarkStart w:id="73" w:name="_Toc56146056"/>
      <w:r>
        <w:lastRenderedPageBreak/>
        <w:t>Digital infrastructure</w:t>
      </w:r>
      <w:bookmarkEnd w:id="73"/>
    </w:p>
    <w:p w14:paraId="25BB2949" w14:textId="77777777" w:rsidR="00CB4C3C" w:rsidRPr="00AE7068" w:rsidRDefault="00CB4C3C" w:rsidP="00CE5053">
      <w:pPr>
        <w:tabs>
          <w:tab w:val="left" w:pos="720"/>
          <w:tab w:val="left" w:pos="1440"/>
          <w:tab w:val="left" w:pos="2160"/>
          <w:tab w:val="left" w:pos="2713"/>
          <w:tab w:val="left" w:pos="3349"/>
          <w:tab w:val="left" w:pos="5492"/>
        </w:tabs>
        <w:spacing w:before="240" w:after="120"/>
        <w:ind w:left="720" w:hanging="720"/>
        <w:rPr>
          <w:b/>
        </w:rPr>
      </w:pPr>
      <w:r>
        <w:rPr>
          <w:b/>
        </w:rPr>
        <w:tab/>
        <w:t>Policy context</w:t>
      </w:r>
      <w:r>
        <w:rPr>
          <w:b/>
        </w:rPr>
        <w:tab/>
      </w:r>
      <w:r>
        <w:rPr>
          <w:b/>
        </w:rPr>
        <w:tab/>
      </w:r>
    </w:p>
    <w:p w14:paraId="38267C42" w14:textId="77777777" w:rsidR="00921739"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t>In the current international and national policy context, the p</w:t>
      </w:r>
      <w:r w:rsidRPr="00911462">
        <w:t>rovision</w:t>
      </w:r>
      <w:r>
        <w:t xml:space="preserve"> and enhancement of digital infrastructure is ultimately the responsibility of the commercial market, with public sector bodies restricted in their ability to intervene and influence where and when the market invests in new capacity. There are also specific provisions within </w:t>
      </w:r>
      <w:r w:rsidRPr="007159B5">
        <w:t>EU state aid legislation</w:t>
      </w:r>
      <w:r>
        <w:t xml:space="preserve"> that provide guidance for member states to provide financial incentives to support the rapid deployment of broadband networks.</w:t>
      </w:r>
    </w:p>
    <w:p w14:paraId="60C910C0" w14:textId="77777777" w:rsidR="00CB4C3C"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tab/>
        <w:t xml:space="preserve">Paragraph 112 of the National Planning Policy Framework </w:t>
      </w:r>
      <w:r w:rsidRPr="00421D50">
        <w:t xml:space="preserve">states </w:t>
      </w:r>
      <w:r>
        <w:t xml:space="preserve">that </w:t>
      </w:r>
      <w:r w:rsidRPr="00421D50">
        <w:t>local authorities “should support the expansion of electronic communications networks, including next generation mobile technology (such as 5G) and full fibre broadband connections.”</w:t>
      </w:r>
    </w:p>
    <w:p w14:paraId="12B469C6" w14:textId="77777777" w:rsidR="00CB4C3C"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rsidRPr="00595E96">
        <w:t>London Plan Policy S</w:t>
      </w:r>
      <w:r>
        <w:t>I6</w:t>
      </w:r>
      <w:r w:rsidRPr="00595E96">
        <w:t xml:space="preserve"> ‘</w:t>
      </w:r>
      <w:r>
        <w:t>Digital connectivity infrastructure</w:t>
      </w:r>
      <w:r w:rsidRPr="00595E96">
        <w:t xml:space="preserve">’ </w:t>
      </w:r>
      <w:r>
        <w:t xml:space="preserve">directs local authorities to </w:t>
      </w:r>
      <w:r w:rsidRPr="00595E96">
        <w:t>work with the Mayor and other partners and bodies to improve digital connectivity in their area, including in identifying gaps in connectivity and promoting better digital connectivity.</w:t>
      </w:r>
      <w:r>
        <w:t xml:space="preserve"> To ensure London’s global competitiveness now and in the future, local authorities should:</w:t>
      </w:r>
    </w:p>
    <w:p w14:paraId="15C465AE" w14:textId="77777777" w:rsidR="00CB4C3C" w:rsidRDefault="00CB4C3C" w:rsidP="00CE5053">
      <w:pPr>
        <w:pStyle w:val="ListParagraph"/>
        <w:numPr>
          <w:ilvl w:val="0"/>
          <w:numId w:val="6"/>
        </w:numPr>
      </w:pPr>
      <w:r>
        <w:t>Ensure that sufficient ducting space for full fibre connectivity infrastructure is provided to all end users within new developments, unless an affordable alternative 1GB/s-capable connection is made available to all end users;</w:t>
      </w:r>
    </w:p>
    <w:p w14:paraId="25415175" w14:textId="77777777" w:rsidR="00CB4C3C" w:rsidRDefault="00CB4C3C" w:rsidP="00CE5053">
      <w:pPr>
        <w:pStyle w:val="ListParagraph"/>
        <w:numPr>
          <w:ilvl w:val="0"/>
          <w:numId w:val="6"/>
        </w:numPr>
      </w:pPr>
      <w:r>
        <w:t>Meet expected demand for mobile connectivity generated by the development;</w:t>
      </w:r>
    </w:p>
    <w:p w14:paraId="4BD70510" w14:textId="77777777" w:rsidR="00CB4C3C" w:rsidRDefault="00CB4C3C" w:rsidP="00CE5053">
      <w:pPr>
        <w:pStyle w:val="ListParagraph"/>
        <w:numPr>
          <w:ilvl w:val="0"/>
          <w:numId w:val="6"/>
        </w:numPr>
      </w:pPr>
      <w:r>
        <w:t>Take appropriate measures to avoid reducing mobile connectivity in surrounding areas; where that is not possible, any potential reduction would require mitigation;</w:t>
      </w:r>
    </w:p>
    <w:p w14:paraId="347DD437" w14:textId="77777777" w:rsidR="00CB4C3C" w:rsidRDefault="00CB4C3C" w:rsidP="00CE5053">
      <w:pPr>
        <w:pStyle w:val="ListParagraph"/>
        <w:numPr>
          <w:ilvl w:val="0"/>
          <w:numId w:val="6"/>
        </w:numPr>
      </w:pPr>
      <w:r>
        <w:t>Support the effective use of rooftops and the public realm (such as tree furniture and bins) to accommodate well-designed a suitably located mobile digital infrastructure.</w:t>
      </w:r>
    </w:p>
    <w:p w14:paraId="672E71D3" w14:textId="77777777" w:rsidR="00CB4C3C" w:rsidRPr="00595E96"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tab/>
        <w:t>London Plan Policy SI6 also expects that local authorities adopt Development Plans that support the delivery of full-fibre or equivalent digital infrastructure, with a particular focus on areas with gaps in connectivity and barriers to digital access.</w:t>
      </w:r>
    </w:p>
    <w:p w14:paraId="0CAF2D82" w14:textId="77777777" w:rsidR="00CB4C3C" w:rsidRPr="00F128AA" w:rsidRDefault="00CB4C3C" w:rsidP="00CE5053">
      <w:pPr>
        <w:tabs>
          <w:tab w:val="left" w:pos="720"/>
          <w:tab w:val="left" w:pos="1440"/>
          <w:tab w:val="left" w:pos="2160"/>
          <w:tab w:val="left" w:pos="2640"/>
          <w:tab w:val="left" w:pos="3420"/>
        </w:tabs>
        <w:spacing w:after="120"/>
        <w:ind w:left="578"/>
        <w:rPr>
          <w:b/>
        </w:rPr>
      </w:pPr>
      <w:r>
        <w:rPr>
          <w:b/>
        </w:rPr>
        <w:tab/>
        <w:t>Background</w:t>
      </w:r>
    </w:p>
    <w:p w14:paraId="0844691F" w14:textId="77777777" w:rsidR="00CB4C3C" w:rsidRPr="004065A3"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tab/>
        <w:t xml:space="preserve">In 2018, the Department for Digital, Culture, Media &amp; Sport (DCMS) published the </w:t>
      </w:r>
      <w:hyperlink r:id="rId18" w:history="1">
        <w:r w:rsidRPr="00F128AA">
          <w:t>Future Telecoms Infrastructure Review (FTIR)</w:t>
        </w:r>
      </w:hyperlink>
      <w:r>
        <w:t>, which outlined government</w:t>
      </w:r>
      <w:r w:rsidRPr="004065A3">
        <w:t xml:space="preserve"> targets for the availability of full fibre and 5G networks. These include:</w:t>
      </w:r>
    </w:p>
    <w:p w14:paraId="26D39533" w14:textId="77777777" w:rsidR="00CB4C3C" w:rsidRPr="004065A3" w:rsidRDefault="00CB4C3C" w:rsidP="00CE5053">
      <w:pPr>
        <w:pStyle w:val="ListParagraph"/>
        <w:numPr>
          <w:ilvl w:val="0"/>
          <w:numId w:val="6"/>
        </w:numPr>
      </w:pPr>
      <w:r w:rsidRPr="004065A3">
        <w:t>15 million premises connected to full fibre by 2025</w:t>
      </w:r>
    </w:p>
    <w:p w14:paraId="4ECAA997" w14:textId="77777777" w:rsidR="00CB4C3C" w:rsidRPr="004065A3" w:rsidRDefault="00CB4C3C" w:rsidP="00CE5053">
      <w:pPr>
        <w:pStyle w:val="ListParagraph"/>
        <w:numPr>
          <w:ilvl w:val="0"/>
          <w:numId w:val="6"/>
        </w:numPr>
      </w:pPr>
      <w:r w:rsidRPr="004065A3">
        <w:t>Full fibre coverage across all parts of the country by 2033.</w:t>
      </w:r>
    </w:p>
    <w:p w14:paraId="59002E02" w14:textId="77777777" w:rsidR="00CB4C3C" w:rsidRDefault="00CB4C3C" w:rsidP="00CE5053">
      <w:pPr>
        <w:pStyle w:val="ListParagraph"/>
        <w:numPr>
          <w:ilvl w:val="0"/>
          <w:numId w:val="6"/>
        </w:numPr>
        <w:spacing w:after="240"/>
        <w:ind w:left="1434" w:hanging="357"/>
        <w:contextualSpacing w:val="0"/>
      </w:pPr>
      <w:r w:rsidRPr="004065A3">
        <w:t>The majority of the population to have 5G coverage by 2027.</w:t>
      </w:r>
    </w:p>
    <w:p w14:paraId="71880DDD" w14:textId="77777777" w:rsidR="00CB4C3C"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t xml:space="preserve">Achieving these targets will require the national roll out of gigabit-capable networks at pace, and significant investment in 5G infrastructure and services. The FTIR was set up to identify the market and policy conditions that could help secure this investment. </w:t>
      </w:r>
    </w:p>
    <w:p w14:paraId="5FB172B3" w14:textId="77777777" w:rsidR="00CB4C3C"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rsidRPr="00921739">
        <w:lastRenderedPageBreak/>
        <w:tab/>
      </w:r>
      <w:r w:rsidRPr="00CF5589">
        <w:t>In 2018, Lewisham Homes supported by London Borough of Lewisham,</w:t>
      </w:r>
      <w:r>
        <w:t xml:space="preserve"> </w:t>
      </w:r>
      <w:r w:rsidRPr="00CF5589">
        <w:t>commissioned a report from Regional Network Solutions: Development of a Social and Economic Digital Strategy</w:t>
      </w:r>
      <w:r>
        <w:t>. This made a number of recommendations as to how council assets and infrastructure might be leveraged to accelerate the pace of Digital Infrastructure roll out in the borough.</w:t>
      </w:r>
    </w:p>
    <w:p w14:paraId="3302635A" w14:textId="77777777" w:rsidR="00CB4C3C" w:rsidRDefault="00CB4C3C" w:rsidP="00CE5053">
      <w:pPr>
        <w:tabs>
          <w:tab w:val="left" w:pos="720"/>
          <w:tab w:val="left" w:pos="1440"/>
          <w:tab w:val="left" w:pos="2160"/>
          <w:tab w:val="left" w:pos="2713"/>
          <w:tab w:val="left" w:pos="3349"/>
        </w:tabs>
        <w:spacing w:before="240" w:after="120"/>
        <w:ind w:left="720"/>
      </w:pPr>
      <w:r w:rsidRPr="007159B5">
        <w:rPr>
          <w:b/>
        </w:rPr>
        <w:t>Current provision</w:t>
      </w:r>
    </w:p>
    <w:p w14:paraId="3B9B0FD2" w14:textId="77777777" w:rsidR="00CB4C3C"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tab/>
      </w:r>
      <w:r w:rsidRPr="00BF272E">
        <w:t>To date there have been no interventions</w:t>
      </w:r>
      <w:r>
        <w:t xml:space="preserve"> by the council to accelerate the expansion of Digital Infrastructure in Lewisham. </w:t>
      </w:r>
    </w:p>
    <w:p w14:paraId="0915786A" w14:textId="77777777" w:rsidR="00CB4C3C"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360"/>
        <w:ind w:left="737" w:hanging="737"/>
        <w:contextualSpacing w:val="0"/>
      </w:pPr>
      <w:r>
        <w:tab/>
        <w:t>According to Summer 2019 broadband connectivity data prepared by the Office of Communications (Ofcom), Lewisham currently provides a high level of broadband provision, though it is approximately 6 per cent below the London average for ultra-fast broadband availability (fibre to the cabinet – FTTC technology). Critically, sections of the borough – particularly in the north and between Forest Hill and Brockley – are unable to access 30Mbps services, which may impact the ability of businesses in the creative industries to operate to their full potential.</w:t>
      </w:r>
    </w:p>
    <w:tbl>
      <w:tblPr>
        <w:tblStyle w:val="ListTable3-Accent32"/>
        <w:tblW w:w="4569" w:type="pct"/>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w:tblPr>
      <w:tblGrid>
        <w:gridCol w:w="4929"/>
        <w:gridCol w:w="1656"/>
        <w:gridCol w:w="1654"/>
      </w:tblGrid>
      <w:tr w:rsidR="00CB4C3C" w:rsidRPr="00324C84" w14:paraId="3A4D1328" w14:textId="77777777" w:rsidTr="00935708">
        <w:trPr>
          <w:cnfStyle w:val="100000000000" w:firstRow="1" w:lastRow="0" w:firstColumn="0" w:lastColumn="0" w:oddVBand="0" w:evenVBand="0" w:oddHBand="0" w:evenHBand="0" w:firstRowFirstColumn="0" w:firstRowLastColumn="0" w:lastRowFirstColumn="0" w:lastRowLastColumn="0"/>
          <w:trHeight w:val="187"/>
          <w:tblHeader/>
          <w:jc w:val="right"/>
        </w:trPr>
        <w:tc>
          <w:tcPr>
            <w:cnfStyle w:val="001000000100" w:firstRow="0" w:lastRow="0" w:firstColumn="1" w:lastColumn="0" w:oddVBand="0" w:evenVBand="0" w:oddHBand="0" w:evenHBand="0" w:firstRowFirstColumn="1" w:firstRowLastColumn="0" w:lastRowFirstColumn="0" w:lastRowLastColumn="0"/>
            <w:tcW w:w="2991" w:type="pct"/>
            <w:tcBorders>
              <w:bottom w:val="single" w:sz="4" w:space="0" w:color="FFFFFF" w:themeColor="background1"/>
            </w:tcBorders>
            <w:shd w:val="clear" w:color="auto" w:fill="002060"/>
          </w:tcPr>
          <w:p w14:paraId="7544218A" w14:textId="77777777" w:rsidR="00CB4C3C" w:rsidRPr="002A5355" w:rsidRDefault="00CB4C3C" w:rsidP="00CE5053">
            <w:pPr>
              <w:tabs>
                <w:tab w:val="center" w:pos="3056"/>
                <w:tab w:val="left" w:pos="4975"/>
              </w:tabs>
              <w:spacing w:before="40" w:after="40"/>
              <w:rPr>
                <w:sz w:val="20"/>
                <w:szCs w:val="18"/>
              </w:rPr>
            </w:pPr>
            <w:r w:rsidRPr="002A5355">
              <w:rPr>
                <w:sz w:val="20"/>
                <w:szCs w:val="18"/>
              </w:rPr>
              <w:t>Broadband connection type</w:t>
            </w:r>
          </w:p>
        </w:tc>
        <w:tc>
          <w:tcPr>
            <w:tcW w:w="1005" w:type="pct"/>
            <w:tcBorders>
              <w:bottom w:val="single" w:sz="4" w:space="0" w:color="FFFFFF" w:themeColor="background1"/>
            </w:tcBorders>
            <w:shd w:val="clear" w:color="auto" w:fill="002060"/>
          </w:tcPr>
          <w:p w14:paraId="6070118D" w14:textId="77777777" w:rsidR="00CB4C3C" w:rsidRPr="002A5355" w:rsidRDefault="00CB4C3C"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bCs w:val="0"/>
                <w:sz w:val="20"/>
                <w:szCs w:val="18"/>
              </w:rPr>
            </w:pPr>
            <w:r w:rsidRPr="002A5355">
              <w:rPr>
                <w:sz w:val="20"/>
                <w:szCs w:val="18"/>
              </w:rPr>
              <w:t>Lewisham</w:t>
            </w:r>
          </w:p>
        </w:tc>
        <w:tc>
          <w:tcPr>
            <w:tcW w:w="1004" w:type="pct"/>
            <w:tcBorders>
              <w:bottom w:val="single" w:sz="4" w:space="0" w:color="FFFFFF" w:themeColor="background1"/>
            </w:tcBorders>
            <w:shd w:val="clear" w:color="auto" w:fill="002060"/>
          </w:tcPr>
          <w:p w14:paraId="4C13121A" w14:textId="77777777" w:rsidR="00CB4C3C" w:rsidRPr="002A5355" w:rsidRDefault="00CB4C3C" w:rsidP="00CE5053">
            <w:pPr>
              <w:tabs>
                <w:tab w:val="center" w:pos="3056"/>
                <w:tab w:val="left" w:pos="4975"/>
              </w:tabs>
              <w:spacing w:before="40" w:after="40"/>
              <w:cnfStyle w:val="100000000000" w:firstRow="1" w:lastRow="0" w:firstColumn="0" w:lastColumn="0" w:oddVBand="0" w:evenVBand="0" w:oddHBand="0" w:evenHBand="0" w:firstRowFirstColumn="0" w:firstRowLastColumn="0" w:lastRowFirstColumn="0" w:lastRowLastColumn="0"/>
              <w:rPr>
                <w:sz w:val="20"/>
                <w:szCs w:val="18"/>
              </w:rPr>
            </w:pPr>
            <w:r w:rsidRPr="002A5355">
              <w:rPr>
                <w:sz w:val="20"/>
                <w:szCs w:val="18"/>
              </w:rPr>
              <w:t>London average</w:t>
            </w:r>
          </w:p>
        </w:tc>
      </w:tr>
      <w:tr w:rsidR="00CB4C3C" w:rsidRPr="00324C84" w14:paraId="03E54BE9" w14:textId="77777777" w:rsidTr="00FE2C36">
        <w:trPr>
          <w:cnfStyle w:val="000000100000" w:firstRow="0" w:lastRow="0" w:firstColumn="0" w:lastColumn="0" w:oddVBand="0" w:evenVBand="0" w:oddHBand="1" w:evenHBand="0" w:firstRowFirstColumn="0" w:firstRowLastColumn="0" w:lastRowFirstColumn="0" w:lastRowLastColumn="0"/>
          <w:trHeight w:val="92"/>
          <w:jc w:val="right"/>
        </w:trPr>
        <w:tc>
          <w:tcPr>
            <w:cnfStyle w:val="001000000000" w:firstRow="0" w:lastRow="0" w:firstColumn="1" w:lastColumn="0" w:oddVBand="0" w:evenVBand="0" w:oddHBand="0" w:evenHBand="0" w:firstRowFirstColumn="0" w:firstRowLastColumn="0" w:lastRowFirstColumn="0" w:lastRowLastColumn="0"/>
            <w:tcW w:w="2991"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A1E26D3" w14:textId="77777777" w:rsidR="00CB4C3C" w:rsidRPr="002A5355" w:rsidRDefault="00CB4C3C" w:rsidP="00CE5053">
            <w:pPr>
              <w:spacing w:before="40" w:after="40"/>
              <w:rPr>
                <w:sz w:val="20"/>
                <w:szCs w:val="18"/>
              </w:rPr>
            </w:pPr>
            <w:r w:rsidRPr="002A5355">
              <w:rPr>
                <w:sz w:val="20"/>
                <w:szCs w:val="18"/>
              </w:rPr>
              <w:t>Super Fast (Fibre optic &gt;30Mbps)</w:t>
            </w:r>
          </w:p>
        </w:tc>
        <w:tc>
          <w:tcPr>
            <w:tcW w:w="1005" w:type="pct"/>
            <w:tcBorders>
              <w:top w:val="single" w:sz="4" w:space="0" w:color="FFFFFF" w:themeColor="background1"/>
              <w:bottom w:val="single" w:sz="4" w:space="0" w:color="FFFFFF" w:themeColor="background1"/>
            </w:tcBorders>
            <w:shd w:val="clear" w:color="auto" w:fill="F2F2F2" w:themeFill="background1" w:themeFillShade="F2"/>
          </w:tcPr>
          <w:p w14:paraId="524F15FF" w14:textId="77777777" w:rsidR="00CB4C3C" w:rsidRPr="002A5355"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18"/>
              </w:rPr>
            </w:pPr>
            <w:r w:rsidRPr="002A5355">
              <w:rPr>
                <w:sz w:val="20"/>
                <w:szCs w:val="18"/>
              </w:rPr>
              <w:t>96.5%</w:t>
            </w:r>
          </w:p>
        </w:tc>
        <w:tc>
          <w:tcPr>
            <w:tcW w:w="1004" w:type="pct"/>
            <w:tcBorders>
              <w:top w:val="single" w:sz="4" w:space="0" w:color="FFFFFF" w:themeColor="background1"/>
              <w:bottom w:val="single" w:sz="4" w:space="0" w:color="FFFFFF" w:themeColor="background1"/>
            </w:tcBorders>
            <w:shd w:val="clear" w:color="auto" w:fill="F2F2F2" w:themeFill="background1" w:themeFillShade="F2"/>
          </w:tcPr>
          <w:p w14:paraId="6C4FF38A" w14:textId="77777777" w:rsidR="00CB4C3C" w:rsidRPr="002A5355"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18"/>
              </w:rPr>
            </w:pPr>
            <w:r w:rsidRPr="002A5355">
              <w:rPr>
                <w:sz w:val="20"/>
                <w:szCs w:val="18"/>
              </w:rPr>
              <w:t>95.59%</w:t>
            </w:r>
          </w:p>
        </w:tc>
      </w:tr>
      <w:tr w:rsidR="00CB4C3C" w:rsidRPr="00324C84" w14:paraId="4D954DBB" w14:textId="77777777" w:rsidTr="00FE2C36">
        <w:trPr>
          <w:jc w:val="right"/>
        </w:trPr>
        <w:tc>
          <w:tcPr>
            <w:cnfStyle w:val="001000000000" w:firstRow="0" w:lastRow="0" w:firstColumn="1" w:lastColumn="0" w:oddVBand="0" w:evenVBand="0" w:oddHBand="0" w:evenHBand="0" w:firstRowFirstColumn="0" w:firstRowLastColumn="0" w:lastRowFirstColumn="0" w:lastRowLastColumn="0"/>
            <w:tcW w:w="2991" w:type="pct"/>
            <w:shd w:val="clear" w:color="auto" w:fill="F2F2F2" w:themeFill="background1" w:themeFillShade="F2"/>
            <w:vAlign w:val="center"/>
          </w:tcPr>
          <w:p w14:paraId="781B2B1C" w14:textId="77777777" w:rsidR="00CB4C3C" w:rsidRPr="002A5355" w:rsidRDefault="00CB4C3C" w:rsidP="00CE5053">
            <w:pPr>
              <w:spacing w:before="40" w:after="40"/>
              <w:rPr>
                <w:sz w:val="20"/>
                <w:szCs w:val="18"/>
              </w:rPr>
            </w:pPr>
            <w:r w:rsidRPr="002A5355">
              <w:rPr>
                <w:sz w:val="20"/>
                <w:szCs w:val="18"/>
              </w:rPr>
              <w:t>Ultra Fast (Fibre option &gt;100Mbps)</w:t>
            </w:r>
          </w:p>
        </w:tc>
        <w:tc>
          <w:tcPr>
            <w:tcW w:w="1005" w:type="pct"/>
            <w:shd w:val="clear" w:color="auto" w:fill="F2F2F2" w:themeFill="background1" w:themeFillShade="F2"/>
          </w:tcPr>
          <w:p w14:paraId="134B6358" w14:textId="77777777" w:rsidR="00CB4C3C" w:rsidRPr="002A5355"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18"/>
              </w:rPr>
            </w:pPr>
            <w:r w:rsidRPr="002A5355">
              <w:rPr>
                <w:sz w:val="20"/>
                <w:szCs w:val="18"/>
              </w:rPr>
              <w:t>67.9%</w:t>
            </w:r>
          </w:p>
        </w:tc>
        <w:tc>
          <w:tcPr>
            <w:tcW w:w="1004" w:type="pct"/>
            <w:shd w:val="clear" w:color="auto" w:fill="F2F2F2" w:themeFill="background1" w:themeFillShade="F2"/>
          </w:tcPr>
          <w:p w14:paraId="2488D02B" w14:textId="77777777" w:rsidR="00CB4C3C" w:rsidRPr="002A5355"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20"/>
                <w:szCs w:val="18"/>
              </w:rPr>
            </w:pPr>
            <w:r w:rsidRPr="002A5355">
              <w:rPr>
                <w:sz w:val="20"/>
                <w:szCs w:val="18"/>
              </w:rPr>
              <w:t>74.3%</w:t>
            </w:r>
          </w:p>
        </w:tc>
      </w:tr>
      <w:tr w:rsidR="00CB4C3C" w:rsidRPr="00324C84" w14:paraId="4B268FFC" w14:textId="77777777" w:rsidTr="00FE2C3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91"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11CFEB65" w14:textId="77777777" w:rsidR="00CB4C3C" w:rsidRPr="002A5355" w:rsidRDefault="00CB4C3C" w:rsidP="00CE5053">
            <w:pPr>
              <w:spacing w:before="40" w:after="40"/>
              <w:rPr>
                <w:sz w:val="20"/>
                <w:szCs w:val="18"/>
              </w:rPr>
            </w:pPr>
            <w:r w:rsidRPr="002A5355">
              <w:rPr>
                <w:sz w:val="20"/>
                <w:szCs w:val="18"/>
              </w:rPr>
              <w:t>Full fibre (Fibre to the premises – FTT</w:t>
            </w:r>
            <w:r w:rsidR="0080137E" w:rsidRPr="002A5355">
              <w:rPr>
                <w:sz w:val="20"/>
                <w:szCs w:val="18"/>
              </w:rPr>
              <w:t>P</w:t>
            </w:r>
            <w:r w:rsidRPr="002A5355">
              <w:rPr>
                <w:sz w:val="20"/>
                <w:szCs w:val="18"/>
              </w:rPr>
              <w:t xml:space="preserve"> &gt;1,000Mbps)</w:t>
            </w:r>
          </w:p>
        </w:tc>
        <w:tc>
          <w:tcPr>
            <w:tcW w:w="1005" w:type="pct"/>
            <w:tcBorders>
              <w:top w:val="single" w:sz="4" w:space="0" w:color="FFFFFF" w:themeColor="background1"/>
              <w:bottom w:val="single" w:sz="4" w:space="0" w:color="FFFFFF" w:themeColor="background1"/>
            </w:tcBorders>
            <w:shd w:val="clear" w:color="auto" w:fill="EDEDED" w:themeFill="accent3" w:themeFillTint="33"/>
          </w:tcPr>
          <w:p w14:paraId="0CC40490" w14:textId="77777777" w:rsidR="00CB4C3C" w:rsidRPr="002A5355"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18"/>
              </w:rPr>
            </w:pPr>
            <w:r w:rsidRPr="002A5355">
              <w:rPr>
                <w:sz w:val="20"/>
                <w:szCs w:val="18"/>
              </w:rPr>
              <w:t>13.3%</w:t>
            </w:r>
          </w:p>
        </w:tc>
        <w:tc>
          <w:tcPr>
            <w:tcW w:w="1004" w:type="pct"/>
            <w:tcBorders>
              <w:top w:val="single" w:sz="4" w:space="0" w:color="FFFFFF" w:themeColor="background1"/>
              <w:bottom w:val="single" w:sz="4" w:space="0" w:color="FFFFFF" w:themeColor="background1"/>
            </w:tcBorders>
            <w:shd w:val="clear" w:color="auto" w:fill="EDEDED" w:themeFill="accent3" w:themeFillTint="33"/>
          </w:tcPr>
          <w:p w14:paraId="3556C089" w14:textId="77777777" w:rsidR="00CB4C3C" w:rsidRPr="002A5355"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20"/>
                <w:szCs w:val="18"/>
              </w:rPr>
            </w:pPr>
            <w:r w:rsidRPr="002A5355">
              <w:rPr>
                <w:sz w:val="20"/>
                <w:szCs w:val="18"/>
              </w:rPr>
              <w:t>10.68%</w:t>
            </w:r>
          </w:p>
        </w:tc>
      </w:tr>
    </w:tbl>
    <w:p w14:paraId="1246FDE0" w14:textId="77777777" w:rsidR="00CB4C3C" w:rsidRPr="000071BD" w:rsidRDefault="00CB4C3C" w:rsidP="00CE5053">
      <w:pPr>
        <w:pStyle w:val="Caption"/>
        <w:spacing w:before="120" w:after="360"/>
        <w:ind w:left="720"/>
        <w:rPr>
          <w:i w:val="0"/>
          <w:color w:val="auto"/>
        </w:rPr>
      </w:pPr>
      <w:r w:rsidRPr="005A0648">
        <w:rPr>
          <w:b/>
          <w:i w:val="0"/>
          <w:color w:val="auto"/>
        </w:rPr>
        <w:t xml:space="preserve">Table </w:t>
      </w:r>
      <w:r>
        <w:rPr>
          <w:b/>
          <w:i w:val="0"/>
          <w:color w:val="auto"/>
        </w:rPr>
        <w:fldChar w:fldCharType="begin"/>
      </w:r>
      <w:r>
        <w:rPr>
          <w:b/>
          <w:i w:val="0"/>
          <w:color w:val="auto"/>
        </w:rPr>
        <w:instrText xml:space="preserve"> SEQ Table \* ARABIC </w:instrText>
      </w:r>
      <w:r>
        <w:rPr>
          <w:b/>
          <w:i w:val="0"/>
          <w:color w:val="auto"/>
        </w:rPr>
        <w:fldChar w:fldCharType="separate"/>
      </w:r>
      <w:r w:rsidR="00C93475">
        <w:rPr>
          <w:b/>
          <w:i w:val="0"/>
          <w:noProof/>
          <w:color w:val="auto"/>
        </w:rPr>
        <w:t>19</w:t>
      </w:r>
      <w:r>
        <w:rPr>
          <w:b/>
          <w:i w:val="0"/>
          <w:color w:val="auto"/>
        </w:rPr>
        <w:fldChar w:fldCharType="end"/>
      </w:r>
      <w:r w:rsidRPr="005A0648">
        <w:rPr>
          <w:i w:val="0"/>
          <w:color w:val="auto"/>
        </w:rPr>
        <w:t xml:space="preserve"> </w:t>
      </w:r>
      <w:r>
        <w:rPr>
          <w:i w:val="0"/>
          <w:color w:val="auto"/>
        </w:rPr>
        <w:t>Broadband connection by type in Lewisham</w:t>
      </w:r>
      <w:r w:rsidRPr="005A0648">
        <w:rPr>
          <w:i w:val="0"/>
          <w:color w:val="auto"/>
        </w:rPr>
        <w:t xml:space="preserve">. Source: </w:t>
      </w:r>
      <w:r>
        <w:rPr>
          <w:i w:val="0"/>
          <w:color w:val="auto"/>
        </w:rPr>
        <w:t xml:space="preserve">Ofcom (2019), </w:t>
      </w:r>
      <w:r>
        <w:rPr>
          <w:color w:val="auto"/>
        </w:rPr>
        <w:t>Connected Nations Update: Summer 2019</w:t>
      </w:r>
      <w:r>
        <w:rPr>
          <w:i w:val="0"/>
          <w:color w:val="auto"/>
        </w:rPr>
        <w:t>.</w:t>
      </w:r>
    </w:p>
    <w:p w14:paraId="4210F534" w14:textId="77777777" w:rsidR="00CB4C3C"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tab/>
        <w:t>Most people and businesses do not require the high bandwidths offered by full fibre, and “superfast” speeds which can be delivered over a hybrid fibre/copper solution are adequate. Lewisham currently enjoys superfast penetration of 96.5%. This compares to a London average of 95.59%</w:t>
      </w:r>
    </w:p>
    <w:p w14:paraId="232BFD00" w14:textId="77777777" w:rsidR="00CB4C3C"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tab/>
        <w:t>At the end of 2018, Deptford / New Cross was named as one of six Creative Enterprise Zones (CEZ) by the Mayor of London, with a funding grant provided to support the growth of the creative industry sector in the area. Key to the success of the CEZ will be to retain creative talent from local educational institutions such as Goldsmiths and Trinity Laban, provide pathways for local community groups to access affordable and high quality work space, and support creative businesses to connect and collaborate. Access to gigabit full fibre broadband will be an important asset to support the CEZ, however currently there are gaps in coverage, including properties that cannot access standard superfast (&gt;30Mbps) connections.</w:t>
      </w:r>
    </w:p>
    <w:p w14:paraId="0ABA7E84" w14:textId="77777777" w:rsidR="00CB4C3C" w:rsidRPr="0054330D"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tab/>
        <w:t>There are also parts of the borough’s social housing stock that suffer from poor and unreliable broadband connectivity. To improve equalities outcomes in Lewisham, the upgrading of broadband connections to these properties will play an important role in supporting our communities and removing barriers to opportunities.</w:t>
      </w:r>
    </w:p>
    <w:p w14:paraId="05C15C39" w14:textId="77777777" w:rsidR="00CB4C3C" w:rsidRDefault="00CB4C3C" w:rsidP="00CE5053">
      <w:pPr>
        <w:tabs>
          <w:tab w:val="left" w:pos="720"/>
          <w:tab w:val="left" w:pos="1440"/>
          <w:tab w:val="left" w:pos="2160"/>
          <w:tab w:val="left" w:pos="2713"/>
          <w:tab w:val="left" w:pos="3349"/>
        </w:tabs>
        <w:spacing w:before="240" w:after="120"/>
        <w:ind w:left="720"/>
        <w:rPr>
          <w:b/>
        </w:rPr>
      </w:pPr>
      <w:r>
        <w:rPr>
          <w:b/>
        </w:rPr>
        <w:t>Future requirement</w:t>
      </w:r>
      <w:r>
        <w:rPr>
          <w:b/>
        </w:rPr>
        <w:tab/>
      </w:r>
    </w:p>
    <w:p w14:paraId="368066C1" w14:textId="77777777" w:rsidR="00CB4C3C"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lastRenderedPageBreak/>
        <w:tab/>
        <w:t>The imminent roll out of 5G mobile technology will require extensive fibre infrastructure rollout across the borough, as the extremely high frequencies which the network will operate will require base stations to be clustered closer together than existing 4G cellular technology. If fibre infrastructure is not available, there is a risk that the roll out of 5G technology will be delayed to the detriment of local residents and businesses.</w:t>
      </w:r>
    </w:p>
    <w:p w14:paraId="6DA4E0D7" w14:textId="77777777" w:rsidR="00CB4C3C" w:rsidRPr="000071BD"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rsidRPr="000071BD">
        <w:tab/>
        <w:t xml:space="preserve">Through estate regeneration, there is an opportunity to address the lack of broadband infrastructure in some of Council’s social housing stock by ensuring all properties are provided with full fibre connections during construction. As a broader objective, Council is currently developing a digital connectivity strategy that will provide a series of recommendations as to what role the Council can play in providing greater access to full fibre technology across the borough. </w:t>
      </w:r>
    </w:p>
    <w:p w14:paraId="7CACC8B1" w14:textId="77777777" w:rsidR="00CB4C3C" w:rsidRDefault="00CB4C3C" w:rsidP="00CE5053">
      <w:pPr>
        <w:pStyle w:val="ListParagraph"/>
        <w:numPr>
          <w:ilvl w:val="0"/>
          <w:numId w:val="19"/>
        </w:numPr>
        <w:tabs>
          <w:tab w:val="left" w:pos="720"/>
          <w:tab w:val="left" w:pos="1440"/>
          <w:tab w:val="left" w:pos="2160"/>
          <w:tab w:val="left" w:pos="2713"/>
          <w:tab w:val="left" w:pos="3349"/>
          <w:tab w:val="left" w:pos="5492"/>
        </w:tabs>
        <w:spacing w:before="240" w:after="240"/>
        <w:ind w:left="737" w:hanging="737"/>
        <w:contextualSpacing w:val="0"/>
      </w:pPr>
      <w:r w:rsidRPr="000071BD">
        <w:t xml:space="preserve">In the interim, the Council will continue to work with developers across the sector to ensure that broadband connectivity provision is adequate to service the needs of </w:t>
      </w:r>
      <w:r w:rsidR="000071BD">
        <w:t>residents</w:t>
      </w:r>
      <w:r w:rsidRPr="000071BD">
        <w:t>. Council will also work with private market operators to upgrade existing networks to allow for Lewisham residents to take advantage of new technology as it becomes available.</w:t>
      </w:r>
      <w:r>
        <w:t xml:space="preserve"> </w:t>
      </w:r>
    </w:p>
    <w:p w14:paraId="7BC35E71" w14:textId="77777777" w:rsidR="00CB4C3C" w:rsidRDefault="00CB4C3C" w:rsidP="00CE5053">
      <w:pPr>
        <w:spacing w:after="60"/>
        <w:rPr>
          <w:bCs/>
        </w:rPr>
      </w:pPr>
    </w:p>
    <w:p w14:paraId="264C1A0E" w14:textId="77777777" w:rsidR="00CB4C3C" w:rsidRDefault="00CB4C3C" w:rsidP="00CE5053">
      <w:pPr>
        <w:spacing w:after="60"/>
        <w:rPr>
          <w:sz w:val="19"/>
          <w:szCs w:val="19"/>
        </w:rPr>
        <w:sectPr w:rsidR="00CB4C3C" w:rsidSect="007B10F6">
          <w:pgSz w:w="11906" w:h="16838"/>
          <w:pgMar w:top="1440" w:right="1440" w:bottom="1440" w:left="1440" w:header="708" w:footer="708" w:gutter="0"/>
          <w:pgBorders w:offsetFrom="page">
            <w:top w:val="single" w:sz="4" w:space="24" w:color="FFFFFF" w:themeColor="background1"/>
            <w:bottom w:val="single" w:sz="4" w:space="24" w:color="FFFFFF" w:themeColor="background1"/>
          </w:pgBorders>
          <w:cols w:space="708"/>
          <w:docGrid w:linePitch="360"/>
        </w:sectPr>
      </w:pPr>
    </w:p>
    <w:p w14:paraId="1174CB0D" w14:textId="77777777" w:rsidR="00CB4C3C" w:rsidRDefault="00CB4C3C" w:rsidP="00CE5053">
      <w:pPr>
        <w:pStyle w:val="Heading3"/>
      </w:pPr>
      <w:bookmarkStart w:id="74" w:name="_Toc56146057"/>
      <w:r>
        <w:lastRenderedPageBreak/>
        <w:t xml:space="preserve">Strategic infrastructure </w:t>
      </w:r>
      <w:r w:rsidRPr="00B95034">
        <w:t xml:space="preserve">list for </w:t>
      </w:r>
      <w:r>
        <w:t>digital</w:t>
      </w:r>
      <w:r w:rsidRPr="00B95034">
        <w:t xml:space="preserve"> </w:t>
      </w:r>
      <w:r>
        <w:t>infrastructure</w:t>
      </w:r>
      <w:bookmarkEnd w:id="74"/>
    </w:p>
    <w:tbl>
      <w:tblPr>
        <w:tblStyle w:val="ListTable3-Accent32"/>
        <w:tblW w:w="4815" w:type="pct"/>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Table"/>
      </w:tblPr>
      <w:tblGrid>
        <w:gridCol w:w="2266"/>
        <w:gridCol w:w="1697"/>
        <w:gridCol w:w="5744"/>
        <w:gridCol w:w="2334"/>
        <w:gridCol w:w="830"/>
        <w:gridCol w:w="842"/>
        <w:gridCol w:w="842"/>
        <w:gridCol w:w="863"/>
        <w:gridCol w:w="1238"/>
        <w:gridCol w:w="984"/>
        <w:gridCol w:w="1076"/>
        <w:gridCol w:w="1439"/>
      </w:tblGrid>
      <w:tr w:rsidR="00CB4C3C" w:rsidRPr="004400BC" w14:paraId="19715467"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397B6597" w14:textId="77777777" w:rsidR="00CB4C3C" w:rsidRPr="00C43DD5" w:rsidRDefault="00CB4C3C" w:rsidP="00CE5053">
            <w:pPr>
              <w:spacing w:before="40" w:after="40"/>
              <w:rPr>
                <w:b w:val="0"/>
                <w:bCs w:val="0"/>
                <w:sz w:val="18"/>
                <w:szCs w:val="16"/>
              </w:rPr>
            </w:pPr>
            <w:r w:rsidRPr="00C43DD5">
              <w:rPr>
                <w:sz w:val="18"/>
                <w:szCs w:val="16"/>
              </w:rPr>
              <w:t>Planned provision</w:t>
            </w:r>
          </w:p>
        </w:tc>
        <w:tc>
          <w:tcPr>
            <w:tcW w:w="421"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743466FD" w14:textId="77777777" w:rsidR="00CB4C3C" w:rsidRPr="00C43DD5"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Proposed location</w:t>
            </w:r>
          </w:p>
        </w:tc>
        <w:tc>
          <w:tcPr>
            <w:tcW w:w="1425"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2BDA972" w14:textId="77777777" w:rsidR="00CB4C3C" w:rsidRPr="00C43DD5"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6"/>
              </w:rPr>
            </w:pPr>
            <w:r w:rsidRPr="00C43DD5">
              <w:rPr>
                <w:bCs w:val="0"/>
                <w:sz w:val="18"/>
                <w:szCs w:val="16"/>
              </w:rPr>
              <w:t xml:space="preserve">Description of </w:t>
            </w:r>
            <w:r w:rsidRPr="00C43DD5">
              <w:rPr>
                <w:bCs w:val="0"/>
                <w:noProof/>
                <w:sz w:val="18"/>
                <w:szCs w:val="16"/>
              </w:rPr>
              <w:t>project/proposal</w:t>
            </w:r>
          </w:p>
        </w:tc>
        <w:tc>
          <w:tcPr>
            <w:tcW w:w="579"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1716BBF7" w14:textId="77777777" w:rsidR="00CB4C3C" w:rsidRPr="00C43DD5"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bCs w:val="0"/>
                <w:sz w:val="18"/>
                <w:szCs w:val="16"/>
              </w:rPr>
            </w:pPr>
            <w:r w:rsidRPr="00C43DD5">
              <w:rPr>
                <w:bCs w:val="0"/>
                <w:sz w:val="18"/>
                <w:szCs w:val="16"/>
              </w:rPr>
              <w:t>Project lead (and delivery partners)</w:t>
            </w:r>
          </w:p>
        </w:tc>
        <w:tc>
          <w:tcPr>
            <w:tcW w:w="838"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82D3C10" w14:textId="77777777" w:rsidR="00CB4C3C" w:rsidRPr="00C43DD5"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Indicative timescale</w:t>
            </w:r>
          </w:p>
        </w:tc>
        <w:tc>
          <w:tcPr>
            <w:tcW w:w="30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23F5F8A4" w14:textId="77777777" w:rsidR="00CB4C3C" w:rsidRPr="00C43DD5"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Total cost (indicative)</w:t>
            </w:r>
          </w:p>
        </w:tc>
        <w:tc>
          <w:tcPr>
            <w:tcW w:w="24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5E2DD949" w14:textId="77777777" w:rsidR="00CB4C3C" w:rsidRPr="00C43DD5"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Total funding available</w:t>
            </w:r>
          </w:p>
        </w:tc>
        <w:tc>
          <w:tcPr>
            <w:tcW w:w="267"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Pr>
          <w:p w14:paraId="48B4C31C" w14:textId="77777777" w:rsidR="00CB4C3C" w:rsidRPr="00C43DD5"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6"/>
              </w:rPr>
            </w:pPr>
            <w:r w:rsidRPr="00C43DD5">
              <w:rPr>
                <w:sz w:val="18"/>
                <w:szCs w:val="16"/>
              </w:rPr>
              <w:t>Funding gap</w:t>
            </w:r>
          </w:p>
        </w:tc>
        <w:tc>
          <w:tcPr>
            <w:tcW w:w="357" w:type="pct"/>
            <w:vMerge w:val="restart"/>
            <w:tcBorders>
              <w:top w:val="single" w:sz="4" w:space="0" w:color="FFFFFF" w:themeColor="background1"/>
              <w:left w:val="single" w:sz="4" w:space="0" w:color="FFFFFF" w:themeColor="background1"/>
              <w:right w:val="nil"/>
            </w:tcBorders>
            <w:shd w:val="clear" w:color="auto" w:fill="002060"/>
          </w:tcPr>
          <w:p w14:paraId="61B1A7C4" w14:textId="77777777" w:rsidR="00CB4C3C" w:rsidRPr="00C43DD5"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Prioritisation</w:t>
            </w:r>
          </w:p>
          <w:p w14:paraId="1D603FF4" w14:textId="77777777" w:rsidR="00CB4C3C" w:rsidRPr="00C43DD5"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(3) Critical</w:t>
            </w:r>
          </w:p>
          <w:p w14:paraId="228A51E0" w14:textId="77777777" w:rsidR="00CB4C3C" w:rsidRPr="00C43DD5"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(2) Essential</w:t>
            </w:r>
          </w:p>
          <w:p w14:paraId="260E57F8" w14:textId="77777777" w:rsidR="00CB4C3C" w:rsidRPr="00C43DD5"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8"/>
                <w:szCs w:val="16"/>
              </w:rPr>
            </w:pPr>
            <w:r w:rsidRPr="00C43DD5">
              <w:rPr>
                <w:sz w:val="18"/>
                <w:szCs w:val="16"/>
              </w:rPr>
              <w:t>(1) Important</w:t>
            </w:r>
          </w:p>
        </w:tc>
      </w:tr>
      <w:tr w:rsidR="00CD1374" w:rsidRPr="004400BC" w14:paraId="25BF9B8F"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3DC20B7F" w14:textId="77777777" w:rsidR="00CB4C3C" w:rsidRDefault="00CB4C3C" w:rsidP="00CE5053">
            <w:pPr>
              <w:spacing w:before="40" w:after="40"/>
              <w:rPr>
                <w:sz w:val="16"/>
                <w:szCs w:val="16"/>
              </w:rPr>
            </w:pPr>
          </w:p>
        </w:tc>
        <w:tc>
          <w:tcPr>
            <w:tcW w:w="421"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222C0D7E" w14:textId="77777777" w:rsidR="00CB4C3C" w:rsidRPr="004400BC"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1425"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2DE00C70" w14:textId="77777777" w:rsidR="00CB4C3C" w:rsidRPr="004400BC"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p>
        </w:tc>
        <w:tc>
          <w:tcPr>
            <w:tcW w:w="579"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0828AFE0" w14:textId="77777777" w:rsidR="00CB4C3C" w:rsidRPr="004400BC"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bCs w:val="0"/>
                <w:sz w:val="16"/>
                <w:szCs w:val="16"/>
              </w:rPr>
            </w:pP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6ED4477" w14:textId="77777777" w:rsidR="00CB4C3C" w:rsidRPr="00AB5E74"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2020/25</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13BB76E" w14:textId="77777777" w:rsidR="00CB4C3C" w:rsidRPr="00AB5E74"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2025/30</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DFBAC8A" w14:textId="77777777" w:rsidR="00CB4C3C" w:rsidRPr="00AB5E74"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2030/35</w:t>
            </w: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99EC05E" w14:textId="77777777" w:rsidR="00CB4C3C" w:rsidRPr="00AB5E74"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b w:val="0"/>
                <w:sz w:val="16"/>
                <w:szCs w:val="16"/>
              </w:rPr>
            </w:pPr>
            <w:r w:rsidRPr="00AB5E74">
              <w:rPr>
                <w:b w:val="0"/>
                <w:sz w:val="16"/>
                <w:szCs w:val="16"/>
              </w:rPr>
              <w:t>2035/40</w:t>
            </w:r>
          </w:p>
        </w:tc>
        <w:tc>
          <w:tcPr>
            <w:tcW w:w="30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7BBBDB27" w14:textId="77777777" w:rsidR="00CB4C3C"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244"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68285AC0" w14:textId="77777777" w:rsidR="00CB4C3C"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267" w:type="pct"/>
            <w:vMerge/>
            <w:tcBorders>
              <w:left w:val="single" w:sz="4" w:space="0" w:color="FFFFFF" w:themeColor="background1"/>
              <w:bottom w:val="single" w:sz="4" w:space="0" w:color="FFFFFF" w:themeColor="background1"/>
              <w:right w:val="single" w:sz="4" w:space="0" w:color="FFFFFF" w:themeColor="background1"/>
            </w:tcBorders>
            <w:shd w:val="clear" w:color="auto" w:fill="333399"/>
          </w:tcPr>
          <w:p w14:paraId="63ED297C" w14:textId="77777777" w:rsidR="00CB4C3C"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c>
          <w:tcPr>
            <w:tcW w:w="357" w:type="pct"/>
            <w:vMerge/>
            <w:tcBorders>
              <w:left w:val="single" w:sz="4" w:space="0" w:color="FFFFFF" w:themeColor="background1"/>
              <w:bottom w:val="single" w:sz="4" w:space="0" w:color="FFFFFF" w:themeColor="background1"/>
              <w:right w:val="nil"/>
            </w:tcBorders>
            <w:shd w:val="clear" w:color="auto" w:fill="333399"/>
          </w:tcPr>
          <w:p w14:paraId="700A880C" w14:textId="77777777" w:rsidR="00CB4C3C" w:rsidRDefault="00CB4C3C" w:rsidP="00CE5053">
            <w:pPr>
              <w:spacing w:before="40" w:after="40"/>
              <w:cnfStyle w:val="100000000000" w:firstRow="1" w:lastRow="0" w:firstColumn="0" w:lastColumn="0" w:oddVBand="0" w:evenVBand="0" w:oddHBand="0" w:evenHBand="0" w:firstRowFirstColumn="0" w:firstRowLastColumn="0" w:lastRowFirstColumn="0" w:lastRowLastColumn="0"/>
              <w:rPr>
                <w:sz w:val="16"/>
                <w:szCs w:val="16"/>
              </w:rPr>
            </w:pPr>
          </w:p>
        </w:tc>
      </w:tr>
      <w:tr w:rsidR="00CB4C3C" w:rsidRPr="004400BC" w14:paraId="48EFBA83" w14:textId="77777777" w:rsidTr="00FE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C2C364" w14:textId="77777777" w:rsidR="00CB4C3C" w:rsidRPr="006A7981" w:rsidRDefault="00CB4C3C" w:rsidP="00CE5053">
            <w:pPr>
              <w:spacing w:before="40" w:after="40"/>
              <w:rPr>
                <w:sz w:val="18"/>
                <w:szCs w:val="16"/>
              </w:rPr>
            </w:pPr>
            <w:r w:rsidRPr="006A7981">
              <w:rPr>
                <w:sz w:val="18"/>
                <w:szCs w:val="16"/>
              </w:rPr>
              <w:t>Roll-out of full fibre broadband network</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E049BD" w14:textId="77777777" w:rsidR="00CB4C3C" w:rsidRPr="006A7981"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Across borough</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A966DB" w14:textId="77777777" w:rsidR="00CB4C3C" w:rsidRPr="006A7981"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Leverage council buildings and assets as fibre end points, to stimulate fibre deployment. Any public funding beyond that normal operational costs is expected to come from external sources (e.g. DCMS,GLA)</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AA1920" w14:textId="77777777" w:rsidR="00CB4C3C" w:rsidRPr="006A7981"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Via third party service providers</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625D14" w14:textId="77777777" w:rsidR="00CB4C3C" w:rsidRPr="006A7981"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D02481" w14:textId="77777777" w:rsidR="00CB4C3C" w:rsidRPr="006A7981"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962636" w14:textId="77777777" w:rsidR="00CB4C3C" w:rsidRPr="006A7981"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552BBE" w14:textId="77777777" w:rsidR="00CB4C3C" w:rsidRPr="006A7981"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1F03DC" w14:textId="77777777" w:rsidR="00CB4C3C" w:rsidRPr="006A7981"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£5m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A5E5E7" w14:textId="77777777" w:rsidR="00CB4C3C" w:rsidRPr="006A7981"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nil</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8ED1D8" w14:textId="77777777" w:rsidR="00CB4C3C" w:rsidRPr="006A7981"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£5m</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A99A3C" w14:textId="77777777" w:rsidR="00CB4C3C" w:rsidRPr="006A7981"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8"/>
                <w:szCs w:val="16"/>
              </w:rPr>
            </w:pPr>
            <w:r w:rsidRPr="006A7981">
              <w:rPr>
                <w:sz w:val="18"/>
                <w:szCs w:val="16"/>
              </w:rPr>
              <w:t>1</w:t>
            </w:r>
          </w:p>
        </w:tc>
      </w:tr>
      <w:tr w:rsidR="00CB4C3C" w:rsidRPr="004400BC" w14:paraId="756FADA4" w14:textId="77777777" w:rsidTr="00FE2C36">
        <w:tc>
          <w:tcPr>
            <w:cnfStyle w:val="001000000000" w:firstRow="0" w:lastRow="0" w:firstColumn="1" w:lastColumn="0" w:oddVBand="0" w:evenVBand="0" w:oddHBand="0" w:evenHBand="0" w:firstRowFirstColumn="0" w:firstRowLastColumn="0" w:lastRowFirstColumn="0" w:lastRowLastColumn="0"/>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42E70D" w14:textId="77777777" w:rsidR="00CB4C3C" w:rsidRPr="006A7981" w:rsidRDefault="00CB4C3C" w:rsidP="00CE5053">
            <w:pPr>
              <w:spacing w:before="40" w:after="40"/>
              <w:rPr>
                <w:sz w:val="18"/>
                <w:szCs w:val="16"/>
              </w:rPr>
            </w:pPr>
            <w:r w:rsidRPr="006A7981">
              <w:rPr>
                <w:sz w:val="18"/>
                <w:szCs w:val="16"/>
              </w:rPr>
              <w:t>Upgrade of social housing stock to full fibre broadband</w:t>
            </w:r>
          </w:p>
        </w:tc>
        <w:tc>
          <w:tcPr>
            <w:tcW w:w="4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CD2D441" w14:textId="77777777" w:rsidR="00CB4C3C" w:rsidRPr="006A7981"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highlight w:val="yellow"/>
              </w:rPr>
            </w:pPr>
            <w:r w:rsidRPr="006A7981">
              <w:rPr>
                <w:sz w:val="18"/>
                <w:szCs w:val="16"/>
              </w:rPr>
              <w:t>Across borough</w:t>
            </w:r>
          </w:p>
        </w:tc>
        <w:tc>
          <w:tcPr>
            <w:tcW w:w="14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2D2DD6" w14:textId="77777777" w:rsidR="00CB4C3C" w:rsidRPr="006A7981"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highlight w:val="yellow"/>
              </w:rPr>
            </w:pPr>
            <w:r w:rsidRPr="006A7981">
              <w:rPr>
                <w:sz w:val="18"/>
                <w:szCs w:val="16"/>
              </w:rPr>
              <w:t>Develop a common wayleave in conjunction with Lewisham Homes and other local providers and invite the market to deliver high quality broadband into social housing.</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C53327" w14:textId="77777777" w:rsidR="00CB4C3C" w:rsidRPr="006A7981"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Lewisham Homes, LB Lewisham, Hyperoptic, Community Fibre, registered housing providers</w:t>
            </w:r>
          </w:p>
        </w:tc>
        <w:tc>
          <w:tcPr>
            <w:tcW w:w="2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0B1FA6" w14:textId="77777777" w:rsidR="00CB4C3C" w:rsidRPr="006A7981"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X</w:t>
            </w: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558D7E" w14:textId="77777777" w:rsidR="00CB4C3C" w:rsidRPr="006A7981"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p>
        </w:tc>
        <w:tc>
          <w:tcPr>
            <w:tcW w:w="2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1C0BC8" w14:textId="77777777" w:rsidR="00CB4C3C" w:rsidRPr="006A7981"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p>
        </w:tc>
        <w:tc>
          <w:tcPr>
            <w:tcW w:w="2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09F0E2" w14:textId="77777777" w:rsidR="00CB4C3C" w:rsidRPr="006A7981"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37A90B" w14:textId="77777777" w:rsidR="00CB4C3C" w:rsidRPr="006A7981"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£5m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C82D21" w14:textId="77777777" w:rsidR="00CB4C3C" w:rsidRPr="006A7981"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nil</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A58933" w14:textId="77777777" w:rsidR="00CB4C3C" w:rsidRPr="006A7981"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£5m</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95D368" w14:textId="77777777" w:rsidR="00CB4C3C" w:rsidRPr="006A7981" w:rsidRDefault="00CB4C3C" w:rsidP="00CE5053">
            <w:pPr>
              <w:spacing w:before="40" w:after="40"/>
              <w:cnfStyle w:val="000000000000" w:firstRow="0" w:lastRow="0" w:firstColumn="0" w:lastColumn="0" w:oddVBand="0" w:evenVBand="0" w:oddHBand="0" w:evenHBand="0" w:firstRowFirstColumn="0" w:firstRowLastColumn="0" w:lastRowFirstColumn="0" w:lastRowLastColumn="0"/>
              <w:rPr>
                <w:sz w:val="18"/>
                <w:szCs w:val="16"/>
              </w:rPr>
            </w:pPr>
            <w:r w:rsidRPr="006A7981">
              <w:rPr>
                <w:sz w:val="18"/>
                <w:szCs w:val="16"/>
              </w:rPr>
              <w:t>1</w:t>
            </w:r>
          </w:p>
        </w:tc>
      </w:tr>
      <w:tr w:rsidR="00CB4C3C" w:rsidRPr="004400BC" w14:paraId="66C16C71" w14:textId="77777777" w:rsidTr="00FE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9C05CC7" w14:textId="77777777" w:rsidR="00CB4C3C" w:rsidRDefault="00CB4C3C" w:rsidP="00CE5053">
            <w:pPr>
              <w:spacing w:before="40" w:after="40"/>
              <w:rPr>
                <w:sz w:val="16"/>
                <w:szCs w:val="16"/>
              </w:rPr>
            </w:pPr>
          </w:p>
        </w:tc>
        <w:tc>
          <w:tcPr>
            <w:tcW w:w="42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AAD07E2" w14:textId="77777777" w:rsidR="00CB4C3C"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b/>
                <w:sz w:val="16"/>
                <w:szCs w:val="16"/>
              </w:rPr>
              <w:t>Sub-total</w:t>
            </w:r>
          </w:p>
        </w:tc>
        <w:tc>
          <w:tcPr>
            <w:tcW w:w="3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387C0A" w14:textId="77777777" w:rsidR="00CB4C3C" w:rsidRPr="004400BC"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£10m</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1EC805" w14:textId="77777777" w:rsidR="00CB4C3C" w:rsidRPr="004400BC"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2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8252529" w14:textId="77777777" w:rsidR="00CB4C3C" w:rsidRPr="004400BC"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£10m</w:t>
            </w:r>
          </w:p>
        </w:tc>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EF533CB" w14:textId="77777777" w:rsidR="00CB4C3C" w:rsidRPr="00AD2F12" w:rsidRDefault="00CB4C3C" w:rsidP="00CE5053">
            <w:pPr>
              <w:spacing w:before="40" w:after="40"/>
              <w:cnfStyle w:val="000000100000" w:firstRow="0" w:lastRow="0" w:firstColumn="0" w:lastColumn="0" w:oddVBand="0" w:evenVBand="0" w:oddHBand="1" w:evenHBand="0" w:firstRowFirstColumn="0" w:firstRowLastColumn="0" w:lastRowFirstColumn="0" w:lastRowLastColumn="0"/>
              <w:rPr>
                <w:b/>
                <w:sz w:val="16"/>
                <w:szCs w:val="16"/>
              </w:rPr>
            </w:pPr>
          </w:p>
        </w:tc>
      </w:tr>
    </w:tbl>
    <w:p w14:paraId="22E2EB0F" w14:textId="77777777" w:rsidR="00CB4C3C" w:rsidRDefault="00CB4C3C" w:rsidP="00CE5053"/>
    <w:p w14:paraId="5F1A1ADB" w14:textId="77777777" w:rsidR="00CB4C3C" w:rsidRDefault="00CB4C3C" w:rsidP="00CE5053">
      <w:pPr>
        <w:spacing w:after="60"/>
        <w:rPr>
          <w:sz w:val="19"/>
          <w:szCs w:val="19"/>
        </w:rPr>
      </w:pPr>
    </w:p>
    <w:p w14:paraId="6D013848" w14:textId="77777777" w:rsidR="00CB4C3C" w:rsidRDefault="00CB4C3C" w:rsidP="00CE5053">
      <w:pPr>
        <w:spacing w:after="60"/>
        <w:rPr>
          <w:sz w:val="19"/>
          <w:szCs w:val="19"/>
        </w:rPr>
        <w:sectPr w:rsidR="00CB4C3C" w:rsidSect="007B10F6">
          <w:pgSz w:w="23814" w:h="16839" w:orient="landscape" w:code="8"/>
          <w:pgMar w:top="1440" w:right="1440" w:bottom="1440" w:left="1440" w:header="708" w:footer="708" w:gutter="0"/>
          <w:pgBorders w:offsetFrom="page">
            <w:top w:val="single" w:sz="4" w:space="24" w:color="FFFFFF" w:themeColor="background1"/>
            <w:bottom w:val="single" w:sz="4" w:space="24" w:color="FFFFFF" w:themeColor="background1"/>
          </w:pgBorders>
          <w:cols w:space="708"/>
          <w:docGrid w:linePitch="360"/>
        </w:sectPr>
      </w:pPr>
    </w:p>
    <w:p w14:paraId="3EE14A3D" w14:textId="77777777" w:rsidR="002C7B2F" w:rsidRPr="002C7B2F" w:rsidRDefault="00517BCC" w:rsidP="00CE5053">
      <w:pPr>
        <w:pStyle w:val="Heading1"/>
        <w:numPr>
          <w:ilvl w:val="0"/>
          <w:numId w:val="0"/>
        </w:numPr>
        <w:ind w:left="432" w:hanging="432"/>
      </w:pPr>
      <w:bookmarkStart w:id="75" w:name="_Toc56146058"/>
      <w:r>
        <w:lastRenderedPageBreak/>
        <w:t>A</w:t>
      </w:r>
      <w:r w:rsidR="001D3563">
        <w:t>ppendix</w:t>
      </w:r>
      <w:r>
        <w:t xml:space="preserve"> </w:t>
      </w:r>
      <w:r w:rsidR="006D1FCD">
        <w:t>A</w:t>
      </w:r>
      <w:r>
        <w:t xml:space="preserve"> – References</w:t>
      </w:r>
      <w:bookmarkEnd w:id="75"/>
    </w:p>
    <w:tbl>
      <w:tblPr>
        <w:tblStyle w:val="ListTable3-Accent32"/>
        <w:tblpPr w:leftFromText="180" w:rightFromText="180" w:vertAnchor="text" w:tblpY="1"/>
        <w:tblOverlap w:val="never"/>
        <w:tblW w:w="4811" w:type="pct"/>
        <w:tblBorders>
          <w:top w:val="single" w:sz="4" w:space="0" w:color="333399"/>
          <w:left w:val="single" w:sz="4" w:space="0" w:color="333399"/>
          <w:bottom w:val="single" w:sz="4" w:space="0" w:color="333399"/>
          <w:right w:val="single" w:sz="4" w:space="0" w:color="333399"/>
          <w:insideH w:val="single" w:sz="4" w:space="0" w:color="333399"/>
        </w:tblBorders>
        <w:tblLayout w:type="fixed"/>
        <w:tblLook w:val="04A0" w:firstRow="1" w:lastRow="0" w:firstColumn="1" w:lastColumn="0" w:noHBand="0" w:noVBand="1"/>
        <w:tblCaption w:val="Table"/>
      </w:tblPr>
      <w:tblGrid>
        <w:gridCol w:w="8676"/>
      </w:tblGrid>
      <w:tr w:rsidR="002C7B2F" w14:paraId="1A12B675" w14:textId="77777777" w:rsidTr="009357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B7B7B" w:themeFill="accent3" w:themeFillShade="BF"/>
          </w:tcPr>
          <w:p w14:paraId="766C3386" w14:textId="77777777" w:rsidR="002C7B2F" w:rsidRPr="002C7B2F" w:rsidRDefault="002C7B2F" w:rsidP="00CE5053">
            <w:pPr>
              <w:tabs>
                <w:tab w:val="center" w:pos="9954"/>
                <w:tab w:val="left" w:pos="11773"/>
                <w:tab w:val="left" w:pos="12454"/>
              </w:tabs>
              <w:spacing w:before="40" w:after="40"/>
              <w:rPr>
                <w:sz w:val="20"/>
                <w:szCs w:val="20"/>
              </w:rPr>
            </w:pPr>
            <w:bookmarkStart w:id="76" w:name="_GoBack" w:colFirst="0" w:colLast="1"/>
            <w:r w:rsidRPr="002C7B2F">
              <w:rPr>
                <w:sz w:val="20"/>
                <w:szCs w:val="20"/>
              </w:rPr>
              <w:t>SOCIAL INFRASTRUCTURE</w:t>
            </w:r>
          </w:p>
        </w:tc>
      </w:tr>
      <w:bookmarkEnd w:id="76"/>
      <w:tr w:rsidR="002C7B2F" w:rsidRPr="0077718A" w14:paraId="7CF1D689"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14:paraId="3A453762" w14:textId="77777777" w:rsidR="002C7B2F" w:rsidRPr="002C7B2F" w:rsidRDefault="002C7B2F" w:rsidP="00CE5053">
            <w:pPr>
              <w:tabs>
                <w:tab w:val="center" w:pos="4229"/>
              </w:tabs>
              <w:spacing w:before="40" w:after="40"/>
              <w:rPr>
                <w:sz w:val="20"/>
                <w:szCs w:val="20"/>
              </w:rPr>
            </w:pPr>
            <w:r w:rsidRPr="002C7B2F">
              <w:rPr>
                <w:sz w:val="20"/>
                <w:szCs w:val="20"/>
              </w:rPr>
              <w:t>EDUCATION &amp; CHILDCARE FACILITIES</w:t>
            </w:r>
          </w:p>
        </w:tc>
      </w:tr>
      <w:tr w:rsidR="002C7B2F" w14:paraId="4702D61A"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361D0B" w14:textId="77777777" w:rsidR="002C7B2F" w:rsidRPr="002C7B2F" w:rsidRDefault="002C7B2F" w:rsidP="00CE5053">
            <w:pPr>
              <w:spacing w:before="40" w:after="40"/>
              <w:rPr>
                <w:b w:val="0"/>
                <w:sz w:val="20"/>
                <w:szCs w:val="20"/>
              </w:rPr>
            </w:pPr>
            <w:r w:rsidRPr="002C7B2F">
              <w:rPr>
                <w:b w:val="0"/>
                <w:sz w:val="20"/>
                <w:szCs w:val="20"/>
              </w:rPr>
              <w:t>Department for Education (DfE), National Pupil Database</w:t>
            </w:r>
          </w:p>
        </w:tc>
      </w:tr>
      <w:tr w:rsidR="002C7B2F" w14:paraId="55B2DE59"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90262D" w14:textId="77777777" w:rsidR="002C7B2F" w:rsidRPr="002C7B2F" w:rsidRDefault="002C7B2F" w:rsidP="00CE5053">
            <w:pPr>
              <w:spacing w:before="40" w:after="40"/>
              <w:rPr>
                <w:b w:val="0"/>
                <w:sz w:val="20"/>
                <w:szCs w:val="20"/>
              </w:rPr>
            </w:pPr>
            <w:r w:rsidRPr="002C7B2F">
              <w:rPr>
                <w:b w:val="0"/>
                <w:sz w:val="20"/>
                <w:szCs w:val="20"/>
              </w:rPr>
              <w:t>Department for Education (DfE) (2018), School-level annual school census</w:t>
            </w:r>
          </w:p>
        </w:tc>
      </w:tr>
      <w:tr w:rsidR="002C7B2F" w14:paraId="2AE433F0"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02AC66" w14:textId="77777777" w:rsidR="002C7B2F" w:rsidRPr="002C7B2F" w:rsidRDefault="002C7B2F" w:rsidP="00CE5053">
            <w:pPr>
              <w:spacing w:before="40" w:after="40"/>
              <w:rPr>
                <w:b w:val="0"/>
                <w:sz w:val="20"/>
                <w:szCs w:val="20"/>
              </w:rPr>
            </w:pPr>
            <w:r w:rsidRPr="002C7B2F">
              <w:rPr>
                <w:b w:val="0"/>
                <w:sz w:val="20"/>
                <w:szCs w:val="20"/>
              </w:rPr>
              <w:t>Greater London Authority (GLA) (2019), Revised Forecasting Summer 2019</w:t>
            </w:r>
          </w:p>
        </w:tc>
      </w:tr>
      <w:tr w:rsidR="002C7B2F" w14:paraId="66441248"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5D181E" w14:textId="77777777" w:rsidR="002C7B2F" w:rsidRPr="002C7B2F" w:rsidRDefault="002C7B2F" w:rsidP="00CE5053">
            <w:pPr>
              <w:spacing w:before="40" w:after="40"/>
              <w:rPr>
                <w:b w:val="0"/>
                <w:sz w:val="20"/>
                <w:szCs w:val="20"/>
              </w:rPr>
            </w:pPr>
            <w:r w:rsidRPr="002C7B2F">
              <w:rPr>
                <w:b w:val="0"/>
                <w:sz w:val="20"/>
                <w:szCs w:val="20"/>
              </w:rPr>
              <w:t>LB Lewisham (2016), Alternative Provision Review</w:t>
            </w:r>
          </w:p>
        </w:tc>
      </w:tr>
      <w:tr w:rsidR="002C7B2F" w14:paraId="3164CCDD"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28642B" w14:textId="77777777" w:rsidR="002C7B2F" w:rsidRPr="002C7B2F" w:rsidRDefault="002C7B2F" w:rsidP="00CE5053">
            <w:pPr>
              <w:spacing w:before="40" w:after="40"/>
              <w:rPr>
                <w:sz w:val="20"/>
                <w:szCs w:val="20"/>
              </w:rPr>
            </w:pPr>
            <w:r w:rsidRPr="002C7B2F">
              <w:rPr>
                <w:b w:val="0"/>
                <w:sz w:val="20"/>
                <w:szCs w:val="20"/>
              </w:rPr>
              <w:t xml:space="preserve"> LB Lewisham (2016), </w:t>
            </w:r>
            <w:hyperlink r:id="rId19" w:history="1">
              <w:r w:rsidRPr="002C7B2F">
                <w:rPr>
                  <w:rStyle w:val="Hyperlink"/>
                  <w:b w:val="0"/>
                  <w:bCs w:val="0"/>
                  <w:sz w:val="20"/>
                  <w:szCs w:val="20"/>
                </w:rPr>
                <w:t>Childcare Sufficiency Assessment</w:t>
              </w:r>
            </w:hyperlink>
          </w:p>
        </w:tc>
      </w:tr>
      <w:tr w:rsidR="002C7B2F" w14:paraId="4BC9E7AD"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C8664E" w14:textId="77777777" w:rsidR="002C7B2F" w:rsidRPr="002C7B2F" w:rsidRDefault="002C7B2F" w:rsidP="00CE5053">
            <w:pPr>
              <w:spacing w:before="40" w:after="40"/>
              <w:rPr>
                <w:b w:val="0"/>
                <w:sz w:val="20"/>
                <w:szCs w:val="20"/>
              </w:rPr>
            </w:pPr>
            <w:r w:rsidRPr="002C7B2F">
              <w:rPr>
                <w:b w:val="0"/>
                <w:sz w:val="20"/>
                <w:szCs w:val="20"/>
              </w:rPr>
              <w:t xml:space="preserve">LB Lewisham (2016), </w:t>
            </w:r>
            <w:hyperlink r:id="rId20" w:history="1">
              <w:r w:rsidRPr="002C7B2F">
                <w:rPr>
                  <w:rStyle w:val="Hyperlink"/>
                  <w:b w:val="0"/>
                  <w:bCs w:val="0"/>
                  <w:sz w:val="20"/>
                  <w:szCs w:val="20"/>
                </w:rPr>
                <w:t>Special Educational Needs and Disability (SEND) Strategy 2019-22</w:t>
              </w:r>
            </w:hyperlink>
          </w:p>
        </w:tc>
      </w:tr>
      <w:tr w:rsidR="002C7B2F" w14:paraId="18B7F200"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3B3F8C" w14:textId="77777777" w:rsidR="002C7B2F" w:rsidRPr="002C7B2F" w:rsidRDefault="002C7B2F" w:rsidP="00CE5053">
            <w:pPr>
              <w:spacing w:before="40" w:after="40"/>
              <w:rPr>
                <w:b w:val="0"/>
                <w:sz w:val="20"/>
                <w:szCs w:val="20"/>
              </w:rPr>
            </w:pPr>
            <w:r w:rsidRPr="002C7B2F">
              <w:rPr>
                <w:b w:val="0"/>
                <w:sz w:val="20"/>
                <w:szCs w:val="20"/>
              </w:rPr>
              <w:t xml:space="preserve">LB Lewisham (2017), </w:t>
            </w:r>
            <w:hyperlink r:id="rId21" w:history="1">
              <w:r w:rsidRPr="002C7B2F">
                <w:rPr>
                  <w:rStyle w:val="Hyperlink"/>
                  <w:b w:val="0"/>
                  <w:bCs w:val="0"/>
                  <w:sz w:val="20"/>
                  <w:szCs w:val="20"/>
                </w:rPr>
                <w:t>Place Planning Strategy 2017-2022</w:t>
              </w:r>
            </w:hyperlink>
          </w:p>
        </w:tc>
      </w:tr>
      <w:tr w:rsidR="002C7B2F" w14:paraId="5280C1D0"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tcPr>
          <w:p w14:paraId="3062CCE4" w14:textId="77777777" w:rsidR="002C7B2F" w:rsidRPr="002C7B2F" w:rsidRDefault="002C7B2F" w:rsidP="00CE5053">
            <w:pPr>
              <w:tabs>
                <w:tab w:val="center" w:pos="4229"/>
              </w:tabs>
              <w:spacing w:before="40" w:after="40"/>
              <w:rPr>
                <w:sz w:val="20"/>
                <w:szCs w:val="20"/>
              </w:rPr>
            </w:pPr>
            <w:r w:rsidRPr="002C7B2F">
              <w:rPr>
                <w:sz w:val="20"/>
                <w:szCs w:val="20"/>
              </w:rPr>
              <w:t>HEALTH &amp; SOCIAL CARE</w:t>
            </w:r>
          </w:p>
        </w:tc>
      </w:tr>
      <w:tr w:rsidR="002C7B2F" w14:paraId="406F2D85"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992A3B" w14:textId="77777777" w:rsidR="002C7B2F" w:rsidRPr="002C7B2F" w:rsidRDefault="002C7B2F" w:rsidP="00CE5053">
            <w:pPr>
              <w:spacing w:before="40" w:after="40"/>
              <w:rPr>
                <w:b w:val="0"/>
                <w:sz w:val="20"/>
                <w:szCs w:val="20"/>
              </w:rPr>
            </w:pPr>
            <w:r w:rsidRPr="002C7B2F">
              <w:rPr>
                <w:b w:val="0"/>
                <w:sz w:val="20"/>
                <w:szCs w:val="20"/>
              </w:rPr>
              <w:t xml:space="preserve">National Health Service (NHS) (2019), </w:t>
            </w:r>
            <w:hyperlink r:id="rId22" w:history="1">
              <w:r w:rsidRPr="002C7B2F">
                <w:rPr>
                  <w:rStyle w:val="Hyperlink"/>
                  <w:b w:val="0"/>
                  <w:bCs w:val="0"/>
                  <w:sz w:val="20"/>
                  <w:szCs w:val="20"/>
                </w:rPr>
                <w:t>Long Term Plan</w:t>
              </w:r>
            </w:hyperlink>
          </w:p>
        </w:tc>
      </w:tr>
      <w:tr w:rsidR="002C7B2F" w14:paraId="158A0D64"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6D7BAB" w14:textId="77777777" w:rsidR="002C7B2F" w:rsidRPr="002C7B2F" w:rsidRDefault="002C7B2F" w:rsidP="00CE5053">
            <w:pPr>
              <w:spacing w:before="40" w:after="40"/>
              <w:rPr>
                <w:b w:val="0"/>
                <w:sz w:val="20"/>
                <w:szCs w:val="20"/>
              </w:rPr>
            </w:pPr>
            <w:r w:rsidRPr="002C7B2F">
              <w:rPr>
                <w:b w:val="0"/>
                <w:sz w:val="20"/>
                <w:szCs w:val="20"/>
              </w:rPr>
              <w:t xml:space="preserve">Lewisham Clinical Commissioning Group (CCG) (2016), </w:t>
            </w:r>
            <w:hyperlink r:id="rId23" w:history="1">
              <w:r w:rsidRPr="002C7B2F">
                <w:rPr>
                  <w:rStyle w:val="Hyperlink"/>
                  <w:b w:val="0"/>
                  <w:bCs w:val="0"/>
                  <w:sz w:val="20"/>
                  <w:szCs w:val="20"/>
                </w:rPr>
                <w:t>Sustainability and Transformation Plan</w:t>
              </w:r>
            </w:hyperlink>
          </w:p>
        </w:tc>
      </w:tr>
      <w:tr w:rsidR="002C7B2F" w14:paraId="429754FA"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4F71D6" w14:textId="77777777" w:rsidR="002C7B2F" w:rsidRPr="002C7B2F" w:rsidRDefault="002C7B2F" w:rsidP="00CE5053">
            <w:pPr>
              <w:spacing w:before="40" w:after="40"/>
              <w:rPr>
                <w:b w:val="0"/>
                <w:sz w:val="20"/>
                <w:szCs w:val="20"/>
              </w:rPr>
            </w:pPr>
            <w:r w:rsidRPr="002C7B2F">
              <w:rPr>
                <w:b w:val="0"/>
                <w:sz w:val="20"/>
                <w:szCs w:val="20"/>
              </w:rPr>
              <w:t xml:space="preserve">South East London Sustainability and Transformation Partnership (2016), </w:t>
            </w:r>
            <w:hyperlink r:id="rId24" w:history="1">
              <w:r w:rsidRPr="002C7B2F">
                <w:rPr>
                  <w:rStyle w:val="Hyperlink"/>
                  <w:b w:val="0"/>
                  <w:bCs w:val="0"/>
                  <w:sz w:val="20"/>
                  <w:szCs w:val="20"/>
                </w:rPr>
                <w:t>Estate Strategy and Plan 2016 – 2021</w:t>
              </w:r>
            </w:hyperlink>
          </w:p>
        </w:tc>
      </w:tr>
      <w:tr w:rsidR="002C7B2F" w14:paraId="24288058"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tcPr>
          <w:p w14:paraId="30C2DD51" w14:textId="77777777" w:rsidR="002C7B2F" w:rsidRPr="002C7B2F" w:rsidRDefault="002C7B2F" w:rsidP="00CE5053">
            <w:pPr>
              <w:spacing w:before="40" w:after="40"/>
              <w:rPr>
                <w:b w:val="0"/>
                <w:sz w:val="20"/>
                <w:szCs w:val="20"/>
              </w:rPr>
            </w:pPr>
            <w:r w:rsidRPr="002C7B2F">
              <w:rPr>
                <w:sz w:val="20"/>
                <w:szCs w:val="20"/>
              </w:rPr>
              <w:t>LIBRARIES, ARCHIVES &amp; LOCAL HISTORY</w:t>
            </w:r>
          </w:p>
        </w:tc>
      </w:tr>
      <w:tr w:rsidR="002C7B2F" w14:paraId="33DB308F"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2B71DF" w14:textId="77777777" w:rsidR="002C7B2F" w:rsidRPr="002C7B2F" w:rsidRDefault="002C7B2F" w:rsidP="00CE5053">
            <w:pPr>
              <w:spacing w:before="40" w:after="40"/>
              <w:rPr>
                <w:b w:val="0"/>
                <w:sz w:val="20"/>
                <w:szCs w:val="20"/>
              </w:rPr>
            </w:pPr>
            <w:r w:rsidRPr="002C7B2F">
              <w:rPr>
                <w:b w:val="0"/>
                <w:sz w:val="20"/>
                <w:szCs w:val="20"/>
              </w:rPr>
              <w:t xml:space="preserve">LB Lewisham (2019), </w:t>
            </w:r>
            <w:hyperlink r:id="rId25" w:history="1">
              <w:r w:rsidRPr="002C7B2F">
                <w:rPr>
                  <w:rStyle w:val="Hyperlink"/>
                  <w:b w:val="0"/>
                  <w:bCs w:val="0"/>
                  <w:sz w:val="20"/>
                  <w:szCs w:val="20"/>
                </w:rPr>
                <w:t>Report to Council: Lewisham Library Update, 26/6/19</w:t>
              </w:r>
            </w:hyperlink>
          </w:p>
        </w:tc>
      </w:tr>
      <w:tr w:rsidR="002C7B2F" w14:paraId="13C1F110"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CB5FA6" w14:textId="77777777" w:rsidR="002C7B2F" w:rsidRPr="002C7B2F" w:rsidRDefault="002C7B2F" w:rsidP="00CE5053">
            <w:pPr>
              <w:spacing w:before="40" w:after="40"/>
              <w:rPr>
                <w:b w:val="0"/>
                <w:sz w:val="20"/>
                <w:szCs w:val="20"/>
              </w:rPr>
            </w:pPr>
            <w:r w:rsidRPr="002C7B2F">
              <w:rPr>
                <w:b w:val="0"/>
                <w:sz w:val="20"/>
                <w:szCs w:val="20"/>
              </w:rPr>
              <w:t xml:space="preserve">LB Lewisham (2020), </w:t>
            </w:r>
            <w:hyperlink r:id="rId26" w:history="1">
              <w:r w:rsidRPr="002C7B2F">
                <w:rPr>
                  <w:rStyle w:val="Hyperlink"/>
                  <w:b w:val="0"/>
                  <w:bCs w:val="0"/>
                  <w:sz w:val="20"/>
                  <w:szCs w:val="20"/>
                </w:rPr>
                <w:t>Report to Council: 2020-2021 Budget Report, 5/2/20</w:t>
              </w:r>
            </w:hyperlink>
          </w:p>
        </w:tc>
      </w:tr>
      <w:tr w:rsidR="002C7B2F" w14:paraId="771857AD"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7866DF" w14:textId="77777777" w:rsidR="002C7B2F" w:rsidRPr="002C7B2F" w:rsidRDefault="002C7B2F" w:rsidP="00CE5053">
            <w:pPr>
              <w:spacing w:before="40" w:after="40"/>
              <w:rPr>
                <w:b w:val="0"/>
                <w:sz w:val="20"/>
                <w:szCs w:val="20"/>
              </w:rPr>
            </w:pPr>
            <w:r w:rsidRPr="002C7B2F">
              <w:rPr>
                <w:b w:val="0"/>
                <w:sz w:val="20"/>
                <w:szCs w:val="20"/>
              </w:rPr>
              <w:t xml:space="preserve">Museums, Libraries &amp; Archives (MLA) (2010), </w:t>
            </w:r>
            <w:hyperlink r:id="rId27" w:history="1">
              <w:r w:rsidRPr="002C7B2F">
                <w:rPr>
                  <w:rStyle w:val="Hyperlink"/>
                  <w:b w:val="0"/>
                  <w:bCs w:val="0"/>
                  <w:sz w:val="20"/>
                  <w:szCs w:val="20"/>
                </w:rPr>
                <w:t>Public Libraries, Archives and New Development: A Standard Charge Approach</w:t>
              </w:r>
            </w:hyperlink>
          </w:p>
        </w:tc>
      </w:tr>
      <w:tr w:rsidR="002C7B2F" w14:paraId="134D7E98"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tcPr>
          <w:p w14:paraId="272C2130" w14:textId="77777777" w:rsidR="002C7B2F" w:rsidRPr="002C7B2F" w:rsidRDefault="002C7B2F" w:rsidP="00CE5053">
            <w:pPr>
              <w:spacing w:before="40" w:after="40"/>
              <w:rPr>
                <w:sz w:val="20"/>
                <w:szCs w:val="20"/>
              </w:rPr>
            </w:pPr>
            <w:r w:rsidRPr="002C7B2F">
              <w:rPr>
                <w:sz w:val="20"/>
                <w:szCs w:val="20"/>
              </w:rPr>
              <w:t>SPORTS &amp; RECREATION FACILITIES</w:t>
            </w:r>
          </w:p>
        </w:tc>
      </w:tr>
      <w:tr w:rsidR="002C7B2F" w14:paraId="28E58723"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92C2CE" w14:textId="77777777" w:rsidR="002C7B2F" w:rsidRPr="002C7B2F" w:rsidRDefault="002C7B2F" w:rsidP="00CE5053">
            <w:pPr>
              <w:spacing w:before="40" w:after="40"/>
              <w:rPr>
                <w:sz w:val="20"/>
                <w:szCs w:val="20"/>
              </w:rPr>
            </w:pPr>
            <w:r w:rsidRPr="002C7B2F">
              <w:rPr>
                <w:b w:val="0"/>
                <w:sz w:val="20"/>
                <w:szCs w:val="20"/>
              </w:rPr>
              <w:t>LB Lewisham (2019), Lewisham Council Playing Pitch Strategy Needs Assessment</w:t>
            </w:r>
          </w:p>
        </w:tc>
      </w:tr>
      <w:tr w:rsidR="002C7B2F" w14:paraId="104D497C" w14:textId="77777777" w:rsidTr="002C7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C344184" w14:textId="77777777" w:rsidR="002C7B2F" w:rsidRPr="002C7B2F" w:rsidRDefault="002C7B2F" w:rsidP="00CE5053">
            <w:pPr>
              <w:spacing w:before="40" w:after="40"/>
              <w:rPr>
                <w:b w:val="0"/>
                <w:sz w:val="20"/>
                <w:szCs w:val="20"/>
              </w:rPr>
            </w:pPr>
          </w:p>
        </w:tc>
      </w:tr>
      <w:tr w:rsidR="002C7B2F" w14:paraId="05173EFC"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B7B7B" w:themeFill="accent3" w:themeFillShade="BF"/>
            <w:vAlign w:val="center"/>
          </w:tcPr>
          <w:p w14:paraId="13ABDD34" w14:textId="77777777" w:rsidR="002C7B2F" w:rsidRPr="002C7B2F" w:rsidRDefault="002C7B2F" w:rsidP="00CE5053">
            <w:pPr>
              <w:spacing w:before="40" w:after="40"/>
              <w:rPr>
                <w:color w:val="FFFFFF" w:themeColor="background1"/>
                <w:sz w:val="20"/>
                <w:szCs w:val="20"/>
              </w:rPr>
            </w:pPr>
            <w:r w:rsidRPr="002C7B2F">
              <w:rPr>
                <w:color w:val="FFFFFF" w:themeColor="background1"/>
                <w:sz w:val="20"/>
                <w:szCs w:val="20"/>
              </w:rPr>
              <w:t>GREEN INFRASTRUCTURE</w:t>
            </w:r>
          </w:p>
        </w:tc>
      </w:tr>
      <w:tr w:rsidR="002C7B2F" w14:paraId="24B2B57D"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6C0E23" w14:textId="77777777" w:rsidR="002C7B2F" w:rsidRPr="002C7B2F" w:rsidRDefault="002C7B2F" w:rsidP="00CE5053">
            <w:pPr>
              <w:spacing w:before="40" w:after="40"/>
              <w:rPr>
                <w:sz w:val="20"/>
              </w:rPr>
            </w:pPr>
            <w:r w:rsidRPr="002C7B2F">
              <w:rPr>
                <w:b w:val="0"/>
                <w:sz w:val="20"/>
              </w:rPr>
              <w:t>Greenspace Information for Greater London (GiGL) (2019),</w:t>
            </w:r>
            <w:r w:rsidRPr="002C7B2F">
              <w:rPr>
                <w:b w:val="0"/>
                <w:i/>
                <w:sz w:val="20"/>
              </w:rPr>
              <w:t xml:space="preserve"> </w:t>
            </w:r>
            <w:r w:rsidRPr="002C7B2F">
              <w:rPr>
                <w:b w:val="0"/>
                <w:sz w:val="20"/>
              </w:rPr>
              <w:t>GiGL Areas of Deficiency Maps</w:t>
            </w:r>
          </w:p>
        </w:tc>
      </w:tr>
      <w:tr w:rsidR="002C7B2F" w14:paraId="01D0C7E6"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BCB5F3" w14:textId="77777777" w:rsidR="002C7B2F" w:rsidRPr="002C7B2F" w:rsidRDefault="002C7B2F" w:rsidP="00CE5053">
            <w:pPr>
              <w:spacing w:before="40" w:after="40"/>
              <w:rPr>
                <w:b w:val="0"/>
                <w:sz w:val="20"/>
              </w:rPr>
            </w:pPr>
            <w:r w:rsidRPr="002C7B2F">
              <w:rPr>
                <w:b w:val="0"/>
                <w:sz w:val="20"/>
              </w:rPr>
              <w:t xml:space="preserve">Greater London Authority (2006), </w:t>
            </w:r>
            <w:hyperlink r:id="rId28" w:history="1">
              <w:r w:rsidRPr="002C7B2F">
                <w:rPr>
                  <w:rStyle w:val="Hyperlink"/>
                  <w:b w:val="0"/>
                  <w:bCs w:val="0"/>
                  <w:sz w:val="20"/>
                </w:rPr>
                <w:t>London Assembly Report: A Lot to Lose: London's disappearing allotments</w:t>
              </w:r>
            </w:hyperlink>
          </w:p>
        </w:tc>
      </w:tr>
      <w:tr w:rsidR="002C7B2F" w14:paraId="27ECD4D3"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BD56E3" w14:textId="77777777" w:rsidR="002C7B2F" w:rsidRPr="002C7B2F" w:rsidRDefault="002C7B2F" w:rsidP="00CE5053">
            <w:pPr>
              <w:spacing w:before="40" w:after="40"/>
              <w:rPr>
                <w:sz w:val="20"/>
                <w:szCs w:val="20"/>
              </w:rPr>
            </w:pPr>
            <w:r w:rsidRPr="002C7B2F">
              <w:rPr>
                <w:b w:val="0"/>
                <w:sz w:val="20"/>
                <w:szCs w:val="20"/>
              </w:rPr>
              <w:t xml:space="preserve">Greater London Authority (2012), </w:t>
            </w:r>
            <w:hyperlink r:id="rId29" w:history="1">
              <w:r w:rsidRPr="002C7B2F">
                <w:rPr>
                  <w:rStyle w:val="Hyperlink"/>
                  <w:b w:val="0"/>
                  <w:bCs w:val="0"/>
                  <w:sz w:val="20"/>
                  <w:szCs w:val="20"/>
                </w:rPr>
                <w:t>Green Infrastructure and Open Environments: The All London Green Grid</w:t>
              </w:r>
            </w:hyperlink>
          </w:p>
        </w:tc>
      </w:tr>
      <w:tr w:rsidR="002C7B2F" w14:paraId="2211E961"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1F4631" w14:textId="77777777" w:rsidR="002C7B2F" w:rsidRPr="002C7B2F" w:rsidRDefault="002C7B2F" w:rsidP="00CE5053">
            <w:pPr>
              <w:spacing w:before="40" w:after="40"/>
              <w:rPr>
                <w:b w:val="0"/>
                <w:sz w:val="20"/>
                <w:szCs w:val="20"/>
              </w:rPr>
            </w:pPr>
            <w:r w:rsidRPr="002C7B2F">
              <w:rPr>
                <w:b w:val="0"/>
                <w:sz w:val="20"/>
                <w:szCs w:val="20"/>
              </w:rPr>
              <w:t xml:space="preserve">Greater London Authority (2017), </w:t>
            </w:r>
            <w:hyperlink r:id="rId30" w:history="1">
              <w:r w:rsidRPr="002C7B2F">
                <w:rPr>
                  <w:rStyle w:val="Hyperlink"/>
                  <w:b w:val="0"/>
                  <w:bCs w:val="0"/>
                  <w:sz w:val="20"/>
                  <w:szCs w:val="20"/>
                </w:rPr>
                <w:t>Lewisham Natural Capital Account</w:t>
              </w:r>
            </w:hyperlink>
          </w:p>
        </w:tc>
      </w:tr>
      <w:tr w:rsidR="002C7B2F" w14:paraId="5AF9D0F6"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6B4514" w14:textId="77777777" w:rsidR="002C7B2F" w:rsidRPr="002C7B2F" w:rsidRDefault="002C7B2F" w:rsidP="00CE5053">
            <w:pPr>
              <w:spacing w:before="40" w:after="40"/>
              <w:rPr>
                <w:b w:val="0"/>
                <w:sz w:val="20"/>
                <w:szCs w:val="20"/>
              </w:rPr>
            </w:pPr>
            <w:r w:rsidRPr="002C7B2F">
              <w:rPr>
                <w:b w:val="0"/>
                <w:sz w:val="20"/>
                <w:szCs w:val="20"/>
              </w:rPr>
              <w:t xml:space="preserve">LB Lewisham (2015), </w:t>
            </w:r>
            <w:hyperlink r:id="rId31" w:history="1">
              <w:r w:rsidRPr="002C7B2F">
                <w:rPr>
                  <w:rStyle w:val="Hyperlink"/>
                  <w:b w:val="0"/>
                  <w:bCs w:val="0"/>
                  <w:sz w:val="20"/>
                  <w:szCs w:val="20"/>
                </w:rPr>
                <w:t>River Corridor Improvement Plan Supplementary Planning Guidance</w:t>
              </w:r>
            </w:hyperlink>
            <w:r w:rsidRPr="002C7B2F">
              <w:rPr>
                <w:b w:val="0"/>
                <w:sz w:val="20"/>
                <w:szCs w:val="20"/>
              </w:rPr>
              <w:t xml:space="preserve"> </w:t>
            </w:r>
          </w:p>
        </w:tc>
      </w:tr>
      <w:tr w:rsidR="002C7B2F" w14:paraId="74AE36E3"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64E892" w14:textId="77777777" w:rsidR="002C7B2F" w:rsidRPr="002C7B2F" w:rsidRDefault="002C7B2F" w:rsidP="00CE5053">
            <w:pPr>
              <w:spacing w:before="40" w:after="40"/>
              <w:rPr>
                <w:b w:val="0"/>
                <w:sz w:val="20"/>
                <w:szCs w:val="20"/>
              </w:rPr>
            </w:pPr>
            <w:r w:rsidRPr="002C7B2F">
              <w:rPr>
                <w:b w:val="0"/>
                <w:sz w:val="20"/>
                <w:szCs w:val="20"/>
              </w:rPr>
              <w:t xml:space="preserve">LB Lewisham (2016), </w:t>
            </w:r>
            <w:hyperlink r:id="rId32" w:history="1">
              <w:r w:rsidRPr="002C7B2F">
                <w:rPr>
                  <w:rStyle w:val="Hyperlink"/>
                  <w:b w:val="0"/>
                  <w:bCs w:val="0"/>
                  <w:sz w:val="20"/>
                  <w:szCs w:val="20"/>
                </w:rPr>
                <w:t>A natural renaissance for Lewisham (2015-2020)</w:t>
              </w:r>
            </w:hyperlink>
          </w:p>
        </w:tc>
      </w:tr>
      <w:tr w:rsidR="002C7B2F" w14:paraId="020F9FDA"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0EBBEB" w14:textId="77777777" w:rsidR="002C7B2F" w:rsidRPr="002C7B2F" w:rsidRDefault="002C7B2F" w:rsidP="00CE5053">
            <w:pPr>
              <w:spacing w:before="40" w:after="40"/>
              <w:rPr>
                <w:sz w:val="20"/>
                <w:szCs w:val="20"/>
              </w:rPr>
            </w:pPr>
            <w:r w:rsidRPr="002C7B2F">
              <w:rPr>
                <w:b w:val="0"/>
                <w:sz w:val="20"/>
                <w:szCs w:val="20"/>
              </w:rPr>
              <w:t>LB Lewisham (2016), Re-survey of Sites Importance for Nature Conservation (SINCs) in Lewisham</w:t>
            </w:r>
          </w:p>
        </w:tc>
      </w:tr>
      <w:tr w:rsidR="002C7B2F" w14:paraId="0163362F"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02C87A" w14:textId="77777777" w:rsidR="002C7B2F" w:rsidRPr="002C7B2F" w:rsidRDefault="002C7B2F" w:rsidP="00CE5053">
            <w:pPr>
              <w:spacing w:before="40" w:after="40"/>
              <w:rPr>
                <w:b w:val="0"/>
                <w:sz w:val="20"/>
                <w:szCs w:val="20"/>
              </w:rPr>
            </w:pPr>
            <w:r w:rsidRPr="002C7B2F">
              <w:rPr>
                <w:b w:val="0"/>
                <w:sz w:val="20"/>
                <w:szCs w:val="20"/>
              </w:rPr>
              <w:t>LB Lewisham (2020), Open Spaces Assessment</w:t>
            </w:r>
          </w:p>
        </w:tc>
      </w:tr>
      <w:tr w:rsidR="002C7B2F" w14:paraId="3F9E1534"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1D4A97" w14:textId="77777777" w:rsidR="002C7B2F" w:rsidRPr="002C7B2F" w:rsidRDefault="002C7B2F" w:rsidP="00CE5053">
            <w:pPr>
              <w:spacing w:before="40" w:after="40"/>
              <w:rPr>
                <w:sz w:val="20"/>
                <w:szCs w:val="20"/>
              </w:rPr>
            </w:pPr>
            <w:r w:rsidRPr="002C7B2F">
              <w:rPr>
                <w:b w:val="0"/>
                <w:sz w:val="20"/>
                <w:szCs w:val="20"/>
              </w:rPr>
              <w:t xml:space="preserve">LB Lewisham (2020), Parks and Open Space Strategy </w:t>
            </w:r>
          </w:p>
        </w:tc>
      </w:tr>
      <w:tr w:rsidR="002C7B2F" w14:paraId="13AA0B87" w14:textId="77777777" w:rsidTr="002C7B2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E474E68" w14:textId="77777777" w:rsidR="002C7B2F" w:rsidRPr="002C7B2F" w:rsidRDefault="002C7B2F" w:rsidP="00CE5053">
            <w:pPr>
              <w:spacing w:before="40" w:after="40"/>
              <w:rPr>
                <w:sz w:val="20"/>
                <w:szCs w:val="20"/>
              </w:rPr>
            </w:pPr>
          </w:p>
        </w:tc>
      </w:tr>
      <w:tr w:rsidR="002C7B2F" w14:paraId="6BE289BC"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B7B7B" w:themeFill="accent3" w:themeFillShade="BF"/>
            <w:vAlign w:val="center"/>
          </w:tcPr>
          <w:p w14:paraId="56F54B71" w14:textId="77777777" w:rsidR="002C7B2F" w:rsidRPr="002C7B2F" w:rsidRDefault="002C7B2F" w:rsidP="00CE5053">
            <w:pPr>
              <w:spacing w:before="40" w:after="40"/>
              <w:rPr>
                <w:sz w:val="20"/>
                <w:szCs w:val="20"/>
              </w:rPr>
            </w:pPr>
            <w:r w:rsidRPr="002C7B2F">
              <w:rPr>
                <w:color w:val="FFFFFF" w:themeColor="background1"/>
                <w:sz w:val="20"/>
                <w:szCs w:val="20"/>
              </w:rPr>
              <w:t>TRANSPORT INFRASTRUCTURE</w:t>
            </w:r>
          </w:p>
        </w:tc>
      </w:tr>
      <w:tr w:rsidR="002C7B2F" w14:paraId="7E80BDAB"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838BF4" w14:textId="77777777" w:rsidR="002C7B2F" w:rsidRPr="002C7B2F" w:rsidRDefault="002C7B2F" w:rsidP="00CE5053">
            <w:pPr>
              <w:spacing w:before="40" w:after="40"/>
              <w:rPr>
                <w:sz w:val="20"/>
                <w:szCs w:val="20"/>
              </w:rPr>
            </w:pPr>
            <w:r w:rsidRPr="002C7B2F">
              <w:rPr>
                <w:b w:val="0"/>
                <w:sz w:val="20"/>
                <w:szCs w:val="20"/>
              </w:rPr>
              <w:t xml:space="preserve">Greater London Authority (2018), </w:t>
            </w:r>
            <w:hyperlink r:id="rId33" w:history="1">
              <w:r w:rsidRPr="002C7B2F">
                <w:rPr>
                  <w:rStyle w:val="Hyperlink"/>
                  <w:b w:val="0"/>
                  <w:bCs w:val="0"/>
                  <w:sz w:val="20"/>
                  <w:szCs w:val="20"/>
                </w:rPr>
                <w:t>Mayor’s Transport Strategy</w:t>
              </w:r>
            </w:hyperlink>
            <w:r w:rsidRPr="002C7B2F">
              <w:rPr>
                <w:b w:val="0"/>
                <w:sz w:val="20"/>
                <w:szCs w:val="20"/>
              </w:rPr>
              <w:t xml:space="preserve"> </w:t>
            </w:r>
          </w:p>
        </w:tc>
      </w:tr>
      <w:tr w:rsidR="002C7B2F" w14:paraId="2DD19846"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449D6B" w14:textId="77777777" w:rsidR="002C7B2F" w:rsidRPr="002C7B2F" w:rsidRDefault="002C7B2F" w:rsidP="00CE5053">
            <w:pPr>
              <w:spacing w:before="40" w:after="40"/>
              <w:rPr>
                <w:sz w:val="20"/>
                <w:szCs w:val="20"/>
              </w:rPr>
            </w:pPr>
            <w:r w:rsidRPr="002C7B2F">
              <w:rPr>
                <w:b w:val="0"/>
                <w:sz w:val="20"/>
                <w:szCs w:val="20"/>
              </w:rPr>
              <w:t xml:space="preserve">Greater London Authority (2019), </w:t>
            </w:r>
            <w:hyperlink r:id="rId34" w:history="1">
              <w:r w:rsidRPr="002C7B2F">
                <w:rPr>
                  <w:rStyle w:val="Hyperlink"/>
                  <w:b w:val="0"/>
                  <w:bCs w:val="0"/>
                  <w:sz w:val="20"/>
                  <w:szCs w:val="20"/>
                </w:rPr>
                <w:t>Vision Zero action plan</w:t>
              </w:r>
            </w:hyperlink>
          </w:p>
        </w:tc>
      </w:tr>
      <w:tr w:rsidR="002C7B2F" w14:paraId="63BC71F6"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BF3950" w14:textId="77777777" w:rsidR="002C7B2F" w:rsidRPr="002C7B2F" w:rsidRDefault="002C7B2F" w:rsidP="00CE5053">
            <w:pPr>
              <w:spacing w:before="40" w:after="40"/>
              <w:rPr>
                <w:b w:val="0"/>
                <w:sz w:val="20"/>
                <w:szCs w:val="20"/>
              </w:rPr>
            </w:pPr>
            <w:r w:rsidRPr="002C7B2F">
              <w:rPr>
                <w:b w:val="0"/>
                <w:sz w:val="20"/>
                <w:szCs w:val="20"/>
              </w:rPr>
              <w:t xml:space="preserve">LB Lewisham (2016), </w:t>
            </w:r>
            <w:hyperlink r:id="rId35" w:history="1">
              <w:r w:rsidRPr="002C7B2F">
                <w:rPr>
                  <w:rStyle w:val="Hyperlink"/>
                  <w:b w:val="0"/>
                  <w:bCs w:val="0"/>
                  <w:sz w:val="20"/>
                  <w:szCs w:val="20"/>
                </w:rPr>
                <w:t>London Borough of Lewisham Air quality action plan</w:t>
              </w:r>
            </w:hyperlink>
          </w:p>
        </w:tc>
      </w:tr>
      <w:tr w:rsidR="002C7B2F" w14:paraId="66533240"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88BA55" w14:textId="77777777" w:rsidR="002C7B2F" w:rsidRPr="002C7B2F" w:rsidRDefault="002C7B2F" w:rsidP="00CE5053">
            <w:pPr>
              <w:spacing w:before="40" w:after="40"/>
              <w:rPr>
                <w:b w:val="0"/>
                <w:sz w:val="20"/>
                <w:szCs w:val="20"/>
              </w:rPr>
            </w:pPr>
            <w:r w:rsidRPr="002C7B2F">
              <w:rPr>
                <w:b w:val="0"/>
                <w:sz w:val="20"/>
                <w:szCs w:val="20"/>
              </w:rPr>
              <w:t xml:space="preserve">LB Lewisham (2017), </w:t>
            </w:r>
            <w:hyperlink r:id="rId36" w:history="1">
              <w:r w:rsidRPr="002C7B2F">
                <w:rPr>
                  <w:rStyle w:val="Hyperlink"/>
                  <w:b w:val="0"/>
                  <w:bCs w:val="0"/>
                  <w:sz w:val="20"/>
                  <w:szCs w:val="20"/>
                </w:rPr>
                <w:t>Lewisham Cycle Strategy 2017</w:t>
              </w:r>
            </w:hyperlink>
          </w:p>
        </w:tc>
      </w:tr>
      <w:tr w:rsidR="002C7B2F" w14:paraId="04A157D7"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0092E0" w14:textId="77777777" w:rsidR="002C7B2F" w:rsidRPr="002C7B2F" w:rsidRDefault="002C7B2F" w:rsidP="00CE5053">
            <w:pPr>
              <w:spacing w:before="40" w:after="40"/>
              <w:rPr>
                <w:sz w:val="20"/>
                <w:szCs w:val="20"/>
              </w:rPr>
            </w:pPr>
            <w:r w:rsidRPr="002C7B2F">
              <w:rPr>
                <w:b w:val="0"/>
                <w:sz w:val="20"/>
                <w:szCs w:val="20"/>
              </w:rPr>
              <w:t xml:space="preserve">LB Lewisham (2017), </w:t>
            </w:r>
            <w:hyperlink r:id="rId37" w:history="1">
              <w:r w:rsidRPr="002C7B2F">
                <w:rPr>
                  <w:rStyle w:val="Hyperlink"/>
                  <w:b w:val="0"/>
                  <w:bCs w:val="0"/>
                  <w:sz w:val="20"/>
                  <w:szCs w:val="20"/>
                </w:rPr>
                <w:t>A Vision for Rail</w:t>
              </w:r>
            </w:hyperlink>
          </w:p>
        </w:tc>
      </w:tr>
      <w:tr w:rsidR="002C7B2F" w14:paraId="0BACAF42"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CCC08A3" w14:textId="77777777" w:rsidR="002C7B2F" w:rsidRPr="002C7B2F" w:rsidRDefault="002C7B2F" w:rsidP="00CE5053">
            <w:pPr>
              <w:spacing w:before="40" w:after="40"/>
              <w:rPr>
                <w:b w:val="0"/>
                <w:sz w:val="20"/>
                <w:szCs w:val="20"/>
              </w:rPr>
            </w:pPr>
            <w:r w:rsidRPr="002C7B2F">
              <w:rPr>
                <w:b w:val="0"/>
                <w:sz w:val="20"/>
                <w:szCs w:val="20"/>
              </w:rPr>
              <w:lastRenderedPageBreak/>
              <w:t xml:space="preserve">LB Lewisham (2017), </w:t>
            </w:r>
            <w:hyperlink r:id="rId38" w:history="1">
              <w:r w:rsidRPr="002C7B2F">
                <w:rPr>
                  <w:rStyle w:val="Hyperlink"/>
                  <w:b w:val="0"/>
                  <w:bCs w:val="0"/>
                  <w:sz w:val="20"/>
                  <w:szCs w:val="20"/>
                </w:rPr>
                <w:t>Direction of Travel: Accommodating the Bakerloo Line Extension</w:t>
              </w:r>
            </w:hyperlink>
          </w:p>
        </w:tc>
      </w:tr>
      <w:tr w:rsidR="002C7B2F" w14:paraId="33E8B859"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A32681" w14:textId="77777777" w:rsidR="002C7B2F" w:rsidRPr="002C7B2F" w:rsidRDefault="002C7B2F" w:rsidP="00CE5053">
            <w:pPr>
              <w:spacing w:before="40" w:after="40"/>
              <w:rPr>
                <w:sz w:val="20"/>
                <w:szCs w:val="20"/>
              </w:rPr>
            </w:pPr>
            <w:r w:rsidRPr="002C7B2F">
              <w:rPr>
                <w:b w:val="0"/>
                <w:sz w:val="20"/>
                <w:szCs w:val="20"/>
              </w:rPr>
              <w:t xml:space="preserve">LB Lewisham (2019), </w:t>
            </w:r>
            <w:hyperlink r:id="rId39" w:history="1">
              <w:r w:rsidRPr="002C7B2F">
                <w:rPr>
                  <w:rStyle w:val="Hyperlink"/>
                  <w:b w:val="0"/>
                  <w:bCs w:val="0"/>
                  <w:sz w:val="20"/>
                  <w:szCs w:val="20"/>
                </w:rPr>
                <w:t>Low Emission Vehicle Charging Strategy 2019-2022</w:t>
              </w:r>
            </w:hyperlink>
          </w:p>
        </w:tc>
      </w:tr>
      <w:tr w:rsidR="002C7B2F" w14:paraId="60AF2D86"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D2FBF0" w14:textId="77777777" w:rsidR="002C7B2F" w:rsidRPr="002C7B2F" w:rsidRDefault="002C7B2F" w:rsidP="00CE5053">
            <w:pPr>
              <w:spacing w:before="40" w:after="40"/>
              <w:rPr>
                <w:sz w:val="20"/>
                <w:szCs w:val="20"/>
              </w:rPr>
            </w:pPr>
            <w:r w:rsidRPr="002C7B2F">
              <w:rPr>
                <w:b w:val="0"/>
                <w:sz w:val="20"/>
                <w:szCs w:val="20"/>
              </w:rPr>
              <w:t xml:space="preserve">LB Lewisham (2019), </w:t>
            </w:r>
            <w:hyperlink r:id="rId40" w:history="1">
              <w:r w:rsidRPr="002C7B2F">
                <w:rPr>
                  <w:rStyle w:val="Hyperlink"/>
                  <w:b w:val="0"/>
                  <w:bCs w:val="0"/>
                  <w:sz w:val="20"/>
                  <w:szCs w:val="20"/>
                </w:rPr>
                <w:t>Transport Strategy 2019 – 2041 and Local Implementation Plan</w:t>
              </w:r>
            </w:hyperlink>
          </w:p>
        </w:tc>
      </w:tr>
      <w:tr w:rsidR="002C7B2F" w14:paraId="33AD1E97"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8E7988" w14:textId="77777777" w:rsidR="002C7B2F" w:rsidRPr="002C7B2F" w:rsidRDefault="002C7B2F" w:rsidP="00CE5053">
            <w:pPr>
              <w:spacing w:before="40" w:after="40"/>
              <w:rPr>
                <w:sz w:val="20"/>
                <w:szCs w:val="20"/>
              </w:rPr>
            </w:pPr>
            <w:r w:rsidRPr="002C7B2F">
              <w:rPr>
                <w:b w:val="0"/>
                <w:sz w:val="20"/>
                <w:szCs w:val="20"/>
              </w:rPr>
              <w:t xml:space="preserve">Transport for London (TfL) (2017), </w:t>
            </w:r>
            <w:hyperlink r:id="rId41" w:history="1">
              <w:r w:rsidRPr="002C7B2F">
                <w:rPr>
                  <w:rStyle w:val="Hyperlink"/>
                  <w:b w:val="0"/>
                  <w:bCs w:val="0"/>
                  <w:sz w:val="20"/>
                  <w:szCs w:val="20"/>
                </w:rPr>
                <w:t>Healthy Streets for London</w:t>
              </w:r>
            </w:hyperlink>
          </w:p>
        </w:tc>
      </w:tr>
      <w:tr w:rsidR="002C7B2F" w14:paraId="50DF6546" w14:textId="77777777" w:rsidTr="002C7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40FBA26" w14:textId="77777777" w:rsidR="002C7B2F" w:rsidRPr="002C7B2F" w:rsidRDefault="002C7B2F" w:rsidP="00CE5053">
            <w:pPr>
              <w:spacing w:before="40" w:after="40"/>
              <w:rPr>
                <w:sz w:val="20"/>
                <w:szCs w:val="20"/>
              </w:rPr>
            </w:pPr>
          </w:p>
        </w:tc>
      </w:tr>
      <w:tr w:rsidR="002C7B2F" w14:paraId="37794684"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B7B7B" w:themeFill="accent3" w:themeFillShade="BF"/>
            <w:vAlign w:val="center"/>
          </w:tcPr>
          <w:p w14:paraId="1ADC3F54" w14:textId="77777777" w:rsidR="002C7B2F" w:rsidRPr="002C7B2F" w:rsidRDefault="002C7B2F" w:rsidP="00CE5053">
            <w:pPr>
              <w:spacing w:before="40" w:after="40"/>
              <w:rPr>
                <w:b w:val="0"/>
                <w:color w:val="FFFFFF" w:themeColor="background1"/>
                <w:sz w:val="20"/>
                <w:szCs w:val="20"/>
              </w:rPr>
            </w:pPr>
            <w:r w:rsidRPr="002C7B2F">
              <w:rPr>
                <w:color w:val="FFFFFF" w:themeColor="background1"/>
                <w:sz w:val="20"/>
                <w:szCs w:val="20"/>
              </w:rPr>
              <w:t>UTILITY INFRASTRUCTURE</w:t>
            </w:r>
          </w:p>
        </w:tc>
      </w:tr>
      <w:tr w:rsidR="002C7B2F" w14:paraId="2DF05AA3"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tcPr>
          <w:p w14:paraId="56A4223F" w14:textId="77777777" w:rsidR="002C7B2F" w:rsidRPr="002C7B2F" w:rsidRDefault="002C7B2F" w:rsidP="00CE5053">
            <w:pPr>
              <w:spacing w:before="40" w:after="40"/>
              <w:rPr>
                <w:sz w:val="20"/>
                <w:szCs w:val="20"/>
              </w:rPr>
            </w:pPr>
            <w:r w:rsidRPr="002C7B2F">
              <w:rPr>
                <w:sz w:val="20"/>
                <w:szCs w:val="20"/>
              </w:rPr>
              <w:t>ENERGY INFRASTRUCTURE</w:t>
            </w:r>
          </w:p>
        </w:tc>
      </w:tr>
      <w:tr w:rsidR="002C7B2F" w14:paraId="66AA80A2"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3A480A" w14:textId="77777777" w:rsidR="002C7B2F" w:rsidRPr="002C7B2F" w:rsidRDefault="002C7B2F" w:rsidP="00CE5053">
            <w:pPr>
              <w:spacing w:before="40" w:after="40"/>
              <w:rPr>
                <w:b w:val="0"/>
                <w:sz w:val="20"/>
                <w:szCs w:val="20"/>
              </w:rPr>
            </w:pPr>
            <w:r w:rsidRPr="002C7B2F">
              <w:rPr>
                <w:b w:val="0"/>
                <w:sz w:val="20"/>
                <w:szCs w:val="20"/>
              </w:rPr>
              <w:t xml:space="preserve">Department for Business, Energy &amp; Industrial Strategy, </w:t>
            </w:r>
            <w:hyperlink r:id="rId42" w:history="1">
              <w:r w:rsidRPr="002C7B2F">
                <w:rPr>
                  <w:rStyle w:val="Hyperlink"/>
                  <w:b w:val="0"/>
                  <w:bCs w:val="0"/>
                  <w:sz w:val="20"/>
                  <w:szCs w:val="20"/>
                </w:rPr>
                <w:t>Regional and local authority gas consumption statistics</w:t>
              </w:r>
            </w:hyperlink>
          </w:p>
        </w:tc>
      </w:tr>
      <w:tr w:rsidR="002C7B2F" w14:paraId="654E7697"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tcPr>
          <w:p w14:paraId="25974648" w14:textId="77777777" w:rsidR="002C7B2F" w:rsidRPr="002C7B2F" w:rsidRDefault="002C7B2F" w:rsidP="00CE5053">
            <w:pPr>
              <w:spacing w:before="40" w:after="40"/>
              <w:rPr>
                <w:sz w:val="20"/>
                <w:szCs w:val="20"/>
              </w:rPr>
            </w:pPr>
            <w:r w:rsidRPr="002C7B2F">
              <w:rPr>
                <w:sz w:val="20"/>
                <w:szCs w:val="20"/>
              </w:rPr>
              <w:t>WATER INFRASTRUCTURE</w:t>
            </w:r>
          </w:p>
        </w:tc>
      </w:tr>
      <w:tr w:rsidR="002C7B2F" w14:paraId="179DA41D"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FB8F2A" w14:textId="77777777" w:rsidR="002C7B2F" w:rsidRPr="002C7B2F" w:rsidRDefault="002C7B2F" w:rsidP="00CE5053">
            <w:pPr>
              <w:spacing w:before="40" w:after="40"/>
              <w:rPr>
                <w:sz w:val="20"/>
                <w:szCs w:val="20"/>
              </w:rPr>
            </w:pPr>
            <w:r w:rsidRPr="002C7B2F">
              <w:rPr>
                <w:b w:val="0"/>
                <w:sz w:val="20"/>
                <w:szCs w:val="20"/>
              </w:rPr>
              <w:t xml:space="preserve">Environment Agency (2011), </w:t>
            </w:r>
            <w:hyperlink r:id="rId43" w:history="1">
              <w:r w:rsidRPr="002C7B2F">
                <w:rPr>
                  <w:rStyle w:val="Hyperlink"/>
                  <w:b w:val="0"/>
                  <w:bCs w:val="0"/>
                  <w:sz w:val="20"/>
                  <w:szCs w:val="20"/>
                </w:rPr>
                <w:t>Policy paper: Thames Estuary 2100 (TE2100)</w:t>
              </w:r>
            </w:hyperlink>
            <w:r w:rsidRPr="002C7B2F">
              <w:rPr>
                <w:b w:val="0"/>
                <w:sz w:val="20"/>
                <w:szCs w:val="20"/>
              </w:rPr>
              <w:t xml:space="preserve"> </w:t>
            </w:r>
          </w:p>
        </w:tc>
      </w:tr>
      <w:tr w:rsidR="002C7B2F" w14:paraId="3DE590A2"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tcPr>
          <w:p w14:paraId="7AE5AB19" w14:textId="77777777" w:rsidR="002C7B2F" w:rsidRPr="002C7B2F" w:rsidRDefault="002C7B2F" w:rsidP="00CE5053">
            <w:pPr>
              <w:spacing w:before="40" w:after="40"/>
              <w:rPr>
                <w:sz w:val="20"/>
                <w:szCs w:val="20"/>
              </w:rPr>
            </w:pPr>
            <w:r w:rsidRPr="002C7B2F">
              <w:rPr>
                <w:sz w:val="20"/>
                <w:szCs w:val="20"/>
              </w:rPr>
              <w:t>WASTE INFRASTRUCTURE</w:t>
            </w:r>
          </w:p>
        </w:tc>
      </w:tr>
      <w:tr w:rsidR="002C7B2F" w14:paraId="62A9A7B4"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FC46AA" w14:textId="77777777" w:rsidR="002C7B2F" w:rsidRPr="002C7B2F" w:rsidRDefault="002C7B2F" w:rsidP="00CE5053">
            <w:pPr>
              <w:spacing w:before="40" w:after="40"/>
              <w:rPr>
                <w:b w:val="0"/>
                <w:sz w:val="20"/>
                <w:szCs w:val="20"/>
              </w:rPr>
            </w:pPr>
            <w:r w:rsidRPr="002C7B2F">
              <w:rPr>
                <w:b w:val="0"/>
                <w:sz w:val="20"/>
                <w:szCs w:val="20"/>
              </w:rPr>
              <w:t>Southeast London Joint Waste Planning Group (SELJWPG), Southeast London Joint Waste Technical Paper</w:t>
            </w:r>
          </w:p>
        </w:tc>
      </w:tr>
      <w:tr w:rsidR="002C7B2F" w14:paraId="0BC640AB" w14:textId="77777777" w:rsidTr="009B5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tcPr>
          <w:p w14:paraId="579AD35D" w14:textId="77777777" w:rsidR="002C7B2F" w:rsidRPr="002C7B2F" w:rsidRDefault="002C7B2F" w:rsidP="00CE5053">
            <w:pPr>
              <w:spacing w:before="40" w:after="40"/>
              <w:rPr>
                <w:b w:val="0"/>
                <w:sz w:val="20"/>
                <w:szCs w:val="20"/>
              </w:rPr>
            </w:pPr>
            <w:r w:rsidRPr="002C7B2F">
              <w:rPr>
                <w:sz w:val="20"/>
                <w:szCs w:val="20"/>
              </w:rPr>
              <w:t>DIGITAL INFRASTRUCTURE</w:t>
            </w:r>
          </w:p>
        </w:tc>
      </w:tr>
      <w:tr w:rsidR="002C7B2F" w14:paraId="40F61962" w14:textId="77777777" w:rsidTr="009B51BF">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C4C506" w14:textId="77777777" w:rsidR="002C7B2F" w:rsidRPr="002C7B2F" w:rsidRDefault="002C7B2F" w:rsidP="00CE5053">
            <w:pPr>
              <w:spacing w:before="40" w:after="40"/>
              <w:rPr>
                <w:b w:val="0"/>
                <w:sz w:val="20"/>
                <w:szCs w:val="20"/>
              </w:rPr>
            </w:pPr>
            <w:r w:rsidRPr="002C7B2F">
              <w:rPr>
                <w:b w:val="0"/>
                <w:sz w:val="20"/>
                <w:szCs w:val="20"/>
              </w:rPr>
              <w:t xml:space="preserve">Office of Communications (Ofcom) (2019), </w:t>
            </w:r>
            <w:hyperlink r:id="rId44" w:history="1">
              <w:r w:rsidRPr="002C7B2F">
                <w:rPr>
                  <w:rStyle w:val="Hyperlink"/>
                  <w:b w:val="0"/>
                  <w:bCs w:val="0"/>
                  <w:sz w:val="20"/>
                  <w:szCs w:val="20"/>
                </w:rPr>
                <w:t>Connected Nations Update: Summer 2019</w:t>
              </w:r>
            </w:hyperlink>
          </w:p>
        </w:tc>
      </w:tr>
    </w:tbl>
    <w:p w14:paraId="025E7F4C" w14:textId="77777777" w:rsidR="00517BCC" w:rsidRPr="00AF0D1E" w:rsidRDefault="00517BCC" w:rsidP="00CE5053"/>
    <w:sectPr w:rsidR="00517BCC" w:rsidRPr="00AF0D1E" w:rsidSect="00A53314">
      <w:pgSz w:w="11907" w:h="16839" w:code="9"/>
      <w:pgMar w:top="1440" w:right="1440" w:bottom="1440" w:left="1440" w:header="708" w:footer="708" w:gutter="0"/>
      <w:pgBorders w:offsetFrom="page">
        <w:top w:val="single" w:sz="4" w:space="24" w:color="FFFFFF" w:themeColor="background1"/>
        <w:bottom w:val="single" w:sz="4" w:space="24" w:color="FFFFFF" w:themeColor="background1"/>
      </w:pgBorders>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E7D279" w16cex:dateUtc="2020-11-05T19:52:33.696Z"/>
  <w16cex:commentExtensible w16cex:durableId="3D3472E6" w16cex:dateUtc="2020-11-05T19:56:32.98Z"/>
  <w16cex:commentExtensible w16cex:durableId="0FF22FA2" w16cex:dateUtc="2020-11-05T19:57:10.252Z"/>
  <w16cex:commentExtensible w16cex:durableId="58B2BBEB" w16cex:dateUtc="2020-11-05T19:57:30.844Z"/>
  <w16cex:commentExtensible w16cex:durableId="39B9A258" w16cex:dateUtc="2020-11-05T20:10:16.198Z"/>
  <w16cex:commentExtensible w16cex:durableId="19E293A1" w16cex:dateUtc="2020-11-05T20:11:56.218Z"/>
  <w16cex:commentExtensible w16cex:durableId="1114EBDA" w16cex:dateUtc="2020-11-05T20:13:18.507Z"/>
  <w16cex:commentExtensible w16cex:durableId="6A5A0E43" w16cex:dateUtc="2020-11-05T20:14:36.143Z"/>
  <w16cex:commentExtensible w16cex:durableId="78914FCE" w16cex:dateUtc="2020-11-05T20:16:23.467Z"/>
  <w16cex:commentExtensible w16cex:durableId="35DA9D80" w16cex:dateUtc="2020-11-05T20:31:13.364Z"/>
  <w16cex:commentExtensible w16cex:durableId="1EBA924D" w16cex:dateUtc="2020-11-05T20:31:49.09Z"/>
  <w16cex:commentExtensible w16cex:durableId="1D0E426C" w16cex:dateUtc="2020-11-05T20:36:54.476Z"/>
  <w16cex:commentExtensible w16cex:durableId="367908BC" w16cex:dateUtc="2020-11-05T20:37:32.066Z"/>
  <w16cex:commentExtensible w16cex:durableId="222D624E" w16cex:dateUtc="2020-11-05T20:43:05.205Z"/>
  <w16cex:commentExtensible w16cex:durableId="23702D65" w16cex:dateUtc="2020-11-05T20:44:21.981Z"/>
  <w16cex:commentExtensible w16cex:durableId="7D175F7C" w16cex:dateUtc="2020-11-05T20:47:39.166Z"/>
  <w16cex:commentExtensible w16cex:durableId="50BE9E87" w16cex:dateUtc="2020-11-05T20:47:57.859Z"/>
</w16cex:commentsExtensible>
</file>

<file path=word/commentsIds.xml><?xml version="1.0" encoding="utf-8"?>
<w16cid:commentsIds xmlns:mc="http://schemas.openxmlformats.org/markup-compatibility/2006" xmlns:w16cid="http://schemas.microsoft.com/office/word/2016/wordml/cid" mc:Ignorable="w16cid">
  <w16cid:commentId w16cid:paraId="6E85A9F3" w16cid:durableId="3EE7D279"/>
  <w16cid:commentId w16cid:paraId="3BF49959" w16cid:durableId="3D3472E6"/>
  <w16cid:commentId w16cid:paraId="485FE473" w16cid:durableId="0FF22FA2"/>
  <w16cid:commentId w16cid:paraId="00091363" w16cid:durableId="58B2BBEB"/>
  <w16cid:commentId w16cid:paraId="21EA4514" w16cid:durableId="39B9A258"/>
  <w16cid:commentId w16cid:paraId="1CB05373" w16cid:durableId="19E293A1"/>
  <w16cid:commentId w16cid:paraId="6C602A1F" w16cid:durableId="1114EBDA"/>
  <w16cid:commentId w16cid:paraId="2EBD02A2" w16cid:durableId="6A5A0E43"/>
  <w16cid:commentId w16cid:paraId="34A87BB8" w16cid:durableId="78914FCE"/>
  <w16cid:commentId w16cid:paraId="7B358AF1" w16cid:durableId="35DA9D80"/>
  <w16cid:commentId w16cid:paraId="705F937B" w16cid:durableId="1EBA924D"/>
  <w16cid:commentId w16cid:paraId="4E40F179" w16cid:durableId="1D0E426C"/>
  <w16cid:commentId w16cid:paraId="28F92A8B" w16cid:durableId="367908BC"/>
  <w16cid:commentId w16cid:paraId="030B2186" w16cid:durableId="222D624E"/>
  <w16cid:commentId w16cid:paraId="7E73873B" w16cid:durableId="23702D65"/>
  <w16cid:commentId w16cid:paraId="2FE61F90" w16cid:durableId="7D175F7C"/>
  <w16cid:commentId w16cid:paraId="0D2EC9FD" w16cid:durableId="50BE9E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5ECF6" w14:textId="77777777" w:rsidR="0080349E" w:rsidRDefault="0080349E">
      <w:pPr>
        <w:spacing w:after="0" w:line="240" w:lineRule="auto"/>
      </w:pPr>
      <w:r>
        <w:separator/>
      </w:r>
    </w:p>
  </w:endnote>
  <w:endnote w:type="continuationSeparator" w:id="0">
    <w:p w14:paraId="07B15200" w14:textId="77777777" w:rsidR="0080349E" w:rsidRDefault="0080349E">
      <w:pPr>
        <w:spacing w:after="0" w:line="240" w:lineRule="auto"/>
      </w:pPr>
      <w:r>
        <w:continuationSeparator/>
      </w:r>
    </w:p>
  </w:endnote>
  <w:endnote w:type="continuationNotice" w:id="1">
    <w:p w14:paraId="490E2721" w14:textId="77777777" w:rsidR="0080349E" w:rsidRDefault="00803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3.3.1">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FNZ Q+ Foundry Form Sans">
    <w:altName w:val="Foundry Form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Light">
    <w:altName w:val="Source Sans Pro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169839"/>
      <w:docPartObj>
        <w:docPartGallery w:val="Page Numbers (Bottom of Page)"/>
        <w:docPartUnique/>
      </w:docPartObj>
    </w:sdtPr>
    <w:sdtEndPr>
      <w:rPr>
        <w:noProof/>
      </w:rPr>
    </w:sdtEndPr>
    <w:sdtContent>
      <w:p w14:paraId="2DC7EDB1" w14:textId="77777777" w:rsidR="0080349E" w:rsidRDefault="0080349E">
        <w:pPr>
          <w:pStyle w:val="Footer"/>
          <w:jc w:val="right"/>
        </w:pPr>
        <w:r>
          <w:fldChar w:fldCharType="begin"/>
        </w:r>
        <w:r>
          <w:instrText xml:space="preserve"> PAGE   \* MERGEFORMAT </w:instrText>
        </w:r>
        <w:r>
          <w:fldChar w:fldCharType="separate"/>
        </w:r>
        <w:r w:rsidR="00935708">
          <w:rPr>
            <w:noProof/>
          </w:rPr>
          <w:t>iv</w:t>
        </w:r>
        <w:r>
          <w:rPr>
            <w:noProof/>
          </w:rPr>
          <w:fldChar w:fldCharType="end"/>
        </w:r>
      </w:p>
    </w:sdtContent>
  </w:sdt>
  <w:p w14:paraId="69678E1F" w14:textId="77777777" w:rsidR="0080349E" w:rsidRDefault="00803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01525762"/>
      <w:docPartObj>
        <w:docPartGallery w:val="Page Numbers (Bottom of Page)"/>
        <w:docPartUnique/>
      </w:docPartObj>
    </w:sdtPr>
    <w:sdtEndPr>
      <w:rPr>
        <w:noProof/>
      </w:rPr>
    </w:sdtEndPr>
    <w:sdtContent>
      <w:p w14:paraId="6B39C3C4" w14:textId="77777777" w:rsidR="0080349E" w:rsidRPr="00763D35" w:rsidRDefault="0080349E">
        <w:pPr>
          <w:pStyle w:val="Footer"/>
          <w:jc w:val="right"/>
          <w:rPr>
            <w:sz w:val="20"/>
          </w:rPr>
        </w:pPr>
        <w:r w:rsidRPr="00763D35">
          <w:rPr>
            <w:sz w:val="20"/>
          </w:rPr>
          <w:fldChar w:fldCharType="begin"/>
        </w:r>
        <w:r w:rsidRPr="00763D35">
          <w:rPr>
            <w:sz w:val="20"/>
          </w:rPr>
          <w:instrText xml:space="preserve"> PAGE   \* MERGEFORMAT </w:instrText>
        </w:r>
        <w:r w:rsidRPr="00763D35">
          <w:rPr>
            <w:sz w:val="20"/>
          </w:rPr>
          <w:fldChar w:fldCharType="separate"/>
        </w:r>
        <w:r w:rsidR="00935708">
          <w:rPr>
            <w:noProof/>
            <w:sz w:val="20"/>
          </w:rPr>
          <w:t>89</w:t>
        </w:r>
        <w:r w:rsidRPr="00763D35">
          <w:rPr>
            <w:noProof/>
            <w:sz w:val="20"/>
          </w:rPr>
          <w:fldChar w:fldCharType="end"/>
        </w:r>
      </w:p>
    </w:sdtContent>
  </w:sdt>
  <w:p w14:paraId="5AE6D6BE" w14:textId="77777777" w:rsidR="0080349E" w:rsidRPr="00EB7588" w:rsidRDefault="0080349E">
    <w:pPr>
      <w:pStyle w:val="Footer"/>
      <w:rPr>
        <w:color w:val="FF0066"/>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791A8" w14:textId="77777777" w:rsidR="0080349E" w:rsidRDefault="0080349E">
      <w:pPr>
        <w:spacing w:after="0" w:line="240" w:lineRule="auto"/>
      </w:pPr>
      <w:r>
        <w:separator/>
      </w:r>
    </w:p>
  </w:footnote>
  <w:footnote w:type="continuationSeparator" w:id="0">
    <w:p w14:paraId="4BF6756B" w14:textId="77777777" w:rsidR="0080349E" w:rsidRDefault="0080349E">
      <w:pPr>
        <w:spacing w:after="0" w:line="240" w:lineRule="auto"/>
      </w:pPr>
      <w:r>
        <w:continuationSeparator/>
      </w:r>
    </w:p>
  </w:footnote>
  <w:footnote w:type="continuationNotice" w:id="1">
    <w:p w14:paraId="587D3BE7" w14:textId="77777777" w:rsidR="0080349E" w:rsidRDefault="0080349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139AB" w14:textId="77777777" w:rsidR="0080349E" w:rsidRDefault="00803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DC078" w14:textId="77777777" w:rsidR="0080349E" w:rsidRPr="00933D82" w:rsidRDefault="0080349E" w:rsidP="00933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026"/>
    <w:multiLevelType w:val="multilevel"/>
    <w:tmpl w:val="D01EC8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D70E8"/>
    <w:multiLevelType w:val="multilevel"/>
    <w:tmpl w:val="E5D47D84"/>
    <w:lvl w:ilvl="0">
      <w:start w:val="1"/>
      <w:numFmt w:val="decimal"/>
      <w:lvlText w:val="5.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FD61CF"/>
    <w:multiLevelType w:val="multilevel"/>
    <w:tmpl w:val="5C6E53C6"/>
    <w:lvl w:ilvl="0">
      <w:start w:val="1"/>
      <w:numFmt w:val="decimal"/>
      <w:lvlText w:val="5.1.%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7C1AA7"/>
    <w:multiLevelType w:val="multilevel"/>
    <w:tmpl w:val="9DB6CFEA"/>
    <w:styleLink w:val="Style1"/>
    <w:lvl w:ilvl="0">
      <w:start w:val="3"/>
      <w:numFmt w:val="decimal"/>
      <w:lvlText w:val="%1."/>
      <w:lvlJc w:val="left"/>
      <w:pPr>
        <w:ind w:left="360" w:hanging="360"/>
      </w:pPr>
      <w:rPr>
        <w:rFonts w:ascii="3.3.1" w:hAnsi="3.3.1"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47C36"/>
    <w:multiLevelType w:val="multilevel"/>
    <w:tmpl w:val="C17C4944"/>
    <w:lvl w:ilvl="0">
      <w:start w:val="1"/>
      <w:numFmt w:val="decimal"/>
      <w:lvlText w:val="3.5.%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4C7AD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4C34DF"/>
    <w:multiLevelType w:val="hybridMultilevel"/>
    <w:tmpl w:val="0809001D"/>
    <w:styleLink w:val="Style2"/>
    <w:lvl w:ilvl="0" w:tplc="49AE2212">
      <w:start w:val="1"/>
      <w:numFmt w:val="decimal"/>
      <w:lvlText w:val="%1)"/>
      <w:lvlJc w:val="left"/>
      <w:pPr>
        <w:ind w:left="360" w:hanging="360"/>
      </w:pPr>
    </w:lvl>
    <w:lvl w:ilvl="1" w:tplc="6E52B7D2">
      <w:start w:val="1"/>
      <w:numFmt w:val="lowerLetter"/>
      <w:lvlText w:val="%2)"/>
      <w:lvlJc w:val="left"/>
      <w:pPr>
        <w:ind w:left="720" w:hanging="360"/>
      </w:pPr>
    </w:lvl>
    <w:lvl w:ilvl="2" w:tplc="69D215AC">
      <w:start w:val="1"/>
      <w:numFmt w:val="lowerRoman"/>
      <w:lvlText w:val="%3)"/>
      <w:lvlJc w:val="left"/>
      <w:pPr>
        <w:ind w:left="1080" w:hanging="360"/>
      </w:pPr>
    </w:lvl>
    <w:lvl w:ilvl="3" w:tplc="B78CEA10">
      <w:start w:val="1"/>
      <w:numFmt w:val="decimal"/>
      <w:lvlText w:val="(%4)"/>
      <w:lvlJc w:val="left"/>
      <w:pPr>
        <w:ind w:left="1440" w:hanging="360"/>
      </w:pPr>
    </w:lvl>
    <w:lvl w:ilvl="4" w:tplc="E9589950">
      <w:start w:val="1"/>
      <w:numFmt w:val="lowerLetter"/>
      <w:lvlText w:val="(%5)"/>
      <w:lvlJc w:val="left"/>
      <w:pPr>
        <w:ind w:left="1800" w:hanging="360"/>
      </w:pPr>
    </w:lvl>
    <w:lvl w:ilvl="5" w:tplc="0F660A3E">
      <w:start w:val="1"/>
      <w:numFmt w:val="lowerRoman"/>
      <w:lvlText w:val="(%6)"/>
      <w:lvlJc w:val="left"/>
      <w:pPr>
        <w:ind w:left="2160" w:hanging="360"/>
      </w:pPr>
    </w:lvl>
    <w:lvl w:ilvl="6" w:tplc="44D073A6">
      <w:start w:val="1"/>
      <w:numFmt w:val="decimal"/>
      <w:lvlText w:val="%7."/>
      <w:lvlJc w:val="left"/>
      <w:pPr>
        <w:ind w:left="2520" w:hanging="360"/>
      </w:pPr>
    </w:lvl>
    <w:lvl w:ilvl="7" w:tplc="409AD944">
      <w:start w:val="1"/>
      <w:numFmt w:val="lowerLetter"/>
      <w:lvlText w:val="%8."/>
      <w:lvlJc w:val="left"/>
      <w:pPr>
        <w:ind w:left="2880" w:hanging="360"/>
      </w:pPr>
    </w:lvl>
    <w:lvl w:ilvl="8" w:tplc="A4C46576">
      <w:start w:val="1"/>
      <w:numFmt w:val="lowerRoman"/>
      <w:lvlText w:val="%9."/>
      <w:lvlJc w:val="left"/>
      <w:pPr>
        <w:ind w:left="3240" w:hanging="360"/>
      </w:pPr>
    </w:lvl>
  </w:abstractNum>
  <w:abstractNum w:abstractNumId="7" w15:restartNumberingAfterBreak="0">
    <w:nsid w:val="1D160DB2"/>
    <w:multiLevelType w:val="hybridMultilevel"/>
    <w:tmpl w:val="202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3612A"/>
    <w:multiLevelType w:val="multilevel"/>
    <w:tmpl w:val="A3BC1288"/>
    <w:lvl w:ilvl="0">
      <w:start w:val="1"/>
      <w:numFmt w:val="decimal"/>
      <w:lvlText w:val="3.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204820"/>
    <w:multiLevelType w:val="multilevel"/>
    <w:tmpl w:val="1C148CF6"/>
    <w:lvl w:ilvl="0">
      <w:start w:val="1"/>
      <w:numFmt w:val="decimal"/>
      <w:lvlText w:val="6.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EF30C5"/>
    <w:multiLevelType w:val="multilevel"/>
    <w:tmpl w:val="88A0D886"/>
    <w:lvl w:ilvl="0">
      <w:start w:val="1"/>
      <w:numFmt w:val="decimal"/>
      <w:lvlText w:val="6.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6A164D"/>
    <w:multiLevelType w:val="hybridMultilevel"/>
    <w:tmpl w:val="6352A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D4775F"/>
    <w:multiLevelType w:val="hybridMultilevel"/>
    <w:tmpl w:val="7132F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B34443"/>
    <w:multiLevelType w:val="hybridMultilevel"/>
    <w:tmpl w:val="EB444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115885"/>
    <w:multiLevelType w:val="multilevel"/>
    <w:tmpl w:val="2DC663C4"/>
    <w:lvl w:ilvl="0">
      <w:start w:val="1"/>
      <w:numFmt w:val="decimal"/>
      <w:pStyle w:val="Heading1"/>
      <w:lvlText w:val="%1"/>
      <w:lvlJc w:val="left"/>
      <w:pPr>
        <w:ind w:left="847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2017" w:hanging="576"/>
      </w:pPr>
      <w:rPr>
        <w:b w:val="0"/>
        <w:bCs w:val="0"/>
        <w:i w:val="0"/>
        <w:iCs w:val="0"/>
        <w:caps w:val="0"/>
        <w:smallCaps w:val="0"/>
        <w:strike w:val="0"/>
        <w:dstrike w:val="0"/>
        <w:noProof w:val="0"/>
        <w:vanish w:val="0"/>
        <w:color w:val="00206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0" w:hanging="720"/>
      </w:pPr>
      <w:rPr>
        <w:rFonts w:hint="default"/>
      </w:rPr>
    </w:lvl>
    <w:lvl w:ilvl="3">
      <w:start w:val="1"/>
      <w:numFmt w:val="decimal"/>
      <w:pStyle w:val="Heading4"/>
      <w:lvlText w:val="%1.%2.%3.%4"/>
      <w:lvlJc w:val="left"/>
      <w:pPr>
        <w:ind w:left="7344" w:hanging="864"/>
      </w:pPr>
      <w:rPr>
        <w:rFonts w:hint="default"/>
      </w:rPr>
    </w:lvl>
    <w:lvl w:ilvl="4">
      <w:start w:val="1"/>
      <w:numFmt w:val="decimal"/>
      <w:pStyle w:val="Heading5"/>
      <w:lvlText w:val="%1.%2.%3.%4.%5"/>
      <w:lvlJc w:val="left"/>
      <w:pPr>
        <w:ind w:left="7488" w:hanging="1008"/>
      </w:pPr>
      <w:rPr>
        <w:rFonts w:hint="default"/>
      </w:rPr>
    </w:lvl>
    <w:lvl w:ilvl="5">
      <w:start w:val="1"/>
      <w:numFmt w:val="decimal"/>
      <w:pStyle w:val="Heading6"/>
      <w:lvlText w:val="%1.%2.%3.%4.%5.%6"/>
      <w:lvlJc w:val="left"/>
      <w:pPr>
        <w:ind w:left="7632" w:hanging="1152"/>
      </w:pPr>
      <w:rPr>
        <w:rFonts w:hint="default"/>
      </w:rPr>
    </w:lvl>
    <w:lvl w:ilvl="6">
      <w:start w:val="1"/>
      <w:numFmt w:val="decimal"/>
      <w:pStyle w:val="Heading7"/>
      <w:lvlText w:val="%1.%2.%3.%4.%5.%6.%7"/>
      <w:lvlJc w:val="left"/>
      <w:pPr>
        <w:ind w:left="7776" w:hanging="1296"/>
      </w:pPr>
      <w:rPr>
        <w:rFonts w:hint="default"/>
      </w:rPr>
    </w:lvl>
    <w:lvl w:ilvl="7">
      <w:start w:val="1"/>
      <w:numFmt w:val="decimal"/>
      <w:pStyle w:val="Heading8"/>
      <w:lvlText w:val="%1.%2.%3.%4.%5.%6.%7.%8"/>
      <w:lvlJc w:val="left"/>
      <w:pPr>
        <w:ind w:left="7920" w:hanging="1440"/>
      </w:pPr>
      <w:rPr>
        <w:rFonts w:hint="default"/>
      </w:rPr>
    </w:lvl>
    <w:lvl w:ilvl="8">
      <w:start w:val="1"/>
      <w:numFmt w:val="decimal"/>
      <w:pStyle w:val="Heading9"/>
      <w:lvlText w:val="%1.%2.%3.%4.%5.%6.%7.%8.%9"/>
      <w:lvlJc w:val="left"/>
      <w:pPr>
        <w:ind w:left="8064" w:hanging="1584"/>
      </w:pPr>
      <w:rPr>
        <w:rFonts w:hint="default"/>
      </w:rPr>
    </w:lvl>
  </w:abstractNum>
  <w:abstractNum w:abstractNumId="15" w15:restartNumberingAfterBreak="0">
    <w:nsid w:val="31BE739E"/>
    <w:multiLevelType w:val="hybridMultilevel"/>
    <w:tmpl w:val="71EA76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B36546"/>
    <w:multiLevelType w:val="multilevel"/>
    <w:tmpl w:val="7AAA2774"/>
    <w:lvl w:ilvl="0">
      <w:start w:val="1"/>
      <w:numFmt w:val="decimal"/>
      <w:lvlText w:val="3.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B47B80"/>
    <w:multiLevelType w:val="multilevel"/>
    <w:tmpl w:val="9DB6CFEA"/>
    <w:numStyleLink w:val="Style1"/>
  </w:abstractNum>
  <w:abstractNum w:abstractNumId="18" w15:restartNumberingAfterBreak="0">
    <w:nsid w:val="360650E1"/>
    <w:multiLevelType w:val="hybridMultilevel"/>
    <w:tmpl w:val="2B50DF7E"/>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361A50B4"/>
    <w:multiLevelType w:val="hybridMultilevel"/>
    <w:tmpl w:val="A6E4E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072420"/>
    <w:multiLevelType w:val="hybridMultilevel"/>
    <w:tmpl w:val="2FD44A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9B46C47"/>
    <w:multiLevelType w:val="hybridMultilevel"/>
    <w:tmpl w:val="4588F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0D91361"/>
    <w:multiLevelType w:val="hybridMultilevel"/>
    <w:tmpl w:val="5BD69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8B5D3F"/>
    <w:multiLevelType w:val="hybridMultilevel"/>
    <w:tmpl w:val="E446F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A91048"/>
    <w:multiLevelType w:val="multilevel"/>
    <w:tmpl w:val="5072B00C"/>
    <w:lvl w:ilvl="0">
      <w:start w:val="1"/>
      <w:numFmt w:val="decimal"/>
      <w:lvlText w:val="4.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115E5E"/>
    <w:multiLevelType w:val="multilevel"/>
    <w:tmpl w:val="1C148CF6"/>
    <w:lvl w:ilvl="0">
      <w:start w:val="1"/>
      <w:numFmt w:val="decimal"/>
      <w:lvlText w:val="6.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1A1CD0"/>
    <w:multiLevelType w:val="hybridMultilevel"/>
    <w:tmpl w:val="003AFB9E"/>
    <w:lvl w:ilvl="0" w:tplc="717AC886">
      <w:start w:val="1"/>
      <w:numFmt w:val="bullet"/>
      <w:lvlText w:val=""/>
      <w:lvlJc w:val="left"/>
      <w:pPr>
        <w:tabs>
          <w:tab w:val="num" w:pos="720"/>
        </w:tabs>
        <w:ind w:left="720" w:hanging="360"/>
      </w:pPr>
      <w:rPr>
        <w:rFonts w:ascii="Symbol" w:hAnsi="Symbol" w:hint="default"/>
      </w:rPr>
    </w:lvl>
    <w:lvl w:ilvl="1" w:tplc="5240BA52">
      <w:start w:val="1"/>
      <w:numFmt w:val="bullet"/>
      <w:lvlText w:val=""/>
      <w:lvlJc w:val="left"/>
      <w:pPr>
        <w:tabs>
          <w:tab w:val="num" w:pos="1440"/>
        </w:tabs>
        <w:ind w:left="1440" w:hanging="360"/>
      </w:pPr>
      <w:rPr>
        <w:rFonts w:ascii="Symbol" w:hAnsi="Symbol" w:hint="default"/>
      </w:rPr>
    </w:lvl>
    <w:lvl w:ilvl="2" w:tplc="4E601148" w:tentative="1">
      <w:start w:val="1"/>
      <w:numFmt w:val="bullet"/>
      <w:lvlText w:val=""/>
      <w:lvlJc w:val="left"/>
      <w:pPr>
        <w:tabs>
          <w:tab w:val="num" w:pos="2160"/>
        </w:tabs>
        <w:ind w:left="2160" w:hanging="360"/>
      </w:pPr>
      <w:rPr>
        <w:rFonts w:ascii="Symbol" w:hAnsi="Symbol" w:hint="default"/>
      </w:rPr>
    </w:lvl>
    <w:lvl w:ilvl="3" w:tplc="583EDC62" w:tentative="1">
      <w:start w:val="1"/>
      <w:numFmt w:val="bullet"/>
      <w:lvlText w:val=""/>
      <w:lvlJc w:val="left"/>
      <w:pPr>
        <w:tabs>
          <w:tab w:val="num" w:pos="2880"/>
        </w:tabs>
        <w:ind w:left="2880" w:hanging="360"/>
      </w:pPr>
      <w:rPr>
        <w:rFonts w:ascii="Symbol" w:hAnsi="Symbol" w:hint="default"/>
      </w:rPr>
    </w:lvl>
    <w:lvl w:ilvl="4" w:tplc="2398F0A6" w:tentative="1">
      <w:start w:val="1"/>
      <w:numFmt w:val="bullet"/>
      <w:lvlText w:val=""/>
      <w:lvlJc w:val="left"/>
      <w:pPr>
        <w:tabs>
          <w:tab w:val="num" w:pos="3600"/>
        </w:tabs>
        <w:ind w:left="3600" w:hanging="360"/>
      </w:pPr>
      <w:rPr>
        <w:rFonts w:ascii="Symbol" w:hAnsi="Symbol" w:hint="default"/>
      </w:rPr>
    </w:lvl>
    <w:lvl w:ilvl="5" w:tplc="A620B546" w:tentative="1">
      <w:start w:val="1"/>
      <w:numFmt w:val="bullet"/>
      <w:lvlText w:val=""/>
      <w:lvlJc w:val="left"/>
      <w:pPr>
        <w:tabs>
          <w:tab w:val="num" w:pos="4320"/>
        </w:tabs>
        <w:ind w:left="4320" w:hanging="360"/>
      </w:pPr>
      <w:rPr>
        <w:rFonts w:ascii="Symbol" w:hAnsi="Symbol" w:hint="default"/>
      </w:rPr>
    </w:lvl>
    <w:lvl w:ilvl="6" w:tplc="C5CEE31A" w:tentative="1">
      <w:start w:val="1"/>
      <w:numFmt w:val="bullet"/>
      <w:lvlText w:val=""/>
      <w:lvlJc w:val="left"/>
      <w:pPr>
        <w:tabs>
          <w:tab w:val="num" w:pos="5040"/>
        </w:tabs>
        <w:ind w:left="5040" w:hanging="360"/>
      </w:pPr>
      <w:rPr>
        <w:rFonts w:ascii="Symbol" w:hAnsi="Symbol" w:hint="default"/>
      </w:rPr>
    </w:lvl>
    <w:lvl w:ilvl="7" w:tplc="1F22D52E" w:tentative="1">
      <w:start w:val="1"/>
      <w:numFmt w:val="bullet"/>
      <w:lvlText w:val=""/>
      <w:lvlJc w:val="left"/>
      <w:pPr>
        <w:tabs>
          <w:tab w:val="num" w:pos="5760"/>
        </w:tabs>
        <w:ind w:left="5760" w:hanging="360"/>
      </w:pPr>
      <w:rPr>
        <w:rFonts w:ascii="Symbol" w:hAnsi="Symbol" w:hint="default"/>
      </w:rPr>
    </w:lvl>
    <w:lvl w:ilvl="8" w:tplc="FC94416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6EE3868"/>
    <w:multiLevelType w:val="multilevel"/>
    <w:tmpl w:val="A1164444"/>
    <w:lvl w:ilvl="0">
      <w:start w:val="1"/>
      <w:numFmt w:val="decimal"/>
      <w:lvlText w:val="4.2.%1"/>
      <w:lvlJc w:val="left"/>
      <w:pPr>
        <w:ind w:left="360" w:hanging="360"/>
      </w:pPr>
      <w:rPr>
        <w:rFonts w:hint="default"/>
        <w:b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FF07B9"/>
    <w:multiLevelType w:val="hybridMultilevel"/>
    <w:tmpl w:val="F8DC96E4"/>
    <w:lvl w:ilvl="0" w:tplc="7902A38C">
      <w:start w:val="1"/>
      <w:numFmt w:val="decimal"/>
      <w:pStyle w:val="ListParagraph"/>
      <w:lvlText w:val="%1."/>
      <w:lvlJc w:val="left"/>
      <w:pPr>
        <w:ind w:left="5760" w:hanging="360"/>
      </w:pPr>
    </w:lvl>
    <w:lvl w:ilvl="1" w:tplc="08090019" w:tentative="1">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29" w15:restartNumberingAfterBreak="0">
    <w:nsid w:val="71AE0195"/>
    <w:multiLevelType w:val="hybridMultilevel"/>
    <w:tmpl w:val="FC92F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45E4ADE6">
      <w:start w:val="3"/>
      <w:numFmt w:val="bullet"/>
      <w:lvlText w:val="-"/>
      <w:lvlJc w:val="left"/>
      <w:pPr>
        <w:ind w:left="3960" w:hanging="360"/>
      </w:pPr>
      <w:rPr>
        <w:rFonts w:ascii="Arial" w:eastAsiaTheme="minorHAnsi" w:hAnsi="Arial"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38F77F8"/>
    <w:multiLevelType w:val="multilevel"/>
    <w:tmpl w:val="28140B08"/>
    <w:lvl w:ilvl="0">
      <w:start w:val="1"/>
      <w:numFmt w:val="decimal"/>
      <w:pStyle w:val="Numberedheading"/>
      <w:lvlText w:val="%1."/>
      <w:lvlJc w:val="left"/>
      <w:pPr>
        <w:ind w:left="360" w:hanging="360"/>
      </w:pPr>
      <w:rPr>
        <w:rFonts w:hint="default"/>
        <w:i w:val="0"/>
        <w:sz w:val="28"/>
        <w:szCs w:val="28"/>
      </w:rPr>
    </w:lvl>
    <w:lvl w:ilvl="1">
      <w:start w:val="1"/>
      <w:numFmt w:val="decimal"/>
      <w:pStyle w:val="Numberedbody"/>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D055EC"/>
    <w:multiLevelType w:val="hybridMultilevel"/>
    <w:tmpl w:val="0A22F8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5E7F8E"/>
    <w:multiLevelType w:val="multilevel"/>
    <w:tmpl w:val="CAF84AF4"/>
    <w:lvl w:ilvl="0">
      <w:start w:val="1"/>
      <w:numFmt w:val="decimal"/>
      <w:lvlText w:val="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8"/>
  </w:num>
  <w:num w:numId="3">
    <w:abstractNumId w:val="29"/>
  </w:num>
  <w:num w:numId="4">
    <w:abstractNumId w:val="31"/>
  </w:num>
  <w:num w:numId="5">
    <w:abstractNumId w:val="15"/>
  </w:num>
  <w:num w:numId="6">
    <w:abstractNumId w:val="12"/>
  </w:num>
  <w:num w:numId="7">
    <w:abstractNumId w:val="28"/>
  </w:num>
  <w:num w:numId="8">
    <w:abstractNumId w:val="20"/>
  </w:num>
  <w:num w:numId="9">
    <w:abstractNumId w:val="19"/>
  </w:num>
  <w:num w:numId="10">
    <w:abstractNumId w:val="13"/>
  </w:num>
  <w:num w:numId="11">
    <w:abstractNumId w:val="21"/>
  </w:num>
  <w:num w:numId="12">
    <w:abstractNumId w:val="23"/>
  </w:num>
  <w:num w:numId="13">
    <w:abstractNumId w:val="5"/>
  </w:num>
  <w:num w:numId="14">
    <w:abstractNumId w:val="3"/>
  </w:num>
  <w:num w:numId="15">
    <w:abstractNumId w:val="8"/>
  </w:num>
  <w:num w:numId="16">
    <w:abstractNumId w:val="25"/>
  </w:num>
  <w:num w:numId="17">
    <w:abstractNumId w:val="6"/>
  </w:num>
  <w:num w:numId="18">
    <w:abstractNumId w:val="32"/>
  </w:num>
  <w:num w:numId="19">
    <w:abstractNumId w:val="9"/>
  </w:num>
  <w:num w:numId="20">
    <w:abstractNumId w:val="1"/>
  </w:num>
  <w:num w:numId="21">
    <w:abstractNumId w:val="2"/>
  </w:num>
  <w:num w:numId="22">
    <w:abstractNumId w:val="10"/>
  </w:num>
  <w:num w:numId="23">
    <w:abstractNumId w:val="4"/>
  </w:num>
  <w:num w:numId="24">
    <w:abstractNumId w:val="17"/>
    <w:lvlOverride w:ilvl="2">
      <w:lvl w:ilvl="2">
        <w:start w:val="1"/>
        <w:numFmt w:val="decimal"/>
        <w:lvlText w:val="%1.%2.%3."/>
        <w:lvlJc w:val="left"/>
        <w:pPr>
          <w:ind w:left="1224" w:hanging="504"/>
        </w:pPr>
        <w:rPr>
          <w:rFonts w:hint="default"/>
        </w:rPr>
      </w:lvl>
    </w:lvlOverride>
  </w:num>
  <w:num w:numId="25">
    <w:abstractNumId w:val="24"/>
  </w:num>
  <w:num w:numId="26">
    <w:abstractNumId w:val="27"/>
  </w:num>
  <w:num w:numId="27">
    <w:abstractNumId w:val="16"/>
  </w:num>
  <w:num w:numId="28">
    <w:abstractNumId w:val="22"/>
  </w:num>
  <w:num w:numId="29">
    <w:abstractNumId w:val="26"/>
  </w:num>
  <w:num w:numId="30">
    <w:abstractNumId w:val="11"/>
  </w:num>
  <w:num w:numId="31">
    <w:abstractNumId w:val="7"/>
  </w:num>
  <w:num w:numId="32">
    <w:abstractNumId w:val="0"/>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31"/>
    <w:rsid w:val="00002937"/>
    <w:rsid w:val="00004446"/>
    <w:rsid w:val="000045BC"/>
    <w:rsid w:val="00005307"/>
    <w:rsid w:val="0000574E"/>
    <w:rsid w:val="00006106"/>
    <w:rsid w:val="000069F2"/>
    <w:rsid w:val="000071BD"/>
    <w:rsid w:val="00010856"/>
    <w:rsid w:val="00011D58"/>
    <w:rsid w:val="0001380F"/>
    <w:rsid w:val="00013921"/>
    <w:rsid w:val="00013DBD"/>
    <w:rsid w:val="0001528E"/>
    <w:rsid w:val="00016DA7"/>
    <w:rsid w:val="00021A8D"/>
    <w:rsid w:val="00021C15"/>
    <w:rsid w:val="00024621"/>
    <w:rsid w:val="00024DA3"/>
    <w:rsid w:val="0002624A"/>
    <w:rsid w:val="000332B6"/>
    <w:rsid w:val="0003669B"/>
    <w:rsid w:val="00041C8A"/>
    <w:rsid w:val="000420B6"/>
    <w:rsid w:val="00042CA8"/>
    <w:rsid w:val="00043BD8"/>
    <w:rsid w:val="00044697"/>
    <w:rsid w:val="00046968"/>
    <w:rsid w:val="000479C8"/>
    <w:rsid w:val="00050950"/>
    <w:rsid w:val="00050A28"/>
    <w:rsid w:val="000525A3"/>
    <w:rsid w:val="000539C7"/>
    <w:rsid w:val="000602D8"/>
    <w:rsid w:val="00060DC0"/>
    <w:rsid w:val="0006257D"/>
    <w:rsid w:val="0006345F"/>
    <w:rsid w:val="00063D05"/>
    <w:rsid w:val="00064355"/>
    <w:rsid w:val="00064A66"/>
    <w:rsid w:val="00064B8B"/>
    <w:rsid w:val="00071184"/>
    <w:rsid w:val="000711F5"/>
    <w:rsid w:val="000713B9"/>
    <w:rsid w:val="00075F82"/>
    <w:rsid w:val="00077137"/>
    <w:rsid w:val="0008178D"/>
    <w:rsid w:val="000824BD"/>
    <w:rsid w:val="000837F9"/>
    <w:rsid w:val="00083F4D"/>
    <w:rsid w:val="00084CE2"/>
    <w:rsid w:val="00084EE9"/>
    <w:rsid w:val="00085CD5"/>
    <w:rsid w:val="00085DF6"/>
    <w:rsid w:val="00087ACD"/>
    <w:rsid w:val="00096D27"/>
    <w:rsid w:val="000975CB"/>
    <w:rsid w:val="00097F57"/>
    <w:rsid w:val="000A30B5"/>
    <w:rsid w:val="000A5018"/>
    <w:rsid w:val="000A581C"/>
    <w:rsid w:val="000A5938"/>
    <w:rsid w:val="000A5ECB"/>
    <w:rsid w:val="000B3A4A"/>
    <w:rsid w:val="000B4077"/>
    <w:rsid w:val="000B7891"/>
    <w:rsid w:val="000B79A1"/>
    <w:rsid w:val="000C1B3C"/>
    <w:rsid w:val="000C2693"/>
    <w:rsid w:val="000C3CFB"/>
    <w:rsid w:val="000C668A"/>
    <w:rsid w:val="000C6BE5"/>
    <w:rsid w:val="000C7FD0"/>
    <w:rsid w:val="000D0A6C"/>
    <w:rsid w:val="000D14B5"/>
    <w:rsid w:val="000D1D2E"/>
    <w:rsid w:val="000D26B8"/>
    <w:rsid w:val="000D421B"/>
    <w:rsid w:val="000D7A9A"/>
    <w:rsid w:val="000E2ADE"/>
    <w:rsid w:val="000E4183"/>
    <w:rsid w:val="000E4F08"/>
    <w:rsid w:val="000E5665"/>
    <w:rsid w:val="000E5AD6"/>
    <w:rsid w:val="000E738C"/>
    <w:rsid w:val="000E7C63"/>
    <w:rsid w:val="000F0A80"/>
    <w:rsid w:val="000F18B5"/>
    <w:rsid w:val="000F2802"/>
    <w:rsid w:val="000F78B2"/>
    <w:rsid w:val="000F7F0C"/>
    <w:rsid w:val="00102014"/>
    <w:rsid w:val="00111AB2"/>
    <w:rsid w:val="00111B99"/>
    <w:rsid w:val="00113511"/>
    <w:rsid w:val="0011436F"/>
    <w:rsid w:val="00114D1D"/>
    <w:rsid w:val="001179E7"/>
    <w:rsid w:val="00117C77"/>
    <w:rsid w:val="00121315"/>
    <w:rsid w:val="00122FC0"/>
    <w:rsid w:val="00123843"/>
    <w:rsid w:val="0012463D"/>
    <w:rsid w:val="001252F7"/>
    <w:rsid w:val="00125363"/>
    <w:rsid w:val="00132657"/>
    <w:rsid w:val="00132F1A"/>
    <w:rsid w:val="00134761"/>
    <w:rsid w:val="001357AB"/>
    <w:rsid w:val="0013635A"/>
    <w:rsid w:val="00143E64"/>
    <w:rsid w:val="00145747"/>
    <w:rsid w:val="00146F15"/>
    <w:rsid w:val="0014791D"/>
    <w:rsid w:val="001503E3"/>
    <w:rsid w:val="001532FF"/>
    <w:rsid w:val="00154BAA"/>
    <w:rsid w:val="00155EE6"/>
    <w:rsid w:val="00160113"/>
    <w:rsid w:val="00160346"/>
    <w:rsid w:val="00161816"/>
    <w:rsid w:val="00163AD9"/>
    <w:rsid w:val="00164726"/>
    <w:rsid w:val="00170041"/>
    <w:rsid w:val="00176373"/>
    <w:rsid w:val="00177A61"/>
    <w:rsid w:val="00180FCE"/>
    <w:rsid w:val="00181E59"/>
    <w:rsid w:val="001837FB"/>
    <w:rsid w:val="00185327"/>
    <w:rsid w:val="00185410"/>
    <w:rsid w:val="00186883"/>
    <w:rsid w:val="00187097"/>
    <w:rsid w:val="00187151"/>
    <w:rsid w:val="00194F49"/>
    <w:rsid w:val="00196252"/>
    <w:rsid w:val="001971FD"/>
    <w:rsid w:val="001972AB"/>
    <w:rsid w:val="001A05CF"/>
    <w:rsid w:val="001A17CA"/>
    <w:rsid w:val="001A2FBE"/>
    <w:rsid w:val="001A31E9"/>
    <w:rsid w:val="001A34A8"/>
    <w:rsid w:val="001A37E2"/>
    <w:rsid w:val="001A4CEF"/>
    <w:rsid w:val="001A7E7C"/>
    <w:rsid w:val="001B0E02"/>
    <w:rsid w:val="001B2649"/>
    <w:rsid w:val="001B5BA7"/>
    <w:rsid w:val="001B6116"/>
    <w:rsid w:val="001B727C"/>
    <w:rsid w:val="001C0696"/>
    <w:rsid w:val="001C3095"/>
    <w:rsid w:val="001C4CA2"/>
    <w:rsid w:val="001C6BCB"/>
    <w:rsid w:val="001D0820"/>
    <w:rsid w:val="001D0D6C"/>
    <w:rsid w:val="001D2A91"/>
    <w:rsid w:val="001D3044"/>
    <w:rsid w:val="001D3563"/>
    <w:rsid w:val="001D3A91"/>
    <w:rsid w:val="001E1017"/>
    <w:rsid w:val="001E39CD"/>
    <w:rsid w:val="001F09EB"/>
    <w:rsid w:val="001F0DF1"/>
    <w:rsid w:val="001F440A"/>
    <w:rsid w:val="001F4541"/>
    <w:rsid w:val="001F6AD8"/>
    <w:rsid w:val="00201825"/>
    <w:rsid w:val="0020672A"/>
    <w:rsid w:val="00207375"/>
    <w:rsid w:val="00207E56"/>
    <w:rsid w:val="00212A34"/>
    <w:rsid w:val="00216E91"/>
    <w:rsid w:val="00217303"/>
    <w:rsid w:val="00220188"/>
    <w:rsid w:val="00223356"/>
    <w:rsid w:val="00224484"/>
    <w:rsid w:val="002274B1"/>
    <w:rsid w:val="0022773D"/>
    <w:rsid w:val="00227792"/>
    <w:rsid w:val="002304D1"/>
    <w:rsid w:val="00230D22"/>
    <w:rsid w:val="00231A0B"/>
    <w:rsid w:val="002350A9"/>
    <w:rsid w:val="00236DCD"/>
    <w:rsid w:val="00237149"/>
    <w:rsid w:val="00241179"/>
    <w:rsid w:val="00245FCC"/>
    <w:rsid w:val="002473A3"/>
    <w:rsid w:val="00247F7F"/>
    <w:rsid w:val="00250516"/>
    <w:rsid w:val="0025166F"/>
    <w:rsid w:val="00251875"/>
    <w:rsid w:val="00253252"/>
    <w:rsid w:val="002559A8"/>
    <w:rsid w:val="00255B44"/>
    <w:rsid w:val="002633E9"/>
    <w:rsid w:val="00266C87"/>
    <w:rsid w:val="00267178"/>
    <w:rsid w:val="00272130"/>
    <w:rsid w:val="0027279D"/>
    <w:rsid w:val="0027366B"/>
    <w:rsid w:val="00275AAC"/>
    <w:rsid w:val="00276B9C"/>
    <w:rsid w:val="00280957"/>
    <w:rsid w:val="00280BF3"/>
    <w:rsid w:val="00281588"/>
    <w:rsid w:val="00281672"/>
    <w:rsid w:val="002816BB"/>
    <w:rsid w:val="00281B4A"/>
    <w:rsid w:val="002849A6"/>
    <w:rsid w:val="00285446"/>
    <w:rsid w:val="00285E97"/>
    <w:rsid w:val="002866BE"/>
    <w:rsid w:val="00287F81"/>
    <w:rsid w:val="00292CAA"/>
    <w:rsid w:val="002930E6"/>
    <w:rsid w:val="00293D04"/>
    <w:rsid w:val="002948CB"/>
    <w:rsid w:val="00295FA8"/>
    <w:rsid w:val="00296A3F"/>
    <w:rsid w:val="00297620"/>
    <w:rsid w:val="002A2367"/>
    <w:rsid w:val="002A4C45"/>
    <w:rsid w:val="002A5355"/>
    <w:rsid w:val="002A72F8"/>
    <w:rsid w:val="002B132B"/>
    <w:rsid w:val="002B2CB2"/>
    <w:rsid w:val="002B3CB8"/>
    <w:rsid w:val="002B4BE3"/>
    <w:rsid w:val="002B5483"/>
    <w:rsid w:val="002B6579"/>
    <w:rsid w:val="002B6B59"/>
    <w:rsid w:val="002C07DE"/>
    <w:rsid w:val="002C139F"/>
    <w:rsid w:val="002C1A05"/>
    <w:rsid w:val="002C2334"/>
    <w:rsid w:val="002C2992"/>
    <w:rsid w:val="002C5D72"/>
    <w:rsid w:val="002C5FFB"/>
    <w:rsid w:val="002C6D7E"/>
    <w:rsid w:val="002C7B2F"/>
    <w:rsid w:val="002D277F"/>
    <w:rsid w:val="002D28DF"/>
    <w:rsid w:val="002D3015"/>
    <w:rsid w:val="002D3A0E"/>
    <w:rsid w:val="002D7D92"/>
    <w:rsid w:val="002E0C5B"/>
    <w:rsid w:val="002E0FBF"/>
    <w:rsid w:val="002E1EB9"/>
    <w:rsid w:val="002E3067"/>
    <w:rsid w:val="002E4B7F"/>
    <w:rsid w:val="002E5F7D"/>
    <w:rsid w:val="002E7140"/>
    <w:rsid w:val="002E7FD6"/>
    <w:rsid w:val="002F0A74"/>
    <w:rsid w:val="002F330D"/>
    <w:rsid w:val="002F4A8F"/>
    <w:rsid w:val="002F6073"/>
    <w:rsid w:val="002F725D"/>
    <w:rsid w:val="002F76CB"/>
    <w:rsid w:val="003006DD"/>
    <w:rsid w:val="00301DB5"/>
    <w:rsid w:val="00301E47"/>
    <w:rsid w:val="003023BD"/>
    <w:rsid w:val="00303B80"/>
    <w:rsid w:val="003043EC"/>
    <w:rsid w:val="00307285"/>
    <w:rsid w:val="00307563"/>
    <w:rsid w:val="00310731"/>
    <w:rsid w:val="003111F0"/>
    <w:rsid w:val="003129AE"/>
    <w:rsid w:val="003148A4"/>
    <w:rsid w:val="00320821"/>
    <w:rsid w:val="00321543"/>
    <w:rsid w:val="00323D5C"/>
    <w:rsid w:val="00324C84"/>
    <w:rsid w:val="00325F5C"/>
    <w:rsid w:val="00327843"/>
    <w:rsid w:val="0033100F"/>
    <w:rsid w:val="00332B1C"/>
    <w:rsid w:val="00335DA9"/>
    <w:rsid w:val="003401B8"/>
    <w:rsid w:val="0034047A"/>
    <w:rsid w:val="003437D9"/>
    <w:rsid w:val="0034442B"/>
    <w:rsid w:val="00345109"/>
    <w:rsid w:val="003458BB"/>
    <w:rsid w:val="0035250E"/>
    <w:rsid w:val="00356AF3"/>
    <w:rsid w:val="00361B02"/>
    <w:rsid w:val="00361D4A"/>
    <w:rsid w:val="003622F2"/>
    <w:rsid w:val="00364C20"/>
    <w:rsid w:val="00372B1B"/>
    <w:rsid w:val="00373A28"/>
    <w:rsid w:val="003759D2"/>
    <w:rsid w:val="00375C31"/>
    <w:rsid w:val="003770B7"/>
    <w:rsid w:val="00377537"/>
    <w:rsid w:val="00380BAF"/>
    <w:rsid w:val="00380D7B"/>
    <w:rsid w:val="00384C8D"/>
    <w:rsid w:val="00387A40"/>
    <w:rsid w:val="00392010"/>
    <w:rsid w:val="00397530"/>
    <w:rsid w:val="003979FC"/>
    <w:rsid w:val="003A0965"/>
    <w:rsid w:val="003A13D0"/>
    <w:rsid w:val="003A140B"/>
    <w:rsid w:val="003A1CFB"/>
    <w:rsid w:val="003A3956"/>
    <w:rsid w:val="003A4741"/>
    <w:rsid w:val="003A4D27"/>
    <w:rsid w:val="003A53EC"/>
    <w:rsid w:val="003B35CB"/>
    <w:rsid w:val="003B4621"/>
    <w:rsid w:val="003B6AEC"/>
    <w:rsid w:val="003C3181"/>
    <w:rsid w:val="003C64FE"/>
    <w:rsid w:val="003C74CB"/>
    <w:rsid w:val="003D34DE"/>
    <w:rsid w:val="003D460F"/>
    <w:rsid w:val="003D7088"/>
    <w:rsid w:val="003E0585"/>
    <w:rsid w:val="003E0793"/>
    <w:rsid w:val="003E19DA"/>
    <w:rsid w:val="003F0F6E"/>
    <w:rsid w:val="003F397A"/>
    <w:rsid w:val="003F3B77"/>
    <w:rsid w:val="003F4B7E"/>
    <w:rsid w:val="003F58AF"/>
    <w:rsid w:val="003F6C56"/>
    <w:rsid w:val="00400288"/>
    <w:rsid w:val="00403707"/>
    <w:rsid w:val="0040461A"/>
    <w:rsid w:val="00406EEB"/>
    <w:rsid w:val="00411931"/>
    <w:rsid w:val="00411FD0"/>
    <w:rsid w:val="00415BC6"/>
    <w:rsid w:val="00416EDF"/>
    <w:rsid w:val="004250E4"/>
    <w:rsid w:val="00426F00"/>
    <w:rsid w:val="00430EB5"/>
    <w:rsid w:val="0043154F"/>
    <w:rsid w:val="0043183C"/>
    <w:rsid w:val="00431BDF"/>
    <w:rsid w:val="00433614"/>
    <w:rsid w:val="004344AC"/>
    <w:rsid w:val="004344DE"/>
    <w:rsid w:val="00434B7B"/>
    <w:rsid w:val="00436289"/>
    <w:rsid w:val="00440F30"/>
    <w:rsid w:val="004417BA"/>
    <w:rsid w:val="00442DE3"/>
    <w:rsid w:val="00443074"/>
    <w:rsid w:val="0044490F"/>
    <w:rsid w:val="00444A89"/>
    <w:rsid w:val="004456AF"/>
    <w:rsid w:val="004471E9"/>
    <w:rsid w:val="004507C5"/>
    <w:rsid w:val="00454479"/>
    <w:rsid w:val="00454BF3"/>
    <w:rsid w:val="00462D69"/>
    <w:rsid w:val="00471923"/>
    <w:rsid w:val="00473207"/>
    <w:rsid w:val="00474D52"/>
    <w:rsid w:val="00476CD8"/>
    <w:rsid w:val="0048225A"/>
    <w:rsid w:val="004835DE"/>
    <w:rsid w:val="004861B5"/>
    <w:rsid w:val="00486571"/>
    <w:rsid w:val="00490E1A"/>
    <w:rsid w:val="00490EB1"/>
    <w:rsid w:val="004919F7"/>
    <w:rsid w:val="004961DE"/>
    <w:rsid w:val="004A3C8B"/>
    <w:rsid w:val="004B097F"/>
    <w:rsid w:val="004B1276"/>
    <w:rsid w:val="004B2F18"/>
    <w:rsid w:val="004B3D4F"/>
    <w:rsid w:val="004B3EA9"/>
    <w:rsid w:val="004B506C"/>
    <w:rsid w:val="004B5A74"/>
    <w:rsid w:val="004B6754"/>
    <w:rsid w:val="004C11DC"/>
    <w:rsid w:val="004C2DCE"/>
    <w:rsid w:val="004C3ADB"/>
    <w:rsid w:val="004C58AB"/>
    <w:rsid w:val="004D0C88"/>
    <w:rsid w:val="004D17F8"/>
    <w:rsid w:val="004D3F40"/>
    <w:rsid w:val="004D5C01"/>
    <w:rsid w:val="004D5F3F"/>
    <w:rsid w:val="004E04ED"/>
    <w:rsid w:val="004E1689"/>
    <w:rsid w:val="004E27C6"/>
    <w:rsid w:val="004E2CE1"/>
    <w:rsid w:val="004E2E2C"/>
    <w:rsid w:val="004E6A4E"/>
    <w:rsid w:val="004F77BE"/>
    <w:rsid w:val="004F785C"/>
    <w:rsid w:val="00500DC8"/>
    <w:rsid w:val="00501781"/>
    <w:rsid w:val="00506807"/>
    <w:rsid w:val="0051102F"/>
    <w:rsid w:val="0051146A"/>
    <w:rsid w:val="00513EF5"/>
    <w:rsid w:val="00514AEB"/>
    <w:rsid w:val="0051695E"/>
    <w:rsid w:val="00516FE9"/>
    <w:rsid w:val="00517BCC"/>
    <w:rsid w:val="00520B5B"/>
    <w:rsid w:val="005217B1"/>
    <w:rsid w:val="00522B7F"/>
    <w:rsid w:val="005246D3"/>
    <w:rsid w:val="00524918"/>
    <w:rsid w:val="00525B60"/>
    <w:rsid w:val="00525D6A"/>
    <w:rsid w:val="00530EB9"/>
    <w:rsid w:val="0053240E"/>
    <w:rsid w:val="00532B79"/>
    <w:rsid w:val="00535654"/>
    <w:rsid w:val="0053701E"/>
    <w:rsid w:val="005400F3"/>
    <w:rsid w:val="00542966"/>
    <w:rsid w:val="00543095"/>
    <w:rsid w:val="0054330D"/>
    <w:rsid w:val="0054488A"/>
    <w:rsid w:val="00547ADE"/>
    <w:rsid w:val="005566A1"/>
    <w:rsid w:val="00565305"/>
    <w:rsid w:val="0057143A"/>
    <w:rsid w:val="00571CEA"/>
    <w:rsid w:val="005725A4"/>
    <w:rsid w:val="00574BEC"/>
    <w:rsid w:val="00575780"/>
    <w:rsid w:val="0058117F"/>
    <w:rsid w:val="00582052"/>
    <w:rsid w:val="00586E0A"/>
    <w:rsid w:val="00587D74"/>
    <w:rsid w:val="00590291"/>
    <w:rsid w:val="00590838"/>
    <w:rsid w:val="00592FDA"/>
    <w:rsid w:val="005944AA"/>
    <w:rsid w:val="00595700"/>
    <w:rsid w:val="00595E96"/>
    <w:rsid w:val="00597DAD"/>
    <w:rsid w:val="005A0648"/>
    <w:rsid w:val="005A15C9"/>
    <w:rsid w:val="005A1A40"/>
    <w:rsid w:val="005A21AB"/>
    <w:rsid w:val="005A3027"/>
    <w:rsid w:val="005A4C95"/>
    <w:rsid w:val="005A6EBB"/>
    <w:rsid w:val="005B2392"/>
    <w:rsid w:val="005B3515"/>
    <w:rsid w:val="005B6AAA"/>
    <w:rsid w:val="005B6D74"/>
    <w:rsid w:val="005C0315"/>
    <w:rsid w:val="005C0438"/>
    <w:rsid w:val="005C1B46"/>
    <w:rsid w:val="005C1D47"/>
    <w:rsid w:val="005C4EEB"/>
    <w:rsid w:val="005C63D9"/>
    <w:rsid w:val="005D12F7"/>
    <w:rsid w:val="005D2749"/>
    <w:rsid w:val="005D4678"/>
    <w:rsid w:val="005D5B21"/>
    <w:rsid w:val="005E21E6"/>
    <w:rsid w:val="005E6AB4"/>
    <w:rsid w:val="005F5AF5"/>
    <w:rsid w:val="005F6863"/>
    <w:rsid w:val="006013E7"/>
    <w:rsid w:val="006017C3"/>
    <w:rsid w:val="00603A3E"/>
    <w:rsid w:val="00604F18"/>
    <w:rsid w:val="00616DCA"/>
    <w:rsid w:val="00617438"/>
    <w:rsid w:val="00617808"/>
    <w:rsid w:val="00617C13"/>
    <w:rsid w:val="00617FE4"/>
    <w:rsid w:val="00620FDA"/>
    <w:rsid w:val="0062274B"/>
    <w:rsid w:val="00623119"/>
    <w:rsid w:val="00625AE1"/>
    <w:rsid w:val="0062669C"/>
    <w:rsid w:val="0062700A"/>
    <w:rsid w:val="0062732F"/>
    <w:rsid w:val="00631702"/>
    <w:rsid w:val="00634D0A"/>
    <w:rsid w:val="00636ADE"/>
    <w:rsid w:val="00640D66"/>
    <w:rsid w:val="006410EE"/>
    <w:rsid w:val="0064344F"/>
    <w:rsid w:val="0064799A"/>
    <w:rsid w:val="00652B09"/>
    <w:rsid w:val="006539CC"/>
    <w:rsid w:val="00653D91"/>
    <w:rsid w:val="00661179"/>
    <w:rsid w:val="0066221C"/>
    <w:rsid w:val="00664A0F"/>
    <w:rsid w:val="00664A26"/>
    <w:rsid w:val="00666D80"/>
    <w:rsid w:val="00667051"/>
    <w:rsid w:val="0067163D"/>
    <w:rsid w:val="00674A82"/>
    <w:rsid w:val="00674B8C"/>
    <w:rsid w:val="00683F50"/>
    <w:rsid w:val="006901EA"/>
    <w:rsid w:val="00692F68"/>
    <w:rsid w:val="00694AA5"/>
    <w:rsid w:val="00694ADC"/>
    <w:rsid w:val="00694D53"/>
    <w:rsid w:val="00695CA1"/>
    <w:rsid w:val="00695F34"/>
    <w:rsid w:val="0069626B"/>
    <w:rsid w:val="006A0C98"/>
    <w:rsid w:val="006A2497"/>
    <w:rsid w:val="006A394A"/>
    <w:rsid w:val="006A3F7F"/>
    <w:rsid w:val="006A4722"/>
    <w:rsid w:val="006A56D1"/>
    <w:rsid w:val="006A7981"/>
    <w:rsid w:val="006B117A"/>
    <w:rsid w:val="006B14D9"/>
    <w:rsid w:val="006B232C"/>
    <w:rsid w:val="006B2846"/>
    <w:rsid w:val="006B59C6"/>
    <w:rsid w:val="006B5DD6"/>
    <w:rsid w:val="006B61F2"/>
    <w:rsid w:val="006C1CBC"/>
    <w:rsid w:val="006C21AD"/>
    <w:rsid w:val="006C500A"/>
    <w:rsid w:val="006C61E8"/>
    <w:rsid w:val="006D1FCD"/>
    <w:rsid w:val="006D2741"/>
    <w:rsid w:val="006D2AD7"/>
    <w:rsid w:val="006D4747"/>
    <w:rsid w:val="006D56CB"/>
    <w:rsid w:val="006D56E2"/>
    <w:rsid w:val="006D64E6"/>
    <w:rsid w:val="006D71F0"/>
    <w:rsid w:val="006D798D"/>
    <w:rsid w:val="006D79EE"/>
    <w:rsid w:val="006E08AE"/>
    <w:rsid w:val="006E13F8"/>
    <w:rsid w:val="006E164A"/>
    <w:rsid w:val="006E1B42"/>
    <w:rsid w:val="006E4C19"/>
    <w:rsid w:val="006E6B55"/>
    <w:rsid w:val="006F110C"/>
    <w:rsid w:val="006F4D9A"/>
    <w:rsid w:val="006F5157"/>
    <w:rsid w:val="006F72FF"/>
    <w:rsid w:val="006F78E0"/>
    <w:rsid w:val="007039E9"/>
    <w:rsid w:val="007046DC"/>
    <w:rsid w:val="00705E5F"/>
    <w:rsid w:val="007064A3"/>
    <w:rsid w:val="00712B83"/>
    <w:rsid w:val="0071357A"/>
    <w:rsid w:val="007159B5"/>
    <w:rsid w:val="00720AE1"/>
    <w:rsid w:val="00723FB7"/>
    <w:rsid w:val="007244C2"/>
    <w:rsid w:val="007253B4"/>
    <w:rsid w:val="00726625"/>
    <w:rsid w:val="007267A8"/>
    <w:rsid w:val="00726879"/>
    <w:rsid w:val="00726C15"/>
    <w:rsid w:val="0072713D"/>
    <w:rsid w:val="00727A2D"/>
    <w:rsid w:val="00730815"/>
    <w:rsid w:val="00731023"/>
    <w:rsid w:val="0073241E"/>
    <w:rsid w:val="00734FD2"/>
    <w:rsid w:val="00735A17"/>
    <w:rsid w:val="00741C33"/>
    <w:rsid w:val="007425CF"/>
    <w:rsid w:val="00744EB3"/>
    <w:rsid w:val="007453BE"/>
    <w:rsid w:val="00746BDD"/>
    <w:rsid w:val="00753110"/>
    <w:rsid w:val="00754066"/>
    <w:rsid w:val="007540E7"/>
    <w:rsid w:val="00754999"/>
    <w:rsid w:val="007549B1"/>
    <w:rsid w:val="00755706"/>
    <w:rsid w:val="00757DAA"/>
    <w:rsid w:val="00763D35"/>
    <w:rsid w:val="00764CBD"/>
    <w:rsid w:val="00767720"/>
    <w:rsid w:val="00767E08"/>
    <w:rsid w:val="00774C4E"/>
    <w:rsid w:val="00776148"/>
    <w:rsid w:val="00780946"/>
    <w:rsid w:val="007814D0"/>
    <w:rsid w:val="00790962"/>
    <w:rsid w:val="00794FFB"/>
    <w:rsid w:val="00795AF4"/>
    <w:rsid w:val="00795C27"/>
    <w:rsid w:val="0079620F"/>
    <w:rsid w:val="00796CC1"/>
    <w:rsid w:val="00797344"/>
    <w:rsid w:val="007A01BB"/>
    <w:rsid w:val="007A0D9D"/>
    <w:rsid w:val="007A1346"/>
    <w:rsid w:val="007A1D88"/>
    <w:rsid w:val="007A253F"/>
    <w:rsid w:val="007A4F0D"/>
    <w:rsid w:val="007A78F3"/>
    <w:rsid w:val="007B10F6"/>
    <w:rsid w:val="007B244D"/>
    <w:rsid w:val="007B3A06"/>
    <w:rsid w:val="007B5515"/>
    <w:rsid w:val="007B6A77"/>
    <w:rsid w:val="007B7D3F"/>
    <w:rsid w:val="007C0224"/>
    <w:rsid w:val="007C38E9"/>
    <w:rsid w:val="007D77E0"/>
    <w:rsid w:val="007D7E30"/>
    <w:rsid w:val="007D7FAD"/>
    <w:rsid w:val="007E7606"/>
    <w:rsid w:val="007E7B00"/>
    <w:rsid w:val="007E7D19"/>
    <w:rsid w:val="007F04DB"/>
    <w:rsid w:val="007F324C"/>
    <w:rsid w:val="007F363C"/>
    <w:rsid w:val="007F425A"/>
    <w:rsid w:val="008012F3"/>
    <w:rsid w:val="0080137E"/>
    <w:rsid w:val="00801D4B"/>
    <w:rsid w:val="008026BF"/>
    <w:rsid w:val="0080349E"/>
    <w:rsid w:val="00803854"/>
    <w:rsid w:val="00806ECA"/>
    <w:rsid w:val="00807E60"/>
    <w:rsid w:val="008101F8"/>
    <w:rsid w:val="00811C0E"/>
    <w:rsid w:val="00812461"/>
    <w:rsid w:val="008127B6"/>
    <w:rsid w:val="008153B8"/>
    <w:rsid w:val="008277FD"/>
    <w:rsid w:val="00830545"/>
    <w:rsid w:val="00830A73"/>
    <w:rsid w:val="00832B41"/>
    <w:rsid w:val="0083347C"/>
    <w:rsid w:val="0083729F"/>
    <w:rsid w:val="0083746C"/>
    <w:rsid w:val="00846445"/>
    <w:rsid w:val="00847A16"/>
    <w:rsid w:val="008500A8"/>
    <w:rsid w:val="00850D79"/>
    <w:rsid w:val="00852E80"/>
    <w:rsid w:val="0085375C"/>
    <w:rsid w:val="00863E4A"/>
    <w:rsid w:val="008654D5"/>
    <w:rsid w:val="00865F42"/>
    <w:rsid w:val="008674B9"/>
    <w:rsid w:val="008700CB"/>
    <w:rsid w:val="00870CD1"/>
    <w:rsid w:val="008806FA"/>
    <w:rsid w:val="0088092F"/>
    <w:rsid w:val="00880CDD"/>
    <w:rsid w:val="00880FFE"/>
    <w:rsid w:val="00883D35"/>
    <w:rsid w:val="0088527A"/>
    <w:rsid w:val="00890199"/>
    <w:rsid w:val="008902AB"/>
    <w:rsid w:val="00891A9F"/>
    <w:rsid w:val="00893442"/>
    <w:rsid w:val="00894C47"/>
    <w:rsid w:val="00896A47"/>
    <w:rsid w:val="00897B51"/>
    <w:rsid w:val="008A2D9D"/>
    <w:rsid w:val="008A567E"/>
    <w:rsid w:val="008B19F8"/>
    <w:rsid w:val="008B2EA6"/>
    <w:rsid w:val="008B3869"/>
    <w:rsid w:val="008B799C"/>
    <w:rsid w:val="008B7B65"/>
    <w:rsid w:val="008C1307"/>
    <w:rsid w:val="008C1575"/>
    <w:rsid w:val="008C2E91"/>
    <w:rsid w:val="008C3262"/>
    <w:rsid w:val="008C39AE"/>
    <w:rsid w:val="008D0EB2"/>
    <w:rsid w:val="008D1CAD"/>
    <w:rsid w:val="008D591D"/>
    <w:rsid w:val="008D669E"/>
    <w:rsid w:val="008D6D87"/>
    <w:rsid w:val="008E173C"/>
    <w:rsid w:val="008E192C"/>
    <w:rsid w:val="008E2A4F"/>
    <w:rsid w:val="008E58DA"/>
    <w:rsid w:val="008E6475"/>
    <w:rsid w:val="008E71C9"/>
    <w:rsid w:val="008E7260"/>
    <w:rsid w:val="008F2320"/>
    <w:rsid w:val="008F25CF"/>
    <w:rsid w:val="008F2744"/>
    <w:rsid w:val="009042B9"/>
    <w:rsid w:val="00905A60"/>
    <w:rsid w:val="00910F12"/>
    <w:rsid w:val="00911F81"/>
    <w:rsid w:val="00912278"/>
    <w:rsid w:val="00912D3A"/>
    <w:rsid w:val="00914800"/>
    <w:rsid w:val="00917584"/>
    <w:rsid w:val="00921739"/>
    <w:rsid w:val="009222F2"/>
    <w:rsid w:val="00922D56"/>
    <w:rsid w:val="009246C8"/>
    <w:rsid w:val="009248A9"/>
    <w:rsid w:val="009255EA"/>
    <w:rsid w:val="00927552"/>
    <w:rsid w:val="009310D8"/>
    <w:rsid w:val="009317F0"/>
    <w:rsid w:val="00933D82"/>
    <w:rsid w:val="009347D7"/>
    <w:rsid w:val="00935708"/>
    <w:rsid w:val="009358D1"/>
    <w:rsid w:val="009362BB"/>
    <w:rsid w:val="00937B0E"/>
    <w:rsid w:val="00941E60"/>
    <w:rsid w:val="00941ED7"/>
    <w:rsid w:val="009435DB"/>
    <w:rsid w:val="00944AF1"/>
    <w:rsid w:val="00944BED"/>
    <w:rsid w:val="009454C4"/>
    <w:rsid w:val="00945B7D"/>
    <w:rsid w:val="00952BC4"/>
    <w:rsid w:val="00953AA3"/>
    <w:rsid w:val="00956E50"/>
    <w:rsid w:val="009575EE"/>
    <w:rsid w:val="00961E52"/>
    <w:rsid w:val="009630A5"/>
    <w:rsid w:val="00963B35"/>
    <w:rsid w:val="00970A35"/>
    <w:rsid w:val="0097175D"/>
    <w:rsid w:val="00972B60"/>
    <w:rsid w:val="00972D05"/>
    <w:rsid w:val="009753B5"/>
    <w:rsid w:val="00977109"/>
    <w:rsid w:val="009779D5"/>
    <w:rsid w:val="00977F29"/>
    <w:rsid w:val="0098063A"/>
    <w:rsid w:val="00980890"/>
    <w:rsid w:val="00981C77"/>
    <w:rsid w:val="009828DB"/>
    <w:rsid w:val="0098362D"/>
    <w:rsid w:val="009A04DC"/>
    <w:rsid w:val="009A4037"/>
    <w:rsid w:val="009B1AC5"/>
    <w:rsid w:val="009B3999"/>
    <w:rsid w:val="009B4AE3"/>
    <w:rsid w:val="009B4EA9"/>
    <w:rsid w:val="009B51BF"/>
    <w:rsid w:val="009B582A"/>
    <w:rsid w:val="009B6446"/>
    <w:rsid w:val="009C1022"/>
    <w:rsid w:val="009C1129"/>
    <w:rsid w:val="009C2244"/>
    <w:rsid w:val="009C4DA9"/>
    <w:rsid w:val="009C505A"/>
    <w:rsid w:val="009C6068"/>
    <w:rsid w:val="009D1F56"/>
    <w:rsid w:val="009D4F9F"/>
    <w:rsid w:val="009E32BA"/>
    <w:rsid w:val="009E69D5"/>
    <w:rsid w:val="009E6EDD"/>
    <w:rsid w:val="009F334A"/>
    <w:rsid w:val="009F45C2"/>
    <w:rsid w:val="00A000D1"/>
    <w:rsid w:val="00A0148E"/>
    <w:rsid w:val="00A03CF3"/>
    <w:rsid w:val="00A040F0"/>
    <w:rsid w:val="00A05222"/>
    <w:rsid w:val="00A064AC"/>
    <w:rsid w:val="00A07743"/>
    <w:rsid w:val="00A107A1"/>
    <w:rsid w:val="00A126FE"/>
    <w:rsid w:val="00A13411"/>
    <w:rsid w:val="00A22422"/>
    <w:rsid w:val="00A22A35"/>
    <w:rsid w:val="00A23619"/>
    <w:rsid w:val="00A244BE"/>
    <w:rsid w:val="00A25483"/>
    <w:rsid w:val="00A274AF"/>
    <w:rsid w:val="00A300C3"/>
    <w:rsid w:val="00A307F8"/>
    <w:rsid w:val="00A30B8E"/>
    <w:rsid w:val="00A31F8E"/>
    <w:rsid w:val="00A32FDC"/>
    <w:rsid w:val="00A34842"/>
    <w:rsid w:val="00A375C7"/>
    <w:rsid w:val="00A401E5"/>
    <w:rsid w:val="00A4202A"/>
    <w:rsid w:val="00A43237"/>
    <w:rsid w:val="00A43F07"/>
    <w:rsid w:val="00A46865"/>
    <w:rsid w:val="00A47267"/>
    <w:rsid w:val="00A475DA"/>
    <w:rsid w:val="00A50D9A"/>
    <w:rsid w:val="00A519A4"/>
    <w:rsid w:val="00A52544"/>
    <w:rsid w:val="00A53314"/>
    <w:rsid w:val="00A54D63"/>
    <w:rsid w:val="00A60EA7"/>
    <w:rsid w:val="00A647ED"/>
    <w:rsid w:val="00A6583F"/>
    <w:rsid w:val="00A6609C"/>
    <w:rsid w:val="00A707D5"/>
    <w:rsid w:val="00A7189D"/>
    <w:rsid w:val="00A721A7"/>
    <w:rsid w:val="00A72E3B"/>
    <w:rsid w:val="00A7488D"/>
    <w:rsid w:val="00A77F8F"/>
    <w:rsid w:val="00A81B66"/>
    <w:rsid w:val="00A829E7"/>
    <w:rsid w:val="00A857EE"/>
    <w:rsid w:val="00A86FA7"/>
    <w:rsid w:val="00A871F9"/>
    <w:rsid w:val="00A93530"/>
    <w:rsid w:val="00A93BC1"/>
    <w:rsid w:val="00A942EC"/>
    <w:rsid w:val="00A96442"/>
    <w:rsid w:val="00AA105C"/>
    <w:rsid w:val="00AA1594"/>
    <w:rsid w:val="00AA3A74"/>
    <w:rsid w:val="00AA6A5F"/>
    <w:rsid w:val="00AA7EBF"/>
    <w:rsid w:val="00AB1349"/>
    <w:rsid w:val="00AB1C06"/>
    <w:rsid w:val="00AB2A60"/>
    <w:rsid w:val="00AB2C8E"/>
    <w:rsid w:val="00AB4E46"/>
    <w:rsid w:val="00AB5594"/>
    <w:rsid w:val="00AB5E74"/>
    <w:rsid w:val="00AB7701"/>
    <w:rsid w:val="00AB77AD"/>
    <w:rsid w:val="00AC445E"/>
    <w:rsid w:val="00AD0772"/>
    <w:rsid w:val="00AD249B"/>
    <w:rsid w:val="00AD34F4"/>
    <w:rsid w:val="00AD582E"/>
    <w:rsid w:val="00AD5E85"/>
    <w:rsid w:val="00AE1DBC"/>
    <w:rsid w:val="00AE23D6"/>
    <w:rsid w:val="00AE2AEE"/>
    <w:rsid w:val="00AE4364"/>
    <w:rsid w:val="00AE5CED"/>
    <w:rsid w:val="00AE62B7"/>
    <w:rsid w:val="00AE64B8"/>
    <w:rsid w:val="00AE6572"/>
    <w:rsid w:val="00AE6937"/>
    <w:rsid w:val="00AE6EC2"/>
    <w:rsid w:val="00AE7068"/>
    <w:rsid w:val="00AF003B"/>
    <w:rsid w:val="00AF01CB"/>
    <w:rsid w:val="00AF0D1E"/>
    <w:rsid w:val="00AF2B50"/>
    <w:rsid w:val="00AF31D5"/>
    <w:rsid w:val="00AF3C3C"/>
    <w:rsid w:val="00AF46DB"/>
    <w:rsid w:val="00B01A97"/>
    <w:rsid w:val="00B02687"/>
    <w:rsid w:val="00B02833"/>
    <w:rsid w:val="00B05991"/>
    <w:rsid w:val="00B05FD5"/>
    <w:rsid w:val="00B06F7D"/>
    <w:rsid w:val="00B11465"/>
    <w:rsid w:val="00B1438A"/>
    <w:rsid w:val="00B15E21"/>
    <w:rsid w:val="00B170F1"/>
    <w:rsid w:val="00B17583"/>
    <w:rsid w:val="00B244DF"/>
    <w:rsid w:val="00B26680"/>
    <w:rsid w:val="00B307D3"/>
    <w:rsid w:val="00B3219F"/>
    <w:rsid w:val="00B335ED"/>
    <w:rsid w:val="00B3369D"/>
    <w:rsid w:val="00B3650B"/>
    <w:rsid w:val="00B41B9F"/>
    <w:rsid w:val="00B46C13"/>
    <w:rsid w:val="00B47D41"/>
    <w:rsid w:val="00B50D56"/>
    <w:rsid w:val="00B53762"/>
    <w:rsid w:val="00B55481"/>
    <w:rsid w:val="00B5608E"/>
    <w:rsid w:val="00B563BB"/>
    <w:rsid w:val="00B60122"/>
    <w:rsid w:val="00B671E1"/>
    <w:rsid w:val="00B76627"/>
    <w:rsid w:val="00B77400"/>
    <w:rsid w:val="00B80E37"/>
    <w:rsid w:val="00B857C7"/>
    <w:rsid w:val="00B86ACF"/>
    <w:rsid w:val="00B90369"/>
    <w:rsid w:val="00BA05E1"/>
    <w:rsid w:val="00BA59E3"/>
    <w:rsid w:val="00BA5A21"/>
    <w:rsid w:val="00BA7C53"/>
    <w:rsid w:val="00BB00AB"/>
    <w:rsid w:val="00BB0DF4"/>
    <w:rsid w:val="00BB0FD7"/>
    <w:rsid w:val="00BB3473"/>
    <w:rsid w:val="00BB4D16"/>
    <w:rsid w:val="00BB7D03"/>
    <w:rsid w:val="00BC0655"/>
    <w:rsid w:val="00BC1266"/>
    <w:rsid w:val="00BC3034"/>
    <w:rsid w:val="00BC4A04"/>
    <w:rsid w:val="00BC4A4C"/>
    <w:rsid w:val="00BC6EEA"/>
    <w:rsid w:val="00BD1E67"/>
    <w:rsid w:val="00BD2E1B"/>
    <w:rsid w:val="00BD3D8D"/>
    <w:rsid w:val="00BD4591"/>
    <w:rsid w:val="00BD4D3F"/>
    <w:rsid w:val="00BD5FBB"/>
    <w:rsid w:val="00BD7939"/>
    <w:rsid w:val="00BE2189"/>
    <w:rsid w:val="00BE4DF7"/>
    <w:rsid w:val="00BE4F99"/>
    <w:rsid w:val="00BE7007"/>
    <w:rsid w:val="00BE7649"/>
    <w:rsid w:val="00BF04C0"/>
    <w:rsid w:val="00BF591F"/>
    <w:rsid w:val="00C03848"/>
    <w:rsid w:val="00C07926"/>
    <w:rsid w:val="00C13878"/>
    <w:rsid w:val="00C13C73"/>
    <w:rsid w:val="00C17A3F"/>
    <w:rsid w:val="00C22091"/>
    <w:rsid w:val="00C223FF"/>
    <w:rsid w:val="00C23723"/>
    <w:rsid w:val="00C30ECC"/>
    <w:rsid w:val="00C3416E"/>
    <w:rsid w:val="00C34E21"/>
    <w:rsid w:val="00C34F2F"/>
    <w:rsid w:val="00C37F83"/>
    <w:rsid w:val="00C408FA"/>
    <w:rsid w:val="00C40923"/>
    <w:rsid w:val="00C422B2"/>
    <w:rsid w:val="00C43DD5"/>
    <w:rsid w:val="00C45309"/>
    <w:rsid w:val="00C457BE"/>
    <w:rsid w:val="00C465B9"/>
    <w:rsid w:val="00C46E08"/>
    <w:rsid w:val="00C47F8E"/>
    <w:rsid w:val="00C5232C"/>
    <w:rsid w:val="00C524AB"/>
    <w:rsid w:val="00C52BDC"/>
    <w:rsid w:val="00C53124"/>
    <w:rsid w:val="00C53CB7"/>
    <w:rsid w:val="00C54D4D"/>
    <w:rsid w:val="00C57193"/>
    <w:rsid w:val="00C65CC5"/>
    <w:rsid w:val="00C669F9"/>
    <w:rsid w:val="00C7061C"/>
    <w:rsid w:val="00C7180E"/>
    <w:rsid w:val="00C72E8B"/>
    <w:rsid w:val="00C742BC"/>
    <w:rsid w:val="00C74927"/>
    <w:rsid w:val="00C7493A"/>
    <w:rsid w:val="00C77FED"/>
    <w:rsid w:val="00C80509"/>
    <w:rsid w:val="00C83947"/>
    <w:rsid w:val="00C86657"/>
    <w:rsid w:val="00C9116E"/>
    <w:rsid w:val="00C93475"/>
    <w:rsid w:val="00C968AD"/>
    <w:rsid w:val="00C97BC3"/>
    <w:rsid w:val="00CA3729"/>
    <w:rsid w:val="00CA4C64"/>
    <w:rsid w:val="00CA5C39"/>
    <w:rsid w:val="00CA638C"/>
    <w:rsid w:val="00CA683B"/>
    <w:rsid w:val="00CA716B"/>
    <w:rsid w:val="00CB0392"/>
    <w:rsid w:val="00CB0781"/>
    <w:rsid w:val="00CB3D8E"/>
    <w:rsid w:val="00CB4C3C"/>
    <w:rsid w:val="00CB5005"/>
    <w:rsid w:val="00CB7B55"/>
    <w:rsid w:val="00CC398C"/>
    <w:rsid w:val="00CC5EC8"/>
    <w:rsid w:val="00CC6A20"/>
    <w:rsid w:val="00CD1374"/>
    <w:rsid w:val="00CD2485"/>
    <w:rsid w:val="00CD2EC1"/>
    <w:rsid w:val="00CD5F82"/>
    <w:rsid w:val="00CD781D"/>
    <w:rsid w:val="00CD7C15"/>
    <w:rsid w:val="00CE1CC9"/>
    <w:rsid w:val="00CE3E7B"/>
    <w:rsid w:val="00CE46B4"/>
    <w:rsid w:val="00CE5053"/>
    <w:rsid w:val="00CF3EC6"/>
    <w:rsid w:val="00D0036A"/>
    <w:rsid w:val="00D00AF5"/>
    <w:rsid w:val="00D025F1"/>
    <w:rsid w:val="00D04992"/>
    <w:rsid w:val="00D049A7"/>
    <w:rsid w:val="00D073E9"/>
    <w:rsid w:val="00D07AAB"/>
    <w:rsid w:val="00D111EC"/>
    <w:rsid w:val="00D13202"/>
    <w:rsid w:val="00D159DB"/>
    <w:rsid w:val="00D16BA9"/>
    <w:rsid w:val="00D21B72"/>
    <w:rsid w:val="00D26777"/>
    <w:rsid w:val="00D32129"/>
    <w:rsid w:val="00D35244"/>
    <w:rsid w:val="00D419DE"/>
    <w:rsid w:val="00D41D8D"/>
    <w:rsid w:val="00D4202B"/>
    <w:rsid w:val="00D452F5"/>
    <w:rsid w:val="00D46310"/>
    <w:rsid w:val="00D46FC7"/>
    <w:rsid w:val="00D47EBA"/>
    <w:rsid w:val="00D54DED"/>
    <w:rsid w:val="00D60A58"/>
    <w:rsid w:val="00D60BD0"/>
    <w:rsid w:val="00D60CBD"/>
    <w:rsid w:val="00D61BF1"/>
    <w:rsid w:val="00D630D0"/>
    <w:rsid w:val="00D65ABC"/>
    <w:rsid w:val="00D66D45"/>
    <w:rsid w:val="00D67FB8"/>
    <w:rsid w:val="00D7102B"/>
    <w:rsid w:val="00D722F3"/>
    <w:rsid w:val="00D73250"/>
    <w:rsid w:val="00D77C65"/>
    <w:rsid w:val="00D80F84"/>
    <w:rsid w:val="00D85A5E"/>
    <w:rsid w:val="00D877E5"/>
    <w:rsid w:val="00D87FCB"/>
    <w:rsid w:val="00D900B6"/>
    <w:rsid w:val="00D9631D"/>
    <w:rsid w:val="00D972B8"/>
    <w:rsid w:val="00D979DE"/>
    <w:rsid w:val="00DA1519"/>
    <w:rsid w:val="00DA2E34"/>
    <w:rsid w:val="00DA346C"/>
    <w:rsid w:val="00DA34BB"/>
    <w:rsid w:val="00DA6F61"/>
    <w:rsid w:val="00DB2FC9"/>
    <w:rsid w:val="00DB67E1"/>
    <w:rsid w:val="00DB6899"/>
    <w:rsid w:val="00DB6960"/>
    <w:rsid w:val="00DB76EB"/>
    <w:rsid w:val="00DB7A63"/>
    <w:rsid w:val="00DC47B2"/>
    <w:rsid w:val="00DC73A1"/>
    <w:rsid w:val="00DC747B"/>
    <w:rsid w:val="00DD07D2"/>
    <w:rsid w:val="00DD2958"/>
    <w:rsid w:val="00DD40F7"/>
    <w:rsid w:val="00DD42E7"/>
    <w:rsid w:val="00DD6461"/>
    <w:rsid w:val="00DE0443"/>
    <w:rsid w:val="00DE3163"/>
    <w:rsid w:val="00DE6CFF"/>
    <w:rsid w:val="00DE77CE"/>
    <w:rsid w:val="00DE7F33"/>
    <w:rsid w:val="00DF06CF"/>
    <w:rsid w:val="00DF3F5F"/>
    <w:rsid w:val="00DF60C7"/>
    <w:rsid w:val="00DF7E6F"/>
    <w:rsid w:val="00E017CC"/>
    <w:rsid w:val="00E02416"/>
    <w:rsid w:val="00E0336B"/>
    <w:rsid w:val="00E0376B"/>
    <w:rsid w:val="00E12DC4"/>
    <w:rsid w:val="00E14102"/>
    <w:rsid w:val="00E15F6E"/>
    <w:rsid w:val="00E1770D"/>
    <w:rsid w:val="00E20E32"/>
    <w:rsid w:val="00E21BBE"/>
    <w:rsid w:val="00E2428C"/>
    <w:rsid w:val="00E24725"/>
    <w:rsid w:val="00E30E13"/>
    <w:rsid w:val="00E31B6A"/>
    <w:rsid w:val="00E3456F"/>
    <w:rsid w:val="00E3475A"/>
    <w:rsid w:val="00E36029"/>
    <w:rsid w:val="00E3678E"/>
    <w:rsid w:val="00E373B4"/>
    <w:rsid w:val="00E37637"/>
    <w:rsid w:val="00E377F0"/>
    <w:rsid w:val="00E408EB"/>
    <w:rsid w:val="00E40C84"/>
    <w:rsid w:val="00E46212"/>
    <w:rsid w:val="00E51ECA"/>
    <w:rsid w:val="00E52EBC"/>
    <w:rsid w:val="00E536D8"/>
    <w:rsid w:val="00E5402C"/>
    <w:rsid w:val="00E547F9"/>
    <w:rsid w:val="00E60219"/>
    <w:rsid w:val="00E60317"/>
    <w:rsid w:val="00E61921"/>
    <w:rsid w:val="00E63926"/>
    <w:rsid w:val="00E6448E"/>
    <w:rsid w:val="00E675E0"/>
    <w:rsid w:val="00E67CD7"/>
    <w:rsid w:val="00E70705"/>
    <w:rsid w:val="00E70A20"/>
    <w:rsid w:val="00E71E5A"/>
    <w:rsid w:val="00E7553D"/>
    <w:rsid w:val="00E77064"/>
    <w:rsid w:val="00E77B91"/>
    <w:rsid w:val="00E80EE8"/>
    <w:rsid w:val="00E81D78"/>
    <w:rsid w:val="00E84717"/>
    <w:rsid w:val="00E84C3D"/>
    <w:rsid w:val="00E85927"/>
    <w:rsid w:val="00E85A56"/>
    <w:rsid w:val="00E86615"/>
    <w:rsid w:val="00E87CC0"/>
    <w:rsid w:val="00E902E2"/>
    <w:rsid w:val="00E909FE"/>
    <w:rsid w:val="00E910E4"/>
    <w:rsid w:val="00E913DB"/>
    <w:rsid w:val="00E92551"/>
    <w:rsid w:val="00E93040"/>
    <w:rsid w:val="00E94603"/>
    <w:rsid w:val="00EA0BFF"/>
    <w:rsid w:val="00EA1466"/>
    <w:rsid w:val="00EA3613"/>
    <w:rsid w:val="00EA608E"/>
    <w:rsid w:val="00EA74C3"/>
    <w:rsid w:val="00EA77ED"/>
    <w:rsid w:val="00EA7B16"/>
    <w:rsid w:val="00EB0896"/>
    <w:rsid w:val="00EB0BE5"/>
    <w:rsid w:val="00EB1CC3"/>
    <w:rsid w:val="00EB1EFC"/>
    <w:rsid w:val="00EB36B2"/>
    <w:rsid w:val="00EB4F83"/>
    <w:rsid w:val="00EB574C"/>
    <w:rsid w:val="00EB77AC"/>
    <w:rsid w:val="00EC00EB"/>
    <w:rsid w:val="00EC1B89"/>
    <w:rsid w:val="00EC2549"/>
    <w:rsid w:val="00EC3ABD"/>
    <w:rsid w:val="00EC468F"/>
    <w:rsid w:val="00EC4EB2"/>
    <w:rsid w:val="00EC7896"/>
    <w:rsid w:val="00ED0CB0"/>
    <w:rsid w:val="00ED1066"/>
    <w:rsid w:val="00ED3268"/>
    <w:rsid w:val="00EE2DF2"/>
    <w:rsid w:val="00EE708F"/>
    <w:rsid w:val="00EF0499"/>
    <w:rsid w:val="00EF2B52"/>
    <w:rsid w:val="00EF2FAA"/>
    <w:rsid w:val="00EF3350"/>
    <w:rsid w:val="00EF4229"/>
    <w:rsid w:val="00EF4A6A"/>
    <w:rsid w:val="00EF6E9A"/>
    <w:rsid w:val="00EF6F58"/>
    <w:rsid w:val="00EF706F"/>
    <w:rsid w:val="00F021EF"/>
    <w:rsid w:val="00F04782"/>
    <w:rsid w:val="00F05991"/>
    <w:rsid w:val="00F067AD"/>
    <w:rsid w:val="00F06CD3"/>
    <w:rsid w:val="00F11F9B"/>
    <w:rsid w:val="00F128AA"/>
    <w:rsid w:val="00F13AAE"/>
    <w:rsid w:val="00F13C70"/>
    <w:rsid w:val="00F17896"/>
    <w:rsid w:val="00F200C3"/>
    <w:rsid w:val="00F20D4F"/>
    <w:rsid w:val="00F21C19"/>
    <w:rsid w:val="00F25E76"/>
    <w:rsid w:val="00F27301"/>
    <w:rsid w:val="00F301F0"/>
    <w:rsid w:val="00F30AE5"/>
    <w:rsid w:val="00F31935"/>
    <w:rsid w:val="00F36A13"/>
    <w:rsid w:val="00F37DFC"/>
    <w:rsid w:val="00F40FCB"/>
    <w:rsid w:val="00F412DE"/>
    <w:rsid w:val="00F417CC"/>
    <w:rsid w:val="00F44591"/>
    <w:rsid w:val="00F4597F"/>
    <w:rsid w:val="00F45C3C"/>
    <w:rsid w:val="00F47425"/>
    <w:rsid w:val="00F476C4"/>
    <w:rsid w:val="00F50739"/>
    <w:rsid w:val="00F510E1"/>
    <w:rsid w:val="00F526C0"/>
    <w:rsid w:val="00F52842"/>
    <w:rsid w:val="00F55583"/>
    <w:rsid w:val="00F55DA8"/>
    <w:rsid w:val="00F574DF"/>
    <w:rsid w:val="00F60636"/>
    <w:rsid w:val="00F63021"/>
    <w:rsid w:val="00F63DB7"/>
    <w:rsid w:val="00F645DA"/>
    <w:rsid w:val="00F64E9A"/>
    <w:rsid w:val="00F66E8C"/>
    <w:rsid w:val="00F723F5"/>
    <w:rsid w:val="00F73204"/>
    <w:rsid w:val="00F76937"/>
    <w:rsid w:val="00F838BD"/>
    <w:rsid w:val="00F86911"/>
    <w:rsid w:val="00F873A5"/>
    <w:rsid w:val="00F97587"/>
    <w:rsid w:val="00F97E95"/>
    <w:rsid w:val="00FA10CC"/>
    <w:rsid w:val="00FA1DE2"/>
    <w:rsid w:val="00FA5AA0"/>
    <w:rsid w:val="00FA5EE7"/>
    <w:rsid w:val="00FA6CFE"/>
    <w:rsid w:val="00FA7CD7"/>
    <w:rsid w:val="00FB11CC"/>
    <w:rsid w:val="00FB37F1"/>
    <w:rsid w:val="00FB4C42"/>
    <w:rsid w:val="00FB6055"/>
    <w:rsid w:val="00FB69C1"/>
    <w:rsid w:val="00FB7BA8"/>
    <w:rsid w:val="00FC3E8D"/>
    <w:rsid w:val="00FC3F73"/>
    <w:rsid w:val="00FC4CC2"/>
    <w:rsid w:val="00FC64B2"/>
    <w:rsid w:val="00FC6731"/>
    <w:rsid w:val="00FD01FA"/>
    <w:rsid w:val="00FD08E3"/>
    <w:rsid w:val="00FD304A"/>
    <w:rsid w:val="00FD58D2"/>
    <w:rsid w:val="00FD6792"/>
    <w:rsid w:val="00FD6AEA"/>
    <w:rsid w:val="00FD7C99"/>
    <w:rsid w:val="00FE1065"/>
    <w:rsid w:val="00FE2C36"/>
    <w:rsid w:val="00FE3595"/>
    <w:rsid w:val="00FE426F"/>
    <w:rsid w:val="00FE5633"/>
    <w:rsid w:val="00FF1360"/>
    <w:rsid w:val="00FF182E"/>
    <w:rsid w:val="00FF189F"/>
    <w:rsid w:val="00FF4D95"/>
    <w:rsid w:val="00FF50F8"/>
    <w:rsid w:val="00FF5CC0"/>
    <w:rsid w:val="00FF7D7B"/>
    <w:rsid w:val="0213DB2C"/>
    <w:rsid w:val="024CC320"/>
    <w:rsid w:val="02BE0E6A"/>
    <w:rsid w:val="043C2A33"/>
    <w:rsid w:val="04991A8F"/>
    <w:rsid w:val="05E05F20"/>
    <w:rsid w:val="0625DEE0"/>
    <w:rsid w:val="07DC9B2B"/>
    <w:rsid w:val="085DE266"/>
    <w:rsid w:val="091E14A1"/>
    <w:rsid w:val="09666629"/>
    <w:rsid w:val="0A27D986"/>
    <w:rsid w:val="0A3E2E58"/>
    <w:rsid w:val="0A6313B2"/>
    <w:rsid w:val="0C99DBB8"/>
    <w:rsid w:val="0DCCE1F8"/>
    <w:rsid w:val="0EAFAAB0"/>
    <w:rsid w:val="0F03E23D"/>
    <w:rsid w:val="0F2F6683"/>
    <w:rsid w:val="1056762E"/>
    <w:rsid w:val="10638C62"/>
    <w:rsid w:val="11FF61E9"/>
    <w:rsid w:val="12234DCD"/>
    <w:rsid w:val="130F8395"/>
    <w:rsid w:val="13169FBE"/>
    <w:rsid w:val="144756F9"/>
    <w:rsid w:val="1468332F"/>
    <w:rsid w:val="148FEA6D"/>
    <w:rsid w:val="14B25E97"/>
    <w:rsid w:val="15D5B9F9"/>
    <w:rsid w:val="168C8D0A"/>
    <w:rsid w:val="1756E7B9"/>
    <w:rsid w:val="196E4387"/>
    <w:rsid w:val="19F978F3"/>
    <w:rsid w:val="1B46C9EA"/>
    <w:rsid w:val="1D50AC4A"/>
    <w:rsid w:val="1E330D15"/>
    <w:rsid w:val="1EE605D3"/>
    <w:rsid w:val="1FAAF66A"/>
    <w:rsid w:val="2087A78F"/>
    <w:rsid w:val="2122D004"/>
    <w:rsid w:val="21BCA164"/>
    <w:rsid w:val="22146BA1"/>
    <w:rsid w:val="222F9DB3"/>
    <w:rsid w:val="2339D8FD"/>
    <w:rsid w:val="257D2A79"/>
    <w:rsid w:val="25FCFB44"/>
    <w:rsid w:val="29A40077"/>
    <w:rsid w:val="2A6069CC"/>
    <w:rsid w:val="2AABC56F"/>
    <w:rsid w:val="2C73041E"/>
    <w:rsid w:val="2D280F62"/>
    <w:rsid w:val="2E9A5034"/>
    <w:rsid w:val="2EDB8051"/>
    <w:rsid w:val="2F11DD03"/>
    <w:rsid w:val="3026110E"/>
    <w:rsid w:val="304EEFCB"/>
    <w:rsid w:val="307E52A1"/>
    <w:rsid w:val="3104FBB2"/>
    <w:rsid w:val="317981F7"/>
    <w:rsid w:val="32595A9E"/>
    <w:rsid w:val="33351000"/>
    <w:rsid w:val="33E7F68F"/>
    <w:rsid w:val="34DAF0B4"/>
    <w:rsid w:val="3599E142"/>
    <w:rsid w:val="35BE7A21"/>
    <w:rsid w:val="39973326"/>
    <w:rsid w:val="3A54CE0E"/>
    <w:rsid w:val="3A702453"/>
    <w:rsid w:val="3BD41C56"/>
    <w:rsid w:val="3CA26E30"/>
    <w:rsid w:val="3DF5D323"/>
    <w:rsid w:val="3E31D4F2"/>
    <w:rsid w:val="3EA223C6"/>
    <w:rsid w:val="3F288127"/>
    <w:rsid w:val="3F8B0461"/>
    <w:rsid w:val="403B6F8C"/>
    <w:rsid w:val="40A86B3C"/>
    <w:rsid w:val="4114C15A"/>
    <w:rsid w:val="427B91CB"/>
    <w:rsid w:val="42C012CA"/>
    <w:rsid w:val="43BF8F21"/>
    <w:rsid w:val="43ECD3C5"/>
    <w:rsid w:val="444BAC81"/>
    <w:rsid w:val="44CF68C0"/>
    <w:rsid w:val="452DFDF0"/>
    <w:rsid w:val="45CECB9F"/>
    <w:rsid w:val="45EA4493"/>
    <w:rsid w:val="4643968E"/>
    <w:rsid w:val="47234D80"/>
    <w:rsid w:val="479F4968"/>
    <w:rsid w:val="491E8685"/>
    <w:rsid w:val="4B3841B7"/>
    <w:rsid w:val="4B5C44F3"/>
    <w:rsid w:val="4D28919F"/>
    <w:rsid w:val="4D7E8391"/>
    <w:rsid w:val="4DA0F651"/>
    <w:rsid w:val="4DAA7580"/>
    <w:rsid w:val="4E358016"/>
    <w:rsid w:val="50120B55"/>
    <w:rsid w:val="51B03394"/>
    <w:rsid w:val="51BCC8AB"/>
    <w:rsid w:val="527DAA89"/>
    <w:rsid w:val="53B005DC"/>
    <w:rsid w:val="561A440C"/>
    <w:rsid w:val="566E5187"/>
    <w:rsid w:val="58022E12"/>
    <w:rsid w:val="586802E6"/>
    <w:rsid w:val="594334F4"/>
    <w:rsid w:val="5A81E594"/>
    <w:rsid w:val="5B754074"/>
    <w:rsid w:val="5D644872"/>
    <w:rsid w:val="5DEAFCD2"/>
    <w:rsid w:val="5F34DCF2"/>
    <w:rsid w:val="5F430534"/>
    <w:rsid w:val="6055B8EB"/>
    <w:rsid w:val="634E7065"/>
    <w:rsid w:val="63537CB1"/>
    <w:rsid w:val="638A05E8"/>
    <w:rsid w:val="63C42EE4"/>
    <w:rsid w:val="63DB5050"/>
    <w:rsid w:val="6609FE11"/>
    <w:rsid w:val="661D1DB9"/>
    <w:rsid w:val="676BCB45"/>
    <w:rsid w:val="6D1BCB4B"/>
    <w:rsid w:val="6D2F9CE1"/>
    <w:rsid w:val="6E9F2124"/>
    <w:rsid w:val="6F802A3F"/>
    <w:rsid w:val="7069C6FA"/>
    <w:rsid w:val="707AEA8C"/>
    <w:rsid w:val="70B338D5"/>
    <w:rsid w:val="743E7724"/>
    <w:rsid w:val="74CA9E56"/>
    <w:rsid w:val="75031209"/>
    <w:rsid w:val="75632487"/>
    <w:rsid w:val="75884579"/>
    <w:rsid w:val="75AB0E91"/>
    <w:rsid w:val="75E1E769"/>
    <w:rsid w:val="76EA8B3A"/>
    <w:rsid w:val="77A73994"/>
    <w:rsid w:val="77AFF068"/>
    <w:rsid w:val="7839D2B6"/>
    <w:rsid w:val="798BB9EF"/>
    <w:rsid w:val="7B36A344"/>
    <w:rsid w:val="7CEAF905"/>
    <w:rsid w:val="7D80BF5E"/>
    <w:rsid w:val="7FA1D9F0"/>
    <w:rsid w:val="7FFEC1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A1FBE0D"/>
  <w15:docId w15:val="{33E73678-00B1-48A8-A616-834A73E3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931"/>
    <w:rPr>
      <w:rFonts w:ascii="Arial" w:hAnsi="Arial"/>
    </w:rPr>
  </w:style>
  <w:style w:type="paragraph" w:styleId="Heading1">
    <w:name w:val="heading 1"/>
    <w:basedOn w:val="Normal"/>
    <w:next w:val="Normal"/>
    <w:link w:val="Heading1Char"/>
    <w:uiPriority w:val="9"/>
    <w:qFormat/>
    <w:rsid w:val="00161816"/>
    <w:pPr>
      <w:keepNext/>
      <w:keepLines/>
      <w:numPr>
        <w:numId w:val="1"/>
      </w:numPr>
      <w:spacing w:before="240" w:after="240"/>
      <w:ind w:left="432"/>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2E3067"/>
    <w:pPr>
      <w:keepNext/>
      <w:keepLines/>
      <w:numPr>
        <w:ilvl w:val="1"/>
        <w:numId w:val="1"/>
      </w:numPr>
      <w:spacing w:before="40" w:after="120"/>
      <w:ind w:left="737" w:hanging="737"/>
      <w:outlineLvl w:val="1"/>
    </w:pPr>
    <w:rPr>
      <w:rFonts w:eastAsiaTheme="majorEastAsia" w:cstheme="majorBidi"/>
      <w:color w:val="002060"/>
      <w:sz w:val="28"/>
      <w:szCs w:val="26"/>
    </w:rPr>
  </w:style>
  <w:style w:type="paragraph" w:styleId="Heading3">
    <w:name w:val="heading 3"/>
    <w:basedOn w:val="Normal"/>
    <w:next w:val="Normal"/>
    <w:link w:val="Heading3Char"/>
    <w:autoRedefine/>
    <w:uiPriority w:val="9"/>
    <w:unhideWhenUsed/>
    <w:qFormat/>
    <w:rsid w:val="000F2802"/>
    <w:pPr>
      <w:keepNext/>
      <w:keepLines/>
      <w:spacing w:before="360" w:after="240"/>
      <w:ind w:left="720"/>
      <w:outlineLvl w:val="2"/>
    </w:pPr>
    <w:rPr>
      <w:rFonts w:eastAsiaTheme="majorEastAsia" w:cstheme="majorBidi"/>
      <w:b/>
      <w:color w:val="C00000"/>
      <w:sz w:val="24"/>
      <w:szCs w:val="24"/>
    </w:rPr>
  </w:style>
  <w:style w:type="paragraph" w:styleId="Heading4">
    <w:name w:val="heading 4"/>
    <w:basedOn w:val="Normal"/>
    <w:next w:val="Normal"/>
    <w:link w:val="Heading4Char"/>
    <w:uiPriority w:val="9"/>
    <w:semiHidden/>
    <w:unhideWhenUsed/>
    <w:qFormat/>
    <w:rsid w:val="0041193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193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1193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193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1193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193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816"/>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2E3067"/>
    <w:rPr>
      <w:rFonts w:ascii="Arial" w:eastAsiaTheme="majorEastAsia" w:hAnsi="Arial" w:cstheme="majorBidi"/>
      <w:color w:val="002060"/>
      <w:sz w:val="28"/>
      <w:szCs w:val="26"/>
    </w:rPr>
  </w:style>
  <w:style w:type="character" w:customStyle="1" w:styleId="Heading3Char">
    <w:name w:val="Heading 3 Char"/>
    <w:basedOn w:val="DefaultParagraphFont"/>
    <w:link w:val="Heading3"/>
    <w:uiPriority w:val="9"/>
    <w:rsid w:val="000F2802"/>
    <w:rPr>
      <w:rFonts w:ascii="Arial" w:eastAsiaTheme="majorEastAsia" w:hAnsi="Arial" w:cstheme="majorBidi"/>
      <w:b/>
      <w:color w:val="C00000"/>
      <w:sz w:val="24"/>
      <w:szCs w:val="24"/>
    </w:rPr>
  </w:style>
  <w:style w:type="character" w:customStyle="1" w:styleId="Heading4Char">
    <w:name w:val="Heading 4 Char"/>
    <w:basedOn w:val="DefaultParagraphFont"/>
    <w:link w:val="Heading4"/>
    <w:uiPriority w:val="9"/>
    <w:semiHidden/>
    <w:rsid w:val="0041193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1193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1193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193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119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193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281B4A"/>
    <w:pPr>
      <w:numPr>
        <w:numId w:val="7"/>
      </w:numPr>
      <w:contextualSpacing/>
    </w:pPr>
  </w:style>
  <w:style w:type="table" w:styleId="TableGrid">
    <w:name w:val="Table Grid"/>
    <w:basedOn w:val="TableNormal"/>
    <w:uiPriority w:val="39"/>
    <w:rsid w:val="0041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1931"/>
    <w:pPr>
      <w:autoSpaceDE w:val="0"/>
      <w:autoSpaceDN w:val="0"/>
      <w:adjustRightInd w:val="0"/>
      <w:spacing w:after="0" w:line="240" w:lineRule="auto"/>
    </w:pPr>
    <w:rPr>
      <w:rFonts w:ascii="VEFNZ Q+ Foundry Form Sans" w:hAnsi="VEFNZ Q+ Foundry Form Sans" w:cs="VEFNZ Q+ Foundry Form Sans"/>
      <w:color w:val="000000"/>
      <w:sz w:val="24"/>
      <w:szCs w:val="24"/>
    </w:rPr>
  </w:style>
  <w:style w:type="paragraph" w:styleId="NormalWeb">
    <w:name w:val="Normal (Web)"/>
    <w:basedOn w:val="Normal"/>
    <w:uiPriority w:val="99"/>
    <w:unhideWhenUsed/>
    <w:rsid w:val="004119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11931"/>
    <w:rPr>
      <w:sz w:val="16"/>
      <w:szCs w:val="16"/>
    </w:rPr>
  </w:style>
  <w:style w:type="paragraph" w:styleId="CommentText">
    <w:name w:val="annotation text"/>
    <w:basedOn w:val="Normal"/>
    <w:link w:val="CommentTextChar"/>
    <w:uiPriority w:val="99"/>
    <w:unhideWhenUsed/>
    <w:rsid w:val="00411931"/>
    <w:pPr>
      <w:spacing w:line="240" w:lineRule="auto"/>
    </w:pPr>
    <w:rPr>
      <w:sz w:val="20"/>
      <w:szCs w:val="20"/>
    </w:rPr>
  </w:style>
  <w:style w:type="character" w:customStyle="1" w:styleId="CommentTextChar">
    <w:name w:val="Comment Text Char"/>
    <w:basedOn w:val="DefaultParagraphFont"/>
    <w:link w:val="CommentText"/>
    <w:uiPriority w:val="99"/>
    <w:rsid w:val="004119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1931"/>
    <w:rPr>
      <w:b/>
      <w:bCs/>
    </w:rPr>
  </w:style>
  <w:style w:type="character" w:customStyle="1" w:styleId="CommentSubjectChar">
    <w:name w:val="Comment Subject Char"/>
    <w:basedOn w:val="CommentTextChar"/>
    <w:link w:val="CommentSubject"/>
    <w:uiPriority w:val="99"/>
    <w:semiHidden/>
    <w:rsid w:val="00411931"/>
    <w:rPr>
      <w:rFonts w:ascii="Arial" w:hAnsi="Arial"/>
      <w:b/>
      <w:bCs/>
      <w:sz w:val="20"/>
      <w:szCs w:val="20"/>
    </w:rPr>
  </w:style>
  <w:style w:type="paragraph" w:styleId="BalloonText">
    <w:name w:val="Balloon Text"/>
    <w:basedOn w:val="Normal"/>
    <w:link w:val="BalloonTextChar"/>
    <w:uiPriority w:val="99"/>
    <w:semiHidden/>
    <w:unhideWhenUsed/>
    <w:rsid w:val="00411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931"/>
    <w:rPr>
      <w:rFonts w:ascii="Segoe UI" w:hAnsi="Segoe UI" w:cs="Segoe UI"/>
      <w:sz w:val="18"/>
      <w:szCs w:val="18"/>
    </w:rPr>
  </w:style>
  <w:style w:type="paragraph" w:styleId="PlainText">
    <w:name w:val="Plain Text"/>
    <w:basedOn w:val="Normal"/>
    <w:link w:val="PlainTextChar"/>
    <w:uiPriority w:val="99"/>
    <w:unhideWhenUsed/>
    <w:rsid w:val="00411931"/>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rsid w:val="00411931"/>
    <w:rPr>
      <w:rFonts w:ascii="Calibri" w:eastAsia="Times New Roman" w:hAnsi="Calibri" w:cs="Consolas"/>
      <w:szCs w:val="21"/>
      <w:lang w:eastAsia="en-GB"/>
    </w:rPr>
  </w:style>
  <w:style w:type="character" w:styleId="Hyperlink">
    <w:name w:val="Hyperlink"/>
    <w:basedOn w:val="DefaultParagraphFont"/>
    <w:uiPriority w:val="99"/>
    <w:unhideWhenUsed/>
    <w:rsid w:val="00411931"/>
    <w:rPr>
      <w:color w:val="0000FF"/>
      <w:u w:val="single"/>
    </w:rPr>
  </w:style>
  <w:style w:type="paragraph" w:customStyle="1" w:styleId="lbl-styleelement-p">
    <w:name w:val="lbl-styleelement-p"/>
    <w:basedOn w:val="Normal"/>
    <w:rsid w:val="004119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1931"/>
    <w:rPr>
      <w:b/>
      <w:bCs/>
    </w:rPr>
  </w:style>
  <w:style w:type="character" w:customStyle="1" w:styleId="st1">
    <w:name w:val="st1"/>
    <w:basedOn w:val="DefaultParagraphFont"/>
    <w:rsid w:val="00411931"/>
  </w:style>
  <w:style w:type="character" w:styleId="Emphasis">
    <w:name w:val="Emphasis"/>
    <w:basedOn w:val="DefaultParagraphFont"/>
    <w:uiPriority w:val="20"/>
    <w:qFormat/>
    <w:rsid w:val="00411931"/>
    <w:rPr>
      <w:b/>
      <w:bCs/>
      <w:i w:val="0"/>
      <w:iCs w:val="0"/>
    </w:rPr>
  </w:style>
  <w:style w:type="paragraph" w:customStyle="1" w:styleId="s3">
    <w:name w:val="s3"/>
    <w:basedOn w:val="Normal"/>
    <w:rsid w:val="0041193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
    <w:name w:val="s2"/>
    <w:basedOn w:val="DefaultParagraphFont"/>
    <w:rsid w:val="00411931"/>
  </w:style>
  <w:style w:type="paragraph" w:customStyle="1" w:styleId="Pa1">
    <w:name w:val="Pa1"/>
    <w:basedOn w:val="Default"/>
    <w:next w:val="Default"/>
    <w:uiPriority w:val="99"/>
    <w:rsid w:val="00411931"/>
    <w:pPr>
      <w:spacing w:line="241" w:lineRule="atLeast"/>
    </w:pPr>
    <w:rPr>
      <w:rFonts w:ascii="Source Sans Pro Light" w:hAnsi="Source Sans Pro Light" w:cstheme="minorBidi"/>
      <w:color w:val="auto"/>
    </w:rPr>
  </w:style>
  <w:style w:type="paragraph" w:customStyle="1" w:styleId="Pa9">
    <w:name w:val="Pa9"/>
    <w:basedOn w:val="Default"/>
    <w:next w:val="Default"/>
    <w:uiPriority w:val="99"/>
    <w:rsid w:val="00411931"/>
    <w:pPr>
      <w:spacing w:line="221" w:lineRule="atLeast"/>
    </w:pPr>
    <w:rPr>
      <w:rFonts w:ascii="Source Sans Pro Light" w:hAnsi="Source Sans Pro Light" w:cstheme="minorBidi"/>
      <w:color w:val="auto"/>
    </w:rPr>
  </w:style>
  <w:style w:type="paragraph" w:styleId="Header">
    <w:name w:val="header"/>
    <w:basedOn w:val="Normal"/>
    <w:link w:val="HeaderChar"/>
    <w:uiPriority w:val="99"/>
    <w:unhideWhenUsed/>
    <w:rsid w:val="00411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931"/>
    <w:rPr>
      <w:rFonts w:ascii="Arial" w:hAnsi="Arial"/>
    </w:rPr>
  </w:style>
  <w:style w:type="paragraph" w:styleId="Footer">
    <w:name w:val="footer"/>
    <w:basedOn w:val="Normal"/>
    <w:link w:val="FooterChar"/>
    <w:uiPriority w:val="99"/>
    <w:unhideWhenUsed/>
    <w:rsid w:val="00411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931"/>
    <w:rPr>
      <w:rFonts w:ascii="Arial" w:hAnsi="Arial"/>
    </w:rPr>
  </w:style>
  <w:style w:type="paragraph" w:customStyle="1" w:styleId="justify1">
    <w:name w:val="justify1"/>
    <w:basedOn w:val="Normal"/>
    <w:rsid w:val="00411931"/>
    <w:pPr>
      <w:spacing w:before="150" w:after="150" w:line="240" w:lineRule="auto"/>
      <w:ind w:left="150" w:right="150"/>
      <w:jc w:val="both"/>
    </w:pPr>
    <w:rPr>
      <w:rFonts w:ascii="Times New Roman" w:eastAsia="Times New Roman" w:hAnsi="Times New Roman" w:cs="Times New Roman"/>
      <w:sz w:val="24"/>
      <w:szCs w:val="24"/>
      <w:lang w:eastAsia="en-GB"/>
    </w:rPr>
  </w:style>
  <w:style w:type="character" w:customStyle="1" w:styleId="tabsrightcorner5">
    <w:name w:val="tabsrightcorner5"/>
    <w:basedOn w:val="DefaultParagraphFont"/>
    <w:rsid w:val="00411931"/>
  </w:style>
  <w:style w:type="character" w:customStyle="1" w:styleId="viewcommenticon1">
    <w:name w:val="viewcommenticon1"/>
    <w:basedOn w:val="DefaultParagraphFont"/>
    <w:rsid w:val="00411931"/>
  </w:style>
  <w:style w:type="paragraph" w:customStyle="1" w:styleId="CBodyCopy">
    <w:name w:val="C. Body Copy"/>
    <w:basedOn w:val="Normal"/>
    <w:link w:val="CBodyCopyChar"/>
    <w:uiPriority w:val="99"/>
    <w:rsid w:val="00411931"/>
    <w:pPr>
      <w:spacing w:after="200" w:line="240" w:lineRule="auto"/>
    </w:pPr>
    <w:rPr>
      <w:rFonts w:ascii="Calibri" w:eastAsia="Calibri" w:hAnsi="Calibri" w:cs="Times New Roman"/>
    </w:rPr>
  </w:style>
  <w:style w:type="character" w:customStyle="1" w:styleId="CBodyCopyChar">
    <w:name w:val="C. Body Copy Char"/>
    <w:basedOn w:val="DefaultParagraphFont"/>
    <w:link w:val="CBodyCopy"/>
    <w:uiPriority w:val="99"/>
    <w:locked/>
    <w:rsid w:val="00411931"/>
    <w:rPr>
      <w:rFonts w:ascii="Calibri" w:eastAsia="Calibri" w:hAnsi="Calibri" w:cs="Times New Roman"/>
    </w:rPr>
  </w:style>
  <w:style w:type="paragraph" w:styleId="Revision">
    <w:name w:val="Revision"/>
    <w:hidden/>
    <w:uiPriority w:val="99"/>
    <w:semiHidden/>
    <w:rsid w:val="00411931"/>
    <w:pPr>
      <w:spacing w:after="0" w:line="240" w:lineRule="auto"/>
    </w:pPr>
  </w:style>
  <w:style w:type="paragraph" w:styleId="FootnoteText">
    <w:name w:val="footnote text"/>
    <w:basedOn w:val="Normal"/>
    <w:link w:val="FootnoteTextChar"/>
    <w:uiPriority w:val="99"/>
    <w:unhideWhenUsed/>
    <w:rsid w:val="00411931"/>
    <w:pPr>
      <w:spacing w:after="0" w:line="240" w:lineRule="auto"/>
    </w:pPr>
    <w:rPr>
      <w:sz w:val="20"/>
      <w:szCs w:val="20"/>
    </w:rPr>
  </w:style>
  <w:style w:type="character" w:customStyle="1" w:styleId="FootnoteTextChar">
    <w:name w:val="Footnote Text Char"/>
    <w:basedOn w:val="DefaultParagraphFont"/>
    <w:link w:val="FootnoteText"/>
    <w:uiPriority w:val="99"/>
    <w:rsid w:val="00411931"/>
    <w:rPr>
      <w:rFonts w:ascii="Arial" w:hAnsi="Arial"/>
      <w:sz w:val="20"/>
      <w:szCs w:val="20"/>
    </w:rPr>
  </w:style>
  <w:style w:type="character" w:styleId="FootnoteReference">
    <w:name w:val="footnote reference"/>
    <w:basedOn w:val="DefaultParagraphFont"/>
    <w:uiPriority w:val="99"/>
    <w:unhideWhenUsed/>
    <w:rsid w:val="00411931"/>
    <w:rPr>
      <w:vertAlign w:val="superscript"/>
    </w:rPr>
  </w:style>
  <w:style w:type="paragraph" w:styleId="TOCHeading">
    <w:name w:val="TOC Heading"/>
    <w:basedOn w:val="Heading1"/>
    <w:next w:val="Normal"/>
    <w:uiPriority w:val="39"/>
    <w:unhideWhenUsed/>
    <w:qFormat/>
    <w:rsid w:val="00411931"/>
    <w:pPr>
      <w:numPr>
        <w:numId w:val="0"/>
      </w:numPr>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411931"/>
    <w:pPr>
      <w:spacing w:before="120" w:after="0"/>
    </w:pPr>
    <w:rPr>
      <w:rFonts w:asciiTheme="minorHAnsi" w:hAnsiTheme="minorHAnsi"/>
      <w:b/>
    </w:rPr>
  </w:style>
  <w:style w:type="paragraph" w:styleId="TOC2">
    <w:name w:val="toc 2"/>
    <w:basedOn w:val="Normal"/>
    <w:next w:val="Normal"/>
    <w:autoRedefine/>
    <w:uiPriority w:val="39"/>
    <w:unhideWhenUsed/>
    <w:rsid w:val="00411931"/>
    <w:pPr>
      <w:spacing w:after="0"/>
      <w:ind w:left="220"/>
    </w:pPr>
    <w:rPr>
      <w:rFonts w:asciiTheme="minorHAnsi" w:hAnsiTheme="minorHAnsi"/>
      <w:i/>
    </w:rPr>
  </w:style>
  <w:style w:type="paragraph" w:styleId="TOC3">
    <w:name w:val="toc 3"/>
    <w:basedOn w:val="Normal"/>
    <w:next w:val="Normal"/>
    <w:autoRedefine/>
    <w:uiPriority w:val="39"/>
    <w:unhideWhenUsed/>
    <w:rsid w:val="00411931"/>
    <w:pPr>
      <w:spacing w:after="0"/>
      <w:ind w:left="440"/>
    </w:pPr>
    <w:rPr>
      <w:rFonts w:asciiTheme="minorHAnsi" w:hAnsiTheme="minorHAnsi"/>
    </w:rPr>
  </w:style>
  <w:style w:type="paragraph" w:styleId="TOC4">
    <w:name w:val="toc 4"/>
    <w:basedOn w:val="Normal"/>
    <w:next w:val="Normal"/>
    <w:autoRedefine/>
    <w:uiPriority w:val="39"/>
    <w:unhideWhenUsed/>
    <w:rsid w:val="00411931"/>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411931"/>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411931"/>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411931"/>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411931"/>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411931"/>
    <w:pPr>
      <w:spacing w:after="0"/>
      <w:ind w:left="1760"/>
    </w:pPr>
    <w:rPr>
      <w:rFonts w:asciiTheme="minorHAnsi" w:hAnsiTheme="minorHAnsi"/>
      <w:sz w:val="20"/>
      <w:szCs w:val="20"/>
    </w:rPr>
  </w:style>
  <w:style w:type="character" w:customStyle="1" w:styleId="UnresolvedMention">
    <w:name w:val="Unresolved Mention"/>
    <w:basedOn w:val="DefaultParagraphFont"/>
    <w:uiPriority w:val="99"/>
    <w:semiHidden/>
    <w:unhideWhenUsed/>
    <w:rsid w:val="00411931"/>
    <w:rPr>
      <w:color w:val="605E5C"/>
      <w:shd w:val="clear" w:color="auto" w:fill="E1DFDD"/>
    </w:rPr>
  </w:style>
  <w:style w:type="character" w:styleId="FollowedHyperlink">
    <w:name w:val="FollowedHyperlink"/>
    <w:basedOn w:val="DefaultParagraphFont"/>
    <w:uiPriority w:val="99"/>
    <w:semiHidden/>
    <w:unhideWhenUsed/>
    <w:rsid w:val="00411931"/>
    <w:rPr>
      <w:color w:val="954F72" w:themeColor="followedHyperlink"/>
      <w:u w:val="single"/>
    </w:rPr>
  </w:style>
  <w:style w:type="paragraph" w:styleId="EndnoteText">
    <w:name w:val="endnote text"/>
    <w:basedOn w:val="Normal"/>
    <w:link w:val="EndnoteTextChar"/>
    <w:uiPriority w:val="99"/>
    <w:semiHidden/>
    <w:unhideWhenUsed/>
    <w:rsid w:val="00DF60C7"/>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DF60C7"/>
    <w:rPr>
      <w:sz w:val="20"/>
      <w:szCs w:val="20"/>
    </w:rPr>
  </w:style>
  <w:style w:type="character" w:styleId="EndnoteReference">
    <w:name w:val="endnote reference"/>
    <w:basedOn w:val="DefaultParagraphFont"/>
    <w:uiPriority w:val="99"/>
    <w:semiHidden/>
    <w:unhideWhenUsed/>
    <w:rsid w:val="00DF60C7"/>
    <w:rPr>
      <w:vertAlign w:val="superscript"/>
    </w:rPr>
  </w:style>
  <w:style w:type="table" w:customStyle="1" w:styleId="TableGridLight1">
    <w:name w:val="Table Grid Light1"/>
    <w:basedOn w:val="TableNormal"/>
    <w:uiPriority w:val="40"/>
    <w:rsid w:val="00DF60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F60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F60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31">
    <w:name w:val="Grid Table 1 Light - Accent 31"/>
    <w:basedOn w:val="TableNormal"/>
    <w:uiPriority w:val="46"/>
    <w:rsid w:val="00DF60C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DF60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31">
    <w:name w:val="List Table 3 - Accent 31"/>
    <w:basedOn w:val="TableNormal"/>
    <w:uiPriority w:val="48"/>
    <w:rsid w:val="00DF60C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DF60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F60C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NoSpacing">
    <w:name w:val="No Spacing"/>
    <w:link w:val="NoSpacingChar"/>
    <w:uiPriority w:val="1"/>
    <w:qFormat/>
    <w:rsid w:val="00DF60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F60C7"/>
    <w:rPr>
      <w:rFonts w:eastAsiaTheme="minorEastAsia"/>
      <w:lang w:val="en-US"/>
    </w:rPr>
  </w:style>
  <w:style w:type="paragraph" w:styleId="Title">
    <w:name w:val="Title"/>
    <w:basedOn w:val="Normal"/>
    <w:next w:val="Normal"/>
    <w:link w:val="TitleChar"/>
    <w:uiPriority w:val="10"/>
    <w:qFormat/>
    <w:rsid w:val="00DF60C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DF60C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DF60C7"/>
    <w:pPr>
      <w:numPr>
        <w:ilvl w:val="1"/>
      </w:numPr>
    </w:pPr>
    <w:rPr>
      <w:rFonts w:asciiTheme="minorHAnsi" w:eastAsiaTheme="minorEastAsia" w:hAnsiTheme="minorHAnsi" w:cs="Times New Roman"/>
      <w:color w:val="5A5A5A" w:themeColor="text1" w:themeTint="A5"/>
      <w:spacing w:val="15"/>
      <w:lang w:val="en-US"/>
    </w:rPr>
  </w:style>
  <w:style w:type="character" w:customStyle="1" w:styleId="SubtitleChar">
    <w:name w:val="Subtitle Char"/>
    <w:basedOn w:val="DefaultParagraphFont"/>
    <w:link w:val="Subtitle"/>
    <w:uiPriority w:val="11"/>
    <w:rsid w:val="00DF60C7"/>
    <w:rPr>
      <w:rFonts w:eastAsiaTheme="minorEastAsia" w:cs="Times New Roman"/>
      <w:color w:val="5A5A5A" w:themeColor="text1" w:themeTint="A5"/>
      <w:spacing w:val="15"/>
      <w:lang w:val="en-US"/>
    </w:rPr>
  </w:style>
  <w:style w:type="paragraph" w:styleId="Caption">
    <w:name w:val="caption"/>
    <w:basedOn w:val="Normal"/>
    <w:next w:val="Normal"/>
    <w:uiPriority w:val="35"/>
    <w:unhideWhenUsed/>
    <w:qFormat/>
    <w:rsid w:val="00132F1A"/>
    <w:pPr>
      <w:spacing w:after="200" w:line="240" w:lineRule="auto"/>
    </w:pPr>
    <w:rPr>
      <w:i/>
      <w:iCs/>
      <w:color w:val="44546A" w:themeColor="text2"/>
      <w:sz w:val="18"/>
      <w:szCs w:val="18"/>
    </w:rPr>
  </w:style>
  <w:style w:type="table" w:customStyle="1" w:styleId="ListTable3-Accent32">
    <w:name w:val="List Table 3 - Accent 32"/>
    <w:basedOn w:val="TableNormal"/>
    <w:uiPriority w:val="48"/>
    <w:rsid w:val="009358D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odyText">
    <w:name w:val="Body Text"/>
    <w:basedOn w:val="Normal"/>
    <w:link w:val="BodyTextChar"/>
    <w:uiPriority w:val="99"/>
    <w:rsid w:val="001E1017"/>
    <w:pPr>
      <w:widowControl w:val="0"/>
      <w:spacing w:before="120" w:after="0" w:line="240" w:lineRule="auto"/>
      <w:ind w:left="100"/>
    </w:pPr>
    <w:rPr>
      <w:rFonts w:ascii="Verdana" w:eastAsia="Calibri" w:hAnsi="Verdana" w:cs="Times New Roman"/>
      <w:sz w:val="20"/>
      <w:szCs w:val="20"/>
      <w:lang w:val="en-US"/>
    </w:rPr>
  </w:style>
  <w:style w:type="character" w:customStyle="1" w:styleId="BodyTextChar">
    <w:name w:val="Body Text Char"/>
    <w:basedOn w:val="DefaultParagraphFont"/>
    <w:link w:val="BodyText"/>
    <w:uiPriority w:val="99"/>
    <w:rsid w:val="001E1017"/>
    <w:rPr>
      <w:rFonts w:ascii="Verdana" w:eastAsia="Calibri" w:hAnsi="Verdana" w:cs="Times New Roman"/>
      <w:sz w:val="20"/>
      <w:szCs w:val="20"/>
      <w:lang w:val="en-US"/>
    </w:rPr>
  </w:style>
  <w:style w:type="numbering" w:customStyle="1" w:styleId="Style1">
    <w:name w:val="Style1"/>
    <w:uiPriority w:val="99"/>
    <w:rsid w:val="00AF46DB"/>
    <w:pPr>
      <w:numPr>
        <w:numId w:val="14"/>
      </w:numPr>
    </w:pPr>
  </w:style>
  <w:style w:type="numbering" w:customStyle="1" w:styleId="Style2">
    <w:name w:val="Style2"/>
    <w:uiPriority w:val="99"/>
    <w:rsid w:val="001179E7"/>
    <w:pPr>
      <w:numPr>
        <w:numId w:val="17"/>
      </w:numPr>
    </w:pPr>
  </w:style>
  <w:style w:type="character" w:customStyle="1" w:styleId="lrzxr">
    <w:name w:val="lrzxr"/>
    <w:basedOn w:val="DefaultParagraphFont"/>
    <w:rsid w:val="00EC7896"/>
  </w:style>
  <w:style w:type="character" w:customStyle="1" w:styleId="ListParagraphChar">
    <w:name w:val="List Paragraph Char"/>
    <w:link w:val="ListParagraph"/>
    <w:uiPriority w:val="34"/>
    <w:locked/>
    <w:rsid w:val="00905A60"/>
    <w:rPr>
      <w:rFonts w:ascii="Arial" w:hAnsi="Arial"/>
    </w:rPr>
  </w:style>
  <w:style w:type="table" w:customStyle="1" w:styleId="ListTable3-Accent320">
    <w:name w:val="List Table 3 - Accent 320"/>
    <w:basedOn w:val="TableNormal"/>
    <w:uiPriority w:val="48"/>
    <w:rsid w:val="005A1A4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ContentsAppendixsub-title">
    <w:name w:val="Contents Appendix sub-title"/>
    <w:basedOn w:val="Normal"/>
    <w:rsid w:val="00CD1374"/>
    <w:pPr>
      <w:widowControl w:val="0"/>
      <w:tabs>
        <w:tab w:val="left" w:pos="426"/>
        <w:tab w:val="left" w:pos="454"/>
        <w:tab w:val="right" w:pos="8222"/>
      </w:tabs>
      <w:spacing w:after="200" w:line="360" w:lineRule="exact"/>
      <w:ind w:left="454" w:right="168" w:hanging="454"/>
    </w:pPr>
    <w:rPr>
      <w:rFonts w:eastAsia="Times New Roman" w:cs="Times New Roman"/>
      <w:szCs w:val="20"/>
    </w:rPr>
  </w:style>
  <w:style w:type="paragraph" w:customStyle="1" w:styleId="Numberedheading">
    <w:name w:val="Numbered heading"/>
    <w:basedOn w:val="Heading1"/>
    <w:next w:val="Numberedbody"/>
    <w:autoRedefine/>
    <w:qFormat/>
    <w:rsid w:val="00CD1374"/>
    <w:pPr>
      <w:keepLines w:val="0"/>
      <w:numPr>
        <w:numId w:val="33"/>
      </w:numPr>
      <w:spacing w:before="160" w:after="200" w:line="240" w:lineRule="auto"/>
    </w:pPr>
    <w:rPr>
      <w:rFonts w:eastAsia="Times New Roman" w:cs="Times New Roman"/>
      <w:b/>
      <w:sz w:val="28"/>
      <w:szCs w:val="20"/>
      <w:lang w:eastAsia="en-GB"/>
    </w:rPr>
  </w:style>
  <w:style w:type="paragraph" w:customStyle="1" w:styleId="Numberedbody">
    <w:name w:val="Numbered body"/>
    <w:basedOn w:val="NoSpacing"/>
    <w:link w:val="NumberedbodyChar"/>
    <w:qFormat/>
    <w:rsid w:val="00CD1374"/>
    <w:pPr>
      <w:widowControl w:val="0"/>
      <w:numPr>
        <w:ilvl w:val="1"/>
        <w:numId w:val="33"/>
      </w:numPr>
      <w:spacing w:after="120"/>
    </w:pPr>
    <w:rPr>
      <w:rFonts w:ascii="Arial" w:eastAsia="Times New Roman" w:hAnsi="Arial" w:cs="Times New Roman"/>
      <w:szCs w:val="20"/>
      <w:lang w:val="en-GB" w:eastAsia="en-GB"/>
    </w:rPr>
  </w:style>
  <w:style w:type="character" w:customStyle="1" w:styleId="NumberedbodyChar">
    <w:name w:val="Numbered body Char"/>
    <w:basedOn w:val="DefaultParagraphFont"/>
    <w:link w:val="Numberedbody"/>
    <w:rsid w:val="00CD1374"/>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79490">
      <w:bodyDiv w:val="1"/>
      <w:marLeft w:val="0"/>
      <w:marRight w:val="0"/>
      <w:marTop w:val="0"/>
      <w:marBottom w:val="0"/>
      <w:divBdr>
        <w:top w:val="none" w:sz="0" w:space="0" w:color="auto"/>
        <w:left w:val="none" w:sz="0" w:space="0" w:color="auto"/>
        <w:bottom w:val="none" w:sz="0" w:space="0" w:color="auto"/>
        <w:right w:val="none" w:sz="0" w:space="0" w:color="auto"/>
      </w:divBdr>
    </w:div>
    <w:div w:id="743918118">
      <w:bodyDiv w:val="1"/>
      <w:marLeft w:val="0"/>
      <w:marRight w:val="0"/>
      <w:marTop w:val="0"/>
      <w:marBottom w:val="0"/>
      <w:divBdr>
        <w:top w:val="none" w:sz="0" w:space="0" w:color="auto"/>
        <w:left w:val="none" w:sz="0" w:space="0" w:color="auto"/>
        <w:bottom w:val="none" w:sz="0" w:space="0" w:color="auto"/>
        <w:right w:val="none" w:sz="0" w:space="0" w:color="auto"/>
      </w:divBdr>
    </w:div>
    <w:div w:id="810291323">
      <w:bodyDiv w:val="1"/>
      <w:marLeft w:val="0"/>
      <w:marRight w:val="0"/>
      <w:marTop w:val="0"/>
      <w:marBottom w:val="0"/>
      <w:divBdr>
        <w:top w:val="none" w:sz="0" w:space="0" w:color="auto"/>
        <w:left w:val="none" w:sz="0" w:space="0" w:color="auto"/>
        <w:bottom w:val="none" w:sz="0" w:space="0" w:color="auto"/>
        <w:right w:val="none" w:sz="0" w:space="0" w:color="auto"/>
      </w:divBdr>
    </w:div>
    <w:div w:id="857475442">
      <w:bodyDiv w:val="1"/>
      <w:marLeft w:val="0"/>
      <w:marRight w:val="0"/>
      <w:marTop w:val="0"/>
      <w:marBottom w:val="0"/>
      <w:divBdr>
        <w:top w:val="none" w:sz="0" w:space="0" w:color="auto"/>
        <w:left w:val="none" w:sz="0" w:space="0" w:color="auto"/>
        <w:bottom w:val="none" w:sz="0" w:space="0" w:color="auto"/>
        <w:right w:val="none" w:sz="0" w:space="0" w:color="auto"/>
      </w:divBdr>
    </w:div>
    <w:div w:id="1461999180">
      <w:bodyDiv w:val="1"/>
      <w:marLeft w:val="0"/>
      <w:marRight w:val="0"/>
      <w:marTop w:val="0"/>
      <w:marBottom w:val="0"/>
      <w:divBdr>
        <w:top w:val="none" w:sz="0" w:space="0" w:color="auto"/>
        <w:left w:val="none" w:sz="0" w:space="0" w:color="auto"/>
        <w:bottom w:val="none" w:sz="0" w:space="0" w:color="auto"/>
        <w:right w:val="none" w:sz="0" w:space="0" w:color="auto"/>
      </w:divBdr>
    </w:div>
    <w:div w:id="1857885649">
      <w:bodyDiv w:val="1"/>
      <w:marLeft w:val="0"/>
      <w:marRight w:val="0"/>
      <w:marTop w:val="0"/>
      <w:marBottom w:val="0"/>
      <w:divBdr>
        <w:top w:val="none" w:sz="0" w:space="0" w:color="auto"/>
        <w:left w:val="none" w:sz="0" w:space="0" w:color="auto"/>
        <w:bottom w:val="none" w:sz="0" w:space="0" w:color="auto"/>
        <w:right w:val="none" w:sz="0" w:space="0" w:color="auto"/>
      </w:divBdr>
    </w:div>
    <w:div w:id="20579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gov.uk/government/publications/future-telecoms-infrastructure-review" TargetMode="External"/><Relationship Id="rId26" Type="http://schemas.openxmlformats.org/officeDocument/2006/relationships/hyperlink" Target="https://lewisham.gov.uk/myservices/planning/policy/ldf/spds/river-corridors-improvement-plan-spd" TargetMode="External"/><Relationship Id="rId39" Type="http://schemas.openxmlformats.org/officeDocument/2006/relationships/hyperlink" Target="http://councilmeetings.lewisham.gov.uk/documents/s71562/2020%2021%20Budget%20Report.pdf" TargetMode="External"/><Relationship Id="rId3" Type="http://schemas.openxmlformats.org/officeDocument/2006/relationships/customXml" Target="../customXml/item3.xml"/><Relationship Id="rId21" Type="http://schemas.openxmlformats.org/officeDocument/2006/relationships/hyperlink" Target="https://www.london.gov.uk/what-we-do/environment/parks-green-spaces-and-biodiversity/green-infrastructure/natural-capital-account-london" TargetMode="External"/><Relationship Id="rId34" Type="http://schemas.openxmlformats.org/officeDocument/2006/relationships/hyperlink" Target="https://www.gov.uk/government/publications/thames-estuary-2100-te2100/thames-estuary-2100-te2100" TargetMode="External"/><Relationship Id="rId42" Type="http://schemas.openxmlformats.org/officeDocument/2006/relationships/hyperlink" Target="http://content.tfl.gov.uk/vision-zero-action-plan.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http://councilmeetings.lewisham.gov.uk/documents/s66374/Appendix%201%20Draft%20Low%20Emission%20Vehicle%20Charging%20Strategy.pdf" TargetMode="External"/><Relationship Id="rId33" Type="http://schemas.openxmlformats.org/officeDocument/2006/relationships/hyperlink" Target="https://lewisham.gov.uk/-/media/files/imported/bakerloolineextensiondirectionoftravel.ashx" TargetMode="External"/><Relationship Id="rId38" Type="http://schemas.openxmlformats.org/officeDocument/2006/relationships/hyperlink" Target="http://councilmeetings.lewisham.gov.uk/documents/s66162/Lewisham%20Library%20Update.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ewisham.gov.uk/-/media/files/imported/sendstrategy201619final.ashx" TargetMode="External"/><Relationship Id="rId29" Type="http://schemas.openxmlformats.org/officeDocument/2006/relationships/hyperlink" Target="https://www.london.gov.uk/sites/default/files/mayors-transport-strategy-2018.pdf" TargetMode="External"/><Relationship Id="rId41" Type="http://schemas.openxmlformats.org/officeDocument/2006/relationships/hyperlink" Target="http://content.tfl.gov.uk/healthy-streets-for-london.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councilmeetings.lewisham.gov.uk/documents/s47297/Appendix%20A%20-%20Lewisham%20Place%20Planning%20Strategy%202017-22%20Draft%20for%20Consultation.pdf" TargetMode="External"/><Relationship Id="rId32" Type="http://schemas.openxmlformats.org/officeDocument/2006/relationships/hyperlink" Target="https://www.ourhealthiersel.nhs.uk/Downloads/Strategy%20documents/South%20East%20London%20STP%20October%202016.pdf" TargetMode="External"/><Relationship Id="rId37" Type="http://schemas.openxmlformats.org/officeDocument/2006/relationships/hyperlink" Target="https://www.london.gov.uk/sites/default/files/algg_spg_mar2012.pdf" TargetMode="External"/><Relationship Id="rId40" Type="http://schemas.openxmlformats.org/officeDocument/2006/relationships/hyperlink" Target="https://webarchive.nationalarchives.gov.uk/20160204122149/http:/www.artscouncil.org.uk/media/uploads/arts_museums_and_new_development-a_standard_charge_approach.pdf"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lewishamccg.nhs.uk/news-publications/Pages/Sustainability-and-Transformation-Plan.aspx" TargetMode="External"/><Relationship Id="rId28" Type="http://schemas.openxmlformats.org/officeDocument/2006/relationships/hyperlink" Target="https://www.london.gov.uk/sites/default/files/gla_migrate_files_destination/archives/assembly-reports-environment-allotments.pdf" TargetMode="External"/><Relationship Id="rId36" Type="http://schemas.openxmlformats.org/officeDocument/2006/relationships/hyperlink" Target="http://councilmeetings.lewisham.gov.uk/documents/s53983/Lewisham%20Cycle%20Strategy%202017.pdf" TargetMode="External"/><Relationship Id="rId10" Type="http://schemas.openxmlformats.org/officeDocument/2006/relationships/webSettings" Target="webSettings.xml"/><Relationship Id="rId19" Type="http://schemas.openxmlformats.org/officeDocument/2006/relationships/hyperlink" Target="http://councilmeetings.lewisham.gov.uk/documents/s41761/03BiodiversityActionPlanSDSC080316cover.pdf" TargetMode="External"/><Relationship Id="rId31" Type="http://schemas.openxmlformats.org/officeDocument/2006/relationships/hyperlink" Target="https://www.england.nhs.uk/long-term-plan/" TargetMode="External"/><Relationship Id="rId44" Type="http://schemas.openxmlformats.org/officeDocument/2006/relationships/hyperlink" Target="https://www.ofcom.org.uk/__data/assets/pdf_file/0024/166650/connected-nations-update-summer-2019.pdf" TargetMode="External"/><Relationship Id="R33e9467b13dd417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lewisham.gov.uk/-/media/files/imported/lewishamairqualityactionplandec2016.ashx" TargetMode="External"/><Relationship Id="rId27" Type="http://schemas.openxmlformats.org/officeDocument/2006/relationships/hyperlink" Target="http://councilmeetings.lewisham.gov.uk/documents/s55969/Lewisham%20vision%20document%20-%20Cinderella%20Line%20comments.pdf" TargetMode="External"/><Relationship Id="rId30" Type="http://schemas.openxmlformats.org/officeDocument/2006/relationships/hyperlink" Target="https://www.gov.uk/government/statistical-data-sets/gas-sales-and-numbers-of-customers-by-region-and-local-authority?source=vanityurl" TargetMode="External"/><Relationship Id="rId35" Type="http://schemas.openxmlformats.org/officeDocument/2006/relationships/hyperlink" Target="https://lewisham.gov.uk/-/media/files/imported/csalewishamversion1.ashx" TargetMode="External"/><Relationship Id="rId43" Type="http://schemas.openxmlformats.org/officeDocument/2006/relationships/hyperlink" Target="https://lewisham.gov.uk/inmyarea/regeneration/transport-and-major-infrastructure/local-implementation-plan" TargetMode="External"/><Relationship Id="Rbc93ab7e761446b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31cdb5-da7d-4a5d-b523-19dbfe538874"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39585b24-6ba6-49b2-81c5-ad077dc59dd7">KWY2KT2TY23J-50781808-867</_dlc_DocId>
    <_dlc_DocIdUrl xmlns="39585b24-6ba6-49b2-81c5-ad077dc59dd7">
      <Url>https://lewishamcouncil.sharepoint.com/sites/EcoDev/PlanningService/Policy/_layouts/15/DocIdRedir.aspx?ID=KWY2KT2TY23J-50781808-867</Url>
      <Description>KWY2KT2TY23J-50781808-867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A9479E4D3257443AF3D1BFB0E83E617" ma:contentTypeVersion="293" ma:contentTypeDescription="Create a new document." ma:contentTypeScope="" ma:versionID="54e1c5762b5465393dd3232dad22396a">
  <xsd:schema xmlns:xsd="http://www.w3.org/2001/XMLSchema" xmlns:xs="http://www.w3.org/2001/XMLSchema" xmlns:p="http://schemas.microsoft.com/office/2006/metadata/properties" xmlns:ns2="ce884100-0e76-4cdf-b94b-890eefa7cb80" xmlns:ns3="39585b24-6ba6-49b2-81c5-ad077dc59dd7" targetNamespace="http://schemas.microsoft.com/office/2006/metadata/properties" ma:root="true" ma:fieldsID="0a2ab4e545aaa9a5ecfd65879599f744" ns2:_="" ns3:_="">
    <xsd:import namespace="ce884100-0e76-4cdf-b94b-890eefa7cb80"/>
    <xsd:import namespace="39585b24-6ba6-49b2-81c5-ad077dc59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84100-0e76-4cdf-b94b-890eefa7c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85b24-6ba6-49b2-81c5-ad077dc59dd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F46E-04B3-4686-9F17-3CE0477F4DF4}">
  <ds:schemaRefs>
    <ds:schemaRef ds:uri="http://schemas.microsoft.com/sharepoint/events"/>
  </ds:schemaRefs>
</ds:datastoreItem>
</file>

<file path=customXml/itemProps2.xml><?xml version="1.0" encoding="utf-8"?>
<ds:datastoreItem xmlns:ds="http://schemas.openxmlformats.org/officeDocument/2006/customXml" ds:itemID="{FF0A333D-9ED3-4835-89BD-FAFDC112A93A}">
  <ds:schemaRefs>
    <ds:schemaRef ds:uri="Microsoft.SharePoint.Taxonomy.ContentTypeSync"/>
  </ds:schemaRefs>
</ds:datastoreItem>
</file>

<file path=customXml/itemProps3.xml><?xml version="1.0" encoding="utf-8"?>
<ds:datastoreItem xmlns:ds="http://schemas.openxmlformats.org/officeDocument/2006/customXml" ds:itemID="{C97D312D-61CE-4C9E-8EEF-52C386E0616B}">
  <ds:schemaRefs>
    <ds:schemaRef ds:uri="ce884100-0e76-4cdf-b94b-890eefa7cb80"/>
    <ds:schemaRef ds:uri="http://purl.org/dc/terms/"/>
    <ds:schemaRef ds:uri="39585b24-6ba6-49b2-81c5-ad077dc59dd7"/>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77383CF-CB63-48C8-B2B3-49ED16CC8CA3}">
  <ds:schemaRefs>
    <ds:schemaRef ds:uri="http://schemas.microsoft.com/sharepoint/v3/contenttype/forms"/>
  </ds:schemaRefs>
</ds:datastoreItem>
</file>

<file path=customXml/itemProps5.xml><?xml version="1.0" encoding="utf-8"?>
<ds:datastoreItem xmlns:ds="http://schemas.openxmlformats.org/officeDocument/2006/customXml" ds:itemID="{D1205F25-BD7F-4F4B-8D18-1BC78E96C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84100-0e76-4cdf-b94b-890eefa7cb80"/>
    <ds:schemaRef ds:uri="39585b24-6ba6-49b2-81c5-ad077dc59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2CC6C4-370E-4FFC-925D-ECD8E02D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31947</Words>
  <Characters>182101</Characters>
  <Application>Microsoft Office Word</Application>
  <DocSecurity>4</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Joshua</dc:creator>
  <cp:keywords/>
  <dc:description/>
  <cp:lastModifiedBy>Kabir, Konoya</cp:lastModifiedBy>
  <cp:revision>2</cp:revision>
  <cp:lastPrinted>2020-03-03T09:15:00Z</cp:lastPrinted>
  <dcterms:created xsi:type="dcterms:W3CDTF">2020-12-16T21:24:00Z</dcterms:created>
  <dcterms:modified xsi:type="dcterms:W3CDTF">2020-12-16T21:24:00Z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0x0101007A9479E4D3257443AF3D1BFB0E83E617</vt:lpwstr>
  </property>
  <property fmtid="{D5CDD505-2E9C-101B-9397-08002B2CF9AE}" pid="3" name="_dlc_DocIdItemGuid">
    <vt:lpwstr>d0806d41-2efe-410c-be93-64e80c3a392b</vt:lpwstr>
  </property>
</Properties>
</file>